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85C377">
      <w:pPr>
        <w:snapToGrid w:val="0"/>
        <w:spacing w:line="360" w:lineRule="auto"/>
        <w:jc w:val="center"/>
        <w:outlineLvl w:val="0"/>
        <w:rPr>
          <w:rFonts w:hint="eastAsia" w:ascii="宋体" w:hAnsi="宋体" w:eastAsia="宋体" w:cs="宋体"/>
          <w:b/>
          <w:color w:val="auto"/>
          <w:sz w:val="48"/>
          <w:szCs w:val="48"/>
          <w:highlight w:val="none"/>
        </w:rPr>
      </w:pPr>
      <w:bookmarkStart w:id="0" w:name="_Toc19139"/>
    </w:p>
    <w:p w14:paraId="384AD83D">
      <w:pPr>
        <w:snapToGrid w:val="0"/>
        <w:spacing w:line="360" w:lineRule="auto"/>
        <w:jc w:val="center"/>
        <w:outlineLvl w:val="0"/>
        <w:rPr>
          <w:rFonts w:hint="eastAsia" w:ascii="宋体" w:hAnsi="宋体" w:cs="宋体"/>
          <w:b/>
          <w:bCs/>
          <w:color w:val="auto"/>
          <w:sz w:val="48"/>
          <w:szCs w:val="48"/>
          <w:highlight w:val="none"/>
          <w:lang w:eastAsia="zh-CN"/>
        </w:rPr>
      </w:pPr>
      <w:bookmarkStart w:id="1822" w:name="_GoBack"/>
      <w:bookmarkEnd w:id="1822"/>
      <w:r>
        <w:rPr>
          <w:rFonts w:hint="eastAsia" w:ascii="宋体" w:hAnsi="宋体" w:cs="宋体"/>
          <w:b/>
          <w:bCs/>
          <w:color w:val="auto"/>
          <w:sz w:val="48"/>
          <w:szCs w:val="48"/>
          <w:highlight w:val="none"/>
          <w:lang w:val="en-US" w:eastAsia="zh-CN"/>
        </w:rPr>
        <w:t>富川瑶族自治县稳粮食生产供水保障项目</w:t>
      </w:r>
    </w:p>
    <w:p w14:paraId="056E5ED9">
      <w:pPr>
        <w:snapToGrid w:val="0"/>
        <w:spacing w:line="360" w:lineRule="auto"/>
        <w:jc w:val="center"/>
        <w:outlineLvl w:val="0"/>
        <w:rPr>
          <w:rFonts w:hint="eastAsia" w:ascii="宋体" w:hAnsi="宋体" w:eastAsia="宋体" w:cs="宋体"/>
          <w:b/>
          <w:bCs/>
          <w:color w:val="auto"/>
          <w:sz w:val="52"/>
          <w:szCs w:val="52"/>
          <w:highlight w:val="none"/>
        </w:rPr>
      </w:pPr>
    </w:p>
    <w:p w14:paraId="2D425A81">
      <w:pPr>
        <w:pStyle w:val="2"/>
        <w:spacing w:line="360" w:lineRule="auto"/>
        <w:rPr>
          <w:rFonts w:hint="eastAsia"/>
          <w:color w:val="auto"/>
          <w:highlight w:val="none"/>
        </w:rPr>
      </w:pPr>
    </w:p>
    <w:p w14:paraId="21B5E91D">
      <w:pPr>
        <w:snapToGrid w:val="0"/>
        <w:spacing w:line="360" w:lineRule="auto"/>
        <w:jc w:val="center"/>
        <w:outlineLvl w:val="0"/>
        <w:rPr>
          <w:rFonts w:hint="eastAsia" w:ascii="宋体" w:hAnsi="宋体" w:eastAsia="宋体" w:cs="宋体"/>
          <w:b/>
          <w:bCs/>
          <w:color w:val="auto"/>
          <w:sz w:val="72"/>
          <w:szCs w:val="72"/>
          <w:highlight w:val="none"/>
        </w:rPr>
      </w:pPr>
      <w:bookmarkStart w:id="1" w:name="_Toc17252"/>
      <w:bookmarkStart w:id="2" w:name="_Toc5621"/>
      <w:bookmarkStart w:id="3" w:name="_Toc13681"/>
      <w:bookmarkStart w:id="4" w:name="_Toc25188"/>
      <w:bookmarkStart w:id="5" w:name="_Toc20457"/>
      <w:r>
        <w:rPr>
          <w:rFonts w:hint="eastAsia" w:ascii="宋体" w:hAnsi="宋体" w:eastAsia="宋体" w:cs="宋体"/>
          <w:b/>
          <w:bCs/>
          <w:color w:val="auto"/>
          <w:sz w:val="72"/>
          <w:szCs w:val="72"/>
          <w:highlight w:val="none"/>
        </w:rPr>
        <w:t>竞争性磋商文件</w:t>
      </w:r>
      <w:bookmarkEnd w:id="0"/>
      <w:bookmarkEnd w:id="1"/>
      <w:bookmarkEnd w:id="2"/>
      <w:bookmarkEnd w:id="3"/>
      <w:bookmarkEnd w:id="4"/>
      <w:bookmarkEnd w:id="5"/>
    </w:p>
    <w:p w14:paraId="0CA6EB53">
      <w:pPr>
        <w:spacing w:line="360" w:lineRule="auto"/>
        <w:jc w:val="center"/>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（全流程电子化评标项目）</w:t>
      </w:r>
    </w:p>
    <w:p w14:paraId="39420003">
      <w:pPr>
        <w:pStyle w:val="68"/>
        <w:spacing w:line="360" w:lineRule="auto"/>
        <w:ind w:firstLine="31680"/>
        <w:rPr>
          <w:rFonts w:hint="eastAsia" w:ascii="宋体" w:hAnsi="宋体" w:eastAsia="宋体" w:cs="宋体"/>
          <w:color w:val="auto"/>
          <w:highlight w:val="none"/>
        </w:rPr>
      </w:pPr>
    </w:p>
    <w:p w14:paraId="3FA17F3E">
      <w:pPr>
        <w:spacing w:line="360" w:lineRule="auto"/>
        <w:jc w:val="center"/>
        <w:rPr>
          <w:rFonts w:hint="eastAsia" w:ascii="宋体" w:hAnsi="宋体" w:eastAsia="宋体" w:cs="宋体"/>
          <w:b/>
          <w:color w:val="auto"/>
          <w:sz w:val="32"/>
          <w:szCs w:val="32"/>
          <w:highlight w:val="none"/>
        </w:rPr>
      </w:pPr>
    </w:p>
    <w:p w14:paraId="615BD2E4">
      <w:pPr>
        <w:spacing w:line="360" w:lineRule="auto"/>
        <w:ind w:firstLine="1285" w:firstLineChars="400"/>
        <w:rPr>
          <w:rFonts w:hint="eastAsia" w:ascii="宋体" w:hAnsi="宋体" w:eastAsia="宋体" w:cs="宋体"/>
          <w:b/>
          <w:color w:val="auto"/>
          <w:sz w:val="32"/>
          <w:szCs w:val="32"/>
          <w:highlight w:val="none"/>
          <w:lang w:val="en-US" w:eastAsia="zh-CN"/>
        </w:rPr>
      </w:pPr>
      <w:r>
        <w:rPr>
          <w:rFonts w:hint="eastAsia" w:ascii="宋体" w:hAnsi="宋体" w:eastAsia="宋体" w:cs="宋体"/>
          <w:b/>
          <w:color w:val="auto"/>
          <w:sz w:val="32"/>
          <w:szCs w:val="32"/>
          <w:highlight w:val="none"/>
        </w:rPr>
        <w:t>项目编号：</w:t>
      </w:r>
      <w:r>
        <w:rPr>
          <w:rFonts w:hint="eastAsia" w:ascii="宋体" w:hAnsi="宋体" w:eastAsia="宋体" w:cs="宋体"/>
          <w:b/>
          <w:color w:val="auto"/>
          <w:sz w:val="32"/>
          <w:szCs w:val="32"/>
          <w:highlight w:val="none"/>
          <w:lang w:val="en-US" w:eastAsia="zh-CN"/>
        </w:rPr>
        <w:t xml:space="preserve"> </w:t>
      </w:r>
      <w:r>
        <w:rPr>
          <w:rFonts w:hint="eastAsia" w:ascii="宋体" w:hAnsi="宋体" w:cs="宋体"/>
          <w:b/>
          <w:color w:val="auto"/>
          <w:sz w:val="32"/>
          <w:szCs w:val="32"/>
          <w:highlight w:val="none"/>
          <w:lang w:eastAsia="zh-CN"/>
        </w:rPr>
        <w:t>HZZC2026-C2-230104-ZFZX</w:t>
      </w:r>
    </w:p>
    <w:p w14:paraId="6DFC9473">
      <w:pPr>
        <w:spacing w:line="360" w:lineRule="auto"/>
        <w:ind w:firstLine="1285" w:firstLineChars="400"/>
        <w:rPr>
          <w:rFonts w:hint="eastAsia" w:ascii="宋体" w:hAnsi="宋体" w:cs="宋体"/>
          <w:b/>
          <w:color w:val="auto"/>
          <w:sz w:val="32"/>
          <w:szCs w:val="32"/>
          <w:highlight w:val="none"/>
          <w:lang w:val="en-US" w:eastAsia="zh-CN"/>
        </w:rPr>
      </w:pPr>
    </w:p>
    <w:p w14:paraId="4C931E76">
      <w:pPr>
        <w:spacing w:line="360" w:lineRule="auto"/>
        <w:ind w:firstLine="1285" w:firstLineChars="400"/>
        <w:rPr>
          <w:rFonts w:hint="eastAsia" w:ascii="宋体" w:hAnsi="宋体" w:cs="宋体"/>
          <w:b/>
          <w:color w:val="auto"/>
          <w:sz w:val="32"/>
          <w:szCs w:val="32"/>
          <w:highlight w:val="none"/>
          <w:lang w:val="en-US" w:eastAsia="zh-CN"/>
        </w:rPr>
      </w:pPr>
    </w:p>
    <w:p w14:paraId="244F180B">
      <w:pPr>
        <w:spacing w:line="360" w:lineRule="auto"/>
        <w:ind w:firstLine="1285" w:firstLineChars="400"/>
        <w:outlineLvl w:val="0"/>
        <w:rPr>
          <w:rFonts w:hint="eastAsia" w:ascii="宋体" w:hAnsi="宋体" w:eastAsia="宋体" w:cs="宋体"/>
          <w:b/>
          <w:color w:val="auto"/>
          <w:sz w:val="32"/>
          <w:szCs w:val="32"/>
          <w:highlight w:val="none"/>
        </w:rPr>
      </w:pPr>
      <w:bookmarkStart w:id="6" w:name="_Toc18339"/>
      <w:bookmarkStart w:id="7" w:name="_Toc27057"/>
      <w:bookmarkStart w:id="8" w:name="_Toc10148"/>
      <w:bookmarkStart w:id="9" w:name="_Toc10372"/>
      <w:bookmarkStart w:id="10" w:name="_Toc21101"/>
      <w:bookmarkStart w:id="11" w:name="_Toc10717"/>
      <w:r>
        <w:rPr>
          <w:rFonts w:hint="eastAsia" w:ascii="宋体" w:hAnsi="宋体" w:eastAsia="宋体" w:cs="宋体"/>
          <w:b/>
          <w:color w:val="auto"/>
          <w:sz w:val="32"/>
          <w:szCs w:val="32"/>
          <w:highlight w:val="none"/>
        </w:rPr>
        <w:t>采 购 人：</w:t>
      </w:r>
      <w:bookmarkEnd w:id="6"/>
      <w:bookmarkEnd w:id="7"/>
      <w:bookmarkEnd w:id="8"/>
      <w:bookmarkEnd w:id="9"/>
      <w:bookmarkEnd w:id="10"/>
      <w:bookmarkStart w:id="12" w:name="_Toc314"/>
      <w:r>
        <w:rPr>
          <w:rFonts w:hint="eastAsia" w:ascii="宋体" w:hAnsi="宋体" w:cs="宋体"/>
          <w:b/>
          <w:color w:val="auto"/>
          <w:sz w:val="32"/>
          <w:szCs w:val="32"/>
          <w:highlight w:val="none"/>
          <w:lang w:eastAsia="zh-CN"/>
        </w:rPr>
        <w:t>富川瑶族自治县农业农村局</w:t>
      </w:r>
      <w:bookmarkEnd w:id="11"/>
    </w:p>
    <w:p w14:paraId="4A549ED2">
      <w:pPr>
        <w:spacing w:line="360" w:lineRule="auto"/>
        <w:ind w:firstLine="1285" w:firstLineChars="400"/>
        <w:outlineLvl w:val="0"/>
        <w:rPr>
          <w:rFonts w:hint="eastAsia" w:ascii="宋体" w:hAnsi="宋体" w:eastAsia="宋体" w:cs="宋体"/>
          <w:b/>
          <w:color w:val="auto"/>
          <w:sz w:val="32"/>
          <w:szCs w:val="32"/>
          <w:highlight w:val="none"/>
        </w:rPr>
      </w:pPr>
      <w:bookmarkStart w:id="13" w:name="_Toc10796"/>
      <w:bookmarkStart w:id="14" w:name="_Toc16092"/>
    </w:p>
    <w:p w14:paraId="0D996576">
      <w:pPr>
        <w:spacing w:line="360" w:lineRule="auto"/>
        <w:ind w:firstLine="1285" w:firstLineChars="400"/>
        <w:outlineLvl w:val="0"/>
        <w:rPr>
          <w:rFonts w:hint="eastAsia" w:ascii="宋体" w:hAnsi="宋体" w:eastAsia="宋体" w:cs="宋体"/>
          <w:b/>
          <w:color w:val="auto"/>
          <w:sz w:val="32"/>
          <w:szCs w:val="32"/>
          <w:highlight w:val="none"/>
          <w:lang w:eastAsia="zh-CN"/>
        </w:rPr>
      </w:pPr>
      <w:bookmarkStart w:id="15" w:name="_Toc5138"/>
      <w:bookmarkStart w:id="16" w:name="_Toc14688"/>
      <w:bookmarkStart w:id="17" w:name="_Toc89"/>
      <w:r>
        <w:rPr>
          <w:rFonts w:hint="eastAsia" w:ascii="宋体" w:hAnsi="宋体" w:eastAsia="宋体" w:cs="宋体"/>
          <w:b/>
          <w:color w:val="auto"/>
          <w:sz w:val="32"/>
          <w:szCs w:val="32"/>
          <w:highlight w:val="none"/>
        </w:rPr>
        <w:t>采购代理机构：</w:t>
      </w:r>
      <w:bookmarkEnd w:id="12"/>
      <w:bookmarkEnd w:id="13"/>
      <w:bookmarkEnd w:id="14"/>
      <w:bookmarkEnd w:id="15"/>
      <w:bookmarkEnd w:id="16"/>
      <w:r>
        <w:rPr>
          <w:rFonts w:hint="eastAsia" w:ascii="宋体" w:hAnsi="宋体" w:cs="宋体"/>
          <w:b/>
          <w:color w:val="auto"/>
          <w:sz w:val="32"/>
          <w:szCs w:val="32"/>
          <w:highlight w:val="none"/>
          <w:lang w:eastAsia="zh-CN"/>
        </w:rPr>
        <w:t>中奋工程设计咨询有限公司</w:t>
      </w:r>
      <w:bookmarkEnd w:id="17"/>
    </w:p>
    <w:p w14:paraId="1F7D76A1">
      <w:pPr>
        <w:spacing w:line="360" w:lineRule="auto"/>
        <w:jc w:val="center"/>
        <w:rPr>
          <w:rFonts w:hint="eastAsia" w:ascii="宋体" w:hAnsi="宋体" w:eastAsia="宋体" w:cs="宋体"/>
          <w:b/>
          <w:color w:val="auto"/>
          <w:sz w:val="32"/>
          <w:szCs w:val="32"/>
          <w:highlight w:val="none"/>
        </w:rPr>
      </w:pPr>
    </w:p>
    <w:p w14:paraId="1222AE45">
      <w:pPr>
        <w:spacing w:line="360" w:lineRule="auto"/>
        <w:jc w:val="center"/>
        <w:rPr>
          <w:rFonts w:hint="eastAsia" w:ascii="宋体" w:hAnsi="宋体" w:eastAsia="宋体" w:cs="宋体"/>
          <w:b/>
          <w:color w:val="auto"/>
          <w:sz w:val="32"/>
          <w:szCs w:val="32"/>
          <w:highlight w:val="none"/>
        </w:rPr>
        <w:sectPr>
          <w:headerReference r:id="rId4" w:type="first"/>
          <w:footerReference r:id="rId6" w:type="first"/>
          <w:headerReference r:id="rId3" w:type="default"/>
          <w:footerReference r:id="rId5" w:type="default"/>
          <w:pgSz w:w="11906" w:h="16838"/>
          <w:pgMar w:top="1440" w:right="1440" w:bottom="1440" w:left="1587" w:header="851" w:footer="992" w:gutter="0"/>
          <w:pgNumType w:fmt="decimal" w:start="0"/>
          <w:cols w:space="720" w:num="1"/>
          <w:titlePg/>
          <w:docGrid w:type="lines" w:linePitch="312" w:charSpace="0"/>
        </w:sectPr>
      </w:pPr>
      <w:r>
        <w:rPr>
          <w:rFonts w:hint="eastAsia" w:ascii="宋体" w:hAnsi="宋体" w:cs="宋体"/>
          <w:b/>
          <w:color w:val="auto"/>
          <w:sz w:val="32"/>
          <w:szCs w:val="32"/>
          <w:highlight w:val="none"/>
          <w:lang w:val="en-US" w:eastAsia="zh-CN"/>
        </w:rPr>
        <w:t>2026年09月11日</w:t>
      </w:r>
    </w:p>
    <w:p w14:paraId="4734F4AF">
      <w:pPr>
        <w:spacing w:line="360" w:lineRule="auto"/>
        <w:jc w:val="cente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目   录</w:t>
      </w:r>
    </w:p>
    <w:p w14:paraId="165499EB">
      <w:pPr>
        <w:pStyle w:val="25"/>
        <w:tabs>
          <w:tab w:val="right" w:leader="dot" w:pos="8879"/>
        </w:tabs>
        <w:spacing w:line="360" w:lineRule="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b/>
          <w:color w:val="auto"/>
          <w:sz w:val="28"/>
          <w:szCs w:val="28"/>
          <w:highlight w:val="none"/>
        </w:rPr>
        <w:fldChar w:fldCharType="begin"/>
      </w:r>
      <w:r>
        <w:rPr>
          <w:rFonts w:hint="eastAsia" w:asciiTheme="minorEastAsia" w:hAnsiTheme="minorEastAsia" w:eastAsiaTheme="minorEastAsia" w:cstheme="minorEastAsia"/>
          <w:b/>
          <w:color w:val="auto"/>
          <w:sz w:val="28"/>
          <w:szCs w:val="28"/>
          <w:highlight w:val="none"/>
        </w:rPr>
        <w:instrText xml:space="preserve"> TOC \o "1-3" \h \z \u </w:instrText>
      </w:r>
      <w:r>
        <w:rPr>
          <w:rFonts w:hint="eastAsia" w:asciiTheme="minorEastAsia" w:hAnsiTheme="minorEastAsia" w:eastAsiaTheme="minorEastAsia" w:cstheme="minorEastAsia"/>
          <w:b/>
          <w:color w:val="auto"/>
          <w:sz w:val="28"/>
          <w:szCs w:val="28"/>
          <w:highlight w:val="none"/>
        </w:rPr>
        <w:fldChar w:fldCharType="separate"/>
      </w:r>
      <w:r>
        <w:rPr>
          <w:rFonts w:hint="eastAsia" w:asciiTheme="minorEastAsia" w:hAnsiTheme="minorEastAsia" w:eastAsiaTheme="minorEastAsia" w:cstheme="minorEastAsia"/>
          <w:color w:val="auto"/>
          <w:sz w:val="28"/>
          <w:szCs w:val="28"/>
          <w:highlight w:val="none"/>
        </w:rPr>
        <w:fldChar w:fldCharType="begin"/>
      </w:r>
      <w:r>
        <w:rPr>
          <w:rFonts w:hint="eastAsia" w:asciiTheme="minorEastAsia" w:hAnsiTheme="minorEastAsia" w:eastAsiaTheme="minorEastAsia" w:cstheme="minorEastAsia"/>
          <w:color w:val="auto"/>
          <w:sz w:val="28"/>
          <w:szCs w:val="28"/>
          <w:highlight w:val="none"/>
        </w:rPr>
        <w:instrText xml:space="preserve"> HYPERLINK \l _Toc11943 </w:instrText>
      </w:r>
      <w:r>
        <w:rPr>
          <w:rFonts w:hint="eastAsia" w:asciiTheme="minorEastAsia" w:hAnsiTheme="minorEastAsia" w:eastAsiaTheme="minorEastAsia" w:cstheme="minorEastAsia"/>
          <w:color w:val="auto"/>
          <w:sz w:val="28"/>
          <w:szCs w:val="28"/>
          <w:highlight w:val="none"/>
        </w:rPr>
        <w:fldChar w:fldCharType="separate"/>
      </w:r>
      <w:r>
        <w:rPr>
          <w:rFonts w:hint="eastAsia" w:asciiTheme="minorEastAsia" w:hAnsiTheme="minorEastAsia" w:eastAsiaTheme="minorEastAsia" w:cstheme="minorEastAsia"/>
          <w:bCs/>
          <w:color w:val="auto"/>
          <w:sz w:val="28"/>
          <w:szCs w:val="28"/>
          <w:highlight w:val="none"/>
        </w:rPr>
        <w:t>第一章 竞争性磋商公告</w:t>
      </w:r>
      <w:r>
        <w:rPr>
          <w:rFonts w:hint="eastAsia" w:asciiTheme="minorEastAsia" w:hAnsiTheme="minorEastAsia" w:eastAsiaTheme="minorEastAsia" w:cstheme="minorEastAsia"/>
          <w:color w:val="auto"/>
          <w:sz w:val="28"/>
          <w:szCs w:val="28"/>
        </w:rPr>
        <w:tab/>
      </w:r>
      <w:r>
        <w:rPr>
          <w:rFonts w:hint="eastAsia" w:asciiTheme="minorEastAsia" w:hAnsiTheme="minorEastAsia" w:eastAsiaTheme="minorEastAsia" w:cstheme="minorEastAsia"/>
          <w:color w:val="auto"/>
          <w:sz w:val="28"/>
          <w:szCs w:val="28"/>
        </w:rPr>
        <w:fldChar w:fldCharType="begin"/>
      </w:r>
      <w:r>
        <w:rPr>
          <w:rFonts w:hint="eastAsia" w:asciiTheme="minorEastAsia" w:hAnsiTheme="minorEastAsia" w:eastAsiaTheme="minorEastAsia" w:cstheme="minorEastAsia"/>
          <w:color w:val="auto"/>
          <w:sz w:val="28"/>
          <w:szCs w:val="28"/>
        </w:rPr>
        <w:instrText xml:space="preserve"> PAGEREF _Toc11943 \h </w:instrText>
      </w:r>
      <w:r>
        <w:rPr>
          <w:rFonts w:hint="eastAsia" w:asciiTheme="minorEastAsia" w:hAnsiTheme="minorEastAsia" w:eastAsiaTheme="minorEastAsia" w:cstheme="minorEastAsia"/>
          <w:color w:val="auto"/>
          <w:sz w:val="28"/>
          <w:szCs w:val="28"/>
        </w:rPr>
        <w:fldChar w:fldCharType="separate"/>
      </w:r>
      <w:r>
        <w:rPr>
          <w:rFonts w:hint="eastAsia" w:asciiTheme="minorEastAsia" w:hAnsiTheme="minorEastAsia" w:eastAsiaTheme="minorEastAsia" w:cstheme="minorEastAsia"/>
          <w:color w:val="auto"/>
          <w:sz w:val="28"/>
          <w:szCs w:val="28"/>
        </w:rPr>
        <w:t>1</w:t>
      </w:r>
      <w:r>
        <w:rPr>
          <w:rFonts w:hint="eastAsia" w:asciiTheme="minorEastAsia" w:hAnsiTheme="minorEastAsia" w:eastAsiaTheme="minorEastAsia" w:cstheme="minorEastAsia"/>
          <w:color w:val="auto"/>
          <w:sz w:val="28"/>
          <w:szCs w:val="28"/>
        </w:rPr>
        <w:fldChar w:fldCharType="end"/>
      </w:r>
      <w:r>
        <w:rPr>
          <w:rFonts w:hint="eastAsia" w:asciiTheme="minorEastAsia" w:hAnsiTheme="minorEastAsia" w:eastAsiaTheme="minorEastAsia" w:cstheme="minorEastAsia"/>
          <w:color w:val="auto"/>
          <w:sz w:val="28"/>
          <w:szCs w:val="28"/>
          <w:highlight w:val="none"/>
        </w:rPr>
        <w:fldChar w:fldCharType="end"/>
      </w:r>
    </w:p>
    <w:p w14:paraId="6CAEFFFB">
      <w:pPr>
        <w:pStyle w:val="25"/>
        <w:tabs>
          <w:tab w:val="right" w:leader="dot" w:pos="8879"/>
        </w:tabs>
        <w:spacing w:line="360" w:lineRule="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highlight w:val="none"/>
        </w:rPr>
        <w:fldChar w:fldCharType="begin"/>
      </w:r>
      <w:r>
        <w:rPr>
          <w:rFonts w:hint="eastAsia" w:asciiTheme="minorEastAsia" w:hAnsiTheme="minorEastAsia" w:eastAsiaTheme="minorEastAsia" w:cstheme="minorEastAsia"/>
          <w:color w:val="auto"/>
          <w:sz w:val="28"/>
          <w:szCs w:val="28"/>
          <w:highlight w:val="none"/>
        </w:rPr>
        <w:instrText xml:space="preserve"> HYPERLINK \l _Toc21264 </w:instrText>
      </w:r>
      <w:r>
        <w:rPr>
          <w:rFonts w:hint="eastAsia" w:asciiTheme="minorEastAsia" w:hAnsiTheme="minorEastAsia" w:eastAsiaTheme="minorEastAsia" w:cstheme="minorEastAsia"/>
          <w:color w:val="auto"/>
          <w:sz w:val="28"/>
          <w:szCs w:val="28"/>
          <w:highlight w:val="none"/>
        </w:rPr>
        <w:fldChar w:fldCharType="separate"/>
      </w:r>
      <w:r>
        <w:rPr>
          <w:rFonts w:hint="eastAsia" w:asciiTheme="minorEastAsia" w:hAnsiTheme="minorEastAsia" w:eastAsiaTheme="minorEastAsia" w:cstheme="minorEastAsia"/>
          <w:bCs/>
          <w:color w:val="auto"/>
          <w:sz w:val="28"/>
          <w:szCs w:val="28"/>
          <w:highlight w:val="none"/>
          <w:lang w:val="en-US" w:eastAsia="zh-CN"/>
        </w:rPr>
        <w:t>第二章 供应商须知</w:t>
      </w:r>
      <w:r>
        <w:rPr>
          <w:rFonts w:hint="eastAsia" w:asciiTheme="minorEastAsia" w:hAnsiTheme="minorEastAsia" w:eastAsiaTheme="minorEastAsia" w:cstheme="minorEastAsia"/>
          <w:color w:val="auto"/>
          <w:sz w:val="28"/>
          <w:szCs w:val="28"/>
        </w:rPr>
        <w:tab/>
      </w:r>
      <w:r>
        <w:rPr>
          <w:rFonts w:hint="eastAsia" w:asciiTheme="minorEastAsia" w:hAnsiTheme="minorEastAsia" w:eastAsiaTheme="minorEastAsia" w:cstheme="minorEastAsia"/>
          <w:color w:val="auto"/>
          <w:sz w:val="28"/>
          <w:szCs w:val="28"/>
        </w:rPr>
        <w:fldChar w:fldCharType="begin"/>
      </w:r>
      <w:r>
        <w:rPr>
          <w:rFonts w:hint="eastAsia" w:asciiTheme="minorEastAsia" w:hAnsiTheme="minorEastAsia" w:eastAsiaTheme="minorEastAsia" w:cstheme="minorEastAsia"/>
          <w:color w:val="auto"/>
          <w:sz w:val="28"/>
          <w:szCs w:val="28"/>
        </w:rPr>
        <w:instrText xml:space="preserve"> PAGEREF _Toc21264 \h </w:instrText>
      </w:r>
      <w:r>
        <w:rPr>
          <w:rFonts w:hint="eastAsia" w:asciiTheme="minorEastAsia" w:hAnsiTheme="minorEastAsia" w:eastAsiaTheme="minorEastAsia" w:cstheme="minorEastAsia"/>
          <w:color w:val="auto"/>
          <w:sz w:val="28"/>
          <w:szCs w:val="28"/>
        </w:rPr>
        <w:fldChar w:fldCharType="separate"/>
      </w:r>
      <w:r>
        <w:rPr>
          <w:rFonts w:hint="eastAsia" w:asciiTheme="minorEastAsia" w:hAnsiTheme="minorEastAsia" w:eastAsiaTheme="minorEastAsia" w:cstheme="minorEastAsia"/>
          <w:color w:val="auto"/>
          <w:sz w:val="28"/>
          <w:szCs w:val="28"/>
        </w:rPr>
        <w:t>6</w:t>
      </w:r>
      <w:r>
        <w:rPr>
          <w:rFonts w:hint="eastAsia" w:asciiTheme="minorEastAsia" w:hAnsiTheme="minorEastAsia" w:eastAsiaTheme="minorEastAsia" w:cstheme="minorEastAsia"/>
          <w:color w:val="auto"/>
          <w:sz w:val="28"/>
          <w:szCs w:val="28"/>
        </w:rPr>
        <w:fldChar w:fldCharType="end"/>
      </w:r>
      <w:r>
        <w:rPr>
          <w:rFonts w:hint="eastAsia" w:asciiTheme="minorEastAsia" w:hAnsiTheme="minorEastAsia" w:eastAsiaTheme="minorEastAsia" w:cstheme="minorEastAsia"/>
          <w:color w:val="auto"/>
          <w:sz w:val="28"/>
          <w:szCs w:val="28"/>
          <w:highlight w:val="none"/>
        </w:rPr>
        <w:fldChar w:fldCharType="end"/>
      </w:r>
    </w:p>
    <w:p w14:paraId="01B855AC">
      <w:pPr>
        <w:pStyle w:val="25"/>
        <w:tabs>
          <w:tab w:val="right" w:leader="dot" w:pos="8879"/>
        </w:tabs>
        <w:spacing w:line="360" w:lineRule="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highlight w:val="none"/>
        </w:rPr>
        <w:fldChar w:fldCharType="begin"/>
      </w:r>
      <w:r>
        <w:rPr>
          <w:rFonts w:hint="eastAsia" w:asciiTheme="minorEastAsia" w:hAnsiTheme="minorEastAsia" w:eastAsiaTheme="minorEastAsia" w:cstheme="minorEastAsia"/>
          <w:color w:val="auto"/>
          <w:sz w:val="28"/>
          <w:szCs w:val="28"/>
          <w:highlight w:val="none"/>
        </w:rPr>
        <w:instrText xml:space="preserve"> HYPERLINK \l _Toc8285 </w:instrText>
      </w:r>
      <w:r>
        <w:rPr>
          <w:rFonts w:hint="eastAsia" w:asciiTheme="minorEastAsia" w:hAnsiTheme="minorEastAsia" w:eastAsiaTheme="minorEastAsia" w:cstheme="minorEastAsia"/>
          <w:color w:val="auto"/>
          <w:sz w:val="28"/>
          <w:szCs w:val="28"/>
          <w:highlight w:val="none"/>
        </w:rPr>
        <w:fldChar w:fldCharType="separate"/>
      </w:r>
      <w:r>
        <w:rPr>
          <w:rFonts w:hint="eastAsia" w:asciiTheme="minorEastAsia" w:hAnsiTheme="minorEastAsia" w:eastAsiaTheme="minorEastAsia" w:cstheme="minorEastAsia"/>
          <w:bCs/>
          <w:color w:val="auto"/>
          <w:sz w:val="28"/>
          <w:szCs w:val="28"/>
          <w:highlight w:val="none"/>
          <w:lang w:val="en-US" w:eastAsia="zh-CN"/>
        </w:rPr>
        <w:t>第三章 采购需求和说明</w:t>
      </w:r>
      <w:r>
        <w:rPr>
          <w:rFonts w:hint="eastAsia" w:asciiTheme="minorEastAsia" w:hAnsiTheme="minorEastAsia" w:eastAsiaTheme="minorEastAsia" w:cstheme="minorEastAsia"/>
          <w:color w:val="auto"/>
          <w:sz w:val="28"/>
          <w:szCs w:val="28"/>
        </w:rPr>
        <w:tab/>
      </w:r>
      <w:r>
        <w:rPr>
          <w:rFonts w:hint="eastAsia" w:asciiTheme="minorEastAsia" w:hAnsiTheme="minorEastAsia" w:eastAsiaTheme="minorEastAsia" w:cstheme="minorEastAsia"/>
          <w:color w:val="auto"/>
          <w:sz w:val="28"/>
          <w:szCs w:val="28"/>
        </w:rPr>
        <w:fldChar w:fldCharType="begin"/>
      </w:r>
      <w:r>
        <w:rPr>
          <w:rFonts w:hint="eastAsia" w:asciiTheme="minorEastAsia" w:hAnsiTheme="minorEastAsia" w:eastAsiaTheme="minorEastAsia" w:cstheme="minorEastAsia"/>
          <w:color w:val="auto"/>
          <w:sz w:val="28"/>
          <w:szCs w:val="28"/>
        </w:rPr>
        <w:instrText xml:space="preserve"> PAGEREF _Toc8285 \h </w:instrText>
      </w:r>
      <w:r>
        <w:rPr>
          <w:rFonts w:hint="eastAsia" w:asciiTheme="minorEastAsia" w:hAnsiTheme="minorEastAsia" w:eastAsiaTheme="minorEastAsia" w:cstheme="minorEastAsia"/>
          <w:color w:val="auto"/>
          <w:sz w:val="28"/>
          <w:szCs w:val="28"/>
        </w:rPr>
        <w:fldChar w:fldCharType="separate"/>
      </w:r>
      <w:r>
        <w:rPr>
          <w:rFonts w:hint="eastAsia" w:asciiTheme="minorEastAsia" w:hAnsiTheme="minorEastAsia" w:eastAsiaTheme="minorEastAsia" w:cstheme="minorEastAsia"/>
          <w:color w:val="auto"/>
          <w:sz w:val="28"/>
          <w:szCs w:val="28"/>
        </w:rPr>
        <w:t>33</w:t>
      </w:r>
      <w:r>
        <w:rPr>
          <w:rFonts w:hint="eastAsia" w:asciiTheme="minorEastAsia" w:hAnsiTheme="minorEastAsia" w:eastAsiaTheme="minorEastAsia" w:cstheme="minorEastAsia"/>
          <w:color w:val="auto"/>
          <w:sz w:val="28"/>
          <w:szCs w:val="28"/>
        </w:rPr>
        <w:fldChar w:fldCharType="end"/>
      </w:r>
      <w:r>
        <w:rPr>
          <w:rFonts w:hint="eastAsia" w:asciiTheme="minorEastAsia" w:hAnsiTheme="minorEastAsia" w:eastAsiaTheme="minorEastAsia" w:cstheme="minorEastAsia"/>
          <w:color w:val="auto"/>
          <w:sz w:val="28"/>
          <w:szCs w:val="28"/>
          <w:highlight w:val="none"/>
        </w:rPr>
        <w:fldChar w:fldCharType="end"/>
      </w:r>
    </w:p>
    <w:p w14:paraId="03F193B6">
      <w:pPr>
        <w:pStyle w:val="25"/>
        <w:tabs>
          <w:tab w:val="right" w:leader="dot" w:pos="8879"/>
        </w:tabs>
        <w:spacing w:line="360" w:lineRule="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highlight w:val="none"/>
        </w:rPr>
        <w:fldChar w:fldCharType="begin"/>
      </w:r>
      <w:r>
        <w:rPr>
          <w:rFonts w:hint="eastAsia" w:asciiTheme="minorEastAsia" w:hAnsiTheme="minorEastAsia" w:eastAsiaTheme="minorEastAsia" w:cstheme="minorEastAsia"/>
          <w:color w:val="auto"/>
          <w:sz w:val="28"/>
          <w:szCs w:val="28"/>
          <w:highlight w:val="none"/>
        </w:rPr>
        <w:instrText xml:space="preserve"> HYPERLINK \l _Toc7167 </w:instrText>
      </w:r>
      <w:r>
        <w:rPr>
          <w:rFonts w:hint="eastAsia" w:asciiTheme="minorEastAsia" w:hAnsiTheme="minorEastAsia" w:eastAsiaTheme="minorEastAsia" w:cstheme="minorEastAsia"/>
          <w:color w:val="auto"/>
          <w:sz w:val="28"/>
          <w:szCs w:val="28"/>
          <w:highlight w:val="none"/>
        </w:rPr>
        <w:fldChar w:fldCharType="separate"/>
      </w:r>
      <w:r>
        <w:rPr>
          <w:rFonts w:hint="eastAsia" w:asciiTheme="minorEastAsia" w:hAnsiTheme="minorEastAsia" w:eastAsiaTheme="minorEastAsia" w:cstheme="minorEastAsia"/>
          <w:bCs/>
          <w:color w:val="auto"/>
          <w:sz w:val="28"/>
          <w:szCs w:val="28"/>
          <w:highlight w:val="none"/>
          <w:lang w:val="en-US" w:eastAsia="zh-CN"/>
        </w:rPr>
        <w:t>第四章 工程量清单</w:t>
      </w:r>
      <w:r>
        <w:rPr>
          <w:rFonts w:hint="eastAsia" w:asciiTheme="minorEastAsia" w:hAnsiTheme="minorEastAsia" w:eastAsiaTheme="minorEastAsia" w:cstheme="minorEastAsia"/>
          <w:color w:val="auto"/>
          <w:sz w:val="28"/>
          <w:szCs w:val="28"/>
        </w:rPr>
        <w:tab/>
      </w:r>
      <w:r>
        <w:rPr>
          <w:rFonts w:hint="eastAsia" w:asciiTheme="minorEastAsia" w:hAnsiTheme="minorEastAsia" w:eastAsiaTheme="minorEastAsia" w:cstheme="minorEastAsia"/>
          <w:color w:val="auto"/>
          <w:sz w:val="28"/>
          <w:szCs w:val="28"/>
        </w:rPr>
        <w:fldChar w:fldCharType="begin"/>
      </w:r>
      <w:r>
        <w:rPr>
          <w:rFonts w:hint="eastAsia" w:asciiTheme="minorEastAsia" w:hAnsiTheme="minorEastAsia" w:eastAsiaTheme="minorEastAsia" w:cstheme="minorEastAsia"/>
          <w:color w:val="auto"/>
          <w:sz w:val="28"/>
          <w:szCs w:val="28"/>
        </w:rPr>
        <w:instrText xml:space="preserve"> PAGEREF _Toc7167 \h </w:instrText>
      </w:r>
      <w:r>
        <w:rPr>
          <w:rFonts w:hint="eastAsia" w:asciiTheme="minorEastAsia" w:hAnsiTheme="minorEastAsia" w:eastAsiaTheme="minorEastAsia" w:cstheme="minorEastAsia"/>
          <w:color w:val="auto"/>
          <w:sz w:val="28"/>
          <w:szCs w:val="28"/>
        </w:rPr>
        <w:fldChar w:fldCharType="separate"/>
      </w:r>
      <w:r>
        <w:rPr>
          <w:rFonts w:hint="eastAsia" w:asciiTheme="minorEastAsia" w:hAnsiTheme="minorEastAsia" w:eastAsiaTheme="minorEastAsia" w:cstheme="minorEastAsia"/>
          <w:color w:val="auto"/>
          <w:sz w:val="28"/>
          <w:szCs w:val="28"/>
        </w:rPr>
        <w:t>38</w:t>
      </w:r>
      <w:r>
        <w:rPr>
          <w:rFonts w:hint="eastAsia" w:asciiTheme="minorEastAsia" w:hAnsiTheme="minorEastAsia" w:eastAsiaTheme="minorEastAsia" w:cstheme="minorEastAsia"/>
          <w:color w:val="auto"/>
          <w:sz w:val="28"/>
          <w:szCs w:val="28"/>
        </w:rPr>
        <w:fldChar w:fldCharType="end"/>
      </w:r>
      <w:r>
        <w:rPr>
          <w:rFonts w:hint="eastAsia" w:asciiTheme="minorEastAsia" w:hAnsiTheme="minorEastAsia" w:eastAsiaTheme="minorEastAsia" w:cstheme="minorEastAsia"/>
          <w:color w:val="auto"/>
          <w:sz w:val="28"/>
          <w:szCs w:val="28"/>
          <w:highlight w:val="none"/>
        </w:rPr>
        <w:fldChar w:fldCharType="end"/>
      </w:r>
    </w:p>
    <w:p w14:paraId="729CE988">
      <w:pPr>
        <w:pStyle w:val="25"/>
        <w:tabs>
          <w:tab w:val="right" w:leader="dot" w:pos="8879"/>
        </w:tabs>
        <w:spacing w:line="360" w:lineRule="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highlight w:val="none"/>
        </w:rPr>
        <w:fldChar w:fldCharType="begin"/>
      </w:r>
      <w:r>
        <w:rPr>
          <w:rFonts w:hint="eastAsia" w:asciiTheme="minorEastAsia" w:hAnsiTheme="minorEastAsia" w:eastAsiaTheme="minorEastAsia" w:cstheme="minorEastAsia"/>
          <w:color w:val="auto"/>
          <w:sz w:val="28"/>
          <w:szCs w:val="28"/>
          <w:highlight w:val="none"/>
        </w:rPr>
        <w:instrText xml:space="preserve"> HYPERLINK \l _Toc31821 </w:instrText>
      </w:r>
      <w:r>
        <w:rPr>
          <w:rFonts w:hint="eastAsia" w:asciiTheme="minorEastAsia" w:hAnsiTheme="minorEastAsia" w:eastAsiaTheme="minorEastAsia" w:cstheme="minorEastAsia"/>
          <w:color w:val="auto"/>
          <w:sz w:val="28"/>
          <w:szCs w:val="28"/>
          <w:highlight w:val="none"/>
        </w:rPr>
        <w:fldChar w:fldCharType="separate"/>
      </w:r>
      <w:r>
        <w:rPr>
          <w:rFonts w:hint="eastAsia" w:asciiTheme="minorEastAsia" w:hAnsiTheme="minorEastAsia" w:eastAsiaTheme="minorEastAsia" w:cstheme="minorEastAsia"/>
          <w:bCs/>
          <w:color w:val="auto"/>
          <w:sz w:val="28"/>
          <w:szCs w:val="28"/>
          <w:highlight w:val="none"/>
          <w:lang w:val="en-US" w:eastAsia="zh-CN"/>
        </w:rPr>
        <w:t>第五章  图纸</w:t>
      </w:r>
      <w:r>
        <w:rPr>
          <w:rFonts w:hint="eastAsia" w:asciiTheme="minorEastAsia" w:hAnsiTheme="minorEastAsia" w:eastAsiaTheme="minorEastAsia" w:cstheme="minorEastAsia"/>
          <w:color w:val="auto"/>
          <w:sz w:val="28"/>
          <w:szCs w:val="28"/>
        </w:rPr>
        <w:tab/>
      </w:r>
      <w:r>
        <w:rPr>
          <w:rFonts w:hint="eastAsia" w:asciiTheme="minorEastAsia" w:hAnsiTheme="minorEastAsia" w:eastAsiaTheme="minorEastAsia" w:cstheme="minorEastAsia"/>
          <w:color w:val="auto"/>
          <w:sz w:val="28"/>
          <w:szCs w:val="28"/>
        </w:rPr>
        <w:fldChar w:fldCharType="begin"/>
      </w:r>
      <w:r>
        <w:rPr>
          <w:rFonts w:hint="eastAsia" w:asciiTheme="minorEastAsia" w:hAnsiTheme="minorEastAsia" w:eastAsiaTheme="minorEastAsia" w:cstheme="minorEastAsia"/>
          <w:color w:val="auto"/>
          <w:sz w:val="28"/>
          <w:szCs w:val="28"/>
        </w:rPr>
        <w:instrText xml:space="preserve"> PAGEREF _Toc31821 \h </w:instrText>
      </w:r>
      <w:r>
        <w:rPr>
          <w:rFonts w:hint="eastAsia" w:asciiTheme="minorEastAsia" w:hAnsiTheme="minorEastAsia" w:eastAsiaTheme="minorEastAsia" w:cstheme="minorEastAsia"/>
          <w:color w:val="auto"/>
          <w:sz w:val="28"/>
          <w:szCs w:val="28"/>
        </w:rPr>
        <w:fldChar w:fldCharType="separate"/>
      </w:r>
      <w:r>
        <w:rPr>
          <w:rFonts w:hint="eastAsia" w:asciiTheme="minorEastAsia" w:hAnsiTheme="minorEastAsia" w:eastAsiaTheme="minorEastAsia" w:cstheme="minorEastAsia"/>
          <w:color w:val="auto"/>
          <w:sz w:val="28"/>
          <w:szCs w:val="28"/>
        </w:rPr>
        <w:t>39</w:t>
      </w:r>
      <w:r>
        <w:rPr>
          <w:rFonts w:hint="eastAsia" w:asciiTheme="minorEastAsia" w:hAnsiTheme="minorEastAsia" w:eastAsiaTheme="minorEastAsia" w:cstheme="minorEastAsia"/>
          <w:color w:val="auto"/>
          <w:sz w:val="28"/>
          <w:szCs w:val="28"/>
        </w:rPr>
        <w:fldChar w:fldCharType="end"/>
      </w:r>
      <w:r>
        <w:rPr>
          <w:rFonts w:hint="eastAsia" w:asciiTheme="minorEastAsia" w:hAnsiTheme="minorEastAsia" w:eastAsiaTheme="minorEastAsia" w:cstheme="minorEastAsia"/>
          <w:color w:val="auto"/>
          <w:sz w:val="28"/>
          <w:szCs w:val="28"/>
          <w:highlight w:val="none"/>
        </w:rPr>
        <w:fldChar w:fldCharType="end"/>
      </w:r>
    </w:p>
    <w:p w14:paraId="6D8D7FA7">
      <w:pPr>
        <w:pStyle w:val="25"/>
        <w:tabs>
          <w:tab w:val="right" w:leader="dot" w:pos="8879"/>
        </w:tabs>
        <w:spacing w:line="360" w:lineRule="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highlight w:val="none"/>
        </w:rPr>
        <w:fldChar w:fldCharType="begin"/>
      </w:r>
      <w:r>
        <w:rPr>
          <w:rFonts w:hint="eastAsia" w:asciiTheme="minorEastAsia" w:hAnsiTheme="minorEastAsia" w:eastAsiaTheme="minorEastAsia" w:cstheme="minorEastAsia"/>
          <w:color w:val="auto"/>
          <w:sz w:val="28"/>
          <w:szCs w:val="28"/>
          <w:highlight w:val="none"/>
        </w:rPr>
        <w:instrText xml:space="preserve"> HYPERLINK \l _Toc10740 </w:instrText>
      </w:r>
      <w:r>
        <w:rPr>
          <w:rFonts w:hint="eastAsia" w:asciiTheme="minorEastAsia" w:hAnsiTheme="minorEastAsia" w:eastAsiaTheme="minorEastAsia" w:cstheme="minorEastAsia"/>
          <w:color w:val="auto"/>
          <w:sz w:val="28"/>
          <w:szCs w:val="28"/>
          <w:highlight w:val="none"/>
        </w:rPr>
        <w:fldChar w:fldCharType="separate"/>
      </w:r>
      <w:r>
        <w:rPr>
          <w:rFonts w:hint="eastAsia" w:asciiTheme="minorEastAsia" w:hAnsiTheme="minorEastAsia" w:eastAsiaTheme="minorEastAsia" w:cstheme="minorEastAsia"/>
          <w:bCs/>
          <w:color w:val="auto"/>
          <w:sz w:val="28"/>
          <w:szCs w:val="28"/>
          <w:highlight w:val="none"/>
          <w:lang w:val="en-US" w:eastAsia="zh-CN"/>
        </w:rPr>
        <w:t>第六章 响应文件格式</w:t>
      </w:r>
      <w:r>
        <w:rPr>
          <w:rFonts w:hint="eastAsia" w:asciiTheme="minorEastAsia" w:hAnsiTheme="minorEastAsia" w:eastAsiaTheme="minorEastAsia" w:cstheme="minorEastAsia"/>
          <w:color w:val="auto"/>
          <w:sz w:val="28"/>
          <w:szCs w:val="28"/>
        </w:rPr>
        <w:tab/>
      </w:r>
      <w:r>
        <w:rPr>
          <w:rFonts w:hint="eastAsia" w:asciiTheme="minorEastAsia" w:hAnsiTheme="minorEastAsia" w:eastAsiaTheme="minorEastAsia" w:cstheme="minorEastAsia"/>
          <w:color w:val="auto"/>
          <w:sz w:val="28"/>
          <w:szCs w:val="28"/>
        </w:rPr>
        <w:fldChar w:fldCharType="begin"/>
      </w:r>
      <w:r>
        <w:rPr>
          <w:rFonts w:hint="eastAsia" w:asciiTheme="minorEastAsia" w:hAnsiTheme="minorEastAsia" w:eastAsiaTheme="minorEastAsia" w:cstheme="minorEastAsia"/>
          <w:color w:val="auto"/>
          <w:sz w:val="28"/>
          <w:szCs w:val="28"/>
        </w:rPr>
        <w:instrText xml:space="preserve"> PAGEREF _Toc10740 \h </w:instrText>
      </w:r>
      <w:r>
        <w:rPr>
          <w:rFonts w:hint="eastAsia" w:asciiTheme="minorEastAsia" w:hAnsiTheme="minorEastAsia" w:eastAsiaTheme="minorEastAsia" w:cstheme="minorEastAsia"/>
          <w:color w:val="auto"/>
          <w:sz w:val="28"/>
          <w:szCs w:val="28"/>
        </w:rPr>
        <w:fldChar w:fldCharType="separate"/>
      </w:r>
      <w:r>
        <w:rPr>
          <w:rFonts w:hint="eastAsia" w:asciiTheme="minorEastAsia" w:hAnsiTheme="minorEastAsia" w:eastAsiaTheme="minorEastAsia" w:cstheme="minorEastAsia"/>
          <w:color w:val="auto"/>
          <w:sz w:val="28"/>
          <w:szCs w:val="28"/>
        </w:rPr>
        <w:t>40</w:t>
      </w:r>
      <w:r>
        <w:rPr>
          <w:rFonts w:hint="eastAsia" w:asciiTheme="minorEastAsia" w:hAnsiTheme="minorEastAsia" w:eastAsiaTheme="minorEastAsia" w:cstheme="minorEastAsia"/>
          <w:color w:val="auto"/>
          <w:sz w:val="28"/>
          <w:szCs w:val="28"/>
        </w:rPr>
        <w:fldChar w:fldCharType="end"/>
      </w:r>
      <w:r>
        <w:rPr>
          <w:rFonts w:hint="eastAsia" w:asciiTheme="minorEastAsia" w:hAnsiTheme="minorEastAsia" w:eastAsiaTheme="minorEastAsia" w:cstheme="minorEastAsia"/>
          <w:color w:val="auto"/>
          <w:sz w:val="28"/>
          <w:szCs w:val="28"/>
          <w:highlight w:val="none"/>
        </w:rPr>
        <w:fldChar w:fldCharType="end"/>
      </w:r>
    </w:p>
    <w:p w14:paraId="63B56354">
      <w:pPr>
        <w:pStyle w:val="25"/>
        <w:tabs>
          <w:tab w:val="right" w:leader="dot" w:pos="8879"/>
        </w:tabs>
        <w:spacing w:line="360" w:lineRule="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highlight w:val="none"/>
        </w:rPr>
        <w:fldChar w:fldCharType="begin"/>
      </w:r>
      <w:r>
        <w:rPr>
          <w:rFonts w:hint="eastAsia" w:asciiTheme="minorEastAsia" w:hAnsiTheme="minorEastAsia" w:eastAsiaTheme="minorEastAsia" w:cstheme="minorEastAsia"/>
          <w:color w:val="auto"/>
          <w:sz w:val="28"/>
          <w:szCs w:val="28"/>
          <w:highlight w:val="none"/>
        </w:rPr>
        <w:instrText xml:space="preserve"> HYPERLINK \l _Toc30015 </w:instrText>
      </w:r>
      <w:r>
        <w:rPr>
          <w:rFonts w:hint="eastAsia" w:asciiTheme="minorEastAsia" w:hAnsiTheme="minorEastAsia" w:eastAsiaTheme="minorEastAsia" w:cstheme="minorEastAsia"/>
          <w:color w:val="auto"/>
          <w:sz w:val="28"/>
          <w:szCs w:val="28"/>
          <w:highlight w:val="none"/>
        </w:rPr>
        <w:fldChar w:fldCharType="separate"/>
      </w:r>
      <w:r>
        <w:rPr>
          <w:rFonts w:hint="eastAsia" w:asciiTheme="minorEastAsia" w:hAnsiTheme="minorEastAsia" w:eastAsiaTheme="minorEastAsia" w:cstheme="minorEastAsia"/>
          <w:bCs/>
          <w:color w:val="auto"/>
          <w:sz w:val="28"/>
          <w:szCs w:val="28"/>
          <w:highlight w:val="none"/>
          <w:lang w:val="en-US" w:eastAsia="zh-CN"/>
        </w:rPr>
        <w:t>第七章 政府采购合同书</w:t>
      </w:r>
      <w:r>
        <w:rPr>
          <w:rFonts w:hint="eastAsia" w:asciiTheme="minorEastAsia" w:hAnsiTheme="minorEastAsia" w:eastAsiaTheme="minorEastAsia" w:cstheme="minorEastAsia"/>
          <w:color w:val="auto"/>
          <w:sz w:val="28"/>
          <w:szCs w:val="28"/>
        </w:rPr>
        <w:tab/>
      </w:r>
      <w:r>
        <w:rPr>
          <w:rFonts w:hint="eastAsia" w:asciiTheme="minorEastAsia" w:hAnsiTheme="minorEastAsia" w:eastAsiaTheme="minorEastAsia" w:cstheme="minorEastAsia"/>
          <w:color w:val="auto"/>
          <w:sz w:val="28"/>
          <w:szCs w:val="28"/>
        </w:rPr>
        <w:fldChar w:fldCharType="begin"/>
      </w:r>
      <w:r>
        <w:rPr>
          <w:rFonts w:hint="eastAsia" w:asciiTheme="minorEastAsia" w:hAnsiTheme="minorEastAsia" w:eastAsiaTheme="minorEastAsia" w:cstheme="minorEastAsia"/>
          <w:color w:val="auto"/>
          <w:sz w:val="28"/>
          <w:szCs w:val="28"/>
        </w:rPr>
        <w:instrText xml:space="preserve"> PAGEREF _Toc30015 \h </w:instrText>
      </w:r>
      <w:r>
        <w:rPr>
          <w:rFonts w:hint="eastAsia" w:asciiTheme="minorEastAsia" w:hAnsiTheme="minorEastAsia" w:eastAsiaTheme="minorEastAsia" w:cstheme="minorEastAsia"/>
          <w:color w:val="auto"/>
          <w:sz w:val="28"/>
          <w:szCs w:val="28"/>
        </w:rPr>
        <w:fldChar w:fldCharType="separate"/>
      </w:r>
      <w:r>
        <w:rPr>
          <w:rFonts w:hint="eastAsia" w:asciiTheme="minorEastAsia" w:hAnsiTheme="minorEastAsia" w:eastAsiaTheme="minorEastAsia" w:cstheme="minorEastAsia"/>
          <w:color w:val="auto"/>
          <w:sz w:val="28"/>
          <w:szCs w:val="28"/>
        </w:rPr>
        <w:t>76</w:t>
      </w:r>
      <w:r>
        <w:rPr>
          <w:rFonts w:hint="eastAsia" w:asciiTheme="minorEastAsia" w:hAnsiTheme="minorEastAsia" w:eastAsiaTheme="minorEastAsia" w:cstheme="minorEastAsia"/>
          <w:color w:val="auto"/>
          <w:sz w:val="28"/>
          <w:szCs w:val="28"/>
        </w:rPr>
        <w:fldChar w:fldCharType="end"/>
      </w:r>
      <w:r>
        <w:rPr>
          <w:rFonts w:hint="eastAsia" w:asciiTheme="minorEastAsia" w:hAnsiTheme="minorEastAsia" w:eastAsiaTheme="minorEastAsia" w:cstheme="minorEastAsia"/>
          <w:color w:val="auto"/>
          <w:sz w:val="28"/>
          <w:szCs w:val="28"/>
          <w:highlight w:val="none"/>
        </w:rPr>
        <w:fldChar w:fldCharType="end"/>
      </w:r>
    </w:p>
    <w:p w14:paraId="14C0EF9A">
      <w:pPr>
        <w:pStyle w:val="25"/>
        <w:tabs>
          <w:tab w:val="right" w:leader="dot" w:pos="8879"/>
        </w:tabs>
        <w:spacing w:line="360" w:lineRule="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highlight w:val="none"/>
        </w:rPr>
        <w:fldChar w:fldCharType="begin"/>
      </w:r>
      <w:r>
        <w:rPr>
          <w:rFonts w:hint="eastAsia" w:asciiTheme="minorEastAsia" w:hAnsiTheme="minorEastAsia" w:eastAsiaTheme="minorEastAsia" w:cstheme="minorEastAsia"/>
          <w:color w:val="auto"/>
          <w:sz w:val="28"/>
          <w:szCs w:val="28"/>
          <w:highlight w:val="none"/>
        </w:rPr>
        <w:instrText xml:space="preserve"> HYPERLINK \l _Toc17923 </w:instrText>
      </w:r>
      <w:r>
        <w:rPr>
          <w:rFonts w:hint="eastAsia" w:asciiTheme="minorEastAsia" w:hAnsiTheme="minorEastAsia" w:eastAsiaTheme="minorEastAsia" w:cstheme="minorEastAsia"/>
          <w:color w:val="auto"/>
          <w:sz w:val="28"/>
          <w:szCs w:val="28"/>
          <w:highlight w:val="none"/>
        </w:rPr>
        <w:fldChar w:fldCharType="separate"/>
      </w:r>
      <w:r>
        <w:rPr>
          <w:rFonts w:hint="eastAsia" w:asciiTheme="minorEastAsia" w:hAnsiTheme="minorEastAsia" w:eastAsiaTheme="minorEastAsia" w:cstheme="minorEastAsia"/>
          <w:bCs/>
          <w:color w:val="auto"/>
          <w:sz w:val="28"/>
          <w:szCs w:val="28"/>
          <w:lang w:val="en-US" w:eastAsia="zh-CN"/>
        </w:rPr>
        <w:t>第八章 评审程序、评审方法和评审标准</w:t>
      </w:r>
      <w:r>
        <w:rPr>
          <w:rFonts w:hint="eastAsia" w:asciiTheme="minorEastAsia" w:hAnsiTheme="minorEastAsia" w:eastAsiaTheme="minorEastAsia" w:cstheme="minorEastAsia"/>
          <w:color w:val="auto"/>
          <w:sz w:val="28"/>
          <w:szCs w:val="28"/>
        </w:rPr>
        <w:tab/>
      </w:r>
      <w:r>
        <w:rPr>
          <w:rFonts w:hint="eastAsia" w:asciiTheme="minorEastAsia" w:hAnsiTheme="minorEastAsia" w:eastAsiaTheme="minorEastAsia" w:cstheme="minorEastAsia"/>
          <w:color w:val="auto"/>
          <w:sz w:val="28"/>
          <w:szCs w:val="28"/>
        </w:rPr>
        <w:fldChar w:fldCharType="begin"/>
      </w:r>
      <w:r>
        <w:rPr>
          <w:rFonts w:hint="eastAsia" w:asciiTheme="minorEastAsia" w:hAnsiTheme="minorEastAsia" w:eastAsiaTheme="minorEastAsia" w:cstheme="minorEastAsia"/>
          <w:color w:val="auto"/>
          <w:sz w:val="28"/>
          <w:szCs w:val="28"/>
        </w:rPr>
        <w:instrText xml:space="preserve"> PAGEREF _Toc17923 \h </w:instrText>
      </w:r>
      <w:r>
        <w:rPr>
          <w:rFonts w:hint="eastAsia" w:asciiTheme="minorEastAsia" w:hAnsiTheme="minorEastAsia" w:eastAsiaTheme="minorEastAsia" w:cstheme="minorEastAsia"/>
          <w:color w:val="auto"/>
          <w:sz w:val="28"/>
          <w:szCs w:val="28"/>
        </w:rPr>
        <w:fldChar w:fldCharType="separate"/>
      </w:r>
      <w:r>
        <w:rPr>
          <w:rFonts w:hint="eastAsia" w:asciiTheme="minorEastAsia" w:hAnsiTheme="minorEastAsia" w:eastAsiaTheme="minorEastAsia" w:cstheme="minorEastAsia"/>
          <w:color w:val="auto"/>
          <w:sz w:val="28"/>
          <w:szCs w:val="28"/>
        </w:rPr>
        <w:t>138</w:t>
      </w:r>
      <w:r>
        <w:rPr>
          <w:rFonts w:hint="eastAsia" w:asciiTheme="minorEastAsia" w:hAnsiTheme="minorEastAsia" w:eastAsiaTheme="minorEastAsia" w:cstheme="minorEastAsia"/>
          <w:color w:val="auto"/>
          <w:sz w:val="28"/>
          <w:szCs w:val="28"/>
        </w:rPr>
        <w:fldChar w:fldCharType="end"/>
      </w:r>
      <w:r>
        <w:rPr>
          <w:rFonts w:hint="eastAsia" w:asciiTheme="minorEastAsia" w:hAnsiTheme="minorEastAsia" w:eastAsiaTheme="minorEastAsia" w:cstheme="minorEastAsia"/>
          <w:color w:val="auto"/>
          <w:sz w:val="28"/>
          <w:szCs w:val="28"/>
          <w:highlight w:val="none"/>
        </w:rPr>
        <w:fldChar w:fldCharType="end"/>
      </w:r>
    </w:p>
    <w:p w14:paraId="165CC207">
      <w:pPr>
        <w:pStyle w:val="25"/>
        <w:tabs>
          <w:tab w:val="right" w:leader="dot" w:pos="8879"/>
        </w:tabs>
        <w:spacing w:line="360" w:lineRule="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highlight w:val="none"/>
        </w:rPr>
        <w:fldChar w:fldCharType="begin"/>
      </w:r>
      <w:r>
        <w:rPr>
          <w:rFonts w:hint="eastAsia" w:asciiTheme="minorEastAsia" w:hAnsiTheme="minorEastAsia" w:eastAsiaTheme="minorEastAsia" w:cstheme="minorEastAsia"/>
          <w:color w:val="auto"/>
          <w:sz w:val="28"/>
          <w:szCs w:val="28"/>
          <w:highlight w:val="none"/>
        </w:rPr>
        <w:instrText xml:space="preserve"> HYPERLINK \l _Toc6090 </w:instrText>
      </w:r>
      <w:r>
        <w:rPr>
          <w:rFonts w:hint="eastAsia" w:asciiTheme="minorEastAsia" w:hAnsiTheme="minorEastAsia" w:eastAsiaTheme="minorEastAsia" w:cstheme="minorEastAsia"/>
          <w:color w:val="auto"/>
          <w:sz w:val="28"/>
          <w:szCs w:val="28"/>
          <w:highlight w:val="none"/>
        </w:rPr>
        <w:fldChar w:fldCharType="separate"/>
      </w:r>
      <w:r>
        <w:rPr>
          <w:rFonts w:hint="eastAsia" w:asciiTheme="minorEastAsia" w:hAnsiTheme="minorEastAsia" w:eastAsiaTheme="minorEastAsia" w:cstheme="minorEastAsia"/>
          <w:bCs/>
          <w:color w:val="auto"/>
          <w:sz w:val="28"/>
          <w:szCs w:val="28"/>
          <w:highlight w:val="none"/>
          <w:lang w:val="en-US" w:eastAsia="zh-CN"/>
        </w:rPr>
        <w:t>第九章  质疑、投诉材料格式</w:t>
      </w:r>
      <w:r>
        <w:rPr>
          <w:rFonts w:hint="eastAsia" w:asciiTheme="minorEastAsia" w:hAnsiTheme="minorEastAsia" w:eastAsiaTheme="minorEastAsia" w:cstheme="minorEastAsia"/>
          <w:color w:val="auto"/>
          <w:sz w:val="28"/>
          <w:szCs w:val="28"/>
        </w:rPr>
        <w:tab/>
      </w:r>
      <w:r>
        <w:rPr>
          <w:rFonts w:hint="eastAsia" w:asciiTheme="minorEastAsia" w:hAnsiTheme="minorEastAsia" w:eastAsiaTheme="minorEastAsia" w:cstheme="minorEastAsia"/>
          <w:color w:val="auto"/>
          <w:sz w:val="28"/>
          <w:szCs w:val="28"/>
        </w:rPr>
        <w:fldChar w:fldCharType="begin"/>
      </w:r>
      <w:r>
        <w:rPr>
          <w:rFonts w:hint="eastAsia" w:asciiTheme="minorEastAsia" w:hAnsiTheme="minorEastAsia" w:eastAsiaTheme="minorEastAsia" w:cstheme="minorEastAsia"/>
          <w:color w:val="auto"/>
          <w:sz w:val="28"/>
          <w:szCs w:val="28"/>
        </w:rPr>
        <w:instrText xml:space="preserve"> PAGEREF _Toc6090 \h </w:instrText>
      </w:r>
      <w:r>
        <w:rPr>
          <w:rFonts w:hint="eastAsia" w:asciiTheme="minorEastAsia" w:hAnsiTheme="minorEastAsia" w:eastAsiaTheme="minorEastAsia" w:cstheme="minorEastAsia"/>
          <w:color w:val="auto"/>
          <w:sz w:val="28"/>
          <w:szCs w:val="28"/>
        </w:rPr>
        <w:fldChar w:fldCharType="separate"/>
      </w:r>
      <w:r>
        <w:rPr>
          <w:rFonts w:hint="eastAsia" w:asciiTheme="minorEastAsia" w:hAnsiTheme="minorEastAsia" w:eastAsiaTheme="minorEastAsia" w:cstheme="minorEastAsia"/>
          <w:color w:val="auto"/>
          <w:sz w:val="28"/>
          <w:szCs w:val="28"/>
        </w:rPr>
        <w:t>152</w:t>
      </w:r>
      <w:r>
        <w:rPr>
          <w:rFonts w:hint="eastAsia" w:asciiTheme="minorEastAsia" w:hAnsiTheme="minorEastAsia" w:eastAsiaTheme="minorEastAsia" w:cstheme="minorEastAsia"/>
          <w:color w:val="auto"/>
          <w:sz w:val="28"/>
          <w:szCs w:val="28"/>
        </w:rPr>
        <w:fldChar w:fldCharType="end"/>
      </w:r>
      <w:r>
        <w:rPr>
          <w:rFonts w:hint="eastAsia" w:asciiTheme="minorEastAsia" w:hAnsiTheme="minorEastAsia" w:eastAsiaTheme="minorEastAsia" w:cstheme="minorEastAsia"/>
          <w:color w:val="auto"/>
          <w:sz w:val="28"/>
          <w:szCs w:val="28"/>
          <w:highlight w:val="none"/>
        </w:rPr>
        <w:fldChar w:fldCharType="end"/>
      </w:r>
    </w:p>
    <w:p w14:paraId="653C96DE">
      <w:pPr>
        <w:pStyle w:val="19"/>
        <w:tabs>
          <w:tab w:val="right" w:leader="dot" w:pos="8879"/>
        </w:tabs>
        <w:spacing w:line="360" w:lineRule="auto"/>
        <w:rPr>
          <w:rFonts w:hint="eastAsia" w:asciiTheme="minorEastAsia" w:hAnsiTheme="minorEastAsia" w:eastAsiaTheme="minorEastAsia" w:cstheme="minorEastAsia"/>
          <w:color w:val="auto"/>
          <w:sz w:val="28"/>
          <w:szCs w:val="28"/>
        </w:rPr>
      </w:pPr>
    </w:p>
    <w:p w14:paraId="7150A01C">
      <w:pPr>
        <w:pStyle w:val="26"/>
        <w:spacing w:line="360" w:lineRule="auto"/>
        <w:ind w:left="31680"/>
        <w:rPr>
          <w:rFonts w:hint="eastAsia" w:ascii="宋体" w:hAnsi="宋体" w:eastAsia="宋体" w:cs="宋体"/>
          <w:color w:val="auto"/>
          <w:sz w:val="28"/>
          <w:szCs w:val="28"/>
          <w:highlight w:val="none"/>
        </w:rPr>
      </w:pPr>
      <w:r>
        <w:rPr>
          <w:rFonts w:hint="eastAsia" w:asciiTheme="minorEastAsia" w:hAnsiTheme="minorEastAsia" w:eastAsiaTheme="minorEastAsia" w:cstheme="minorEastAsia"/>
          <w:color w:val="auto"/>
          <w:sz w:val="28"/>
          <w:szCs w:val="28"/>
          <w:highlight w:val="none"/>
        </w:rPr>
        <w:fldChar w:fldCharType="end"/>
      </w:r>
    </w:p>
    <w:p w14:paraId="011E9EAF">
      <w:pPr>
        <w:spacing w:line="360" w:lineRule="auto"/>
        <w:jc w:val="left"/>
        <w:rPr>
          <w:rFonts w:hint="eastAsia" w:ascii="宋体" w:hAnsi="宋体" w:eastAsia="宋体" w:cs="宋体"/>
          <w:b/>
          <w:color w:val="auto"/>
          <w:sz w:val="32"/>
          <w:szCs w:val="32"/>
          <w:highlight w:val="none"/>
        </w:rPr>
      </w:pPr>
    </w:p>
    <w:p w14:paraId="0F493E38">
      <w:pPr>
        <w:spacing w:line="360" w:lineRule="auto"/>
        <w:jc w:val="center"/>
        <w:rPr>
          <w:rFonts w:hint="eastAsia" w:ascii="宋体" w:hAnsi="宋体" w:eastAsia="宋体" w:cs="宋体"/>
          <w:b/>
          <w:color w:val="auto"/>
          <w:sz w:val="32"/>
          <w:szCs w:val="32"/>
          <w:highlight w:val="none"/>
        </w:rPr>
      </w:pPr>
    </w:p>
    <w:p w14:paraId="49DB6148">
      <w:pPr>
        <w:spacing w:line="360" w:lineRule="auto"/>
        <w:jc w:val="center"/>
        <w:rPr>
          <w:rFonts w:hint="eastAsia" w:ascii="宋体" w:hAnsi="宋体" w:eastAsia="宋体" w:cs="宋体"/>
          <w:b/>
          <w:color w:val="auto"/>
          <w:sz w:val="32"/>
          <w:szCs w:val="32"/>
          <w:highlight w:val="none"/>
        </w:rPr>
      </w:pPr>
    </w:p>
    <w:p w14:paraId="4FE4DA98">
      <w:pPr>
        <w:spacing w:line="360" w:lineRule="auto"/>
        <w:jc w:val="center"/>
        <w:rPr>
          <w:rFonts w:hint="eastAsia" w:ascii="宋体" w:hAnsi="宋体" w:eastAsia="宋体" w:cs="宋体"/>
          <w:b/>
          <w:color w:val="auto"/>
          <w:sz w:val="32"/>
          <w:szCs w:val="32"/>
          <w:highlight w:val="none"/>
        </w:rPr>
      </w:pPr>
    </w:p>
    <w:p w14:paraId="3D5AF69B">
      <w:pPr>
        <w:spacing w:line="360" w:lineRule="auto"/>
        <w:jc w:val="center"/>
        <w:rPr>
          <w:rFonts w:hint="eastAsia" w:ascii="宋体" w:hAnsi="宋体" w:eastAsia="宋体" w:cs="宋体"/>
          <w:b/>
          <w:color w:val="auto"/>
          <w:sz w:val="32"/>
          <w:szCs w:val="32"/>
          <w:highlight w:val="none"/>
        </w:rPr>
      </w:pPr>
    </w:p>
    <w:p w14:paraId="41FEC396">
      <w:pPr>
        <w:spacing w:line="360" w:lineRule="auto"/>
        <w:rPr>
          <w:rFonts w:hint="eastAsia" w:ascii="宋体" w:hAnsi="宋体" w:eastAsia="宋体" w:cs="宋体"/>
          <w:b/>
          <w:color w:val="auto"/>
          <w:sz w:val="32"/>
          <w:szCs w:val="32"/>
          <w:highlight w:val="none"/>
        </w:rPr>
        <w:sectPr>
          <w:footerReference r:id="rId8" w:type="first"/>
          <w:footerReference r:id="rId7" w:type="default"/>
          <w:pgSz w:w="11906" w:h="16838"/>
          <w:pgMar w:top="1440" w:right="1440" w:bottom="1440" w:left="1587" w:header="851" w:footer="992" w:gutter="0"/>
          <w:pgNumType w:fmt="decimal" w:start="1"/>
          <w:cols w:space="720" w:num="1"/>
          <w:titlePg/>
          <w:docGrid w:type="lines" w:linePitch="312" w:charSpace="0"/>
        </w:sectPr>
      </w:pPr>
    </w:p>
    <w:p w14:paraId="2643B682">
      <w:pPr>
        <w:pStyle w:val="3"/>
        <w:keepNext/>
        <w:keepLines/>
        <w:pageBreakBefore w:val="0"/>
        <w:widowControl w:val="0"/>
        <w:kinsoku/>
        <w:wordWrap/>
        <w:overflowPunct/>
        <w:topLinePunct w:val="0"/>
        <w:autoSpaceDE/>
        <w:autoSpaceDN/>
        <w:bidi w:val="0"/>
        <w:adjustRightInd/>
        <w:snapToGrid/>
        <w:spacing w:before="120" w:after="120" w:line="360" w:lineRule="auto"/>
        <w:jc w:val="center"/>
        <w:textAlignment w:val="auto"/>
        <w:outlineLvl w:val="0"/>
        <w:rPr>
          <w:rFonts w:hint="eastAsia" w:ascii="宋体" w:hAnsi="宋体" w:eastAsia="宋体" w:cs="宋体"/>
          <w:b/>
          <w:bCs/>
          <w:color w:val="auto"/>
          <w:sz w:val="36"/>
          <w:szCs w:val="36"/>
          <w:highlight w:val="none"/>
        </w:rPr>
      </w:pPr>
      <w:bookmarkStart w:id="18" w:name="_Toc17880"/>
      <w:bookmarkStart w:id="19" w:name="_Toc11943"/>
      <w:bookmarkStart w:id="20" w:name="_Toc19064"/>
      <w:r>
        <w:rPr>
          <w:rFonts w:hint="eastAsia" w:ascii="宋体" w:hAnsi="宋体" w:eastAsia="宋体" w:cs="宋体"/>
          <w:b/>
          <w:bCs/>
          <w:color w:val="auto"/>
          <w:sz w:val="36"/>
          <w:szCs w:val="36"/>
          <w:highlight w:val="none"/>
        </w:rPr>
        <w:t>第一章 竞争性磋商公告</w:t>
      </w:r>
      <w:bookmarkEnd w:id="18"/>
      <w:bookmarkEnd w:id="19"/>
      <w:bookmarkEnd w:id="20"/>
    </w:p>
    <w:p w14:paraId="44E25A27">
      <w:pPr>
        <w:spacing w:line="360" w:lineRule="auto"/>
        <w:jc w:val="center"/>
        <w:rPr>
          <w:rFonts w:hint="eastAsia" w:ascii="宋体" w:hAnsi="宋体" w:eastAsia="宋体" w:cs="宋体"/>
          <w:b/>
          <w:color w:val="auto"/>
          <w:sz w:val="32"/>
          <w:szCs w:val="32"/>
          <w:highlight w:val="none"/>
          <w:lang w:eastAsia="zh-CN"/>
        </w:rPr>
      </w:pPr>
      <w:bookmarkStart w:id="21" w:name="_Toc561"/>
      <w:r>
        <w:rPr>
          <w:rFonts w:hint="eastAsia" w:ascii="宋体" w:hAnsi="宋体" w:cs="宋体"/>
          <w:b/>
          <w:color w:val="auto"/>
          <w:sz w:val="32"/>
          <w:szCs w:val="32"/>
          <w:highlight w:val="none"/>
          <w:lang w:eastAsia="zh-CN"/>
        </w:rPr>
        <w:t>中奋工程设计咨询有限公司</w:t>
      </w:r>
      <w:r>
        <w:rPr>
          <w:rFonts w:hint="eastAsia" w:ascii="宋体" w:hAnsi="宋体" w:eastAsia="宋体" w:cs="宋体"/>
          <w:b/>
          <w:color w:val="auto"/>
          <w:sz w:val="32"/>
          <w:szCs w:val="32"/>
          <w:highlight w:val="none"/>
        </w:rPr>
        <w:t>关于</w:t>
      </w:r>
      <w:r>
        <w:rPr>
          <w:rFonts w:hint="eastAsia" w:ascii="宋体" w:hAnsi="宋体" w:cs="宋体"/>
          <w:b/>
          <w:color w:val="auto"/>
          <w:sz w:val="32"/>
          <w:szCs w:val="32"/>
          <w:highlight w:val="none"/>
          <w:lang w:eastAsia="zh-CN"/>
        </w:rPr>
        <w:t>富川瑶族自治县稳粮食生产供水保障项目</w:t>
      </w:r>
      <w:r>
        <w:rPr>
          <w:rFonts w:hint="eastAsia" w:ascii="宋体" w:hAnsi="宋体" w:eastAsia="宋体" w:cs="宋体"/>
          <w:b/>
          <w:color w:val="auto"/>
          <w:sz w:val="32"/>
          <w:szCs w:val="32"/>
          <w:highlight w:val="none"/>
        </w:rPr>
        <w:t>的竞争性磋商公告</w:t>
      </w:r>
      <w:r>
        <w:rPr>
          <w:rFonts w:hint="eastAsia" w:ascii="宋体" w:hAnsi="宋体" w:eastAsia="宋体" w:cs="宋体"/>
          <w:b/>
          <w:color w:val="auto"/>
          <w:sz w:val="32"/>
          <w:szCs w:val="32"/>
          <w:highlight w:val="none"/>
          <w:lang w:val="en-US" w:eastAsia="zh-CN"/>
        </w:rPr>
        <w:t>(</w:t>
      </w:r>
      <w:r>
        <w:rPr>
          <w:rFonts w:hint="eastAsia" w:ascii="宋体" w:hAnsi="宋体" w:eastAsia="宋体" w:cs="宋体"/>
          <w:b/>
          <w:color w:val="auto"/>
          <w:sz w:val="32"/>
          <w:szCs w:val="32"/>
          <w:highlight w:val="none"/>
        </w:rPr>
        <w:t>远程异地评标</w:t>
      </w:r>
      <w:r>
        <w:rPr>
          <w:rFonts w:hint="eastAsia" w:ascii="宋体" w:hAnsi="宋体" w:eastAsia="宋体" w:cs="宋体"/>
          <w:b/>
          <w:color w:val="auto"/>
          <w:sz w:val="32"/>
          <w:szCs w:val="32"/>
          <w:highlight w:val="none"/>
          <w:lang w:val="en-US" w:eastAsia="zh-CN"/>
        </w:rPr>
        <w:t xml:space="preserve">) </w:t>
      </w:r>
    </w:p>
    <w:p w14:paraId="1C7EA30B">
      <w:pPr>
        <w:pageBreakBefore w:val="0"/>
        <w:widowControl w:val="0"/>
        <w:pBdr>
          <w:top w:val="single" w:color="auto" w:sz="4" w:space="1"/>
          <w:left w:val="single" w:color="auto" w:sz="4" w:space="4"/>
          <w:bottom w:val="single" w:color="auto" w:sz="4" w:space="1"/>
          <w:right w:val="single" w:color="auto" w:sz="4" w:space="4"/>
        </w:pBdr>
        <w:kinsoku/>
        <w:wordWrap/>
        <w:overflowPunct/>
        <w:topLinePunct w:val="0"/>
        <w:autoSpaceDE/>
        <w:autoSpaceDN/>
        <w:bidi w:val="0"/>
        <w:adjustRightIn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rPr>
      </w:pPr>
      <w:bookmarkStart w:id="22" w:name="_Hlk37430271"/>
      <w:r>
        <w:rPr>
          <w:rFonts w:hint="eastAsia" w:asciiTheme="minorEastAsia" w:hAnsiTheme="minorEastAsia" w:eastAsiaTheme="minorEastAsia" w:cstheme="minorEastAsia"/>
          <w:color w:val="auto"/>
          <w:sz w:val="24"/>
          <w:szCs w:val="24"/>
          <w:highlight w:val="none"/>
        </w:rPr>
        <w:t>项目概况</w:t>
      </w:r>
    </w:p>
    <w:p w14:paraId="63B04D50">
      <w:pPr>
        <w:pageBreakBefore w:val="0"/>
        <w:widowControl w:val="0"/>
        <w:pBdr>
          <w:top w:val="single" w:color="auto" w:sz="4" w:space="1"/>
          <w:left w:val="single" w:color="auto" w:sz="4" w:space="4"/>
          <w:bottom w:val="single" w:color="auto" w:sz="4" w:space="1"/>
          <w:right w:val="single" w:color="auto" w:sz="4" w:space="4"/>
        </w:pBdr>
        <w:kinsoku/>
        <w:wordWrap/>
        <w:overflowPunct/>
        <w:topLinePunct w:val="0"/>
        <w:autoSpaceDE/>
        <w:autoSpaceDN/>
        <w:bidi w:val="0"/>
        <w:adjustRightIn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u w:val="single"/>
          <w:lang w:eastAsia="zh-CN"/>
        </w:rPr>
        <w:t>富川瑶族自治县稳粮食生产供水保障项目</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的潜在供应商应在</w:t>
      </w:r>
      <w:r>
        <w:rPr>
          <w:rFonts w:hint="eastAsia" w:asciiTheme="minorEastAsia" w:hAnsiTheme="minorEastAsia" w:eastAsiaTheme="minorEastAsia" w:cstheme="minorEastAsia"/>
          <w:color w:val="auto"/>
          <w:sz w:val="24"/>
          <w:szCs w:val="24"/>
          <w:highlight w:val="none"/>
          <w:u w:val="single"/>
        </w:rPr>
        <w:t>广西政府采购云平台（https://www.gcy.zfcg.gxzf.gov.cn/）</w:t>
      </w:r>
      <w:r>
        <w:rPr>
          <w:rFonts w:hint="eastAsia" w:asciiTheme="minorEastAsia" w:hAnsiTheme="minorEastAsia" w:eastAsiaTheme="minorEastAsia" w:cstheme="minorEastAsia"/>
          <w:color w:val="auto"/>
          <w:sz w:val="24"/>
          <w:szCs w:val="24"/>
          <w:highlight w:val="none"/>
        </w:rPr>
        <w:t>获取（下载）竞争性磋商文件，并于</w:t>
      </w:r>
      <w:r>
        <w:rPr>
          <w:rFonts w:hint="eastAsia" w:asciiTheme="minorEastAsia" w:hAnsiTheme="minorEastAsia" w:eastAsiaTheme="minorEastAsia" w:cstheme="minorEastAsia"/>
          <w:color w:val="auto"/>
          <w:sz w:val="24"/>
          <w:szCs w:val="24"/>
          <w:highlight w:val="none"/>
          <w:lang w:eastAsia="zh-CN"/>
        </w:rPr>
        <w:t>2026年09月30日</w:t>
      </w:r>
      <w:r>
        <w:rPr>
          <w:rFonts w:hint="eastAsia" w:asciiTheme="minorEastAsia" w:hAnsiTheme="minorEastAsia" w:eastAsiaTheme="minorEastAsia" w:cstheme="minorEastAsia"/>
          <w:color w:val="auto"/>
          <w:sz w:val="24"/>
          <w:szCs w:val="24"/>
          <w:highlight w:val="none"/>
          <w:lang w:val="en-US" w:eastAsia="zh-CN"/>
        </w:rPr>
        <w:t>09</w:t>
      </w:r>
      <w:r>
        <w:rPr>
          <w:rFonts w:hint="eastAsia" w:asciiTheme="minorEastAsia" w:hAnsiTheme="minorEastAsia" w:eastAsiaTheme="minorEastAsia" w:cstheme="minorEastAsia"/>
          <w:color w:val="auto"/>
          <w:sz w:val="24"/>
          <w:szCs w:val="24"/>
          <w:highlight w:val="none"/>
        </w:rPr>
        <w:t>时</w:t>
      </w:r>
      <w:r>
        <w:rPr>
          <w:rFonts w:hint="eastAsia" w:asciiTheme="minorEastAsia" w:hAnsiTheme="minorEastAsia" w:eastAsiaTheme="minorEastAsia" w:cstheme="minorEastAsia"/>
          <w:color w:val="auto"/>
          <w:sz w:val="24"/>
          <w:szCs w:val="24"/>
          <w:highlight w:val="none"/>
          <w:lang w:val="en-US" w:eastAsia="zh-CN"/>
        </w:rPr>
        <w:t>00</w:t>
      </w:r>
      <w:r>
        <w:rPr>
          <w:rFonts w:hint="eastAsia" w:asciiTheme="minorEastAsia" w:hAnsiTheme="minorEastAsia" w:eastAsiaTheme="minorEastAsia" w:cstheme="minorEastAsia"/>
          <w:color w:val="auto"/>
          <w:sz w:val="24"/>
          <w:szCs w:val="24"/>
          <w:highlight w:val="none"/>
        </w:rPr>
        <w:t>分</w:t>
      </w:r>
      <w:r>
        <w:rPr>
          <w:rFonts w:hint="eastAsia" w:asciiTheme="minorEastAsia" w:hAnsiTheme="minorEastAsia" w:eastAsiaTheme="minorEastAsia" w:cstheme="minorEastAsia"/>
          <w:bCs/>
          <w:color w:val="auto"/>
          <w:sz w:val="24"/>
          <w:szCs w:val="24"/>
          <w:highlight w:val="none"/>
        </w:rPr>
        <w:t>（北京时间）前提交响应文件</w:t>
      </w:r>
      <w:r>
        <w:rPr>
          <w:rFonts w:hint="eastAsia" w:asciiTheme="minorEastAsia" w:hAnsiTheme="minorEastAsia" w:eastAsiaTheme="minorEastAsia" w:cstheme="minorEastAsia"/>
          <w:color w:val="auto"/>
          <w:sz w:val="24"/>
          <w:szCs w:val="24"/>
          <w:highlight w:val="none"/>
        </w:rPr>
        <w:t>。</w:t>
      </w:r>
    </w:p>
    <w:p w14:paraId="674A33F8">
      <w:pPr>
        <w:pStyle w:val="4"/>
        <w:pageBreakBefore w:val="0"/>
        <w:widowControl w:val="0"/>
        <w:kinsoku/>
        <w:wordWrap/>
        <w:overflowPunct/>
        <w:topLinePunct w:val="0"/>
        <w:autoSpaceDE/>
        <w:autoSpaceDN/>
        <w:bidi w:val="0"/>
        <w:adjustRightInd/>
        <w:spacing w:before="0" w:after="0" w:line="360" w:lineRule="auto"/>
        <w:ind w:firstLine="482" w:firstLineChars="200"/>
        <w:textAlignment w:val="auto"/>
        <w:rPr>
          <w:rFonts w:hint="eastAsia" w:asciiTheme="minorEastAsia" w:hAnsiTheme="minorEastAsia" w:eastAsiaTheme="minorEastAsia" w:cstheme="minorEastAsia"/>
          <w:bCs w:val="0"/>
          <w:color w:val="auto"/>
          <w:sz w:val="24"/>
          <w:szCs w:val="24"/>
          <w:highlight w:val="none"/>
        </w:rPr>
      </w:pPr>
      <w:bookmarkStart w:id="23" w:name="_Toc8107"/>
      <w:bookmarkStart w:id="24" w:name="_Toc28359089"/>
      <w:bookmarkStart w:id="25" w:name="_Toc28359012"/>
      <w:bookmarkStart w:id="26" w:name="_Toc22528"/>
      <w:bookmarkStart w:id="27" w:name="_Toc35393629"/>
      <w:bookmarkStart w:id="28" w:name="_Toc35393798"/>
      <w:bookmarkStart w:id="29" w:name="_Toc11996"/>
      <w:bookmarkStart w:id="30" w:name="_Toc44229878"/>
      <w:bookmarkStart w:id="31" w:name="_Toc20109"/>
      <w:r>
        <w:rPr>
          <w:rFonts w:hint="eastAsia" w:asciiTheme="minorEastAsia" w:hAnsiTheme="minorEastAsia" w:eastAsiaTheme="minorEastAsia" w:cstheme="minorEastAsia"/>
          <w:bCs w:val="0"/>
          <w:color w:val="auto"/>
          <w:sz w:val="24"/>
          <w:szCs w:val="24"/>
          <w:highlight w:val="none"/>
        </w:rPr>
        <w:t>一、项目基本情况</w:t>
      </w:r>
      <w:bookmarkEnd w:id="23"/>
      <w:bookmarkEnd w:id="24"/>
      <w:bookmarkEnd w:id="25"/>
      <w:bookmarkEnd w:id="26"/>
      <w:bookmarkEnd w:id="27"/>
      <w:bookmarkEnd w:id="28"/>
      <w:bookmarkEnd w:id="29"/>
      <w:bookmarkEnd w:id="30"/>
      <w:bookmarkEnd w:id="31"/>
    </w:p>
    <w:p w14:paraId="659FD102">
      <w:pPr>
        <w:pageBreakBefore w:val="0"/>
        <w:widowControl w:val="0"/>
        <w:kinsoku/>
        <w:wordWrap/>
        <w:overflowPunct/>
        <w:topLinePunct w:val="0"/>
        <w:autoSpaceDE/>
        <w:autoSpaceDN/>
        <w:bidi w:val="0"/>
        <w:adjustRightIn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rPr>
        <w:t>1、项目编号：</w:t>
      </w:r>
      <w:r>
        <w:rPr>
          <w:rFonts w:hint="eastAsia" w:asciiTheme="minorEastAsia" w:hAnsiTheme="minorEastAsia" w:eastAsiaTheme="minorEastAsia" w:cstheme="minorEastAsia"/>
          <w:color w:val="auto"/>
          <w:sz w:val="24"/>
          <w:szCs w:val="24"/>
          <w:highlight w:val="none"/>
          <w:lang w:eastAsia="zh-CN"/>
        </w:rPr>
        <w:t>HZZC2026-C2-230104-ZFZX</w:t>
      </w:r>
      <w:r>
        <w:rPr>
          <w:rFonts w:hint="eastAsia" w:asciiTheme="minorEastAsia" w:hAnsiTheme="minorEastAsia" w:eastAsiaTheme="minorEastAsia" w:cstheme="minorEastAsia"/>
          <w:color w:val="auto"/>
          <w:sz w:val="24"/>
          <w:szCs w:val="24"/>
          <w:highlight w:val="none"/>
          <w:lang w:val="en-US" w:eastAsia="zh-CN"/>
        </w:rPr>
        <w:t xml:space="preserve"> </w:t>
      </w:r>
    </w:p>
    <w:p w14:paraId="6FAF5F53">
      <w:pPr>
        <w:pageBreakBefore w:val="0"/>
        <w:widowControl w:val="0"/>
        <w:kinsoku/>
        <w:wordWrap/>
        <w:overflowPunct/>
        <w:topLinePunct w:val="0"/>
        <w:autoSpaceDE/>
        <w:autoSpaceDN/>
        <w:bidi w:val="0"/>
        <w:adjustRightIn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rPr>
        <w:t>2、项目名称：</w:t>
      </w:r>
      <w:r>
        <w:rPr>
          <w:rFonts w:hint="eastAsia" w:asciiTheme="minorEastAsia" w:hAnsiTheme="minorEastAsia" w:eastAsiaTheme="minorEastAsia" w:cstheme="minorEastAsia"/>
          <w:color w:val="auto"/>
          <w:sz w:val="24"/>
          <w:szCs w:val="24"/>
          <w:highlight w:val="none"/>
          <w:lang w:eastAsia="zh-CN"/>
        </w:rPr>
        <w:t>富川瑶族自治县稳粮食生产供水保障项目</w:t>
      </w:r>
    </w:p>
    <w:p w14:paraId="037396D4">
      <w:pPr>
        <w:pageBreakBefore w:val="0"/>
        <w:widowControl w:val="0"/>
        <w:kinsoku/>
        <w:wordWrap/>
        <w:overflowPunct/>
        <w:topLinePunct w:val="0"/>
        <w:autoSpaceDE/>
        <w:autoSpaceDN/>
        <w:bidi w:val="0"/>
        <w:adjustRightIn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3、采购方式：竞争性磋商</w:t>
      </w:r>
    </w:p>
    <w:p w14:paraId="7AAF4D74">
      <w:pPr>
        <w:pageBreakBefore w:val="0"/>
        <w:widowControl w:val="0"/>
        <w:kinsoku/>
        <w:wordWrap/>
        <w:overflowPunct/>
        <w:topLinePunct w:val="0"/>
        <w:autoSpaceDE/>
        <w:autoSpaceDN/>
        <w:bidi w:val="0"/>
        <w:adjustRightIn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rPr>
        <w:t>4、预算金额：</w:t>
      </w:r>
      <w:r>
        <w:rPr>
          <w:rFonts w:hint="eastAsia" w:asciiTheme="minorEastAsia" w:hAnsiTheme="minorEastAsia" w:eastAsiaTheme="minorEastAsia" w:cstheme="minorEastAsia"/>
          <w:color w:val="auto"/>
          <w:sz w:val="24"/>
          <w:szCs w:val="24"/>
          <w:highlight w:val="none"/>
          <w:lang w:val="en-US" w:eastAsia="zh-CN"/>
        </w:rPr>
        <w:t>人民币(大写)贰佰玖拾伍万玖仟贰佰捌拾捌元捌角陆分（¥2959288.86）</w:t>
      </w:r>
    </w:p>
    <w:p w14:paraId="362C237D">
      <w:pPr>
        <w:pageBreakBefore w:val="0"/>
        <w:widowControl w:val="0"/>
        <w:kinsoku/>
        <w:wordWrap/>
        <w:overflowPunct/>
        <w:topLinePunct w:val="0"/>
        <w:autoSpaceDE/>
        <w:autoSpaceDN/>
        <w:bidi w:val="0"/>
        <w:adjustRightIn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5、最高限价：</w:t>
      </w:r>
      <w:bookmarkStart w:id="32" w:name="OLE_LINK2"/>
      <w:r>
        <w:rPr>
          <w:rFonts w:hint="eastAsia" w:asciiTheme="minorEastAsia" w:hAnsiTheme="minorEastAsia" w:eastAsiaTheme="minorEastAsia" w:cstheme="minorEastAsia"/>
          <w:color w:val="auto"/>
          <w:sz w:val="24"/>
          <w:szCs w:val="24"/>
          <w:highlight w:val="none"/>
          <w:lang w:val="en-US" w:eastAsia="zh-CN"/>
        </w:rPr>
        <w:t>人民币(大写)贰佰玖拾伍万玖仟贰佰捌拾捌元捌角陆分（¥2959288.86）</w:t>
      </w:r>
    </w:p>
    <w:bookmarkEnd w:id="32"/>
    <w:p w14:paraId="5EDA2925">
      <w:pPr>
        <w:pageBreakBefore w:val="0"/>
        <w:widowControl w:val="0"/>
        <w:kinsoku/>
        <w:wordWrap/>
        <w:overflowPunct/>
        <w:topLinePunct w:val="0"/>
        <w:autoSpaceDE/>
        <w:autoSpaceDN/>
        <w:bidi w:val="0"/>
        <w:adjustRightIn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6、采购需求：</w:t>
      </w:r>
      <w:bookmarkStart w:id="33" w:name="OLE_LINK5"/>
      <w:r>
        <w:rPr>
          <w:rFonts w:hint="eastAsia" w:asciiTheme="minorEastAsia" w:hAnsiTheme="minorEastAsia" w:eastAsiaTheme="minorEastAsia" w:cstheme="minorEastAsia"/>
          <w:color w:val="auto"/>
          <w:sz w:val="24"/>
          <w:szCs w:val="24"/>
          <w:highlight w:val="none"/>
          <w:lang w:val="en-US" w:eastAsia="zh-CN"/>
        </w:rPr>
        <w:t>富川瑶族自治县稳粮食生产供水保障项目，具体详见施工图纸及经财政投资评审的《工程量清单》。</w:t>
      </w:r>
      <w:bookmarkEnd w:id="33"/>
    </w:p>
    <w:p w14:paraId="709158D2">
      <w:pPr>
        <w:pageBreakBefore w:val="0"/>
        <w:widowControl w:val="0"/>
        <w:kinsoku/>
        <w:wordWrap/>
        <w:overflowPunct/>
        <w:topLinePunct w:val="0"/>
        <w:autoSpaceDE/>
        <w:autoSpaceDN/>
        <w:bidi w:val="0"/>
        <w:adjustRightIn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7、</w:t>
      </w:r>
      <w:bookmarkStart w:id="34" w:name="OLE_LINK21"/>
      <w:r>
        <w:rPr>
          <w:rFonts w:hint="eastAsia" w:asciiTheme="minorEastAsia" w:hAnsiTheme="minorEastAsia" w:eastAsiaTheme="minorEastAsia" w:cstheme="minorEastAsia"/>
          <w:color w:val="auto"/>
          <w:sz w:val="24"/>
          <w:szCs w:val="24"/>
          <w:highlight w:val="none"/>
          <w:lang w:val="en-US" w:eastAsia="zh-CN"/>
        </w:rPr>
        <w:t>工期：</w:t>
      </w:r>
      <w:bookmarkEnd w:id="34"/>
      <w:r>
        <w:rPr>
          <w:rFonts w:hint="eastAsia" w:asciiTheme="minorEastAsia" w:hAnsiTheme="minorEastAsia" w:eastAsiaTheme="minorEastAsia" w:cstheme="minorEastAsia"/>
          <w:color w:val="auto"/>
          <w:sz w:val="24"/>
          <w:szCs w:val="24"/>
          <w:highlight w:val="none"/>
          <w:lang w:val="en-US" w:eastAsia="zh-CN"/>
        </w:rPr>
        <w:t>以开工令为准，工期为90日历天。</w:t>
      </w:r>
    </w:p>
    <w:p w14:paraId="137C8DF5">
      <w:pPr>
        <w:pageBreakBefore w:val="0"/>
        <w:widowControl w:val="0"/>
        <w:kinsoku/>
        <w:wordWrap/>
        <w:overflowPunct/>
        <w:topLinePunct w:val="0"/>
        <w:autoSpaceDE/>
        <w:autoSpaceDN/>
        <w:bidi w:val="0"/>
        <w:adjustRightIn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8、本项目不接受联合体。</w:t>
      </w:r>
    </w:p>
    <w:p w14:paraId="1866D043">
      <w:pPr>
        <w:pStyle w:val="4"/>
        <w:pageBreakBefore w:val="0"/>
        <w:widowControl w:val="0"/>
        <w:kinsoku/>
        <w:wordWrap/>
        <w:overflowPunct/>
        <w:topLinePunct w:val="0"/>
        <w:autoSpaceDE/>
        <w:autoSpaceDN/>
        <w:bidi w:val="0"/>
        <w:adjustRightInd/>
        <w:spacing w:before="0" w:after="0" w:line="360" w:lineRule="auto"/>
        <w:ind w:firstLine="482" w:firstLineChars="200"/>
        <w:textAlignment w:val="auto"/>
        <w:rPr>
          <w:rFonts w:hint="eastAsia" w:asciiTheme="minorEastAsia" w:hAnsiTheme="minorEastAsia" w:eastAsiaTheme="minorEastAsia" w:cstheme="minorEastAsia"/>
          <w:bCs w:val="0"/>
          <w:color w:val="auto"/>
          <w:sz w:val="24"/>
          <w:szCs w:val="24"/>
          <w:highlight w:val="none"/>
        </w:rPr>
      </w:pPr>
      <w:bookmarkStart w:id="35" w:name="_Toc28359090"/>
      <w:bookmarkStart w:id="36" w:name="_Toc44229879"/>
      <w:bookmarkStart w:id="37" w:name="_Toc2042"/>
      <w:bookmarkStart w:id="38" w:name="_Toc7069"/>
      <w:bookmarkStart w:id="39" w:name="_Toc5850"/>
      <w:bookmarkStart w:id="40" w:name="_Toc19343"/>
      <w:bookmarkStart w:id="41" w:name="_Toc35393630"/>
      <w:bookmarkStart w:id="42" w:name="_Toc28359013"/>
      <w:bookmarkStart w:id="43" w:name="_Toc35393799"/>
      <w:r>
        <w:rPr>
          <w:rFonts w:hint="eastAsia" w:asciiTheme="minorEastAsia" w:hAnsiTheme="minorEastAsia" w:eastAsiaTheme="minorEastAsia" w:cstheme="minorEastAsia"/>
          <w:bCs w:val="0"/>
          <w:color w:val="auto"/>
          <w:sz w:val="24"/>
          <w:szCs w:val="24"/>
          <w:highlight w:val="none"/>
        </w:rPr>
        <w:t>二、供应商的资格条件：</w:t>
      </w:r>
      <w:bookmarkEnd w:id="35"/>
      <w:bookmarkEnd w:id="36"/>
      <w:bookmarkEnd w:id="37"/>
      <w:bookmarkEnd w:id="38"/>
      <w:bookmarkEnd w:id="39"/>
      <w:bookmarkEnd w:id="40"/>
      <w:bookmarkEnd w:id="41"/>
      <w:bookmarkEnd w:id="42"/>
      <w:bookmarkEnd w:id="43"/>
    </w:p>
    <w:p w14:paraId="0DC6800B">
      <w:pPr>
        <w:pageBreakBefore w:val="0"/>
        <w:widowControl w:val="0"/>
        <w:kinsoku/>
        <w:wordWrap/>
        <w:overflowPunct/>
        <w:topLinePunct w:val="0"/>
        <w:autoSpaceDE/>
        <w:autoSpaceDN/>
        <w:bidi w:val="0"/>
        <w:adjustRightIn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lang w:val="en-US" w:eastAsia="zh-CN"/>
        </w:rPr>
      </w:pPr>
      <w:bookmarkStart w:id="44" w:name="_Toc44229880"/>
      <w:bookmarkStart w:id="45" w:name="_Toc35393631"/>
      <w:bookmarkStart w:id="46" w:name="_Toc35393800"/>
      <w:bookmarkStart w:id="47" w:name="_Toc28359014"/>
      <w:bookmarkStart w:id="48" w:name="_Toc28359091"/>
      <w:r>
        <w:rPr>
          <w:rFonts w:hint="eastAsia" w:asciiTheme="minorEastAsia" w:hAnsiTheme="minorEastAsia" w:eastAsiaTheme="minorEastAsia" w:cstheme="minorEastAsia"/>
          <w:color w:val="auto"/>
          <w:sz w:val="24"/>
          <w:szCs w:val="24"/>
          <w:highlight w:val="none"/>
          <w:lang w:val="en-US" w:eastAsia="zh-CN"/>
        </w:rPr>
        <w:t>1、满足《中华人民共和国政府采购法》第二十二条规定；</w:t>
      </w:r>
    </w:p>
    <w:p w14:paraId="1655BD67">
      <w:pPr>
        <w:pageBreakBefore w:val="0"/>
        <w:widowControl w:val="0"/>
        <w:kinsoku/>
        <w:wordWrap/>
        <w:overflowPunct/>
        <w:topLinePunct w:val="0"/>
        <w:autoSpaceDE/>
        <w:autoSpaceDN/>
        <w:bidi w:val="0"/>
        <w:adjustRightIn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2、落实政府采购政策需满足的资格要求：本项目属于专门面向中小企业采购的项目（供应商应为中小微企业或监狱企业或残疾人福利性单位）；</w:t>
      </w:r>
    </w:p>
    <w:p w14:paraId="2F644306">
      <w:pPr>
        <w:pageBreakBefore w:val="0"/>
        <w:widowControl w:val="0"/>
        <w:kinsoku/>
        <w:wordWrap/>
        <w:overflowPunct/>
        <w:topLinePunct w:val="0"/>
        <w:autoSpaceDE/>
        <w:autoSpaceDN/>
        <w:bidi w:val="0"/>
        <w:adjustRightIn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3、本项目的特定资格要求：</w:t>
      </w:r>
      <w:bookmarkStart w:id="49" w:name="_Toc1893"/>
      <w:bookmarkStart w:id="50" w:name="_Toc18164"/>
      <w:bookmarkStart w:id="51" w:name="_Toc31325"/>
    </w:p>
    <w:p w14:paraId="794F6336">
      <w:pPr>
        <w:keepNext w:val="0"/>
        <w:keepLines w:val="0"/>
        <w:widowControl/>
        <w:suppressLineNumbers w:val="0"/>
        <w:spacing w:line="360" w:lineRule="auto"/>
        <w:jc w:val="left"/>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（1）供应商须具备水利水电工程施工总承包三级以上（含三级）资质，且具备有效的安全生产许可证，并在人员、设备、资金等方面具有相应的施工能力；</w:t>
      </w:r>
    </w:p>
    <w:p w14:paraId="11284EB4">
      <w:pPr>
        <w:keepNext w:val="0"/>
        <w:keepLines w:val="0"/>
        <w:widowControl/>
        <w:suppressLineNumbers w:val="0"/>
        <w:spacing w:line="360" w:lineRule="auto"/>
        <w:jc w:val="left"/>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（2）拟投入本项目的项目经理须具有水利水电工程专业二级（含二级）以上注册建造师资格并获得有效的安全生产考核合格证（B类）；</w:t>
      </w:r>
    </w:p>
    <w:p w14:paraId="6262E343">
      <w:pPr>
        <w:keepNext w:val="0"/>
        <w:keepLines w:val="0"/>
        <w:widowControl/>
        <w:suppressLineNumbers w:val="0"/>
        <w:spacing w:line="360" w:lineRule="auto"/>
        <w:jc w:val="left"/>
        <w:rPr>
          <w:rFonts w:hint="default"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（3）拟投入本项目的安全生产管理人员须具备有效的安全生产考核合格证书（C类）。</w:t>
      </w:r>
    </w:p>
    <w:p w14:paraId="47179A1E">
      <w:pPr>
        <w:pStyle w:val="4"/>
        <w:pageBreakBefore w:val="0"/>
        <w:widowControl w:val="0"/>
        <w:kinsoku/>
        <w:wordWrap/>
        <w:overflowPunct/>
        <w:topLinePunct w:val="0"/>
        <w:autoSpaceDE/>
        <w:autoSpaceDN/>
        <w:bidi w:val="0"/>
        <w:adjustRightInd/>
        <w:spacing w:before="0" w:after="0" w:line="360" w:lineRule="auto"/>
        <w:ind w:firstLine="482" w:firstLineChars="200"/>
        <w:textAlignment w:val="auto"/>
        <w:rPr>
          <w:rFonts w:hint="eastAsia" w:asciiTheme="minorEastAsia" w:hAnsiTheme="minorEastAsia" w:eastAsiaTheme="minorEastAsia" w:cstheme="minorEastAsia"/>
          <w:bCs w:val="0"/>
          <w:color w:val="auto"/>
          <w:sz w:val="24"/>
          <w:szCs w:val="24"/>
          <w:highlight w:val="none"/>
        </w:rPr>
      </w:pPr>
      <w:bookmarkStart w:id="52" w:name="_Toc8564"/>
      <w:r>
        <w:rPr>
          <w:rFonts w:hint="eastAsia" w:asciiTheme="minorEastAsia" w:hAnsiTheme="minorEastAsia" w:eastAsiaTheme="minorEastAsia" w:cstheme="minorEastAsia"/>
          <w:bCs w:val="0"/>
          <w:color w:val="auto"/>
          <w:sz w:val="24"/>
          <w:szCs w:val="24"/>
          <w:highlight w:val="none"/>
        </w:rPr>
        <w:t>三、获取竞争性磋商文件</w:t>
      </w:r>
      <w:bookmarkEnd w:id="44"/>
      <w:bookmarkEnd w:id="45"/>
      <w:bookmarkEnd w:id="46"/>
      <w:bookmarkEnd w:id="47"/>
      <w:bookmarkEnd w:id="48"/>
      <w:bookmarkEnd w:id="49"/>
      <w:bookmarkEnd w:id="50"/>
      <w:bookmarkEnd w:id="51"/>
      <w:bookmarkEnd w:id="52"/>
    </w:p>
    <w:p w14:paraId="5B218A4F">
      <w:pPr>
        <w:pageBreakBefore w:val="0"/>
        <w:widowControl w:val="0"/>
        <w:kinsoku/>
        <w:wordWrap/>
        <w:overflowPunct/>
        <w:topLinePunct w:val="0"/>
        <w:autoSpaceDE/>
        <w:autoSpaceDN/>
        <w:bidi w:val="0"/>
        <w:adjustRightIn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1、时间：2026年09月11日至2026年09月18日，每天上午00：00至12:00，下午12:00至23:59（北京时间，法定节假日除外）</w:t>
      </w:r>
    </w:p>
    <w:p w14:paraId="3B5E37B9">
      <w:pPr>
        <w:pageBreakBefore w:val="0"/>
        <w:widowControl w:val="0"/>
        <w:kinsoku/>
        <w:wordWrap/>
        <w:overflowPunct/>
        <w:topLinePunct w:val="0"/>
        <w:autoSpaceDE/>
        <w:autoSpaceDN/>
        <w:bidi w:val="0"/>
        <w:adjustRightIn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highlight w:val="none"/>
        </w:rPr>
      </w:pPr>
      <w:r>
        <w:rPr>
          <w:rFonts w:hint="eastAsia" w:asciiTheme="minorEastAsia" w:hAnsiTheme="minorEastAsia" w:eastAsiaTheme="minorEastAsia" w:cstheme="minorEastAsia"/>
          <w:bCs/>
          <w:color w:val="auto"/>
          <w:kern w:val="0"/>
          <w:sz w:val="24"/>
          <w:szCs w:val="24"/>
          <w:highlight w:val="none"/>
          <w:lang w:val="en-US" w:eastAsia="zh-CN"/>
        </w:rPr>
        <w:t>2、</w:t>
      </w:r>
      <w:r>
        <w:rPr>
          <w:rFonts w:hint="eastAsia" w:asciiTheme="minorEastAsia" w:hAnsiTheme="minorEastAsia" w:eastAsiaTheme="minorEastAsia" w:cstheme="minorEastAsia"/>
          <w:bCs/>
          <w:color w:val="auto"/>
          <w:kern w:val="0"/>
          <w:sz w:val="24"/>
          <w:szCs w:val="24"/>
          <w:highlight w:val="none"/>
        </w:rPr>
        <w:t>地点：</w:t>
      </w:r>
      <w:bookmarkStart w:id="53" w:name="OLE_LINK9"/>
      <w:r>
        <w:rPr>
          <w:rFonts w:hint="eastAsia" w:asciiTheme="minorEastAsia" w:hAnsiTheme="minorEastAsia" w:eastAsiaTheme="minorEastAsia" w:cstheme="minorEastAsia"/>
          <w:bCs/>
          <w:color w:val="auto"/>
          <w:kern w:val="0"/>
          <w:sz w:val="24"/>
          <w:szCs w:val="24"/>
          <w:highlight w:val="none"/>
        </w:rPr>
        <w:t xml:space="preserve">广西政府采购云平台（https://www.gcy.zfcg.gxzf.gov.cn/）  </w:t>
      </w:r>
      <w:bookmarkEnd w:id="53"/>
    </w:p>
    <w:p w14:paraId="442EE5AC">
      <w:pPr>
        <w:pageBreakBefore w:val="0"/>
        <w:widowControl w:val="0"/>
        <w:kinsoku/>
        <w:wordWrap/>
        <w:overflowPunct/>
        <w:topLinePunct w:val="0"/>
        <w:autoSpaceDE/>
        <w:autoSpaceDN/>
        <w:bidi w:val="0"/>
        <w:adjustRightInd/>
        <w:spacing w:line="360" w:lineRule="auto"/>
        <w:textAlignment w:val="auto"/>
        <w:rPr>
          <w:rFonts w:hint="eastAsia" w:asciiTheme="minorEastAsia" w:hAnsiTheme="minorEastAsia" w:eastAsiaTheme="minorEastAsia" w:cstheme="minorEastAsia"/>
          <w:bCs/>
          <w:color w:val="auto"/>
          <w:kern w:val="0"/>
          <w:sz w:val="24"/>
          <w:szCs w:val="24"/>
          <w:highlight w:val="none"/>
        </w:rPr>
      </w:pPr>
      <w:r>
        <w:rPr>
          <w:rFonts w:hint="eastAsia" w:asciiTheme="minorEastAsia" w:hAnsiTheme="minorEastAsia" w:eastAsiaTheme="minorEastAsia" w:cstheme="minorEastAsia"/>
          <w:bCs/>
          <w:color w:val="auto"/>
          <w:kern w:val="0"/>
          <w:sz w:val="24"/>
          <w:szCs w:val="24"/>
          <w:highlight w:val="none"/>
          <w:lang w:val="en-US" w:eastAsia="zh-CN"/>
        </w:rPr>
        <w:t xml:space="preserve">    3、</w:t>
      </w:r>
      <w:r>
        <w:rPr>
          <w:rFonts w:hint="eastAsia" w:asciiTheme="minorEastAsia" w:hAnsiTheme="minorEastAsia" w:eastAsiaTheme="minorEastAsia" w:cstheme="minorEastAsia"/>
          <w:bCs/>
          <w:color w:val="auto"/>
          <w:kern w:val="0"/>
          <w:sz w:val="24"/>
          <w:szCs w:val="24"/>
          <w:highlight w:val="none"/>
        </w:rPr>
        <w:t>方式：</w:t>
      </w:r>
      <w:bookmarkStart w:id="54" w:name="OLE_LINK10"/>
      <w:r>
        <w:rPr>
          <w:rFonts w:hint="eastAsia" w:asciiTheme="minorEastAsia" w:hAnsiTheme="minorEastAsia" w:eastAsiaTheme="minorEastAsia" w:cstheme="minorEastAsia"/>
          <w:bCs/>
          <w:color w:val="auto"/>
          <w:kern w:val="0"/>
          <w:sz w:val="24"/>
          <w:szCs w:val="24"/>
          <w:highlight w:val="none"/>
        </w:rPr>
        <w:t xml:space="preserve">网上下载。本项目不发放纸质文件，供应商可自行在广西政府采购云平台（https://www.gcy.zfcg.gxzf.gov.cn/）下载竞争性磋商文件（操作路径：登录广西政府采购云平台-项目采购-获取采购文件-找到本项目-点击“申请获取采购文件”），电子响应文件制作需要基于广西政府采购云平台获取的竞争性磋商文件编制，本项目采用资格后审，已获取竞争性磋商文件的供应商不等于符合本项目资格要求。    </w:t>
      </w:r>
      <w:bookmarkEnd w:id="54"/>
      <w:r>
        <w:rPr>
          <w:rFonts w:hint="eastAsia" w:asciiTheme="minorEastAsia" w:hAnsiTheme="minorEastAsia" w:eastAsiaTheme="minorEastAsia" w:cstheme="minorEastAsia"/>
          <w:bCs/>
          <w:color w:val="auto"/>
          <w:kern w:val="0"/>
          <w:sz w:val="24"/>
          <w:szCs w:val="24"/>
          <w:highlight w:val="none"/>
        </w:rPr>
        <w:t xml:space="preserve">                  </w:t>
      </w:r>
    </w:p>
    <w:p w14:paraId="28D774E4">
      <w:pPr>
        <w:pageBreakBefore w:val="0"/>
        <w:widowControl w:val="0"/>
        <w:kinsoku/>
        <w:wordWrap/>
        <w:overflowPunct/>
        <w:topLinePunct w:val="0"/>
        <w:autoSpaceDE/>
        <w:autoSpaceDN/>
        <w:bidi w:val="0"/>
        <w:adjustRightIn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Cs/>
          <w:color w:val="auto"/>
          <w:kern w:val="0"/>
          <w:sz w:val="24"/>
          <w:szCs w:val="24"/>
          <w:highlight w:val="none"/>
          <w:lang w:val="en-US" w:eastAsia="zh-CN"/>
        </w:rPr>
        <w:t>4、</w:t>
      </w:r>
      <w:r>
        <w:rPr>
          <w:rFonts w:hint="eastAsia" w:asciiTheme="minorEastAsia" w:hAnsiTheme="minorEastAsia" w:eastAsiaTheme="minorEastAsia" w:cstheme="minorEastAsia"/>
          <w:bCs/>
          <w:color w:val="auto"/>
          <w:kern w:val="0"/>
          <w:sz w:val="24"/>
          <w:szCs w:val="24"/>
          <w:highlight w:val="none"/>
        </w:rPr>
        <w:t xml:space="preserve">售价：0元                       </w:t>
      </w:r>
    </w:p>
    <w:p w14:paraId="145DD275">
      <w:pPr>
        <w:pStyle w:val="4"/>
        <w:pageBreakBefore w:val="0"/>
        <w:widowControl w:val="0"/>
        <w:kinsoku/>
        <w:wordWrap/>
        <w:overflowPunct/>
        <w:topLinePunct w:val="0"/>
        <w:autoSpaceDE/>
        <w:autoSpaceDN/>
        <w:bidi w:val="0"/>
        <w:adjustRightInd/>
        <w:spacing w:before="0" w:after="0" w:line="360" w:lineRule="auto"/>
        <w:ind w:firstLine="482" w:firstLineChars="200"/>
        <w:textAlignment w:val="auto"/>
        <w:rPr>
          <w:rFonts w:hint="eastAsia" w:asciiTheme="minorEastAsia" w:hAnsiTheme="minorEastAsia" w:eastAsiaTheme="minorEastAsia" w:cstheme="minorEastAsia"/>
          <w:bCs w:val="0"/>
          <w:color w:val="auto"/>
          <w:sz w:val="24"/>
          <w:szCs w:val="24"/>
          <w:highlight w:val="none"/>
        </w:rPr>
      </w:pPr>
      <w:bookmarkStart w:id="55" w:name="_Toc20472"/>
      <w:bookmarkStart w:id="56" w:name="_Toc44229881"/>
      <w:bookmarkStart w:id="57" w:name="_Toc35393632"/>
      <w:bookmarkStart w:id="58" w:name="_Toc17282"/>
      <w:bookmarkStart w:id="59" w:name="_Toc10010"/>
      <w:bookmarkStart w:id="60" w:name="_Toc28359015"/>
      <w:bookmarkStart w:id="61" w:name="_Toc10251"/>
      <w:bookmarkStart w:id="62" w:name="_Toc28359092"/>
      <w:bookmarkStart w:id="63" w:name="_Toc35393801"/>
      <w:r>
        <w:rPr>
          <w:rFonts w:hint="eastAsia" w:asciiTheme="minorEastAsia" w:hAnsiTheme="minorEastAsia" w:eastAsiaTheme="minorEastAsia" w:cstheme="minorEastAsia"/>
          <w:bCs w:val="0"/>
          <w:color w:val="auto"/>
          <w:sz w:val="24"/>
          <w:szCs w:val="24"/>
          <w:highlight w:val="none"/>
        </w:rPr>
        <w:t>四、响应文件提交</w:t>
      </w:r>
      <w:bookmarkEnd w:id="55"/>
      <w:bookmarkEnd w:id="56"/>
      <w:bookmarkEnd w:id="57"/>
      <w:bookmarkEnd w:id="58"/>
      <w:bookmarkEnd w:id="59"/>
      <w:bookmarkEnd w:id="60"/>
      <w:bookmarkEnd w:id="61"/>
      <w:bookmarkEnd w:id="62"/>
      <w:bookmarkEnd w:id="63"/>
    </w:p>
    <w:p w14:paraId="21AE3EE7">
      <w:pPr>
        <w:pageBreakBefore w:val="0"/>
        <w:widowControl w:val="0"/>
        <w:kinsoku/>
        <w:wordWrap/>
        <w:overflowPunct/>
        <w:topLinePunct w:val="0"/>
        <w:autoSpaceDE/>
        <w:autoSpaceDN/>
        <w:bidi w:val="0"/>
        <w:adjustRightInd/>
        <w:spacing w:line="360" w:lineRule="auto"/>
        <w:ind w:firstLine="480" w:firstLineChars="200"/>
        <w:textAlignment w:val="auto"/>
        <w:rPr>
          <w:rFonts w:hint="eastAsia" w:asciiTheme="minorEastAsia" w:hAnsiTheme="minorEastAsia" w:eastAsiaTheme="minorEastAsia" w:cstheme="minorEastAsia"/>
          <w:bCs/>
          <w:color w:val="auto"/>
          <w:sz w:val="24"/>
          <w:szCs w:val="24"/>
          <w:highlight w:val="none"/>
          <w:lang w:eastAsia="zh-CN"/>
        </w:rPr>
      </w:pPr>
      <w:bookmarkStart w:id="64" w:name="_Toc28359016"/>
      <w:bookmarkStart w:id="65" w:name="_Toc35393802"/>
      <w:bookmarkStart w:id="66" w:name="_Toc35393633"/>
      <w:bookmarkStart w:id="67" w:name="_Toc28359093"/>
      <w:bookmarkStart w:id="68" w:name="_Toc44229882"/>
      <w:r>
        <w:rPr>
          <w:rFonts w:hint="eastAsia" w:asciiTheme="minorEastAsia" w:hAnsiTheme="minorEastAsia" w:eastAsiaTheme="minorEastAsia" w:cstheme="minorEastAsia"/>
          <w:color w:val="auto"/>
          <w:sz w:val="24"/>
          <w:szCs w:val="24"/>
          <w:highlight w:val="none"/>
        </w:rPr>
        <w:t>响应文件提交截止时间</w:t>
      </w:r>
      <w:r>
        <w:rPr>
          <w:rFonts w:hint="eastAsia" w:asciiTheme="minorEastAsia" w:hAnsiTheme="minorEastAsia" w:eastAsiaTheme="minorEastAsia" w:cstheme="minorEastAsia"/>
          <w:bCs/>
          <w:color w:val="auto"/>
          <w:sz w:val="24"/>
          <w:szCs w:val="24"/>
          <w:highlight w:val="none"/>
        </w:rPr>
        <w:t>（北京时间）</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lang w:eastAsia="zh-CN"/>
        </w:rPr>
        <w:t>2026年09月30日</w:t>
      </w:r>
      <w:r>
        <w:rPr>
          <w:rFonts w:hint="eastAsia" w:asciiTheme="minorEastAsia" w:hAnsiTheme="minorEastAsia" w:eastAsiaTheme="minorEastAsia" w:cstheme="minorEastAsia"/>
          <w:color w:val="auto"/>
          <w:sz w:val="24"/>
          <w:szCs w:val="24"/>
          <w:highlight w:val="none"/>
          <w:lang w:val="en-US" w:eastAsia="zh-CN"/>
        </w:rPr>
        <w:t>09</w:t>
      </w:r>
      <w:r>
        <w:rPr>
          <w:rFonts w:hint="eastAsia" w:asciiTheme="minorEastAsia" w:hAnsiTheme="minorEastAsia" w:eastAsiaTheme="minorEastAsia" w:cstheme="minorEastAsia"/>
          <w:color w:val="auto"/>
          <w:sz w:val="24"/>
          <w:szCs w:val="24"/>
          <w:highlight w:val="none"/>
          <w:lang w:eastAsia="zh-CN"/>
        </w:rPr>
        <w:t>时00分</w:t>
      </w:r>
    </w:p>
    <w:p w14:paraId="7A57D98E">
      <w:pPr>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响应文件提交地点：</w:t>
      </w:r>
      <w:bookmarkStart w:id="69" w:name="OLE_LINK11"/>
      <w:r>
        <w:rPr>
          <w:rFonts w:hint="eastAsia" w:asciiTheme="minorEastAsia" w:hAnsiTheme="minorEastAsia" w:eastAsiaTheme="minorEastAsia" w:cstheme="minorEastAsia"/>
          <w:color w:val="auto"/>
          <w:kern w:val="0"/>
          <w:sz w:val="24"/>
          <w:szCs w:val="24"/>
          <w:highlight w:val="none"/>
        </w:rPr>
        <w:t>通</w:t>
      </w:r>
      <w:bookmarkStart w:id="70" w:name="OLE_LINK24"/>
      <w:r>
        <w:rPr>
          <w:rFonts w:hint="eastAsia" w:asciiTheme="minorEastAsia" w:hAnsiTheme="minorEastAsia" w:eastAsiaTheme="minorEastAsia" w:cstheme="minorEastAsia"/>
          <w:color w:val="auto"/>
          <w:kern w:val="0"/>
          <w:sz w:val="24"/>
          <w:szCs w:val="24"/>
          <w:highlight w:val="none"/>
        </w:rPr>
        <w:t>过广西政府采购云平台（https://www.gcy.zfcg.gxzf.gov.cn/）在线电子投标。</w:t>
      </w:r>
    </w:p>
    <w:bookmarkEnd w:id="69"/>
    <w:bookmarkEnd w:id="70"/>
    <w:p w14:paraId="0711B4ED">
      <w:pPr>
        <w:pStyle w:val="4"/>
        <w:pageBreakBefore w:val="0"/>
        <w:widowControl w:val="0"/>
        <w:kinsoku/>
        <w:wordWrap/>
        <w:overflowPunct/>
        <w:topLinePunct w:val="0"/>
        <w:autoSpaceDE/>
        <w:autoSpaceDN/>
        <w:bidi w:val="0"/>
        <w:adjustRightInd/>
        <w:spacing w:before="0" w:after="0" w:line="360" w:lineRule="auto"/>
        <w:ind w:firstLine="482" w:firstLineChars="200"/>
        <w:textAlignment w:val="auto"/>
        <w:rPr>
          <w:rFonts w:hint="eastAsia" w:asciiTheme="minorEastAsia" w:hAnsiTheme="minorEastAsia" w:eastAsiaTheme="minorEastAsia" w:cstheme="minorEastAsia"/>
          <w:bCs w:val="0"/>
          <w:color w:val="auto"/>
          <w:sz w:val="24"/>
          <w:szCs w:val="24"/>
          <w:highlight w:val="none"/>
        </w:rPr>
      </w:pPr>
      <w:bookmarkStart w:id="71" w:name="_Toc11537"/>
      <w:bookmarkStart w:id="72" w:name="_Toc24854"/>
      <w:bookmarkStart w:id="73" w:name="_Toc22342"/>
      <w:bookmarkStart w:id="74" w:name="_Toc26559"/>
      <w:r>
        <w:rPr>
          <w:rFonts w:hint="eastAsia" w:asciiTheme="minorEastAsia" w:hAnsiTheme="minorEastAsia" w:eastAsiaTheme="minorEastAsia" w:cstheme="minorEastAsia"/>
          <w:bCs w:val="0"/>
          <w:color w:val="auto"/>
          <w:sz w:val="24"/>
          <w:szCs w:val="24"/>
          <w:highlight w:val="none"/>
        </w:rPr>
        <w:t>五、开启</w:t>
      </w:r>
      <w:bookmarkEnd w:id="64"/>
      <w:bookmarkEnd w:id="65"/>
      <w:bookmarkEnd w:id="66"/>
      <w:bookmarkEnd w:id="67"/>
      <w:bookmarkEnd w:id="68"/>
      <w:bookmarkEnd w:id="71"/>
      <w:bookmarkEnd w:id="72"/>
      <w:bookmarkEnd w:id="73"/>
      <w:bookmarkEnd w:id="74"/>
    </w:p>
    <w:p w14:paraId="5F9CF0AE">
      <w:pPr>
        <w:pageBreakBefore w:val="0"/>
        <w:widowControl w:val="0"/>
        <w:kinsoku/>
        <w:wordWrap/>
        <w:overflowPunct/>
        <w:topLinePunct w:val="0"/>
        <w:autoSpaceDE/>
        <w:autoSpaceDN/>
        <w:bidi w:val="0"/>
        <w:adjustRightInd/>
        <w:spacing w:line="360" w:lineRule="auto"/>
        <w:ind w:firstLine="480" w:firstLineChars="200"/>
        <w:textAlignment w:val="auto"/>
        <w:rPr>
          <w:rFonts w:hint="eastAsia" w:asciiTheme="minorEastAsia" w:hAnsiTheme="minorEastAsia" w:eastAsiaTheme="minorEastAsia" w:cstheme="minorEastAsia"/>
          <w:bCs/>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rPr>
        <w:t>1、时间</w:t>
      </w:r>
      <w:r>
        <w:rPr>
          <w:rFonts w:hint="eastAsia" w:asciiTheme="minorEastAsia" w:hAnsiTheme="minorEastAsia" w:eastAsiaTheme="minorEastAsia" w:cstheme="minorEastAsia"/>
          <w:bCs/>
          <w:color w:val="auto"/>
          <w:sz w:val="24"/>
          <w:szCs w:val="24"/>
          <w:highlight w:val="none"/>
        </w:rPr>
        <w:t>（北京时间）</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lang w:eastAsia="zh-CN"/>
        </w:rPr>
        <w:t>2026年09月30日</w:t>
      </w:r>
      <w:r>
        <w:rPr>
          <w:rFonts w:hint="eastAsia" w:asciiTheme="minorEastAsia" w:hAnsiTheme="minorEastAsia" w:eastAsiaTheme="minorEastAsia" w:cstheme="minorEastAsia"/>
          <w:color w:val="auto"/>
          <w:sz w:val="24"/>
          <w:szCs w:val="24"/>
          <w:highlight w:val="none"/>
          <w:lang w:val="en-US" w:eastAsia="zh-CN"/>
        </w:rPr>
        <w:t>09</w:t>
      </w:r>
      <w:r>
        <w:rPr>
          <w:rFonts w:hint="eastAsia" w:asciiTheme="minorEastAsia" w:hAnsiTheme="minorEastAsia" w:eastAsiaTheme="minorEastAsia" w:cstheme="minorEastAsia"/>
          <w:color w:val="auto"/>
          <w:sz w:val="24"/>
          <w:szCs w:val="24"/>
          <w:highlight w:val="none"/>
          <w:lang w:eastAsia="zh-CN"/>
        </w:rPr>
        <w:t>时00分</w:t>
      </w:r>
    </w:p>
    <w:p w14:paraId="08A3EB02">
      <w:pPr>
        <w:pageBreakBefore w:val="0"/>
        <w:widowControl w:val="0"/>
        <w:kinsoku/>
        <w:wordWrap/>
        <w:overflowPunct/>
        <w:topLinePunct w:val="0"/>
        <w:autoSpaceDE/>
        <w:autoSpaceDN/>
        <w:bidi w:val="0"/>
        <w:adjustRightInd/>
        <w:spacing w:line="360" w:lineRule="auto"/>
        <w:ind w:firstLine="480" w:firstLineChars="200"/>
        <w:textAlignment w:val="auto"/>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2、地点：广西政府采购云平台开标大厅  </w:t>
      </w:r>
    </w:p>
    <w:p w14:paraId="6AE3E537">
      <w:pPr>
        <w:pStyle w:val="4"/>
        <w:pageBreakBefore w:val="0"/>
        <w:widowControl w:val="0"/>
        <w:kinsoku/>
        <w:wordWrap/>
        <w:overflowPunct/>
        <w:topLinePunct w:val="0"/>
        <w:autoSpaceDE/>
        <w:autoSpaceDN/>
        <w:bidi w:val="0"/>
        <w:adjustRightInd/>
        <w:spacing w:before="0" w:after="0" w:line="360" w:lineRule="auto"/>
        <w:ind w:firstLine="482" w:firstLineChars="200"/>
        <w:textAlignment w:val="auto"/>
        <w:rPr>
          <w:rFonts w:hint="eastAsia" w:asciiTheme="minorEastAsia" w:hAnsiTheme="minorEastAsia" w:eastAsiaTheme="minorEastAsia" w:cstheme="minorEastAsia"/>
          <w:bCs w:val="0"/>
          <w:color w:val="auto"/>
          <w:sz w:val="24"/>
          <w:szCs w:val="24"/>
          <w:highlight w:val="none"/>
        </w:rPr>
      </w:pPr>
      <w:bookmarkStart w:id="75" w:name="_Toc24189"/>
      <w:bookmarkStart w:id="76" w:name="_Toc35393634"/>
      <w:bookmarkStart w:id="77" w:name="_Toc28359017"/>
      <w:bookmarkStart w:id="78" w:name="_Toc28359094"/>
      <w:bookmarkStart w:id="79" w:name="_Toc6714"/>
      <w:bookmarkStart w:id="80" w:name="_Toc24841"/>
      <w:bookmarkStart w:id="81" w:name="_Toc35393803"/>
      <w:bookmarkStart w:id="82" w:name="_Toc44229883"/>
      <w:bookmarkStart w:id="83" w:name="_Toc28611"/>
      <w:r>
        <w:rPr>
          <w:rFonts w:hint="eastAsia" w:asciiTheme="minorEastAsia" w:hAnsiTheme="minorEastAsia" w:eastAsiaTheme="minorEastAsia" w:cstheme="minorEastAsia"/>
          <w:bCs w:val="0"/>
          <w:color w:val="auto"/>
          <w:sz w:val="24"/>
          <w:szCs w:val="24"/>
          <w:highlight w:val="none"/>
        </w:rPr>
        <w:t>六、公告期限</w:t>
      </w:r>
      <w:bookmarkEnd w:id="75"/>
      <w:bookmarkEnd w:id="76"/>
      <w:bookmarkEnd w:id="77"/>
      <w:bookmarkEnd w:id="78"/>
      <w:bookmarkEnd w:id="79"/>
      <w:bookmarkEnd w:id="80"/>
      <w:bookmarkEnd w:id="81"/>
      <w:bookmarkEnd w:id="82"/>
      <w:bookmarkEnd w:id="83"/>
    </w:p>
    <w:p w14:paraId="0442571A">
      <w:pPr>
        <w:pageBreakBefore w:val="0"/>
        <w:widowControl w:val="0"/>
        <w:kinsoku/>
        <w:wordWrap/>
        <w:overflowPunct/>
        <w:topLinePunct w:val="0"/>
        <w:autoSpaceDE/>
        <w:autoSpaceDN/>
        <w:bidi w:val="0"/>
        <w:adjustRightInd/>
        <w:spacing w:line="360" w:lineRule="auto"/>
        <w:ind w:firstLine="480" w:firstLineChars="200"/>
        <w:textAlignment w:val="auto"/>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自本公告发布之日起5个工作日。</w:t>
      </w:r>
    </w:p>
    <w:p w14:paraId="0CFFEA92">
      <w:pPr>
        <w:pStyle w:val="4"/>
        <w:pageBreakBefore w:val="0"/>
        <w:widowControl w:val="0"/>
        <w:kinsoku/>
        <w:wordWrap/>
        <w:overflowPunct/>
        <w:topLinePunct w:val="0"/>
        <w:autoSpaceDE/>
        <w:autoSpaceDN/>
        <w:bidi w:val="0"/>
        <w:adjustRightInd/>
        <w:spacing w:before="0" w:after="0" w:line="360" w:lineRule="auto"/>
        <w:ind w:firstLine="482" w:firstLineChars="200"/>
        <w:textAlignment w:val="auto"/>
        <w:rPr>
          <w:rFonts w:hint="eastAsia" w:asciiTheme="minorEastAsia" w:hAnsiTheme="minorEastAsia" w:eastAsiaTheme="minorEastAsia" w:cstheme="minorEastAsia"/>
          <w:bCs w:val="0"/>
          <w:color w:val="auto"/>
          <w:sz w:val="24"/>
          <w:szCs w:val="24"/>
          <w:highlight w:val="none"/>
        </w:rPr>
      </w:pPr>
      <w:bookmarkStart w:id="84" w:name="_Toc24555"/>
      <w:bookmarkStart w:id="85" w:name="_Toc12383"/>
      <w:bookmarkStart w:id="86" w:name="_Toc32396"/>
      <w:bookmarkStart w:id="87" w:name="_Toc44229884"/>
      <w:bookmarkStart w:id="88" w:name="_Toc35393804"/>
      <w:bookmarkStart w:id="89" w:name="_Toc35393635"/>
      <w:bookmarkStart w:id="90" w:name="_Toc27241"/>
      <w:r>
        <w:rPr>
          <w:rFonts w:hint="eastAsia" w:asciiTheme="minorEastAsia" w:hAnsiTheme="minorEastAsia" w:eastAsiaTheme="minorEastAsia" w:cstheme="minorEastAsia"/>
          <w:bCs w:val="0"/>
          <w:color w:val="auto"/>
          <w:sz w:val="24"/>
          <w:szCs w:val="24"/>
          <w:highlight w:val="none"/>
        </w:rPr>
        <w:t>七、其他补充事宜</w:t>
      </w:r>
      <w:bookmarkEnd w:id="84"/>
      <w:bookmarkEnd w:id="85"/>
      <w:bookmarkEnd w:id="86"/>
      <w:bookmarkEnd w:id="87"/>
      <w:bookmarkEnd w:id="88"/>
      <w:bookmarkEnd w:id="89"/>
      <w:bookmarkEnd w:id="90"/>
    </w:p>
    <w:p w14:paraId="5A8E064A">
      <w:pPr>
        <w:pageBreakBefore w:val="0"/>
        <w:widowControl w:val="0"/>
        <w:kinsoku/>
        <w:wordWrap/>
        <w:overflowPunct/>
        <w:topLinePunct w:val="0"/>
        <w:autoSpaceDE/>
        <w:autoSpaceDN/>
        <w:bidi w:val="0"/>
        <w:adjustRightInd/>
        <w:spacing w:line="360" w:lineRule="auto"/>
        <w:ind w:firstLine="480" w:firstLineChars="200"/>
        <w:textAlignment w:val="auto"/>
        <w:rPr>
          <w:rFonts w:hint="eastAsia" w:asciiTheme="minorEastAsia" w:hAnsiTheme="minorEastAsia" w:eastAsiaTheme="minorEastAsia" w:cstheme="minorEastAsia"/>
          <w:color w:val="auto"/>
          <w:kern w:val="0"/>
          <w:sz w:val="24"/>
          <w:szCs w:val="24"/>
          <w:highlight w:val="none"/>
        </w:rPr>
      </w:pPr>
      <w:bookmarkStart w:id="91" w:name="OLE_LINK15"/>
      <w:r>
        <w:rPr>
          <w:rFonts w:hint="eastAsia" w:asciiTheme="minorEastAsia" w:hAnsiTheme="minorEastAsia" w:eastAsiaTheme="minorEastAsia" w:cstheme="minorEastAsia"/>
          <w:color w:val="auto"/>
          <w:kern w:val="0"/>
          <w:sz w:val="24"/>
          <w:szCs w:val="24"/>
          <w:highlight w:val="none"/>
        </w:rPr>
        <w:t>1、磋商保证金：本项目不需要缴纳。</w:t>
      </w:r>
    </w:p>
    <w:p w14:paraId="3C43AE2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kern w:val="0"/>
          <w:sz w:val="24"/>
          <w:szCs w:val="24"/>
          <w:highlight w:val="none"/>
        </w:rPr>
        <w:t>2、网上查询地址：</w:t>
      </w:r>
      <w:r>
        <w:rPr>
          <w:rFonts w:hint="eastAsia" w:asciiTheme="minorEastAsia" w:hAnsiTheme="minorEastAsia" w:eastAsiaTheme="minorEastAsia" w:cstheme="minorEastAsia"/>
          <w:color w:val="auto"/>
          <w:sz w:val="24"/>
          <w:szCs w:val="24"/>
          <w:highlight w:val="none"/>
          <w:lang w:val="en-US" w:eastAsia="zh-CN"/>
        </w:rPr>
        <w:t>中国政府采购网、广西壮族自治区政府采购网、全国公共资源交易平台（广西贺州）。</w:t>
      </w:r>
    </w:p>
    <w:p w14:paraId="299B937B">
      <w:pPr>
        <w:pageBreakBefore w:val="0"/>
        <w:widowControl w:val="0"/>
        <w:kinsoku/>
        <w:wordWrap/>
        <w:overflowPunct/>
        <w:topLinePunct w:val="0"/>
        <w:autoSpaceDE/>
        <w:autoSpaceDN/>
        <w:bidi w:val="0"/>
        <w:adjustRightInd/>
        <w:spacing w:line="360" w:lineRule="auto"/>
        <w:ind w:firstLine="480" w:firstLineChars="200"/>
        <w:textAlignment w:val="auto"/>
        <w:rPr>
          <w:rFonts w:hint="eastAsia" w:asciiTheme="minorEastAsia" w:hAnsiTheme="minorEastAsia" w:eastAsiaTheme="minorEastAsia" w:cstheme="minorEastAsia"/>
          <w:color w:val="auto"/>
          <w:kern w:val="0"/>
          <w:sz w:val="24"/>
          <w:szCs w:val="24"/>
          <w:highlight w:val="none"/>
          <w:lang w:val="en-US" w:eastAsia="zh-CN"/>
        </w:rPr>
      </w:pPr>
      <w:r>
        <w:rPr>
          <w:rFonts w:hint="eastAsia" w:asciiTheme="minorEastAsia" w:hAnsiTheme="minorEastAsia" w:eastAsiaTheme="minorEastAsia" w:cstheme="minorEastAsia"/>
          <w:color w:val="auto"/>
          <w:kern w:val="0"/>
          <w:sz w:val="24"/>
          <w:szCs w:val="24"/>
          <w:highlight w:val="none"/>
          <w:lang w:val="en-US" w:eastAsia="zh-CN"/>
        </w:rPr>
        <w:t>3、</w:t>
      </w:r>
      <w:r>
        <w:rPr>
          <w:rFonts w:hint="eastAsia" w:asciiTheme="minorEastAsia" w:hAnsiTheme="minorEastAsia" w:eastAsiaTheme="minorEastAsia" w:cstheme="minorEastAsia"/>
          <w:color w:val="auto"/>
          <w:kern w:val="0"/>
          <w:sz w:val="24"/>
          <w:szCs w:val="24"/>
          <w:highlight w:val="none"/>
        </w:rPr>
        <w:t>采购意向公开链接</w:t>
      </w:r>
      <w:r>
        <w:rPr>
          <w:rFonts w:hint="eastAsia" w:asciiTheme="minorEastAsia" w:hAnsiTheme="minorEastAsia" w:eastAsiaTheme="minorEastAsia" w:cstheme="minorEastAsia"/>
          <w:color w:val="auto"/>
          <w:kern w:val="0"/>
          <w:sz w:val="24"/>
          <w:szCs w:val="24"/>
          <w:highlight w:val="none"/>
          <w:lang w:val="en-US" w:eastAsia="zh-CN"/>
        </w:rPr>
        <w:t>：</w:t>
      </w:r>
    </w:p>
    <w:p w14:paraId="6191C567">
      <w:pPr>
        <w:pageBreakBefore w:val="0"/>
        <w:widowControl w:val="0"/>
        <w:kinsoku/>
        <w:wordWrap/>
        <w:overflowPunct/>
        <w:topLinePunct w:val="0"/>
        <w:autoSpaceDE/>
        <w:autoSpaceDN/>
        <w:bidi w:val="0"/>
        <w:adjustRightInd/>
        <w:spacing w:line="360" w:lineRule="auto"/>
        <w:ind w:firstLine="480" w:firstLineChars="200"/>
        <w:textAlignment w:val="auto"/>
        <w:rPr>
          <w:rFonts w:hint="eastAsia" w:asciiTheme="minorEastAsia" w:hAnsiTheme="minorEastAsia" w:eastAsiaTheme="minorEastAsia" w:cstheme="minorEastAsia"/>
          <w:color w:val="auto"/>
          <w:kern w:val="0"/>
          <w:sz w:val="24"/>
          <w:szCs w:val="24"/>
          <w:highlight w:val="none"/>
          <w:lang w:val="en-US" w:eastAsia="zh-CN"/>
        </w:rPr>
      </w:pPr>
      <w:bookmarkStart w:id="92" w:name="_Toc28359018"/>
      <w:bookmarkStart w:id="93" w:name="_Toc44229885"/>
      <w:bookmarkStart w:id="94" w:name="_Toc28359095"/>
      <w:bookmarkStart w:id="95" w:name="_Toc35393805"/>
      <w:bookmarkStart w:id="96" w:name="_Toc35393636"/>
      <w:r>
        <w:rPr>
          <w:rFonts w:hint="eastAsia" w:asciiTheme="minorEastAsia" w:hAnsiTheme="minorEastAsia" w:eastAsiaTheme="minorEastAsia" w:cstheme="minorEastAsia"/>
          <w:color w:val="auto"/>
          <w:kern w:val="0"/>
          <w:sz w:val="24"/>
          <w:szCs w:val="24"/>
          <w:highlight w:val="none"/>
          <w:lang w:val="en-US" w:eastAsia="zh-CN"/>
        </w:rPr>
        <w:fldChar w:fldCharType="begin"/>
      </w:r>
      <w:r>
        <w:rPr>
          <w:rFonts w:hint="eastAsia" w:asciiTheme="minorEastAsia" w:hAnsiTheme="minorEastAsia" w:eastAsiaTheme="minorEastAsia" w:cstheme="minorEastAsia"/>
          <w:color w:val="auto"/>
          <w:kern w:val="0"/>
          <w:sz w:val="24"/>
          <w:szCs w:val="24"/>
          <w:highlight w:val="none"/>
          <w:lang w:val="en-US" w:eastAsia="zh-CN"/>
        </w:rPr>
        <w:instrText xml:space="preserve"> HYPERLINK "https://zfcg.gxzf.gov.cn/site/detail?categoryCode=ZcyAnnouncement&amp;parentId=66485&amp;articleId=2I/ncpDhIvkdpX+9u6jchQ==" </w:instrText>
      </w:r>
      <w:r>
        <w:rPr>
          <w:rFonts w:hint="eastAsia" w:asciiTheme="minorEastAsia" w:hAnsiTheme="minorEastAsia" w:eastAsiaTheme="minorEastAsia" w:cstheme="minorEastAsia"/>
          <w:color w:val="auto"/>
          <w:kern w:val="0"/>
          <w:sz w:val="24"/>
          <w:szCs w:val="24"/>
          <w:highlight w:val="none"/>
          <w:lang w:val="en-US" w:eastAsia="zh-CN"/>
        </w:rPr>
        <w:fldChar w:fldCharType="separate"/>
      </w:r>
      <w:r>
        <w:rPr>
          <w:rStyle w:val="45"/>
          <w:rFonts w:hint="eastAsia" w:asciiTheme="minorEastAsia" w:hAnsiTheme="minorEastAsia" w:eastAsiaTheme="minorEastAsia" w:cstheme="minorEastAsia"/>
          <w:color w:val="auto"/>
          <w:kern w:val="0"/>
          <w:sz w:val="24"/>
          <w:szCs w:val="24"/>
          <w:highlight w:val="none"/>
          <w:lang w:val="en-US" w:eastAsia="zh-CN"/>
        </w:rPr>
        <w:t>https://zfcg.gxzf.gov.cn/site/detail?categoryCode=ZcyAnnouncement&amp;parentId=66485&amp;articleId=2I/ncpDhIvkdpX+9u6jchQ==</w:t>
      </w:r>
      <w:r>
        <w:rPr>
          <w:rFonts w:hint="eastAsia" w:asciiTheme="minorEastAsia" w:hAnsiTheme="minorEastAsia" w:eastAsiaTheme="minorEastAsia" w:cstheme="minorEastAsia"/>
          <w:color w:val="auto"/>
          <w:kern w:val="0"/>
          <w:sz w:val="24"/>
          <w:szCs w:val="24"/>
          <w:highlight w:val="none"/>
          <w:lang w:val="en-US" w:eastAsia="zh-CN"/>
        </w:rPr>
        <w:fldChar w:fldCharType="end"/>
      </w:r>
    </w:p>
    <w:p w14:paraId="3593591A">
      <w:pPr>
        <w:pageBreakBefore w:val="0"/>
        <w:widowControl w:val="0"/>
        <w:kinsoku/>
        <w:wordWrap/>
        <w:overflowPunct/>
        <w:topLinePunct w:val="0"/>
        <w:autoSpaceDE/>
        <w:autoSpaceDN/>
        <w:bidi w:val="0"/>
        <w:adjustRightInd/>
        <w:spacing w:line="360" w:lineRule="auto"/>
        <w:ind w:firstLine="480" w:firstLineChars="200"/>
        <w:textAlignment w:val="auto"/>
        <w:rPr>
          <w:rFonts w:hint="eastAsia" w:asciiTheme="minorEastAsia" w:hAnsiTheme="minorEastAsia" w:eastAsiaTheme="minorEastAsia" w:cstheme="minorEastAsia"/>
          <w:color w:val="auto"/>
          <w:kern w:val="0"/>
          <w:sz w:val="24"/>
          <w:szCs w:val="24"/>
          <w:highlight w:val="none"/>
          <w:lang w:val="en-US" w:eastAsia="zh-CN"/>
        </w:rPr>
      </w:pPr>
      <w:r>
        <w:rPr>
          <w:rFonts w:hint="eastAsia" w:asciiTheme="minorEastAsia" w:hAnsiTheme="minorEastAsia" w:eastAsiaTheme="minorEastAsia" w:cstheme="minorEastAsia"/>
          <w:color w:val="auto"/>
          <w:kern w:val="0"/>
          <w:sz w:val="24"/>
          <w:szCs w:val="24"/>
          <w:highlight w:val="none"/>
          <w:lang w:val="en-US" w:eastAsia="zh-CN"/>
        </w:rPr>
        <w:t>4、</w:t>
      </w:r>
      <w:r>
        <w:rPr>
          <w:rFonts w:hint="eastAsia" w:asciiTheme="minorEastAsia" w:hAnsiTheme="minorEastAsia" w:eastAsiaTheme="minorEastAsia" w:cstheme="minorEastAsia"/>
          <w:color w:val="auto"/>
          <w:kern w:val="0"/>
          <w:sz w:val="24"/>
          <w:szCs w:val="24"/>
          <w:highlight w:val="none"/>
        </w:rPr>
        <w:t>项目需要落实的政府采购政策：《政府采购促进中小企业发展管理办法（财库〔2020〕46号）》、《关于政府采购支持监狱企业发展有关问题的通知（财库〔2014〕68号）》、《关于促进残疾人就业政府采购政策的通知（财库〔2017〕141号）》。</w:t>
      </w:r>
      <w:r>
        <w:rPr>
          <w:rFonts w:hint="eastAsia" w:asciiTheme="minorEastAsia" w:hAnsiTheme="minorEastAsia" w:eastAsiaTheme="minorEastAsia" w:cstheme="minorEastAsia"/>
          <w:color w:val="auto"/>
          <w:kern w:val="0"/>
          <w:sz w:val="24"/>
          <w:szCs w:val="24"/>
          <w:highlight w:val="none"/>
          <w:lang w:eastAsia="zh-CN"/>
        </w:rPr>
        <w:t>【本项目为专门面向“中小企业”的项目或采购包，不再执行价格评审优惠</w:t>
      </w:r>
      <w:r>
        <w:rPr>
          <w:rFonts w:hint="eastAsia" w:asciiTheme="minorEastAsia" w:hAnsiTheme="minorEastAsia" w:eastAsiaTheme="minorEastAsia" w:cstheme="minorEastAsia"/>
          <w:color w:val="auto"/>
          <w:kern w:val="0"/>
          <w:sz w:val="24"/>
          <w:szCs w:val="24"/>
          <w:highlight w:val="none"/>
        </w:rPr>
        <w:t>】</w:t>
      </w:r>
      <w:r>
        <w:rPr>
          <w:rFonts w:hint="eastAsia" w:asciiTheme="minorEastAsia" w:hAnsiTheme="minorEastAsia" w:eastAsiaTheme="minorEastAsia" w:cstheme="minorEastAsia"/>
          <w:color w:val="auto"/>
          <w:kern w:val="0"/>
          <w:sz w:val="24"/>
          <w:szCs w:val="24"/>
          <w:highlight w:val="none"/>
          <w:lang w:eastAsia="zh-CN"/>
        </w:rPr>
        <w:t>。</w:t>
      </w:r>
    </w:p>
    <w:p w14:paraId="6F287DFF">
      <w:pPr>
        <w:pageBreakBefore w:val="0"/>
        <w:widowControl w:val="0"/>
        <w:kinsoku/>
        <w:wordWrap/>
        <w:overflowPunct/>
        <w:topLinePunct w:val="0"/>
        <w:autoSpaceDE/>
        <w:autoSpaceDN/>
        <w:bidi w:val="0"/>
        <w:adjustRightInd/>
        <w:spacing w:line="360" w:lineRule="auto"/>
        <w:ind w:firstLine="480" w:firstLineChars="200"/>
        <w:textAlignment w:val="auto"/>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rPr>
        <w:t>5、</w:t>
      </w:r>
      <w:r>
        <w:rPr>
          <w:rFonts w:hint="eastAsia" w:asciiTheme="minorEastAsia" w:hAnsiTheme="minorEastAsia" w:eastAsiaTheme="minorEastAsia" w:cstheme="minorEastAsia"/>
          <w:color w:val="auto"/>
          <w:kern w:val="0"/>
          <w:sz w:val="24"/>
          <w:szCs w:val="24"/>
          <w:highlight w:val="none"/>
        </w:rPr>
        <w:t>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46EE484C">
      <w:pPr>
        <w:pageBreakBefore w:val="0"/>
        <w:widowControl w:val="0"/>
        <w:kinsoku/>
        <w:wordWrap/>
        <w:overflowPunct/>
        <w:topLinePunct w:val="0"/>
        <w:autoSpaceDE/>
        <w:autoSpaceDN/>
        <w:bidi w:val="0"/>
        <w:adjustRightInd/>
        <w:spacing w:line="360" w:lineRule="auto"/>
        <w:ind w:firstLine="480" w:firstLineChars="200"/>
        <w:textAlignment w:val="auto"/>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rPr>
        <w:t>6、</w:t>
      </w:r>
      <w:r>
        <w:rPr>
          <w:rFonts w:hint="eastAsia" w:asciiTheme="minorEastAsia" w:hAnsiTheme="minorEastAsia" w:eastAsiaTheme="minorEastAsia" w:cstheme="minorEastAsia"/>
          <w:color w:val="auto"/>
          <w:kern w:val="0"/>
          <w:sz w:val="24"/>
          <w:szCs w:val="24"/>
          <w:highlight w:val="none"/>
        </w:rPr>
        <w:t>对在“信用中国”网站(www.creditchina.gov.cn) 、中国政府采购网(www.ccgp.gov.cn)被列入失信被执行人、重大税收违法案件当事人名单、政府采购严重违法失信行为记录名单及其他不符合《中华人民共和国政府采购法》第二十二条规定条件的供应商，不得参与政府采购活动。</w:t>
      </w:r>
    </w:p>
    <w:p w14:paraId="43FA9FF9">
      <w:pPr>
        <w:pageBreakBefore w:val="0"/>
        <w:widowControl w:val="0"/>
        <w:numPr>
          <w:ilvl w:val="0"/>
          <w:numId w:val="0"/>
        </w:numPr>
        <w:kinsoku/>
        <w:wordWrap/>
        <w:overflowPunct/>
        <w:topLinePunct w:val="0"/>
        <w:autoSpaceDE/>
        <w:autoSpaceDN/>
        <w:bidi w:val="0"/>
        <w:adjustRightInd/>
        <w:spacing w:line="360" w:lineRule="auto"/>
        <w:ind w:leftChars="228"/>
        <w:textAlignment w:val="auto"/>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rPr>
        <w:t>7、</w:t>
      </w:r>
      <w:r>
        <w:rPr>
          <w:rFonts w:hint="eastAsia" w:asciiTheme="minorEastAsia" w:hAnsiTheme="minorEastAsia" w:eastAsiaTheme="minorEastAsia" w:cstheme="minorEastAsia"/>
          <w:color w:val="auto"/>
          <w:kern w:val="0"/>
          <w:sz w:val="24"/>
          <w:szCs w:val="24"/>
          <w:highlight w:val="none"/>
        </w:rPr>
        <w:t>竞标人参与电子投标特别说明：</w:t>
      </w:r>
      <w:r>
        <w:rPr>
          <w:rFonts w:hint="eastAsia" w:asciiTheme="minorEastAsia" w:hAnsiTheme="minorEastAsia" w:eastAsiaTheme="minorEastAsia" w:cstheme="minorEastAsia"/>
          <w:color w:val="auto"/>
          <w:kern w:val="0"/>
          <w:sz w:val="24"/>
          <w:szCs w:val="24"/>
          <w:highlight w:val="none"/>
        </w:rPr>
        <w:br w:type="textWrapping"/>
      </w:r>
      <w:r>
        <w:rPr>
          <w:rFonts w:hint="eastAsia" w:asciiTheme="minorEastAsia" w:hAnsiTheme="minorEastAsia" w:eastAsiaTheme="minorEastAsia" w:cstheme="minorEastAsia"/>
          <w:color w:val="auto"/>
          <w:kern w:val="0"/>
          <w:sz w:val="24"/>
          <w:szCs w:val="24"/>
          <w:highlight w:val="none"/>
        </w:rPr>
        <w:t>（1）响应文件提交方式：本项目为全流程电子化政府采购项目，通过广西政府采</w:t>
      </w:r>
    </w:p>
    <w:p w14:paraId="1C670FEC">
      <w:pPr>
        <w:pageBreakBefore w:val="0"/>
        <w:widowControl w:val="0"/>
        <w:numPr>
          <w:ilvl w:val="0"/>
          <w:numId w:val="0"/>
        </w:numPr>
        <w:kinsoku/>
        <w:wordWrap/>
        <w:overflowPunct/>
        <w:topLinePunct w:val="0"/>
        <w:autoSpaceDE/>
        <w:autoSpaceDN/>
        <w:bidi w:val="0"/>
        <w:adjustRightInd/>
        <w:spacing w:line="360" w:lineRule="auto"/>
        <w:textAlignment w:val="auto"/>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购云平台（https://www.gcy.zfcg.gxzf.gov.cn/）实行在线电子采购，供应商应先安装“广西政府采购云平台” 新版客户端（请自行前往“广西政府采购云平台”平台进行下载），并按照本项目竞争性谈判文件和“广西政府采购云平台”平台的要求编制、加密后在首次响应文件提交截止时间前通过网络上传至“广西政府采购云平台”平台，供应商在“广西政府采购云平台”平台提交电子版响应文件时， 请填写参加远程开标活动经办人联系方式。</w:t>
      </w:r>
      <w:r>
        <w:rPr>
          <w:rFonts w:hint="eastAsia" w:asciiTheme="minorEastAsia" w:hAnsiTheme="minorEastAsia" w:eastAsiaTheme="minorEastAsia" w:cstheme="minorEastAsia"/>
          <w:color w:val="auto"/>
          <w:kern w:val="0"/>
          <w:sz w:val="24"/>
          <w:szCs w:val="24"/>
          <w:highlight w:val="none"/>
        </w:rPr>
        <w:br w:type="textWrapping"/>
      </w:r>
      <w:r>
        <w:rPr>
          <w:rFonts w:hint="eastAsia" w:asciiTheme="minorEastAsia" w:hAnsiTheme="minorEastAsia" w:eastAsiaTheme="minorEastAsia" w:cstheme="minorEastAsia"/>
          <w:color w:val="auto"/>
          <w:kern w:val="0"/>
          <w:sz w:val="24"/>
          <w:szCs w:val="24"/>
          <w:highlight w:val="none"/>
          <w:lang w:val="en-US" w:eastAsia="zh-CN"/>
        </w:rPr>
        <w:t xml:space="preserve">   </w:t>
      </w:r>
      <w:r>
        <w:rPr>
          <w:rFonts w:hint="eastAsia" w:asciiTheme="minorEastAsia" w:hAnsiTheme="minorEastAsia" w:eastAsiaTheme="minorEastAsia" w:cstheme="minorEastAsia"/>
          <w:color w:val="auto"/>
          <w:kern w:val="0"/>
          <w:sz w:val="24"/>
          <w:szCs w:val="24"/>
          <w:highlight w:val="none"/>
        </w:rPr>
        <w:t>（2）供应商进入“广西政府采购云平台”-“服务中心”-“帮助中心”-“电子投标客户端”-“帮助文档”查看电子投标具体操作流程。原在政采云平台注册的临时供应商需在新平台启用后重新注册登记。</w:t>
      </w:r>
      <w:r>
        <w:rPr>
          <w:rFonts w:hint="eastAsia" w:asciiTheme="minorEastAsia" w:hAnsiTheme="minorEastAsia" w:eastAsiaTheme="minorEastAsia" w:cstheme="minorEastAsia"/>
          <w:color w:val="auto"/>
          <w:kern w:val="0"/>
          <w:sz w:val="24"/>
          <w:szCs w:val="24"/>
          <w:highlight w:val="none"/>
        </w:rPr>
        <w:br w:type="textWrapping"/>
      </w:r>
      <w:r>
        <w:rPr>
          <w:rFonts w:hint="eastAsia" w:asciiTheme="minorEastAsia" w:hAnsiTheme="minorEastAsia" w:eastAsiaTheme="minorEastAsia" w:cstheme="minorEastAsia"/>
          <w:color w:val="auto"/>
          <w:kern w:val="0"/>
          <w:sz w:val="24"/>
          <w:szCs w:val="24"/>
          <w:highlight w:val="none"/>
          <w:lang w:val="en-US" w:eastAsia="zh-CN"/>
        </w:rPr>
        <w:t xml:space="preserve">   </w:t>
      </w:r>
      <w:r>
        <w:rPr>
          <w:rFonts w:hint="eastAsia" w:asciiTheme="minorEastAsia" w:hAnsiTheme="minorEastAsia" w:eastAsiaTheme="minorEastAsia" w:cstheme="minorEastAsia"/>
          <w:color w:val="auto"/>
          <w:kern w:val="0"/>
          <w:sz w:val="24"/>
          <w:szCs w:val="24"/>
          <w:highlight w:val="none"/>
        </w:rPr>
        <w:t>（3）未进行网上注册并办理数字证书（CA认证）的供应商将无法参与本项目政府采购活动，潜在供应商应当在首次响应文件提交截止时间前，完成电子交易平台上的CA数字证书办理及响应文件的提交（投标人可登录“广西政府采购网”，依次进入“办事服务-下载专区”或者登录“广西政府采购云平台”，依次进入“服务中心-入驻与配置”中查看CA数字证书办理操作流程。如在操作过程中遇到问题或者需要技术支持，请致电广西政府采购云平台服务热线：95763）。</w:t>
      </w:r>
      <w:r>
        <w:rPr>
          <w:rFonts w:hint="eastAsia" w:asciiTheme="minorEastAsia" w:hAnsiTheme="minorEastAsia" w:eastAsiaTheme="minorEastAsia" w:cstheme="minorEastAsia"/>
          <w:color w:val="auto"/>
          <w:kern w:val="0"/>
          <w:sz w:val="24"/>
          <w:szCs w:val="24"/>
          <w:highlight w:val="none"/>
        </w:rPr>
        <w:br w:type="textWrapping"/>
      </w:r>
      <w:r>
        <w:rPr>
          <w:rFonts w:hint="eastAsia" w:asciiTheme="minorEastAsia" w:hAnsiTheme="minorEastAsia" w:eastAsiaTheme="minorEastAsia" w:cstheme="minorEastAsia"/>
          <w:color w:val="auto"/>
          <w:kern w:val="0"/>
          <w:sz w:val="24"/>
          <w:szCs w:val="24"/>
          <w:highlight w:val="none"/>
          <w:lang w:val="en-US" w:eastAsia="zh-CN"/>
        </w:rPr>
        <w:t xml:space="preserve">   </w:t>
      </w:r>
      <w:r>
        <w:rPr>
          <w:rFonts w:hint="eastAsia" w:asciiTheme="minorEastAsia" w:hAnsiTheme="minorEastAsia" w:eastAsiaTheme="minorEastAsia" w:cstheme="minorEastAsia"/>
          <w:color w:val="auto"/>
          <w:kern w:val="0"/>
          <w:sz w:val="24"/>
          <w:szCs w:val="24"/>
          <w:highlight w:val="none"/>
        </w:rPr>
        <w:t>（4）为确保网上操作合法、有效和安全，请供应商确保在电子竞标过程中能够对相关数据电文进行加密和使用电子签章，妥善保管 CA 数字证书并使用有效的 CA 数字证书参与整个采购活动。注：供应商应当在首次响应文件提交截止时间前完成电子响应文件的上传、递交，首次响应文件提交 截止时间前可以补充、修改或者撤回响应文件。补充或者修改响应文件的，应当先行撤回原文件，补充、修改后重新上传、递交。首次响应文件提交截止时间前未完成上传、递交的，视为撤回响应文件。首次响 应文件提交截止时间以后上传递交的响应文件，“广西政府采购云平台”平台将予以拒收。</w:t>
      </w:r>
      <w:r>
        <w:rPr>
          <w:rFonts w:hint="eastAsia" w:asciiTheme="minorEastAsia" w:hAnsiTheme="minorEastAsia" w:eastAsiaTheme="minorEastAsia" w:cstheme="minorEastAsia"/>
          <w:color w:val="auto"/>
          <w:kern w:val="0"/>
          <w:sz w:val="24"/>
          <w:szCs w:val="24"/>
          <w:highlight w:val="none"/>
        </w:rPr>
        <w:br w:type="textWrapping"/>
      </w:r>
      <w:r>
        <w:rPr>
          <w:rFonts w:hint="eastAsia" w:asciiTheme="minorEastAsia" w:hAnsiTheme="minorEastAsia" w:eastAsiaTheme="minorEastAsia" w:cstheme="minorEastAsia"/>
          <w:color w:val="auto"/>
          <w:kern w:val="0"/>
          <w:sz w:val="24"/>
          <w:szCs w:val="24"/>
          <w:highlight w:val="none"/>
          <w:lang w:val="en-US" w:eastAsia="zh-CN"/>
        </w:rPr>
        <w:t xml:space="preserve">   </w:t>
      </w:r>
      <w:r>
        <w:rPr>
          <w:rFonts w:hint="eastAsia" w:asciiTheme="minorEastAsia" w:hAnsiTheme="minorEastAsia" w:eastAsiaTheme="minorEastAsia" w:cstheme="minorEastAsia"/>
          <w:color w:val="auto"/>
          <w:kern w:val="0"/>
          <w:sz w:val="24"/>
          <w:szCs w:val="24"/>
          <w:highlight w:val="none"/>
        </w:rPr>
        <w:t>（5）CA 证书在线解密：首次响应文件开启时，须要供应商携带制作响应文件时用来加密的有效数字证书（CA 认证）登录“广西政府采购云平台”平台电子开标大厅现场按规定时间对加密的响应文件进行解密，否则后果自负。</w:t>
      </w:r>
      <w:r>
        <w:rPr>
          <w:rFonts w:hint="eastAsia" w:asciiTheme="minorEastAsia" w:hAnsiTheme="minorEastAsia" w:eastAsiaTheme="minorEastAsia" w:cstheme="minorEastAsia"/>
          <w:color w:val="auto"/>
          <w:kern w:val="0"/>
          <w:sz w:val="24"/>
          <w:szCs w:val="24"/>
          <w:highlight w:val="none"/>
        </w:rPr>
        <w:br w:type="textWrapping"/>
      </w:r>
      <w:r>
        <w:rPr>
          <w:rFonts w:hint="eastAsia" w:asciiTheme="minorEastAsia" w:hAnsiTheme="minorEastAsia" w:eastAsiaTheme="minorEastAsia" w:cstheme="minorEastAsia"/>
          <w:color w:val="auto"/>
          <w:kern w:val="0"/>
          <w:sz w:val="24"/>
          <w:szCs w:val="24"/>
          <w:highlight w:val="none"/>
          <w:lang w:val="en-US" w:eastAsia="zh-CN"/>
        </w:rPr>
        <w:t xml:space="preserve">   </w:t>
      </w:r>
      <w:r>
        <w:rPr>
          <w:rFonts w:hint="eastAsia" w:asciiTheme="minorEastAsia" w:hAnsiTheme="minorEastAsia" w:eastAsiaTheme="minorEastAsia" w:cstheme="minorEastAsia"/>
          <w:color w:val="auto"/>
          <w:kern w:val="0"/>
          <w:sz w:val="24"/>
          <w:szCs w:val="24"/>
          <w:highlight w:val="none"/>
        </w:rPr>
        <w:t>（6）供应商需要在具备有摄像头及语音功能且互联网网络状况良好的电脑登录广西政府采购云平台（https://www.gcy.zfcg.gxzf.gov.cn/）平台远程开标大厅参与本次谈判，否则后果自负。</w:t>
      </w:r>
      <w:r>
        <w:rPr>
          <w:rFonts w:hint="eastAsia" w:asciiTheme="minorEastAsia" w:hAnsiTheme="minorEastAsia" w:eastAsiaTheme="minorEastAsia" w:cstheme="minorEastAsia"/>
          <w:color w:val="auto"/>
          <w:kern w:val="0"/>
          <w:sz w:val="24"/>
          <w:szCs w:val="24"/>
          <w:highlight w:val="none"/>
        </w:rPr>
        <w:br w:type="textWrapping"/>
      </w:r>
      <w:r>
        <w:rPr>
          <w:rFonts w:hint="eastAsia" w:asciiTheme="minorEastAsia" w:hAnsiTheme="minorEastAsia" w:eastAsiaTheme="minorEastAsia" w:cstheme="minorEastAsia"/>
          <w:color w:val="auto"/>
          <w:kern w:val="0"/>
          <w:sz w:val="24"/>
          <w:szCs w:val="24"/>
          <w:highlight w:val="none"/>
          <w:lang w:val="en-US" w:eastAsia="zh-CN"/>
        </w:rPr>
        <w:t xml:space="preserve">   </w:t>
      </w:r>
      <w:r>
        <w:rPr>
          <w:rFonts w:hint="eastAsia" w:asciiTheme="minorEastAsia" w:hAnsiTheme="minorEastAsia" w:eastAsiaTheme="minorEastAsia" w:cstheme="minorEastAsia"/>
          <w:color w:val="auto"/>
          <w:kern w:val="0"/>
          <w:sz w:val="24"/>
          <w:szCs w:val="24"/>
          <w:highlight w:val="none"/>
        </w:rPr>
        <w:t>（7）若对项目采购电子交易系统操作有疑问，可登录广西政府采购云平台（https://www.gcy.zfcg.gxzf.gov.cn/）， 点击右侧咨询小采，获取采小蜜智能服务管家帮助，或拨打广西政府采购云平台服务热线95763 获取热线服务帮助。 </w:t>
      </w:r>
    </w:p>
    <w:p w14:paraId="5F3BBAA5">
      <w:pPr>
        <w:pageBreakBefore w:val="0"/>
        <w:widowControl w:val="0"/>
        <w:kinsoku/>
        <w:wordWrap/>
        <w:overflowPunct/>
        <w:topLinePunct w:val="0"/>
        <w:autoSpaceDE/>
        <w:autoSpaceDN/>
        <w:bidi w:val="0"/>
        <w:adjustRightInd/>
        <w:spacing w:line="360" w:lineRule="auto"/>
        <w:ind w:firstLine="480" w:firstLineChars="200"/>
        <w:textAlignment w:val="auto"/>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rPr>
        <w:t>8</w:t>
      </w:r>
      <w:r>
        <w:rPr>
          <w:rFonts w:hint="eastAsia" w:asciiTheme="minorEastAsia" w:hAnsiTheme="minorEastAsia" w:eastAsiaTheme="minorEastAsia" w:cstheme="minorEastAsia"/>
          <w:color w:val="auto"/>
          <w:kern w:val="0"/>
          <w:sz w:val="24"/>
          <w:szCs w:val="24"/>
          <w:highlight w:val="none"/>
        </w:rPr>
        <w:t>、本项目不要求供应商到达开标现场，但供应商应派法定代表人</w:t>
      </w:r>
      <w:r>
        <w:rPr>
          <w:rFonts w:hint="eastAsia" w:asciiTheme="minorEastAsia" w:hAnsiTheme="minorEastAsia" w:eastAsiaTheme="minorEastAsia" w:cstheme="minorEastAsia"/>
          <w:color w:val="auto"/>
          <w:kern w:val="0"/>
          <w:sz w:val="24"/>
          <w:szCs w:val="24"/>
          <w:highlight w:val="none"/>
          <w:lang w:eastAsia="zh-CN"/>
        </w:rPr>
        <w:t>（负责人）</w:t>
      </w:r>
      <w:r>
        <w:rPr>
          <w:rFonts w:hint="eastAsia" w:asciiTheme="minorEastAsia" w:hAnsiTheme="minorEastAsia" w:eastAsiaTheme="minorEastAsia" w:cstheme="minorEastAsia"/>
          <w:color w:val="auto"/>
          <w:kern w:val="0"/>
          <w:sz w:val="24"/>
          <w:szCs w:val="24"/>
          <w:highlight w:val="none"/>
        </w:rPr>
        <w:t>或委托代理人准时在线出席电子开评标会议，随时关注开评标进度，如在开评标过程中有电子询标，应在规定的时间内对电子询标函进行澄清回复。</w:t>
      </w:r>
    </w:p>
    <w:p w14:paraId="4E909ED0">
      <w:pPr>
        <w:pageBreakBefore w:val="0"/>
        <w:widowControl w:val="0"/>
        <w:kinsoku/>
        <w:wordWrap/>
        <w:overflowPunct/>
        <w:topLinePunct w:val="0"/>
        <w:autoSpaceDE/>
        <w:autoSpaceDN/>
        <w:bidi w:val="0"/>
        <w:adjustRightInd/>
        <w:spacing w:line="360" w:lineRule="auto"/>
        <w:ind w:firstLine="480" w:firstLineChars="200"/>
        <w:textAlignment w:val="auto"/>
        <w:rPr>
          <w:rFonts w:hint="eastAsia" w:asciiTheme="minorEastAsia" w:hAnsiTheme="minorEastAsia" w:eastAsiaTheme="minorEastAsia" w:cstheme="minorEastAsia"/>
          <w:color w:val="auto"/>
          <w:kern w:val="0"/>
          <w:sz w:val="24"/>
          <w:szCs w:val="24"/>
          <w:highlight w:val="none"/>
          <w:lang w:eastAsia="zh-CN"/>
        </w:rPr>
      </w:pPr>
      <w:r>
        <w:rPr>
          <w:rFonts w:hint="eastAsia" w:asciiTheme="minorEastAsia" w:hAnsiTheme="minorEastAsia" w:eastAsiaTheme="minorEastAsia" w:cstheme="minorEastAsia"/>
          <w:color w:val="auto"/>
          <w:kern w:val="0"/>
          <w:sz w:val="24"/>
          <w:szCs w:val="24"/>
          <w:highlight w:val="none"/>
          <w:lang w:val="en-US" w:eastAsia="zh-CN"/>
        </w:rPr>
        <w:t>9、</w:t>
      </w:r>
      <w:r>
        <w:rPr>
          <w:rFonts w:hint="eastAsia" w:asciiTheme="minorEastAsia" w:hAnsiTheme="minorEastAsia" w:eastAsiaTheme="minorEastAsia" w:cstheme="minorEastAsia"/>
          <w:color w:val="auto"/>
          <w:kern w:val="0"/>
          <w:sz w:val="24"/>
          <w:szCs w:val="24"/>
          <w:highlight w:val="none"/>
        </w:rPr>
        <w:t>该项目采</w:t>
      </w:r>
      <w:r>
        <w:rPr>
          <w:rFonts w:hint="eastAsia" w:asciiTheme="minorEastAsia" w:hAnsiTheme="minorEastAsia" w:eastAsiaTheme="minorEastAsia" w:cstheme="minorEastAsia"/>
          <w:color w:val="auto"/>
          <w:kern w:val="0"/>
          <w:sz w:val="24"/>
          <w:szCs w:val="24"/>
          <w:highlight w:val="none"/>
          <w:lang w:eastAsia="zh-CN"/>
        </w:rPr>
        <w:t>用远程异地评标，评标主会场地址：本项目采用远程异地评标，评标主会场地址：贺州市太白西路161号（贺州市政务服务中心东侧附属楼）详见现场电子评标室安排），评标副会场地址：</w:t>
      </w:r>
      <w:r>
        <w:rPr>
          <w:rFonts w:hint="eastAsia" w:asciiTheme="minorEastAsia" w:hAnsiTheme="minorEastAsia" w:eastAsiaTheme="minorEastAsia" w:cstheme="minorEastAsia"/>
          <w:color w:val="auto"/>
          <w:kern w:val="0"/>
          <w:sz w:val="24"/>
          <w:szCs w:val="24"/>
          <w:highlight w:val="none"/>
          <w:u w:val="single"/>
          <w:lang w:val="en-US" w:eastAsia="zh-CN"/>
        </w:rPr>
        <w:t xml:space="preserve"> 玉林市玉州区公共资源交易中心（广西玉林市玉州区金港路388号） </w:t>
      </w:r>
      <w:r>
        <w:rPr>
          <w:rFonts w:hint="eastAsia" w:asciiTheme="minorEastAsia" w:hAnsiTheme="minorEastAsia" w:eastAsiaTheme="minorEastAsia" w:cstheme="minorEastAsia"/>
          <w:color w:val="auto"/>
          <w:kern w:val="0"/>
          <w:sz w:val="24"/>
          <w:szCs w:val="24"/>
          <w:highlight w:val="none"/>
          <w:lang w:val="en-US" w:eastAsia="zh-CN"/>
        </w:rPr>
        <w:t xml:space="preserve"> </w:t>
      </w:r>
      <w:r>
        <w:rPr>
          <w:rFonts w:hint="eastAsia" w:asciiTheme="minorEastAsia" w:hAnsiTheme="minorEastAsia" w:eastAsiaTheme="minorEastAsia" w:cstheme="minorEastAsia"/>
          <w:color w:val="auto"/>
          <w:kern w:val="0"/>
          <w:sz w:val="24"/>
          <w:szCs w:val="24"/>
          <w:highlight w:val="none"/>
          <w:lang w:eastAsia="zh-CN"/>
        </w:rPr>
        <w:t>。</w:t>
      </w:r>
    </w:p>
    <w:p w14:paraId="03452FC3">
      <w:pPr>
        <w:pageBreakBefore w:val="0"/>
        <w:widowControl w:val="0"/>
        <w:kinsoku/>
        <w:wordWrap/>
        <w:overflowPunct/>
        <w:topLinePunct w:val="0"/>
        <w:autoSpaceDE/>
        <w:autoSpaceDN/>
        <w:bidi w:val="0"/>
        <w:adjustRightInd/>
        <w:spacing w:line="360" w:lineRule="auto"/>
        <w:ind w:firstLine="480" w:firstLineChars="200"/>
        <w:textAlignment w:val="auto"/>
        <w:rPr>
          <w:rFonts w:hint="eastAsia" w:asciiTheme="minorEastAsia" w:hAnsiTheme="minorEastAsia" w:eastAsiaTheme="minorEastAsia" w:cstheme="minorEastAsia"/>
          <w:color w:val="auto"/>
          <w:kern w:val="0"/>
          <w:sz w:val="24"/>
          <w:szCs w:val="24"/>
          <w:highlight w:val="none"/>
          <w:lang w:eastAsia="zh-CN"/>
        </w:rPr>
      </w:pPr>
      <w:r>
        <w:rPr>
          <w:rFonts w:hint="eastAsia" w:asciiTheme="minorEastAsia" w:hAnsiTheme="minorEastAsia" w:eastAsiaTheme="minorEastAsia" w:cstheme="minorEastAsia"/>
          <w:color w:val="auto"/>
          <w:kern w:val="0"/>
          <w:sz w:val="24"/>
          <w:szCs w:val="24"/>
          <w:highlight w:val="none"/>
          <w:lang w:val="en-US" w:eastAsia="zh-CN"/>
        </w:rPr>
        <w:t>10</w:t>
      </w:r>
      <w:r>
        <w:rPr>
          <w:rFonts w:hint="eastAsia" w:asciiTheme="minorEastAsia" w:hAnsiTheme="minorEastAsia" w:eastAsiaTheme="minorEastAsia" w:cstheme="minorEastAsia"/>
          <w:color w:val="auto"/>
          <w:kern w:val="0"/>
          <w:sz w:val="24"/>
          <w:szCs w:val="24"/>
          <w:highlight w:val="none"/>
        </w:rPr>
        <w:t>、监督机构：富川瑶族自治县财政局政府采购监督股</w:t>
      </w:r>
      <w:r>
        <w:rPr>
          <w:rFonts w:hint="eastAsia" w:asciiTheme="minorEastAsia" w:hAnsiTheme="minorEastAsia" w:eastAsiaTheme="minorEastAsia" w:cstheme="minorEastAsia"/>
          <w:color w:val="auto"/>
          <w:kern w:val="0"/>
          <w:sz w:val="24"/>
          <w:szCs w:val="24"/>
          <w:highlight w:val="none"/>
          <w:lang w:val="en-US" w:eastAsia="zh-CN"/>
        </w:rPr>
        <w:t xml:space="preserve">  电话：0774-7882324</w:t>
      </w:r>
      <w:r>
        <w:rPr>
          <w:rFonts w:hint="eastAsia" w:asciiTheme="minorEastAsia" w:hAnsiTheme="minorEastAsia" w:eastAsiaTheme="minorEastAsia" w:cstheme="minorEastAsia"/>
          <w:color w:val="auto"/>
          <w:kern w:val="0"/>
          <w:sz w:val="24"/>
          <w:szCs w:val="24"/>
          <w:highlight w:val="none"/>
        </w:rPr>
        <w:t>。</w:t>
      </w:r>
    </w:p>
    <w:bookmarkEnd w:id="91"/>
    <w:p w14:paraId="4AE397CA">
      <w:pPr>
        <w:pageBreakBefore w:val="0"/>
        <w:widowControl w:val="0"/>
        <w:kinsoku/>
        <w:wordWrap/>
        <w:overflowPunct/>
        <w:topLinePunct w:val="0"/>
        <w:autoSpaceDE/>
        <w:autoSpaceDN/>
        <w:bidi w:val="0"/>
        <w:adjustRightInd/>
        <w:spacing w:line="360" w:lineRule="auto"/>
        <w:ind w:firstLine="482" w:firstLineChars="200"/>
        <w:textAlignment w:val="auto"/>
        <w:outlineLvl w:val="1"/>
        <w:rPr>
          <w:rFonts w:hint="eastAsia" w:asciiTheme="minorEastAsia" w:hAnsiTheme="minorEastAsia" w:eastAsiaTheme="minorEastAsia" w:cstheme="minorEastAsia"/>
          <w:b/>
          <w:color w:val="auto"/>
          <w:sz w:val="24"/>
          <w:szCs w:val="24"/>
          <w:highlight w:val="none"/>
        </w:rPr>
      </w:pPr>
      <w:bookmarkStart w:id="97" w:name="_Toc1878"/>
      <w:bookmarkStart w:id="98" w:name="_Toc13159"/>
      <w:bookmarkStart w:id="99" w:name="_Toc3527"/>
      <w:bookmarkStart w:id="100" w:name="_Toc10499"/>
      <w:r>
        <w:rPr>
          <w:rFonts w:hint="eastAsia" w:asciiTheme="minorEastAsia" w:hAnsiTheme="minorEastAsia" w:eastAsiaTheme="minorEastAsia" w:cstheme="minorEastAsia"/>
          <w:b/>
          <w:color w:val="auto"/>
          <w:sz w:val="24"/>
          <w:szCs w:val="24"/>
          <w:highlight w:val="none"/>
        </w:rPr>
        <w:t>八、凡对本次采购提出询问，请按以下方式联系</w:t>
      </w:r>
      <w:bookmarkEnd w:id="92"/>
      <w:bookmarkEnd w:id="93"/>
      <w:bookmarkEnd w:id="94"/>
      <w:bookmarkEnd w:id="95"/>
      <w:bookmarkEnd w:id="96"/>
      <w:bookmarkEnd w:id="97"/>
      <w:bookmarkEnd w:id="98"/>
      <w:bookmarkEnd w:id="99"/>
      <w:bookmarkEnd w:id="100"/>
    </w:p>
    <w:bookmarkEnd w:id="22"/>
    <w:p w14:paraId="1DA3D1C0">
      <w:pPr>
        <w:spacing w:before="0" w:after="0" w:line="360" w:lineRule="auto"/>
        <w:ind w:firstLine="480" w:firstLineChars="200"/>
        <w:outlineLvl w:val="9"/>
        <w:rPr>
          <w:rFonts w:hint="eastAsia" w:asciiTheme="minorEastAsia" w:hAnsiTheme="minorEastAsia" w:eastAsiaTheme="minorEastAsia" w:cstheme="minorEastAsia"/>
          <w:b w:val="0"/>
          <w:bCs w:val="0"/>
          <w:color w:val="auto"/>
          <w:sz w:val="24"/>
          <w:szCs w:val="24"/>
          <w:highlight w:val="none"/>
        </w:rPr>
      </w:pPr>
      <w:bookmarkStart w:id="101" w:name="_Toc35393806"/>
      <w:bookmarkStart w:id="102" w:name="_Toc35393637"/>
      <w:bookmarkStart w:id="103" w:name="_Toc17104"/>
      <w:bookmarkStart w:id="104" w:name="_Toc28359096"/>
      <w:bookmarkStart w:id="105" w:name="_Toc7812"/>
      <w:bookmarkStart w:id="106" w:name="_Toc28359019"/>
      <w:r>
        <w:rPr>
          <w:rFonts w:hint="eastAsia" w:asciiTheme="minorEastAsia" w:hAnsiTheme="minorEastAsia" w:eastAsiaTheme="minorEastAsia" w:cstheme="minorEastAsia"/>
          <w:b w:val="0"/>
          <w:bCs w:val="0"/>
          <w:color w:val="auto"/>
          <w:sz w:val="24"/>
          <w:szCs w:val="24"/>
          <w:highlight w:val="none"/>
        </w:rPr>
        <w:t>1．采购人信息</w:t>
      </w:r>
      <w:bookmarkEnd w:id="101"/>
      <w:bookmarkEnd w:id="102"/>
      <w:bookmarkEnd w:id="103"/>
      <w:bookmarkEnd w:id="104"/>
      <w:bookmarkEnd w:id="105"/>
      <w:bookmarkEnd w:id="106"/>
    </w:p>
    <w:p w14:paraId="57DB2209">
      <w:pPr>
        <w:spacing w:before="0" w:after="0" w:line="360" w:lineRule="auto"/>
        <w:ind w:firstLine="480" w:firstLineChars="200"/>
        <w:outlineLvl w:val="9"/>
        <w:rPr>
          <w:rFonts w:hint="eastAsia" w:asciiTheme="minorEastAsia" w:hAnsiTheme="minorEastAsia" w:eastAsiaTheme="minorEastAsia" w:cstheme="minorEastAsia"/>
          <w:b w:val="0"/>
          <w:bCs w:val="0"/>
          <w:color w:val="auto"/>
          <w:sz w:val="24"/>
          <w:szCs w:val="24"/>
          <w:highlight w:val="none"/>
        </w:rPr>
      </w:pPr>
      <w:bookmarkStart w:id="107" w:name="_Toc32139"/>
      <w:bookmarkStart w:id="108" w:name="_Toc11508"/>
      <w:bookmarkStart w:id="109" w:name="_Toc35393638"/>
      <w:bookmarkStart w:id="110" w:name="_Toc28359020"/>
      <w:bookmarkStart w:id="111" w:name="_Toc35393807"/>
      <w:bookmarkStart w:id="112" w:name="_Toc28359097"/>
      <w:r>
        <w:rPr>
          <w:rFonts w:hint="eastAsia" w:asciiTheme="minorEastAsia" w:hAnsiTheme="minorEastAsia" w:eastAsiaTheme="minorEastAsia" w:cstheme="minorEastAsia"/>
          <w:b w:val="0"/>
          <w:bCs w:val="0"/>
          <w:color w:val="auto"/>
          <w:sz w:val="24"/>
          <w:szCs w:val="24"/>
          <w:highlight w:val="none"/>
        </w:rPr>
        <w:t>名    称：</w:t>
      </w:r>
      <w:bookmarkEnd w:id="107"/>
      <w:r>
        <w:rPr>
          <w:rFonts w:hint="eastAsia" w:asciiTheme="minorEastAsia" w:hAnsiTheme="minorEastAsia" w:eastAsiaTheme="minorEastAsia" w:cstheme="minorEastAsia"/>
          <w:b w:val="0"/>
          <w:bCs w:val="0"/>
          <w:color w:val="auto"/>
          <w:kern w:val="0"/>
          <w:sz w:val="24"/>
          <w:szCs w:val="24"/>
          <w:highlight w:val="none"/>
        </w:rPr>
        <w:t>富川瑶族自治县农业农村局</w:t>
      </w:r>
      <w:bookmarkEnd w:id="108"/>
      <w:r>
        <w:rPr>
          <w:rFonts w:hint="eastAsia" w:asciiTheme="minorEastAsia" w:hAnsiTheme="minorEastAsia" w:eastAsiaTheme="minorEastAsia" w:cstheme="minorEastAsia"/>
          <w:b w:val="0"/>
          <w:bCs w:val="0"/>
          <w:color w:val="auto"/>
          <w:kern w:val="0"/>
          <w:sz w:val="24"/>
          <w:szCs w:val="24"/>
          <w:highlight w:val="none"/>
        </w:rPr>
        <w:t xml:space="preserve">          </w:t>
      </w:r>
    </w:p>
    <w:p w14:paraId="43DEAF33">
      <w:pPr>
        <w:spacing w:line="360" w:lineRule="auto"/>
        <w:ind w:firstLine="480" w:firstLineChars="200"/>
        <w:jc w:val="left"/>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地    址：富川瑶族自治县富阳镇新建路37号 </w:t>
      </w:r>
    </w:p>
    <w:p w14:paraId="5E5CAAD5">
      <w:pPr>
        <w:spacing w:line="360" w:lineRule="auto"/>
        <w:ind w:firstLine="480" w:firstLineChars="200"/>
        <w:jc w:val="left"/>
        <w:outlineLvl w:val="9"/>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rPr>
        <w:t>联系人：</w:t>
      </w:r>
      <w:r>
        <w:rPr>
          <w:rFonts w:hint="eastAsia" w:asciiTheme="minorEastAsia" w:hAnsiTheme="minorEastAsia" w:eastAsiaTheme="minorEastAsia" w:cstheme="minorEastAsia"/>
          <w:color w:val="auto"/>
          <w:sz w:val="24"/>
          <w:szCs w:val="24"/>
          <w:highlight w:val="none"/>
          <w:lang w:val="en-US" w:eastAsia="zh-CN"/>
        </w:rPr>
        <w:t xml:space="preserve">杨忠 </w:t>
      </w:r>
    </w:p>
    <w:p w14:paraId="331802D3">
      <w:pPr>
        <w:spacing w:line="360" w:lineRule="auto"/>
        <w:ind w:firstLine="480" w:firstLineChars="200"/>
        <w:jc w:val="left"/>
        <w:outlineLvl w:val="9"/>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rPr>
        <w:t>联系方式：</w:t>
      </w:r>
      <w:r>
        <w:rPr>
          <w:rFonts w:hint="eastAsia" w:asciiTheme="minorEastAsia" w:hAnsiTheme="minorEastAsia" w:eastAsiaTheme="minorEastAsia" w:cstheme="minorEastAsia"/>
          <w:color w:val="auto"/>
          <w:sz w:val="24"/>
          <w:szCs w:val="24"/>
          <w:highlight w:val="none"/>
          <w:lang w:eastAsia="zh-CN"/>
        </w:rPr>
        <w:t>0774-7895680</w:t>
      </w:r>
    </w:p>
    <w:p w14:paraId="1857D9A7">
      <w:pPr>
        <w:spacing w:before="0" w:after="0" w:line="360" w:lineRule="auto"/>
        <w:ind w:firstLine="480" w:firstLineChars="200"/>
        <w:outlineLvl w:val="9"/>
        <w:rPr>
          <w:rFonts w:hint="eastAsia" w:asciiTheme="minorEastAsia" w:hAnsiTheme="minorEastAsia" w:eastAsiaTheme="minorEastAsia" w:cstheme="minorEastAsia"/>
          <w:b w:val="0"/>
          <w:bCs w:val="0"/>
          <w:color w:val="auto"/>
          <w:sz w:val="24"/>
          <w:szCs w:val="24"/>
          <w:highlight w:val="none"/>
        </w:rPr>
      </w:pPr>
      <w:bookmarkStart w:id="113" w:name="_Toc13372"/>
      <w:bookmarkStart w:id="114" w:name="_Toc10317"/>
      <w:r>
        <w:rPr>
          <w:rFonts w:hint="eastAsia" w:asciiTheme="minorEastAsia" w:hAnsiTheme="minorEastAsia" w:eastAsiaTheme="minorEastAsia" w:cstheme="minorEastAsia"/>
          <w:b w:val="0"/>
          <w:bCs w:val="0"/>
          <w:color w:val="auto"/>
          <w:sz w:val="24"/>
          <w:szCs w:val="24"/>
          <w:highlight w:val="none"/>
        </w:rPr>
        <w:t>2．采购代理机构信息</w:t>
      </w:r>
      <w:bookmarkEnd w:id="109"/>
      <w:bookmarkEnd w:id="110"/>
      <w:bookmarkEnd w:id="111"/>
      <w:bookmarkEnd w:id="112"/>
      <w:bookmarkEnd w:id="113"/>
      <w:bookmarkEnd w:id="114"/>
    </w:p>
    <w:p w14:paraId="0C80D5E1">
      <w:pPr>
        <w:spacing w:line="360" w:lineRule="auto"/>
        <w:ind w:firstLine="480" w:firstLineChars="200"/>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名    称：中奋工程设计咨询有限公司  </w:t>
      </w:r>
    </w:p>
    <w:p w14:paraId="0190210C">
      <w:pPr>
        <w:spacing w:line="360" w:lineRule="auto"/>
        <w:ind w:firstLine="480" w:firstLineChars="200"/>
        <w:outlineLvl w:val="9"/>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rPr>
        <w:t xml:space="preserve">地　　址： </w:t>
      </w:r>
      <w:r>
        <w:rPr>
          <w:rFonts w:hint="eastAsia" w:asciiTheme="minorEastAsia" w:hAnsiTheme="minorEastAsia" w:eastAsiaTheme="minorEastAsia" w:cstheme="minorEastAsia"/>
          <w:color w:val="auto"/>
          <w:sz w:val="24"/>
          <w:szCs w:val="24"/>
          <w:highlight w:val="none"/>
          <w:lang w:eastAsia="zh-CN"/>
        </w:rPr>
        <w:t>南宁市青秀区中柬路9号4号楼4-1801、1802、3A号</w:t>
      </w:r>
    </w:p>
    <w:p w14:paraId="274655A8">
      <w:pPr>
        <w:spacing w:line="360" w:lineRule="auto"/>
        <w:ind w:firstLine="480" w:firstLineChars="200"/>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联 系 人：</w:t>
      </w:r>
      <w:r>
        <w:rPr>
          <w:rFonts w:hint="eastAsia" w:asciiTheme="minorEastAsia" w:hAnsiTheme="minorEastAsia" w:eastAsiaTheme="minorEastAsia" w:cstheme="minorEastAsia"/>
          <w:color w:val="auto"/>
          <w:sz w:val="24"/>
          <w:szCs w:val="24"/>
          <w:highlight w:val="none"/>
          <w:lang w:eastAsia="zh-CN"/>
        </w:rPr>
        <w:t>黄建坤</w:t>
      </w:r>
      <w:r>
        <w:rPr>
          <w:rFonts w:hint="eastAsia" w:asciiTheme="minorEastAsia" w:hAnsiTheme="minorEastAsia" w:eastAsiaTheme="minorEastAsia" w:cstheme="minorEastAsia"/>
          <w:color w:val="auto"/>
          <w:sz w:val="24"/>
          <w:szCs w:val="24"/>
          <w:highlight w:val="none"/>
        </w:rPr>
        <w:t xml:space="preserve"> </w:t>
      </w:r>
    </w:p>
    <w:p w14:paraId="597D89B0">
      <w:pPr>
        <w:spacing w:line="360" w:lineRule="auto"/>
        <w:ind w:firstLine="480" w:firstLineChars="200"/>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联系方式：</w:t>
      </w:r>
      <w:r>
        <w:rPr>
          <w:rFonts w:hint="eastAsia" w:asciiTheme="minorEastAsia" w:hAnsiTheme="minorEastAsia" w:eastAsiaTheme="minorEastAsia" w:cstheme="minorEastAsia"/>
          <w:color w:val="auto"/>
          <w:sz w:val="24"/>
          <w:szCs w:val="24"/>
          <w:highlight w:val="none"/>
          <w:lang w:eastAsia="zh-CN"/>
        </w:rPr>
        <w:t>18807840102</w:t>
      </w:r>
      <w:r>
        <w:rPr>
          <w:rFonts w:hint="eastAsia" w:asciiTheme="minorEastAsia" w:hAnsiTheme="minorEastAsia" w:eastAsiaTheme="minorEastAsia" w:cstheme="minorEastAsia"/>
          <w:color w:val="auto"/>
          <w:sz w:val="24"/>
          <w:szCs w:val="24"/>
          <w:highlight w:val="none"/>
        </w:rPr>
        <w:t xml:space="preserve">     　</w:t>
      </w:r>
    </w:p>
    <w:p w14:paraId="5CD834E4">
      <w:pPr>
        <w:spacing w:before="0" w:after="0" w:line="360" w:lineRule="auto"/>
        <w:ind w:firstLine="480" w:firstLineChars="200"/>
        <w:outlineLvl w:val="9"/>
        <w:rPr>
          <w:rFonts w:hint="eastAsia" w:asciiTheme="minorEastAsia" w:hAnsiTheme="minorEastAsia" w:eastAsiaTheme="minorEastAsia" w:cstheme="minorEastAsia"/>
          <w:b w:val="0"/>
          <w:bCs w:val="0"/>
          <w:color w:val="auto"/>
          <w:sz w:val="24"/>
          <w:szCs w:val="24"/>
          <w:highlight w:val="none"/>
        </w:rPr>
      </w:pPr>
      <w:bookmarkStart w:id="115" w:name="_Toc35393639"/>
      <w:bookmarkStart w:id="116" w:name="_Toc6793"/>
      <w:bookmarkStart w:id="117" w:name="_Toc35393808"/>
      <w:bookmarkStart w:id="118" w:name="_Toc28359021"/>
      <w:bookmarkStart w:id="119" w:name="_Toc28359098"/>
      <w:bookmarkStart w:id="120" w:name="_Toc29155"/>
      <w:r>
        <w:rPr>
          <w:rFonts w:hint="eastAsia" w:asciiTheme="minorEastAsia" w:hAnsiTheme="minorEastAsia" w:eastAsiaTheme="minorEastAsia" w:cstheme="minorEastAsia"/>
          <w:b w:val="0"/>
          <w:bCs w:val="0"/>
          <w:color w:val="auto"/>
          <w:sz w:val="24"/>
          <w:szCs w:val="24"/>
          <w:highlight w:val="none"/>
        </w:rPr>
        <w:t>3．项目联系方式</w:t>
      </w:r>
      <w:bookmarkEnd w:id="115"/>
      <w:bookmarkEnd w:id="116"/>
      <w:bookmarkEnd w:id="117"/>
      <w:bookmarkEnd w:id="118"/>
      <w:bookmarkEnd w:id="119"/>
      <w:bookmarkEnd w:id="120"/>
    </w:p>
    <w:p w14:paraId="0223D48B">
      <w:pPr>
        <w:pStyle w:val="20"/>
        <w:spacing w:line="360" w:lineRule="auto"/>
        <w:ind w:firstLine="480" w:firstLineChars="200"/>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项目联系人：</w:t>
      </w:r>
      <w:r>
        <w:rPr>
          <w:rFonts w:hint="eastAsia" w:asciiTheme="minorEastAsia" w:hAnsiTheme="minorEastAsia" w:eastAsiaTheme="minorEastAsia" w:cstheme="minorEastAsia"/>
          <w:color w:val="auto"/>
          <w:sz w:val="24"/>
          <w:szCs w:val="24"/>
          <w:highlight w:val="none"/>
          <w:lang w:eastAsia="zh-CN"/>
        </w:rPr>
        <w:t>黄建坤</w:t>
      </w:r>
      <w:r>
        <w:rPr>
          <w:rFonts w:hint="eastAsia" w:asciiTheme="minorEastAsia" w:hAnsiTheme="minorEastAsia" w:eastAsiaTheme="minorEastAsia" w:cstheme="minorEastAsia"/>
          <w:color w:val="auto"/>
          <w:sz w:val="24"/>
          <w:szCs w:val="24"/>
          <w:highlight w:val="none"/>
        </w:rPr>
        <w:t xml:space="preserve">             </w:t>
      </w:r>
    </w:p>
    <w:p w14:paraId="29250C6B">
      <w:pPr>
        <w:spacing w:line="360" w:lineRule="auto"/>
        <w:ind w:firstLine="480" w:firstLineChars="200"/>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电　　 话：</w:t>
      </w:r>
      <w:r>
        <w:rPr>
          <w:rFonts w:hint="eastAsia" w:asciiTheme="minorEastAsia" w:hAnsiTheme="minorEastAsia" w:eastAsiaTheme="minorEastAsia" w:cstheme="minorEastAsia"/>
          <w:color w:val="auto"/>
          <w:sz w:val="24"/>
          <w:szCs w:val="24"/>
          <w:highlight w:val="none"/>
          <w:lang w:eastAsia="zh-CN"/>
        </w:rPr>
        <w:t>18807840102</w:t>
      </w:r>
      <w:r>
        <w:rPr>
          <w:rFonts w:hint="eastAsia" w:asciiTheme="minorEastAsia" w:hAnsiTheme="minorEastAsia" w:eastAsiaTheme="minorEastAsia" w:cstheme="minorEastAsia"/>
          <w:color w:val="auto"/>
          <w:sz w:val="24"/>
          <w:szCs w:val="24"/>
          <w:highlight w:val="none"/>
        </w:rPr>
        <w:t xml:space="preserve">　   </w:t>
      </w:r>
    </w:p>
    <w:p w14:paraId="2C05B8CF">
      <w:pPr>
        <w:spacing w:line="360" w:lineRule="auto"/>
        <w:jc w:val="both"/>
        <w:outlineLvl w:val="9"/>
        <w:rPr>
          <w:rFonts w:hint="eastAsia" w:asciiTheme="minorEastAsia" w:hAnsiTheme="minorEastAsia" w:eastAsiaTheme="minorEastAsia" w:cstheme="minorEastAsia"/>
          <w:color w:val="auto"/>
          <w:sz w:val="24"/>
          <w:szCs w:val="24"/>
          <w:highlight w:val="none"/>
        </w:rPr>
      </w:pPr>
    </w:p>
    <w:p w14:paraId="09481ACA">
      <w:pPr>
        <w:pStyle w:val="2"/>
        <w:rPr>
          <w:rFonts w:hint="eastAsia" w:asciiTheme="minorEastAsia" w:hAnsiTheme="minorEastAsia" w:eastAsiaTheme="minorEastAsia" w:cstheme="minorEastAsia"/>
          <w:color w:val="auto"/>
          <w:sz w:val="24"/>
          <w:szCs w:val="24"/>
          <w:highlight w:val="none"/>
        </w:rPr>
      </w:pPr>
    </w:p>
    <w:p w14:paraId="32FE0039">
      <w:pPr>
        <w:pStyle w:val="2"/>
        <w:rPr>
          <w:rFonts w:hint="eastAsia" w:asciiTheme="minorEastAsia" w:hAnsiTheme="minorEastAsia" w:eastAsiaTheme="minorEastAsia" w:cstheme="minorEastAsia"/>
          <w:color w:val="auto"/>
          <w:sz w:val="24"/>
          <w:szCs w:val="24"/>
          <w:highlight w:val="none"/>
        </w:rPr>
      </w:pPr>
    </w:p>
    <w:p w14:paraId="7C153CEF">
      <w:pPr>
        <w:pStyle w:val="2"/>
        <w:rPr>
          <w:rFonts w:hint="eastAsia" w:asciiTheme="minorEastAsia" w:hAnsiTheme="minorEastAsia" w:eastAsiaTheme="minorEastAsia" w:cstheme="minorEastAsia"/>
          <w:color w:val="auto"/>
          <w:sz w:val="24"/>
          <w:szCs w:val="24"/>
          <w:highlight w:val="none"/>
        </w:rPr>
      </w:pPr>
    </w:p>
    <w:p w14:paraId="46DF138E">
      <w:pPr>
        <w:spacing w:line="360" w:lineRule="auto"/>
        <w:jc w:val="right"/>
        <w:outlineLvl w:val="9"/>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sz w:val="24"/>
          <w:szCs w:val="24"/>
          <w:highlight w:val="none"/>
        </w:rPr>
        <w:t>采购人：</w:t>
      </w:r>
      <w:r>
        <w:rPr>
          <w:rFonts w:hint="eastAsia" w:asciiTheme="minorEastAsia" w:hAnsiTheme="minorEastAsia" w:eastAsiaTheme="minorEastAsia" w:cstheme="minorEastAsia"/>
          <w:color w:val="auto"/>
          <w:kern w:val="0"/>
          <w:sz w:val="24"/>
          <w:szCs w:val="24"/>
          <w:highlight w:val="none"/>
        </w:rPr>
        <w:t>富川瑶族自治县农业农村局</w:t>
      </w:r>
    </w:p>
    <w:p w14:paraId="1BFC9AC0">
      <w:pPr>
        <w:pStyle w:val="14"/>
        <w:spacing w:line="360" w:lineRule="auto"/>
        <w:rPr>
          <w:rFonts w:hint="eastAsia" w:asciiTheme="minorEastAsia" w:hAnsiTheme="minorEastAsia" w:eastAsiaTheme="minorEastAsia" w:cstheme="minorEastAsia"/>
          <w:color w:val="auto"/>
          <w:sz w:val="24"/>
          <w:szCs w:val="24"/>
          <w:highlight w:val="none"/>
        </w:rPr>
      </w:pPr>
    </w:p>
    <w:p w14:paraId="1622090E">
      <w:pPr>
        <w:spacing w:line="360" w:lineRule="auto"/>
        <w:ind w:right="-160" w:rightChars="-76" w:firstLine="4320" w:firstLineChars="1800"/>
        <w:jc w:val="right"/>
        <w:outlineLvl w:val="9"/>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sz w:val="24"/>
          <w:szCs w:val="24"/>
          <w:highlight w:val="none"/>
        </w:rPr>
        <w:t>采购代理机构：</w:t>
      </w:r>
      <w:r>
        <w:rPr>
          <w:rFonts w:hint="eastAsia" w:asciiTheme="minorEastAsia" w:hAnsiTheme="minorEastAsia" w:eastAsiaTheme="minorEastAsia" w:cstheme="minorEastAsia"/>
          <w:color w:val="auto"/>
          <w:kern w:val="0"/>
          <w:sz w:val="24"/>
          <w:szCs w:val="24"/>
          <w:highlight w:val="none"/>
        </w:rPr>
        <w:t>中奋工程设计咨询有限公司</w:t>
      </w:r>
    </w:p>
    <w:p w14:paraId="325D76B3">
      <w:pPr>
        <w:pStyle w:val="14"/>
        <w:spacing w:line="360" w:lineRule="auto"/>
        <w:rPr>
          <w:rFonts w:hint="eastAsia" w:asciiTheme="minorEastAsia" w:hAnsiTheme="minorEastAsia" w:eastAsiaTheme="minorEastAsia" w:cstheme="minorEastAsia"/>
          <w:color w:val="auto"/>
          <w:sz w:val="24"/>
          <w:szCs w:val="24"/>
          <w:highlight w:val="none"/>
        </w:rPr>
      </w:pPr>
    </w:p>
    <w:p w14:paraId="076C7EFD">
      <w:pPr>
        <w:spacing w:line="360" w:lineRule="auto"/>
        <w:ind w:firstLine="6720" w:firstLineChars="2800"/>
        <w:jc w:val="right"/>
        <w:outlineLvl w:val="9"/>
        <w:rPr>
          <w:rFonts w:hint="eastAsia" w:asciiTheme="minorEastAsia" w:hAnsiTheme="minorEastAsia" w:eastAsiaTheme="minorEastAsia" w:cstheme="minorEastAsia"/>
          <w:b/>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rPr>
        <w:t xml:space="preserve">  </w:t>
      </w:r>
      <w:r>
        <w:rPr>
          <w:rFonts w:hint="eastAsia" w:asciiTheme="minorEastAsia" w:hAnsiTheme="minorEastAsia" w:eastAsiaTheme="minorEastAsia" w:cstheme="minorEastAsia"/>
          <w:color w:val="auto"/>
          <w:sz w:val="24"/>
          <w:szCs w:val="24"/>
          <w:highlight w:val="none"/>
          <w:lang w:eastAsia="zh-CN"/>
        </w:rPr>
        <w:t>2026年09月11日</w:t>
      </w:r>
    </w:p>
    <w:p w14:paraId="3FC1FB5E">
      <w:pPr>
        <w:spacing w:line="360" w:lineRule="auto"/>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 xml:space="preserve">                                                               </w:t>
      </w:r>
    </w:p>
    <w:p w14:paraId="493158C9">
      <w:pPr>
        <w:pStyle w:val="3"/>
        <w:spacing w:line="360" w:lineRule="auto"/>
        <w:jc w:val="center"/>
        <w:outlineLvl w:val="0"/>
        <w:rPr>
          <w:rFonts w:hint="eastAsia" w:ascii="宋体" w:hAnsi="宋体" w:eastAsia="宋体" w:cs="宋体"/>
          <w:b/>
          <w:bCs/>
          <w:color w:val="auto"/>
          <w:sz w:val="36"/>
          <w:szCs w:val="36"/>
          <w:highlight w:val="none"/>
          <w:lang w:val="en-US" w:eastAsia="zh-CN"/>
        </w:rPr>
      </w:pPr>
      <w:r>
        <w:rPr>
          <w:rFonts w:hint="eastAsia" w:ascii="宋体" w:hAnsi="宋体" w:eastAsia="宋体" w:cs="宋体"/>
          <w:color w:val="auto"/>
          <w:sz w:val="24"/>
          <w:szCs w:val="24"/>
          <w:highlight w:val="none"/>
        </w:rPr>
        <w:br w:type="page"/>
      </w:r>
      <w:bookmarkStart w:id="121" w:name="_Toc14504"/>
      <w:bookmarkStart w:id="122" w:name="_Toc21264"/>
      <w:r>
        <w:rPr>
          <w:rFonts w:hint="eastAsia" w:ascii="宋体" w:hAnsi="宋体" w:eastAsia="宋体" w:cs="宋体"/>
          <w:b/>
          <w:bCs/>
          <w:color w:val="auto"/>
          <w:sz w:val="36"/>
          <w:szCs w:val="36"/>
          <w:highlight w:val="none"/>
          <w:lang w:val="en-US" w:eastAsia="zh-CN"/>
        </w:rPr>
        <w:t>第二章 供应商须知</w:t>
      </w:r>
      <w:bookmarkEnd w:id="21"/>
      <w:bookmarkEnd w:id="121"/>
      <w:bookmarkEnd w:id="122"/>
    </w:p>
    <w:p w14:paraId="76CD7EB6">
      <w:pPr>
        <w:spacing w:line="360" w:lineRule="auto"/>
        <w:jc w:val="cente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供应商须知前附表</w:t>
      </w:r>
    </w:p>
    <w:tbl>
      <w:tblPr>
        <w:tblStyle w:val="33"/>
        <w:tblW w:w="917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92"/>
        <w:gridCol w:w="8186"/>
      </w:tblGrid>
      <w:tr w14:paraId="303FAD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Pr>
          <w:p w14:paraId="1137082E">
            <w:pPr>
              <w:keepNext w:val="0"/>
              <w:keepLines w:val="0"/>
              <w:pageBreakBefore w:val="0"/>
              <w:kinsoku/>
              <w:wordWrap/>
              <w:overflowPunct/>
              <w:topLinePunct w:val="0"/>
              <w:autoSpaceDE/>
              <w:autoSpaceDN/>
              <w:bidi w:val="0"/>
              <w:adjustRightInd/>
              <w:spacing w:line="360" w:lineRule="auto"/>
              <w:jc w:val="center"/>
              <w:textAlignment w:val="auto"/>
              <w:outlineLvl w:val="9"/>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条款号</w:t>
            </w:r>
          </w:p>
        </w:tc>
        <w:tc>
          <w:tcPr>
            <w:tcW w:w="8186" w:type="dxa"/>
          </w:tcPr>
          <w:p w14:paraId="5F44865F">
            <w:pPr>
              <w:keepNext w:val="0"/>
              <w:keepLines w:val="0"/>
              <w:pageBreakBefore w:val="0"/>
              <w:kinsoku/>
              <w:wordWrap/>
              <w:overflowPunct/>
              <w:topLinePunct w:val="0"/>
              <w:autoSpaceDE/>
              <w:autoSpaceDN/>
              <w:bidi w:val="0"/>
              <w:adjustRightInd/>
              <w:spacing w:line="360" w:lineRule="auto"/>
              <w:jc w:val="center"/>
              <w:textAlignment w:val="auto"/>
              <w:outlineLvl w:val="9"/>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内    容</w:t>
            </w:r>
          </w:p>
        </w:tc>
      </w:tr>
      <w:tr w14:paraId="564775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0DA21F96">
            <w:pPr>
              <w:keepNext w:val="0"/>
              <w:keepLines w:val="0"/>
              <w:pageBreakBefore w:val="0"/>
              <w:kinsoku/>
              <w:wordWrap/>
              <w:overflowPunct/>
              <w:topLinePunct w:val="0"/>
              <w:autoSpaceDE/>
              <w:autoSpaceDN/>
              <w:bidi w:val="0"/>
              <w:adjustRightInd/>
              <w:spacing w:line="360" w:lineRule="auto"/>
              <w:jc w:val="center"/>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8186" w:type="dxa"/>
            <w:vAlign w:val="center"/>
          </w:tcPr>
          <w:p w14:paraId="07AB502B">
            <w:pPr>
              <w:keepNext w:val="0"/>
              <w:keepLines w:val="0"/>
              <w:pageBreakBefore w:val="0"/>
              <w:kinsoku/>
              <w:wordWrap/>
              <w:overflowPunct/>
              <w:topLinePunct w:val="0"/>
              <w:autoSpaceDE/>
              <w:autoSpaceDN/>
              <w:bidi w:val="0"/>
              <w:adjustRightInd/>
              <w:spacing w:line="360" w:lineRule="auto"/>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供应商的资格条件</w:t>
            </w:r>
            <w:r>
              <w:rPr>
                <w:rFonts w:hint="eastAsia" w:ascii="宋体" w:hAnsi="宋体" w:eastAsia="宋体" w:cs="宋体"/>
                <w:color w:val="auto"/>
                <w:sz w:val="24"/>
                <w:szCs w:val="24"/>
                <w:highlight w:val="none"/>
              </w:rPr>
              <w:t>：详见竞争性磋商公告</w:t>
            </w:r>
          </w:p>
        </w:tc>
      </w:tr>
      <w:tr w14:paraId="4FFA76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61B0B968">
            <w:pPr>
              <w:keepNext w:val="0"/>
              <w:keepLines w:val="0"/>
              <w:pageBreakBefore w:val="0"/>
              <w:kinsoku/>
              <w:wordWrap/>
              <w:overflowPunct/>
              <w:topLinePunct w:val="0"/>
              <w:autoSpaceDE/>
              <w:autoSpaceDN/>
              <w:bidi w:val="0"/>
              <w:adjustRightInd/>
              <w:spacing w:line="360" w:lineRule="auto"/>
              <w:jc w:val="center"/>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5.1</w:t>
            </w:r>
          </w:p>
        </w:tc>
        <w:tc>
          <w:tcPr>
            <w:tcW w:w="8186" w:type="dxa"/>
            <w:vAlign w:val="center"/>
          </w:tcPr>
          <w:p w14:paraId="4209C02D">
            <w:pPr>
              <w:keepNext w:val="0"/>
              <w:keepLines w:val="0"/>
              <w:pageBreakBefore w:val="0"/>
              <w:kinsoku/>
              <w:wordWrap/>
              <w:overflowPunct/>
              <w:topLinePunct w:val="0"/>
              <w:autoSpaceDE/>
              <w:autoSpaceDN/>
              <w:bidi w:val="0"/>
              <w:adjustRightInd/>
              <w:spacing w:line="360" w:lineRule="auto"/>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是否接受联合体竞标: 详见竞争性磋商公告</w:t>
            </w:r>
          </w:p>
        </w:tc>
      </w:tr>
      <w:tr w14:paraId="1B836C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0EBC5957">
            <w:pPr>
              <w:keepNext w:val="0"/>
              <w:keepLines w:val="0"/>
              <w:pageBreakBefore w:val="0"/>
              <w:kinsoku/>
              <w:wordWrap/>
              <w:overflowPunct/>
              <w:topLinePunct w:val="0"/>
              <w:autoSpaceDE/>
              <w:autoSpaceDN/>
              <w:bidi w:val="0"/>
              <w:adjustRightInd/>
              <w:spacing w:line="360" w:lineRule="auto"/>
              <w:jc w:val="center"/>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5.2</w:t>
            </w:r>
          </w:p>
        </w:tc>
        <w:tc>
          <w:tcPr>
            <w:tcW w:w="8186" w:type="dxa"/>
            <w:vAlign w:val="center"/>
          </w:tcPr>
          <w:p w14:paraId="08B36B5B">
            <w:pPr>
              <w:keepNext w:val="0"/>
              <w:keepLines w:val="0"/>
              <w:pageBreakBefore w:val="0"/>
              <w:kinsoku/>
              <w:wordWrap/>
              <w:overflowPunct/>
              <w:topLinePunct w:val="0"/>
              <w:autoSpaceDE/>
              <w:autoSpaceDN/>
              <w:bidi w:val="0"/>
              <w:adjustRightInd/>
              <w:spacing w:line="360" w:lineRule="auto"/>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本项目不接受联合体竞标</w:t>
            </w:r>
          </w:p>
        </w:tc>
      </w:tr>
      <w:tr w14:paraId="059F1A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7FB293C2">
            <w:pPr>
              <w:keepNext w:val="0"/>
              <w:keepLines w:val="0"/>
              <w:pageBreakBefore w:val="0"/>
              <w:kinsoku/>
              <w:wordWrap/>
              <w:overflowPunct/>
              <w:topLinePunct w:val="0"/>
              <w:autoSpaceDE/>
              <w:autoSpaceDN/>
              <w:bidi w:val="0"/>
              <w:adjustRightInd/>
              <w:spacing w:line="360" w:lineRule="auto"/>
              <w:jc w:val="center"/>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6.2</w:t>
            </w:r>
          </w:p>
        </w:tc>
        <w:tc>
          <w:tcPr>
            <w:tcW w:w="8186" w:type="dxa"/>
            <w:vAlign w:val="center"/>
          </w:tcPr>
          <w:p w14:paraId="1A8D1C0C">
            <w:pPr>
              <w:pStyle w:val="12"/>
              <w:keepNext w:val="0"/>
              <w:keepLines w:val="0"/>
              <w:pageBreakBefore w:val="0"/>
              <w:kinsoku/>
              <w:wordWrap/>
              <w:overflowPunct/>
              <w:topLinePunct w:val="0"/>
              <w:autoSpaceDE/>
              <w:autoSpaceDN/>
              <w:bidi w:val="0"/>
              <w:adjustRightInd/>
              <w:spacing w:line="360" w:lineRule="auto"/>
              <w:ind w:firstLine="480" w:firstLineChars="200"/>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☑不允许分包</w:t>
            </w:r>
          </w:p>
          <w:p w14:paraId="1C455E51">
            <w:pPr>
              <w:pStyle w:val="12"/>
              <w:keepNext w:val="0"/>
              <w:keepLines w:val="0"/>
              <w:pageBreakBefore w:val="0"/>
              <w:kinsoku/>
              <w:wordWrap/>
              <w:overflowPunct/>
              <w:topLinePunct w:val="0"/>
              <w:autoSpaceDE/>
              <w:autoSpaceDN/>
              <w:bidi w:val="0"/>
              <w:adjustRightInd/>
              <w:spacing w:line="360" w:lineRule="auto"/>
              <w:ind w:firstLine="480" w:firstLineChars="200"/>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□允许分包</w:t>
            </w:r>
          </w:p>
          <w:p w14:paraId="2E12C37D">
            <w:pPr>
              <w:pStyle w:val="12"/>
              <w:keepNext w:val="0"/>
              <w:keepLines w:val="0"/>
              <w:pageBreakBefore w:val="0"/>
              <w:kinsoku/>
              <w:wordWrap/>
              <w:overflowPunct/>
              <w:topLinePunct w:val="0"/>
              <w:autoSpaceDE/>
              <w:autoSpaceDN/>
              <w:bidi w:val="0"/>
              <w:adjustRightInd/>
              <w:spacing w:line="360" w:lineRule="auto"/>
              <w:ind w:firstLine="480" w:firstLineChars="200"/>
              <w:jc w:val="both"/>
              <w:textAlignment w:val="auto"/>
              <w:outlineLvl w:val="9"/>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分包内容：</w:t>
            </w:r>
            <w:r>
              <w:rPr>
                <w:rFonts w:hint="eastAsia" w:ascii="宋体" w:hAnsi="宋体" w:eastAsia="宋体" w:cs="宋体"/>
                <w:color w:val="auto"/>
                <w:sz w:val="24"/>
                <w:szCs w:val="24"/>
                <w:highlight w:val="none"/>
                <w:u w:val="single"/>
              </w:rPr>
              <w:t xml:space="preserve">                                     。</w:t>
            </w:r>
          </w:p>
          <w:p w14:paraId="71B8592A">
            <w:pPr>
              <w:pStyle w:val="12"/>
              <w:keepNext w:val="0"/>
              <w:keepLines w:val="0"/>
              <w:pageBreakBefore w:val="0"/>
              <w:kinsoku/>
              <w:wordWrap/>
              <w:overflowPunct/>
              <w:topLinePunct w:val="0"/>
              <w:autoSpaceDE/>
              <w:autoSpaceDN/>
              <w:bidi w:val="0"/>
              <w:adjustRightInd/>
              <w:spacing w:line="360" w:lineRule="auto"/>
              <w:ind w:firstLine="480" w:firstLineChars="200"/>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分包金额或者比例：</w:t>
            </w:r>
            <w:r>
              <w:rPr>
                <w:rFonts w:hint="eastAsia" w:ascii="宋体" w:hAnsi="宋体" w:eastAsia="宋体" w:cs="宋体"/>
                <w:color w:val="auto"/>
                <w:sz w:val="24"/>
                <w:szCs w:val="24"/>
                <w:highlight w:val="none"/>
                <w:u w:val="single"/>
              </w:rPr>
              <w:t xml:space="preserve">                                     。</w:t>
            </w:r>
          </w:p>
        </w:tc>
      </w:tr>
      <w:tr w14:paraId="29E537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8" w:hRule="atLeast"/>
          <w:jc w:val="center"/>
        </w:trPr>
        <w:tc>
          <w:tcPr>
            <w:tcW w:w="992" w:type="dxa"/>
            <w:vAlign w:val="center"/>
          </w:tcPr>
          <w:p w14:paraId="5196AEBD">
            <w:pPr>
              <w:keepNext w:val="0"/>
              <w:keepLines w:val="0"/>
              <w:pageBreakBefore w:val="0"/>
              <w:kinsoku/>
              <w:wordWrap/>
              <w:overflowPunct/>
              <w:topLinePunct w:val="0"/>
              <w:autoSpaceDE/>
              <w:autoSpaceDN/>
              <w:bidi w:val="0"/>
              <w:adjustRightInd/>
              <w:spacing w:line="360" w:lineRule="auto"/>
              <w:jc w:val="center"/>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12.1.1</w:t>
            </w:r>
          </w:p>
        </w:tc>
        <w:tc>
          <w:tcPr>
            <w:tcW w:w="8186" w:type="dxa"/>
            <w:vAlign w:val="center"/>
          </w:tcPr>
          <w:p w14:paraId="1F2F1A59">
            <w:pPr>
              <w:keepNext w:val="0"/>
              <w:keepLines w:val="0"/>
              <w:pageBreakBefore w:val="0"/>
              <w:kinsoku/>
              <w:wordWrap/>
              <w:overflowPunct/>
              <w:topLinePunct w:val="0"/>
              <w:autoSpaceDE/>
              <w:autoSpaceDN/>
              <w:bidi w:val="0"/>
              <w:adjustRightInd/>
              <w:snapToGrid w:val="0"/>
              <w:spacing w:line="360" w:lineRule="auto"/>
              <w:ind w:firstLine="482" w:firstLineChars="200"/>
              <w:textAlignment w:val="auto"/>
              <w:outlineLvl w:val="9"/>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资格证明文件</w:t>
            </w:r>
          </w:p>
          <w:p w14:paraId="07AA8861">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（1）贺州市政府采购供应商信用承诺函（格式后附）；（</w:t>
            </w:r>
            <w:r>
              <w:rPr>
                <w:rFonts w:hint="eastAsia" w:ascii="宋体" w:hAnsi="宋体" w:eastAsia="宋体" w:cs="宋体"/>
                <w:b/>
                <w:bCs/>
                <w:color w:val="auto"/>
                <w:kern w:val="0"/>
                <w:sz w:val="24"/>
                <w:szCs w:val="24"/>
                <w:highlight w:val="none"/>
                <w:lang w:val="en-US" w:eastAsia="zh-CN" w:bidi="ar"/>
              </w:rPr>
              <w:t>必须提供，否则响应文件按无效响应处理</w:t>
            </w:r>
            <w:r>
              <w:rPr>
                <w:rFonts w:hint="eastAsia" w:ascii="宋体" w:hAnsi="宋体" w:eastAsia="宋体" w:cs="宋体"/>
                <w:color w:val="auto"/>
                <w:kern w:val="0"/>
                <w:sz w:val="24"/>
                <w:szCs w:val="24"/>
                <w:highlight w:val="none"/>
                <w:lang w:val="en-US" w:eastAsia="zh-CN" w:bidi="ar"/>
              </w:rPr>
              <w:t xml:space="preserve">） </w:t>
            </w:r>
          </w:p>
          <w:p w14:paraId="097D0BFF">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（2）竞标人基本情况表（附磋商供应商有效的营业执照副本、资质证书副本、安全生产许可证副本的复印件）；</w:t>
            </w:r>
            <w:r>
              <w:rPr>
                <w:rFonts w:hint="eastAsia" w:ascii="宋体" w:hAnsi="宋体" w:eastAsia="宋体" w:cs="宋体"/>
                <w:b/>
                <w:bCs/>
                <w:color w:val="auto"/>
                <w:kern w:val="0"/>
                <w:sz w:val="24"/>
                <w:szCs w:val="24"/>
                <w:highlight w:val="none"/>
                <w:lang w:val="en-US" w:eastAsia="zh-CN" w:bidi="ar"/>
              </w:rPr>
              <w:t xml:space="preserve">（必须提供，否则响应文件按无效响应处理） </w:t>
            </w:r>
          </w:p>
          <w:p w14:paraId="5500460B">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（3）法定代表人身份证明书原件、法定代表人身份证复印件；</w:t>
            </w:r>
            <w:r>
              <w:rPr>
                <w:rFonts w:hint="eastAsia" w:ascii="宋体" w:hAnsi="宋体" w:eastAsia="宋体" w:cs="宋体"/>
                <w:b/>
                <w:bCs/>
                <w:color w:val="auto"/>
                <w:kern w:val="0"/>
                <w:sz w:val="24"/>
                <w:szCs w:val="24"/>
                <w:highlight w:val="none"/>
                <w:lang w:val="en-US" w:eastAsia="zh-CN" w:bidi="ar"/>
              </w:rPr>
              <w:t xml:space="preserve">（必须提供，否则响应文件按无效响应处理） </w:t>
            </w:r>
          </w:p>
          <w:p w14:paraId="0CE0B17B">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宋体" w:hAnsi="宋体" w:eastAsia="宋体" w:cs="宋体"/>
                <w:b/>
                <w:bCs/>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（4）法定代表人授权委托书原件和委托代理人身份证复印件；</w:t>
            </w:r>
            <w:r>
              <w:rPr>
                <w:rFonts w:hint="eastAsia" w:ascii="宋体" w:hAnsi="宋体" w:eastAsia="宋体" w:cs="宋体"/>
                <w:b/>
                <w:bCs/>
                <w:color w:val="auto"/>
                <w:kern w:val="0"/>
                <w:sz w:val="24"/>
                <w:szCs w:val="24"/>
                <w:highlight w:val="none"/>
                <w:lang w:val="en-US" w:eastAsia="zh-CN" w:bidi="ar"/>
              </w:rPr>
              <w:t xml:space="preserve">（委托代理时必须提供，否则响应文件按无效响应处理） </w:t>
            </w:r>
          </w:p>
          <w:p w14:paraId="380E516F">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宋体" w:hAnsi="宋体" w:eastAsia="宋体" w:cs="宋体"/>
                <w:b/>
                <w:bCs/>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（5）供应商直接控股、管理关系信息表；</w:t>
            </w:r>
            <w:r>
              <w:rPr>
                <w:rFonts w:hint="eastAsia" w:ascii="宋体" w:hAnsi="宋体" w:eastAsia="宋体" w:cs="宋体"/>
                <w:b/>
                <w:bCs/>
                <w:color w:val="auto"/>
                <w:kern w:val="0"/>
                <w:sz w:val="24"/>
                <w:szCs w:val="24"/>
                <w:highlight w:val="none"/>
                <w:lang w:val="en-US" w:eastAsia="zh-CN" w:bidi="ar"/>
              </w:rPr>
              <w:t>（必须提供，否则响应文件按无效响应处理）</w:t>
            </w:r>
          </w:p>
          <w:p w14:paraId="1D1BC0ED">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宋体" w:hAnsi="宋体" w:eastAsia="宋体" w:cs="宋体"/>
                <w:color w:val="auto"/>
                <w:kern w:val="0"/>
                <w:sz w:val="24"/>
                <w:szCs w:val="24"/>
                <w:highlight w:val="none"/>
                <w:lang w:val="en-US" w:eastAsia="zh-CN" w:bidi="ar"/>
              </w:rPr>
            </w:pPr>
            <w:r>
              <w:rPr>
                <w:rFonts w:hint="eastAsia" w:ascii="宋体" w:hAnsi="宋体" w:cs="宋体"/>
                <w:color w:val="auto"/>
                <w:kern w:val="0"/>
                <w:sz w:val="24"/>
                <w:szCs w:val="24"/>
                <w:highlight w:val="none"/>
                <w:lang w:val="en-US" w:eastAsia="zh-CN" w:bidi="ar"/>
              </w:rPr>
              <w:t>（6）</w:t>
            </w:r>
            <w:r>
              <w:rPr>
                <w:rFonts w:hint="eastAsia" w:ascii="宋体" w:hAnsi="宋体" w:eastAsia="宋体" w:cs="宋体"/>
                <w:color w:val="auto"/>
                <w:kern w:val="0"/>
                <w:sz w:val="24"/>
                <w:szCs w:val="24"/>
                <w:highlight w:val="none"/>
                <w:lang w:val="en-US" w:eastAsia="zh-CN" w:bidi="ar"/>
              </w:rPr>
              <w:t>建设工程项目管理承诺书</w:t>
            </w:r>
            <w:r>
              <w:rPr>
                <w:rFonts w:hint="eastAsia" w:ascii="宋体" w:hAnsi="宋体" w:cs="宋体"/>
                <w:color w:val="auto"/>
                <w:kern w:val="0"/>
                <w:sz w:val="24"/>
                <w:szCs w:val="24"/>
                <w:highlight w:val="none"/>
                <w:lang w:val="en-US" w:eastAsia="zh-CN" w:bidi="ar"/>
              </w:rPr>
              <w:t>；</w:t>
            </w:r>
            <w:r>
              <w:rPr>
                <w:rFonts w:hint="eastAsia" w:ascii="宋体" w:hAnsi="宋体" w:eastAsia="宋体" w:cs="宋体"/>
                <w:b/>
                <w:bCs/>
                <w:color w:val="auto"/>
                <w:kern w:val="0"/>
                <w:sz w:val="24"/>
                <w:szCs w:val="24"/>
                <w:highlight w:val="none"/>
                <w:lang w:val="en-US" w:eastAsia="zh-CN" w:bidi="ar"/>
              </w:rPr>
              <w:t>（必须提供，否则响应文件按无效响应处理）</w:t>
            </w:r>
          </w:p>
          <w:p w14:paraId="58371EAC">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宋体" w:hAnsi="宋体" w:eastAsia="宋体" w:cs="宋体"/>
                <w:color w:val="auto"/>
                <w:kern w:val="0"/>
                <w:sz w:val="24"/>
                <w:szCs w:val="24"/>
                <w:highlight w:val="none"/>
                <w:lang w:val="en-US" w:eastAsia="zh-CN" w:bidi="ar"/>
              </w:rPr>
            </w:pPr>
            <w:r>
              <w:rPr>
                <w:rFonts w:hint="eastAsia" w:ascii="宋体" w:hAnsi="宋体" w:cs="宋体"/>
                <w:color w:val="auto"/>
                <w:kern w:val="0"/>
                <w:sz w:val="24"/>
                <w:szCs w:val="24"/>
                <w:highlight w:val="none"/>
                <w:lang w:val="en-US" w:eastAsia="zh-CN" w:bidi="ar"/>
              </w:rPr>
              <w:t>（7）</w:t>
            </w:r>
            <w:r>
              <w:rPr>
                <w:rFonts w:hint="eastAsia" w:ascii="宋体" w:hAnsi="宋体" w:eastAsia="宋体" w:cs="宋体"/>
                <w:color w:val="auto"/>
                <w:kern w:val="0"/>
                <w:sz w:val="24"/>
                <w:szCs w:val="24"/>
                <w:highlight w:val="none"/>
                <w:lang w:val="en-US" w:eastAsia="zh-CN" w:bidi="ar"/>
              </w:rPr>
              <w:t>建筑材料和设备节能环保要求承诺书</w:t>
            </w:r>
            <w:r>
              <w:rPr>
                <w:rFonts w:hint="eastAsia" w:ascii="宋体" w:hAnsi="宋体" w:cs="宋体"/>
                <w:color w:val="auto"/>
                <w:kern w:val="0"/>
                <w:sz w:val="24"/>
                <w:szCs w:val="24"/>
                <w:highlight w:val="none"/>
                <w:lang w:val="en-US" w:eastAsia="zh-CN" w:bidi="ar"/>
              </w:rPr>
              <w:t>；</w:t>
            </w:r>
            <w:r>
              <w:rPr>
                <w:rFonts w:hint="eastAsia" w:ascii="宋体" w:hAnsi="宋体" w:eastAsia="宋体" w:cs="宋体"/>
                <w:b/>
                <w:bCs/>
                <w:color w:val="auto"/>
                <w:kern w:val="0"/>
                <w:sz w:val="24"/>
                <w:szCs w:val="24"/>
                <w:highlight w:val="none"/>
                <w:lang w:val="en-US" w:eastAsia="zh-CN" w:bidi="ar"/>
              </w:rPr>
              <w:t>（必须提供，否则响应文件按无效响应处理）</w:t>
            </w:r>
          </w:p>
          <w:p w14:paraId="67581E34">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w:t>
            </w:r>
            <w:r>
              <w:rPr>
                <w:rFonts w:hint="eastAsia" w:ascii="宋体" w:hAnsi="宋体" w:cs="宋体"/>
                <w:color w:val="auto"/>
                <w:kern w:val="0"/>
                <w:sz w:val="24"/>
                <w:szCs w:val="24"/>
                <w:highlight w:val="none"/>
                <w:lang w:val="en-US" w:eastAsia="zh-CN" w:bidi="ar"/>
              </w:rPr>
              <w:t>8</w:t>
            </w:r>
            <w:r>
              <w:rPr>
                <w:rFonts w:hint="eastAsia" w:ascii="宋体" w:hAnsi="宋体" w:eastAsia="宋体" w:cs="宋体"/>
                <w:color w:val="auto"/>
                <w:kern w:val="0"/>
                <w:sz w:val="24"/>
                <w:szCs w:val="24"/>
                <w:highlight w:val="none"/>
                <w:lang w:val="en-US" w:eastAsia="zh-CN" w:bidi="ar"/>
              </w:rPr>
              <w:t>）</w:t>
            </w:r>
            <w:r>
              <w:rPr>
                <w:rFonts w:hint="eastAsia" w:ascii="宋体" w:hAnsi="宋体" w:cs="宋体"/>
                <w:color w:val="auto"/>
                <w:kern w:val="0"/>
                <w:sz w:val="24"/>
                <w:szCs w:val="24"/>
                <w:highlight w:val="none"/>
                <w:lang w:val="en-US" w:eastAsia="zh-CN" w:bidi="ar"/>
              </w:rPr>
              <w:t>拟投入本项目的项目经理身份证、注册建造师证书及安全生产考核合格证书复印件</w:t>
            </w:r>
            <w:r>
              <w:rPr>
                <w:rFonts w:hint="eastAsia" w:ascii="宋体" w:hAnsi="宋体" w:eastAsia="宋体" w:cs="宋体"/>
                <w:color w:val="auto"/>
                <w:kern w:val="0"/>
                <w:sz w:val="24"/>
                <w:szCs w:val="24"/>
                <w:highlight w:val="none"/>
                <w:lang w:val="en-US" w:eastAsia="zh-CN" w:bidi="ar"/>
              </w:rPr>
              <w:t>，项目经理无在建承诺书；</w:t>
            </w:r>
            <w:r>
              <w:rPr>
                <w:rFonts w:hint="eastAsia" w:ascii="宋体" w:hAnsi="宋体" w:eastAsia="宋体" w:cs="宋体"/>
                <w:b/>
                <w:bCs/>
                <w:color w:val="auto"/>
                <w:kern w:val="0"/>
                <w:sz w:val="24"/>
                <w:szCs w:val="24"/>
                <w:highlight w:val="none"/>
                <w:lang w:val="en-US" w:eastAsia="zh-CN" w:bidi="ar"/>
              </w:rPr>
              <w:t xml:space="preserve">（必须提供，否则响应文件按无效响应处理） </w:t>
            </w:r>
          </w:p>
          <w:p w14:paraId="17B3E904">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w:t>
            </w:r>
            <w:r>
              <w:rPr>
                <w:rFonts w:hint="eastAsia" w:ascii="宋体" w:hAnsi="宋体" w:cs="宋体"/>
                <w:color w:val="auto"/>
                <w:kern w:val="0"/>
                <w:sz w:val="24"/>
                <w:szCs w:val="24"/>
                <w:highlight w:val="none"/>
                <w:lang w:val="en-US" w:eastAsia="zh-CN" w:bidi="ar"/>
              </w:rPr>
              <w:t>9</w:t>
            </w:r>
            <w:r>
              <w:rPr>
                <w:rFonts w:hint="eastAsia" w:ascii="宋体" w:hAnsi="宋体" w:eastAsia="宋体" w:cs="宋体"/>
                <w:color w:val="auto"/>
                <w:kern w:val="0"/>
                <w:sz w:val="24"/>
                <w:szCs w:val="24"/>
                <w:highlight w:val="none"/>
                <w:lang w:val="en-US" w:eastAsia="zh-CN" w:bidi="ar"/>
              </w:rPr>
              <w:t>）拟投入本项目的技术负责人身份证、职称证复印件；</w:t>
            </w:r>
            <w:r>
              <w:rPr>
                <w:rFonts w:hint="eastAsia" w:ascii="宋体" w:hAnsi="宋体" w:eastAsia="宋体" w:cs="宋体"/>
                <w:b/>
                <w:bCs/>
                <w:color w:val="auto"/>
                <w:kern w:val="0"/>
                <w:sz w:val="24"/>
                <w:szCs w:val="24"/>
                <w:highlight w:val="none"/>
                <w:lang w:val="en-US" w:eastAsia="zh-CN" w:bidi="ar"/>
              </w:rPr>
              <w:t xml:space="preserve">（必须提供，否则响应文件按无效响应处理） </w:t>
            </w:r>
          </w:p>
          <w:p w14:paraId="7C09688C">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w:t>
            </w:r>
            <w:r>
              <w:rPr>
                <w:rFonts w:hint="eastAsia" w:ascii="宋体" w:hAnsi="宋体" w:cs="宋体"/>
                <w:color w:val="auto"/>
                <w:kern w:val="0"/>
                <w:sz w:val="24"/>
                <w:szCs w:val="24"/>
                <w:highlight w:val="none"/>
                <w:lang w:val="en-US" w:eastAsia="zh-CN" w:bidi="ar"/>
              </w:rPr>
              <w:t>10</w:t>
            </w:r>
            <w:r>
              <w:rPr>
                <w:rFonts w:hint="eastAsia" w:ascii="宋体" w:hAnsi="宋体" w:eastAsia="宋体" w:cs="宋体"/>
                <w:color w:val="auto"/>
                <w:kern w:val="0"/>
                <w:sz w:val="24"/>
                <w:szCs w:val="24"/>
                <w:highlight w:val="none"/>
                <w:lang w:val="en-US" w:eastAsia="zh-CN" w:bidi="ar"/>
              </w:rPr>
              <w:t>）拟投入本项目主要管理人员（施工员、质量员、安全员、材料员）身份证、上岗证（岗位培训证书复印件或网上继续教育培训合格证电子打印件）、安全员的安全生产考核合格证书（</w:t>
            </w:r>
            <w:r>
              <w:rPr>
                <w:rFonts w:hint="eastAsia" w:ascii="宋体" w:hAnsi="宋体" w:cs="宋体"/>
                <w:color w:val="auto"/>
                <w:kern w:val="0"/>
                <w:sz w:val="24"/>
                <w:szCs w:val="24"/>
                <w:highlight w:val="none"/>
                <w:lang w:val="en-US" w:eastAsia="zh-CN" w:bidi="ar"/>
              </w:rPr>
              <w:t>建安</w:t>
            </w:r>
            <w:r>
              <w:rPr>
                <w:rFonts w:hint="eastAsia" w:ascii="宋体" w:hAnsi="宋体" w:eastAsia="宋体" w:cs="宋体"/>
                <w:color w:val="auto"/>
                <w:kern w:val="0"/>
                <w:sz w:val="24"/>
                <w:szCs w:val="24"/>
                <w:highlight w:val="none"/>
                <w:lang w:val="en-US" w:eastAsia="zh-CN" w:bidi="ar"/>
              </w:rPr>
              <w:t>C证）复印件；</w:t>
            </w:r>
            <w:r>
              <w:rPr>
                <w:rFonts w:hint="eastAsia" w:ascii="宋体" w:hAnsi="宋体" w:eastAsia="宋体" w:cs="宋体"/>
                <w:b/>
                <w:bCs/>
                <w:color w:val="auto"/>
                <w:kern w:val="0"/>
                <w:sz w:val="24"/>
                <w:szCs w:val="24"/>
                <w:highlight w:val="none"/>
                <w:lang w:val="en-US" w:eastAsia="zh-CN" w:bidi="ar"/>
              </w:rPr>
              <w:t xml:space="preserve">（必须提供，否则响应文件按无效响应处理） </w:t>
            </w:r>
          </w:p>
          <w:p w14:paraId="382D65D7">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宋体" w:hAnsi="宋体" w:eastAsia="宋体" w:cs="宋体"/>
                <w:b/>
                <w:bCs/>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w:t>
            </w:r>
            <w:r>
              <w:rPr>
                <w:rFonts w:hint="eastAsia" w:ascii="宋体" w:hAnsi="宋体" w:cs="宋体"/>
                <w:color w:val="auto"/>
                <w:kern w:val="0"/>
                <w:sz w:val="24"/>
                <w:szCs w:val="24"/>
                <w:highlight w:val="none"/>
                <w:lang w:val="en-US" w:eastAsia="zh-CN" w:bidi="ar"/>
              </w:rPr>
              <w:t>11</w:t>
            </w:r>
            <w:r>
              <w:rPr>
                <w:rFonts w:hint="eastAsia" w:ascii="宋体" w:hAnsi="宋体" w:eastAsia="宋体" w:cs="宋体"/>
                <w:color w:val="auto"/>
                <w:kern w:val="0"/>
                <w:sz w:val="24"/>
                <w:szCs w:val="24"/>
                <w:highlight w:val="none"/>
                <w:lang w:val="en-US" w:eastAsia="zh-CN" w:bidi="ar"/>
              </w:rPr>
              <w:t>）</w:t>
            </w:r>
            <w:bookmarkStart w:id="123" w:name="OLE_LINK27"/>
            <w:r>
              <w:rPr>
                <w:rFonts w:hint="eastAsia" w:ascii="宋体" w:hAnsi="宋体" w:eastAsia="宋体" w:cs="宋体"/>
                <w:color w:val="auto"/>
                <w:kern w:val="0"/>
                <w:sz w:val="24"/>
                <w:szCs w:val="24"/>
                <w:highlight w:val="none"/>
                <w:lang w:val="en-US" w:eastAsia="zh-CN" w:bidi="ar"/>
              </w:rPr>
              <w:t>拟投入本项目的项目经理、技术负责人、专职安全员、施工员、质量员、材料员磋商截止之日前半年内任意</w:t>
            </w:r>
            <w:r>
              <w:rPr>
                <w:rFonts w:hint="eastAsia" w:ascii="宋体" w:hAnsi="宋体" w:cs="宋体"/>
                <w:color w:val="auto"/>
                <w:kern w:val="0"/>
                <w:sz w:val="24"/>
                <w:szCs w:val="24"/>
                <w:highlight w:val="none"/>
                <w:lang w:val="en-US" w:eastAsia="zh-CN" w:bidi="ar"/>
              </w:rPr>
              <w:t>1</w:t>
            </w:r>
            <w:r>
              <w:rPr>
                <w:rFonts w:hint="eastAsia" w:ascii="宋体" w:hAnsi="宋体" w:eastAsia="宋体" w:cs="宋体"/>
                <w:color w:val="auto"/>
                <w:kern w:val="0"/>
                <w:sz w:val="24"/>
                <w:szCs w:val="24"/>
                <w:highlight w:val="none"/>
                <w:lang w:val="en-US" w:eastAsia="zh-CN" w:bidi="ar"/>
              </w:rPr>
              <w:t>个月（从取得营业执照时间起到投标截止时间为止不足要求月数的只需提供从取得营业执照起的证明材料）在现任职单位依法缴纳社会保险证明材料的复印件</w:t>
            </w:r>
            <w:bookmarkEnd w:id="123"/>
            <w:r>
              <w:rPr>
                <w:rFonts w:hint="eastAsia" w:ascii="宋体" w:hAnsi="宋体" w:eastAsia="宋体" w:cs="宋体"/>
                <w:color w:val="auto"/>
                <w:kern w:val="0"/>
                <w:sz w:val="24"/>
                <w:szCs w:val="24"/>
                <w:highlight w:val="none"/>
                <w:lang w:val="en-US" w:eastAsia="zh-CN" w:bidi="ar"/>
              </w:rPr>
              <w:t>；</w:t>
            </w:r>
            <w:r>
              <w:rPr>
                <w:rFonts w:hint="eastAsia" w:ascii="宋体" w:hAnsi="宋体" w:eastAsia="宋体" w:cs="宋体"/>
                <w:b/>
                <w:bCs/>
                <w:color w:val="auto"/>
                <w:kern w:val="0"/>
                <w:sz w:val="24"/>
                <w:szCs w:val="24"/>
                <w:highlight w:val="none"/>
                <w:lang w:val="en-US" w:eastAsia="zh-CN" w:bidi="ar"/>
              </w:rPr>
              <w:t>（必须提供，否则响应文件按无效响应处理）</w:t>
            </w:r>
          </w:p>
          <w:p w14:paraId="3E0E600E">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宋体" w:hAnsi="宋体" w:eastAsia="宋体" w:cs="宋体"/>
                <w:b/>
                <w:bCs/>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（1</w:t>
            </w:r>
            <w:r>
              <w:rPr>
                <w:rFonts w:hint="eastAsia" w:ascii="宋体" w:hAnsi="宋体" w:cs="宋体"/>
                <w:color w:val="auto"/>
                <w:kern w:val="0"/>
                <w:sz w:val="24"/>
                <w:szCs w:val="24"/>
                <w:highlight w:val="none"/>
                <w:lang w:val="en-US" w:eastAsia="zh-CN" w:bidi="ar"/>
              </w:rPr>
              <w:t>2</w:t>
            </w:r>
            <w:r>
              <w:rPr>
                <w:rFonts w:hint="eastAsia" w:ascii="宋体" w:hAnsi="宋体" w:eastAsia="宋体" w:cs="宋体"/>
                <w:color w:val="auto"/>
                <w:kern w:val="0"/>
                <w:sz w:val="24"/>
                <w:szCs w:val="24"/>
                <w:highlight w:val="none"/>
                <w:lang w:val="en-US" w:eastAsia="zh-CN" w:bidi="ar"/>
              </w:rPr>
              <w:t>）《中小企业声明函》或监狱企业的证明文件或《残疾人福利性单位声明函》（格式后附）；</w:t>
            </w:r>
            <w:r>
              <w:rPr>
                <w:rFonts w:hint="eastAsia" w:ascii="宋体" w:hAnsi="宋体" w:eastAsia="宋体" w:cs="宋体"/>
                <w:b/>
                <w:bCs/>
                <w:color w:val="auto"/>
                <w:kern w:val="0"/>
                <w:sz w:val="24"/>
                <w:szCs w:val="24"/>
                <w:highlight w:val="none"/>
                <w:lang w:val="en-US" w:eastAsia="zh-CN" w:bidi="ar"/>
              </w:rPr>
              <w:t xml:space="preserve">（必须提供，否则响应文件按无效响应处理） </w:t>
            </w:r>
          </w:p>
          <w:p w14:paraId="5B16AE51">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 xml:space="preserve">（13）磋商供应商认为必要提供的声明及其它资料。 </w:t>
            </w:r>
          </w:p>
          <w:p w14:paraId="7311F64C">
            <w:pPr>
              <w:keepNext w:val="0"/>
              <w:keepLines w:val="0"/>
              <w:pageBreakBefore w:val="0"/>
              <w:widowControl/>
              <w:suppressLineNumbers w:val="0"/>
              <w:kinsoku/>
              <w:wordWrap/>
              <w:overflowPunct/>
              <w:topLinePunct w:val="0"/>
              <w:autoSpaceDE/>
              <w:autoSpaceDN/>
              <w:bidi w:val="0"/>
              <w:adjustRightInd/>
              <w:snapToGrid/>
              <w:spacing w:line="360" w:lineRule="auto"/>
              <w:ind w:firstLine="482" w:firstLineChars="200"/>
              <w:jc w:val="left"/>
              <w:textAlignment w:val="auto"/>
              <w:outlineLvl w:val="9"/>
              <w:rPr>
                <w:rFonts w:hint="eastAsia" w:ascii="宋体" w:hAnsi="宋体" w:eastAsia="宋体" w:cs="宋体"/>
                <w:b/>
                <w:bCs/>
                <w:color w:val="auto"/>
                <w:kern w:val="0"/>
                <w:sz w:val="24"/>
                <w:szCs w:val="24"/>
                <w:highlight w:val="none"/>
                <w:lang w:val="en-US" w:eastAsia="zh-CN" w:bidi="ar"/>
              </w:rPr>
            </w:pPr>
            <w:r>
              <w:rPr>
                <w:rFonts w:hint="eastAsia" w:ascii="宋体" w:hAnsi="宋体" w:eastAsia="宋体" w:cs="宋体"/>
                <w:b/>
                <w:bCs/>
                <w:color w:val="auto"/>
                <w:kern w:val="0"/>
                <w:sz w:val="24"/>
                <w:szCs w:val="24"/>
                <w:highlight w:val="none"/>
                <w:lang w:val="en-US" w:eastAsia="zh-CN" w:bidi="ar"/>
              </w:rPr>
              <w:t>注：1、上述要求必须提供的材料缺少任何一项或任何一项无效均会被视为资格审查不合格，响应文件按无效响应处理。</w:t>
            </w:r>
          </w:p>
          <w:p w14:paraId="3FE678BA">
            <w:pPr>
              <w:keepNext w:val="0"/>
              <w:keepLines w:val="0"/>
              <w:pageBreakBefore w:val="0"/>
              <w:widowControl/>
              <w:suppressLineNumbers w:val="0"/>
              <w:kinsoku/>
              <w:wordWrap/>
              <w:overflowPunct/>
              <w:topLinePunct w:val="0"/>
              <w:autoSpaceDE/>
              <w:autoSpaceDN/>
              <w:bidi w:val="0"/>
              <w:adjustRightInd/>
              <w:snapToGrid/>
              <w:spacing w:line="360" w:lineRule="auto"/>
              <w:ind w:firstLine="482" w:firstLineChars="200"/>
              <w:jc w:val="left"/>
              <w:textAlignment w:val="auto"/>
              <w:outlineLvl w:val="9"/>
              <w:rPr>
                <w:rFonts w:hint="eastAsia" w:ascii="宋体" w:hAnsi="宋体" w:eastAsia="宋体" w:cs="宋体"/>
                <w:b/>
                <w:color w:val="auto"/>
                <w:sz w:val="24"/>
                <w:szCs w:val="24"/>
                <w:highlight w:val="none"/>
              </w:rPr>
            </w:pPr>
            <w:r>
              <w:rPr>
                <w:rFonts w:hint="eastAsia" w:ascii="宋体" w:hAnsi="宋体" w:eastAsia="宋体" w:cs="宋体"/>
                <w:b/>
                <w:bCs/>
                <w:color w:val="auto"/>
                <w:kern w:val="0"/>
                <w:sz w:val="24"/>
                <w:szCs w:val="24"/>
                <w:highlight w:val="none"/>
                <w:lang w:val="en-US" w:eastAsia="zh-CN" w:bidi="ar"/>
              </w:rPr>
              <w:t>2、以上材料必须加盖供应商公章，否则响应文件按无效响应处理。</w:t>
            </w:r>
          </w:p>
        </w:tc>
      </w:tr>
      <w:tr w14:paraId="57EAE8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476DBAA2">
            <w:pPr>
              <w:keepNext w:val="0"/>
              <w:keepLines w:val="0"/>
              <w:pageBreakBefore w:val="0"/>
              <w:kinsoku/>
              <w:wordWrap/>
              <w:overflowPunct/>
              <w:topLinePunct w:val="0"/>
              <w:autoSpaceDE/>
              <w:autoSpaceDN/>
              <w:bidi w:val="0"/>
              <w:adjustRightInd/>
              <w:spacing w:line="360" w:lineRule="auto"/>
              <w:jc w:val="center"/>
              <w:textAlignment w:val="auto"/>
              <w:outlineLvl w:val="9"/>
              <w:rPr>
                <w:rFonts w:hint="eastAsia" w:ascii="宋体" w:hAnsi="宋体" w:eastAsia="宋体" w:cs="宋体"/>
                <w:color w:val="auto"/>
                <w:sz w:val="24"/>
                <w:szCs w:val="24"/>
                <w:highlight w:val="none"/>
              </w:rPr>
            </w:pPr>
            <w:bookmarkStart w:id="124" w:name="OLE_LINK20"/>
            <w:r>
              <w:rPr>
                <w:rFonts w:hint="eastAsia" w:ascii="宋体" w:hAnsi="宋体" w:eastAsia="宋体" w:cs="宋体"/>
                <w:color w:val="auto"/>
                <w:sz w:val="24"/>
                <w:szCs w:val="24"/>
                <w:highlight w:val="none"/>
              </w:rPr>
              <w:t>12.1.2</w:t>
            </w:r>
            <w:bookmarkEnd w:id="124"/>
          </w:p>
        </w:tc>
        <w:tc>
          <w:tcPr>
            <w:tcW w:w="8186" w:type="dxa"/>
            <w:vAlign w:val="center"/>
          </w:tcPr>
          <w:p w14:paraId="59C3A214">
            <w:pPr>
              <w:keepNext w:val="0"/>
              <w:keepLines w:val="0"/>
              <w:pageBreakBefore w:val="0"/>
              <w:widowControl/>
              <w:suppressLineNumbers w:val="0"/>
              <w:kinsoku/>
              <w:wordWrap/>
              <w:overflowPunct/>
              <w:topLinePunct w:val="0"/>
              <w:autoSpaceDE/>
              <w:autoSpaceDN/>
              <w:bidi w:val="0"/>
              <w:adjustRightInd/>
              <w:snapToGrid/>
              <w:spacing w:line="360" w:lineRule="auto"/>
              <w:ind w:firstLine="482" w:firstLineChars="200"/>
              <w:jc w:val="left"/>
              <w:textAlignment w:val="auto"/>
              <w:outlineLvl w:val="9"/>
              <w:rPr>
                <w:rFonts w:hint="eastAsia" w:ascii="宋体" w:hAnsi="宋体" w:eastAsia="宋体" w:cs="宋体"/>
                <w:color w:val="auto"/>
                <w:sz w:val="24"/>
                <w:szCs w:val="24"/>
                <w:highlight w:val="none"/>
              </w:rPr>
            </w:pPr>
            <w:r>
              <w:rPr>
                <w:rFonts w:hint="eastAsia" w:ascii="宋体" w:hAnsi="宋体" w:eastAsia="宋体" w:cs="宋体"/>
                <w:b/>
                <w:bCs/>
                <w:color w:val="auto"/>
                <w:kern w:val="0"/>
                <w:sz w:val="24"/>
                <w:szCs w:val="24"/>
                <w:highlight w:val="none"/>
                <w:lang w:val="en-US" w:eastAsia="zh-CN" w:bidi="ar"/>
              </w:rPr>
              <w:t>报价文件</w:t>
            </w:r>
            <w:r>
              <w:rPr>
                <w:rFonts w:hint="eastAsia" w:ascii="宋体" w:hAnsi="宋体" w:eastAsia="宋体" w:cs="宋体"/>
                <w:color w:val="auto"/>
                <w:kern w:val="0"/>
                <w:sz w:val="24"/>
                <w:szCs w:val="24"/>
                <w:highlight w:val="none"/>
                <w:lang w:val="en-US" w:eastAsia="zh-CN" w:bidi="ar"/>
              </w:rPr>
              <w:t xml:space="preserve"> </w:t>
            </w:r>
          </w:p>
          <w:p w14:paraId="123567C7">
            <w:pPr>
              <w:keepNext w:val="0"/>
              <w:keepLines w:val="0"/>
              <w:pageBreakBefore w:val="0"/>
              <w:kinsoku/>
              <w:wordWrap/>
              <w:overflowPunct/>
              <w:topLinePunct w:val="0"/>
              <w:autoSpaceDE/>
              <w:autoSpaceDN/>
              <w:bidi w:val="0"/>
              <w:adjustRightInd/>
              <w:snapToGrid w:val="0"/>
              <w:spacing w:line="360" w:lineRule="auto"/>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响应函及响应函附录</w:t>
            </w:r>
            <w:r>
              <w:rPr>
                <w:rFonts w:hint="eastAsia" w:ascii="宋体" w:hAnsi="宋体" w:eastAsia="宋体" w:cs="宋体"/>
                <w:color w:val="auto"/>
                <w:sz w:val="24"/>
                <w:szCs w:val="24"/>
                <w:highlight w:val="none"/>
              </w:rPr>
              <w:t>；</w:t>
            </w:r>
            <w:r>
              <w:rPr>
                <w:rFonts w:hint="eastAsia" w:ascii="宋体" w:hAnsi="宋体" w:eastAsia="宋体" w:cs="宋体"/>
                <w:b/>
                <w:bCs/>
                <w:color w:val="auto"/>
                <w:sz w:val="24"/>
                <w:szCs w:val="24"/>
                <w:highlight w:val="none"/>
              </w:rPr>
              <w:t>（必须提供，否则作无效响应处理）</w:t>
            </w:r>
          </w:p>
          <w:p w14:paraId="3B8DE7B6">
            <w:pPr>
              <w:keepNext w:val="0"/>
              <w:keepLines w:val="0"/>
              <w:pageBreakBefore w:val="0"/>
              <w:kinsoku/>
              <w:wordWrap/>
              <w:overflowPunct/>
              <w:topLinePunct w:val="0"/>
              <w:autoSpaceDE/>
              <w:autoSpaceDN/>
              <w:bidi w:val="0"/>
              <w:adjustRightInd/>
              <w:snapToGrid w:val="0"/>
              <w:spacing w:line="360" w:lineRule="auto"/>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响应报价表；</w:t>
            </w:r>
            <w:r>
              <w:rPr>
                <w:rFonts w:hint="eastAsia" w:ascii="宋体" w:hAnsi="宋体" w:eastAsia="宋体" w:cs="宋体"/>
                <w:b/>
                <w:bCs/>
                <w:color w:val="auto"/>
                <w:sz w:val="24"/>
                <w:szCs w:val="24"/>
                <w:highlight w:val="none"/>
              </w:rPr>
              <w:t>（必须提供，否则响应文件按无效响应处理）</w:t>
            </w:r>
          </w:p>
          <w:p w14:paraId="4EF659FF">
            <w:pPr>
              <w:keepNext w:val="0"/>
              <w:keepLines w:val="0"/>
              <w:pageBreakBefore w:val="0"/>
              <w:kinsoku/>
              <w:wordWrap/>
              <w:overflowPunct/>
              <w:topLinePunct w:val="0"/>
              <w:autoSpaceDE/>
              <w:autoSpaceDN/>
              <w:bidi w:val="0"/>
              <w:adjustRightInd/>
              <w:snapToGrid w:val="0"/>
              <w:spacing w:line="360" w:lineRule="auto"/>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已标价工程量清单；</w:t>
            </w:r>
            <w:r>
              <w:rPr>
                <w:rFonts w:hint="eastAsia" w:ascii="宋体" w:hAnsi="宋体" w:eastAsia="宋体" w:cs="宋体"/>
                <w:b/>
                <w:bCs/>
                <w:color w:val="auto"/>
                <w:sz w:val="24"/>
                <w:szCs w:val="24"/>
                <w:highlight w:val="none"/>
              </w:rPr>
              <w:t>（必须提供，否则响应文件按无效响应处理）</w:t>
            </w:r>
          </w:p>
          <w:p w14:paraId="0215EC63">
            <w:pPr>
              <w:keepNext w:val="0"/>
              <w:keepLines w:val="0"/>
              <w:pageBreakBefore w:val="0"/>
              <w:kinsoku/>
              <w:wordWrap/>
              <w:overflowPunct/>
              <w:topLinePunct w:val="0"/>
              <w:autoSpaceDE/>
              <w:autoSpaceDN/>
              <w:bidi w:val="0"/>
              <w:adjustRightInd/>
              <w:snapToGrid w:val="0"/>
              <w:spacing w:line="360" w:lineRule="auto"/>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供应商针对报价需要说明的其他文件和说明。</w:t>
            </w:r>
          </w:p>
          <w:p w14:paraId="28103C2A">
            <w:pPr>
              <w:keepNext w:val="0"/>
              <w:keepLines w:val="0"/>
              <w:pageBreakBefore w:val="0"/>
              <w:widowControl/>
              <w:suppressLineNumbers w:val="0"/>
              <w:kinsoku/>
              <w:wordWrap/>
              <w:overflowPunct/>
              <w:topLinePunct w:val="0"/>
              <w:autoSpaceDE/>
              <w:autoSpaceDN/>
              <w:bidi w:val="0"/>
              <w:adjustRightInd/>
              <w:snapToGrid/>
              <w:spacing w:line="360" w:lineRule="auto"/>
              <w:ind w:firstLine="482" w:firstLineChars="200"/>
              <w:jc w:val="left"/>
              <w:textAlignment w:val="auto"/>
              <w:outlineLvl w:val="9"/>
              <w:rPr>
                <w:rFonts w:hint="eastAsia" w:ascii="宋体" w:hAnsi="宋体" w:eastAsia="宋体" w:cs="宋体"/>
                <w:color w:val="auto"/>
                <w:sz w:val="24"/>
                <w:szCs w:val="24"/>
                <w:highlight w:val="none"/>
              </w:rPr>
            </w:pPr>
            <w:r>
              <w:rPr>
                <w:rFonts w:hint="eastAsia" w:ascii="宋体" w:hAnsi="宋体" w:eastAsia="宋体" w:cs="宋体"/>
                <w:b/>
                <w:bCs/>
                <w:color w:val="auto"/>
                <w:kern w:val="0"/>
                <w:sz w:val="24"/>
                <w:szCs w:val="24"/>
                <w:highlight w:val="none"/>
                <w:lang w:val="en-US" w:eastAsia="zh-CN" w:bidi="ar"/>
              </w:rPr>
              <w:t>注：以上材料必须加盖供应商</w:t>
            </w:r>
            <w:r>
              <w:rPr>
                <w:rFonts w:hint="eastAsia" w:ascii="宋体" w:hAnsi="宋体" w:cs="宋体"/>
                <w:b/>
                <w:bCs/>
                <w:color w:val="auto"/>
                <w:kern w:val="0"/>
                <w:sz w:val="24"/>
                <w:szCs w:val="24"/>
                <w:highlight w:val="none"/>
                <w:lang w:val="en-US" w:eastAsia="zh-CN" w:bidi="ar"/>
              </w:rPr>
              <w:t>电子签章</w:t>
            </w:r>
            <w:r>
              <w:rPr>
                <w:rFonts w:hint="eastAsia" w:ascii="宋体" w:hAnsi="宋体" w:eastAsia="宋体" w:cs="宋体"/>
                <w:b/>
                <w:bCs/>
                <w:color w:val="auto"/>
                <w:kern w:val="0"/>
                <w:sz w:val="24"/>
                <w:szCs w:val="24"/>
                <w:highlight w:val="none"/>
                <w:lang w:val="en-US" w:eastAsia="zh-CN" w:bidi="ar"/>
              </w:rPr>
              <w:t>，否则响应文件按无效响应处理。</w:t>
            </w:r>
          </w:p>
        </w:tc>
      </w:tr>
      <w:tr w14:paraId="5A5570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357981DB">
            <w:pPr>
              <w:keepNext w:val="0"/>
              <w:keepLines w:val="0"/>
              <w:pageBreakBefore w:val="0"/>
              <w:kinsoku/>
              <w:wordWrap/>
              <w:overflowPunct/>
              <w:topLinePunct w:val="0"/>
              <w:autoSpaceDE/>
              <w:autoSpaceDN/>
              <w:bidi w:val="0"/>
              <w:adjustRightInd/>
              <w:spacing w:line="360" w:lineRule="auto"/>
              <w:jc w:val="center"/>
              <w:textAlignment w:val="auto"/>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12.1.3</w:t>
            </w:r>
          </w:p>
        </w:tc>
        <w:tc>
          <w:tcPr>
            <w:tcW w:w="8186" w:type="dxa"/>
            <w:vAlign w:val="center"/>
          </w:tcPr>
          <w:p w14:paraId="40649E60">
            <w:pPr>
              <w:keepNext w:val="0"/>
              <w:keepLines w:val="0"/>
              <w:pageBreakBefore w:val="0"/>
              <w:widowControl/>
              <w:suppressLineNumbers w:val="0"/>
              <w:kinsoku/>
              <w:wordWrap/>
              <w:overflowPunct/>
              <w:topLinePunct w:val="0"/>
              <w:autoSpaceDE/>
              <w:autoSpaceDN/>
              <w:bidi w:val="0"/>
              <w:adjustRightInd/>
              <w:snapToGrid/>
              <w:spacing w:line="360" w:lineRule="auto"/>
              <w:ind w:firstLine="482" w:firstLineChars="200"/>
              <w:jc w:val="left"/>
              <w:textAlignment w:val="auto"/>
              <w:outlineLvl w:val="9"/>
              <w:rPr>
                <w:rFonts w:hint="eastAsia" w:ascii="宋体" w:hAnsi="宋体" w:eastAsia="宋体" w:cs="宋体"/>
                <w:b/>
                <w:bCs/>
                <w:color w:val="auto"/>
                <w:kern w:val="0"/>
                <w:sz w:val="24"/>
                <w:szCs w:val="24"/>
                <w:highlight w:val="none"/>
                <w:lang w:val="en-US" w:eastAsia="zh-CN" w:bidi="ar"/>
              </w:rPr>
            </w:pPr>
            <w:r>
              <w:rPr>
                <w:rFonts w:hint="eastAsia" w:ascii="宋体" w:hAnsi="宋体" w:eastAsia="宋体" w:cs="宋体"/>
                <w:b/>
                <w:bCs/>
                <w:color w:val="auto"/>
                <w:kern w:val="0"/>
                <w:sz w:val="24"/>
                <w:szCs w:val="24"/>
                <w:highlight w:val="none"/>
                <w:lang w:val="en-US" w:eastAsia="zh-CN" w:bidi="ar"/>
              </w:rPr>
              <w:t xml:space="preserve">商务技术文件 </w:t>
            </w:r>
          </w:p>
          <w:p w14:paraId="24677D57">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宋体" w:hAnsi="宋体" w:eastAsia="宋体" w:cs="宋体"/>
                <w:b/>
                <w:bCs/>
                <w:color w:val="auto"/>
                <w:kern w:val="0"/>
                <w:sz w:val="24"/>
                <w:szCs w:val="24"/>
                <w:highlight w:val="none"/>
                <w:lang w:val="en-US" w:eastAsia="zh-CN" w:bidi="ar"/>
              </w:rPr>
            </w:pPr>
            <w:r>
              <w:rPr>
                <w:rFonts w:hint="eastAsia" w:ascii="宋体" w:hAnsi="宋体" w:cs="宋体"/>
                <w:color w:val="auto"/>
                <w:kern w:val="0"/>
                <w:sz w:val="24"/>
                <w:szCs w:val="24"/>
                <w:highlight w:val="none"/>
                <w:lang w:val="en-US" w:eastAsia="zh-CN" w:bidi="ar"/>
              </w:rPr>
              <w:t>（1）</w:t>
            </w:r>
            <w:r>
              <w:rPr>
                <w:rFonts w:hint="eastAsia" w:ascii="宋体" w:hAnsi="宋体" w:eastAsia="宋体" w:cs="宋体"/>
                <w:color w:val="auto"/>
                <w:kern w:val="0"/>
                <w:sz w:val="24"/>
                <w:szCs w:val="24"/>
                <w:highlight w:val="none"/>
                <w:lang w:val="en-US" w:eastAsia="zh-CN" w:bidi="ar"/>
              </w:rPr>
              <w:t>无串通竞标行为的承诺函</w:t>
            </w:r>
            <w:r>
              <w:rPr>
                <w:rFonts w:hint="eastAsia" w:ascii="宋体" w:hAnsi="宋体" w:cs="宋体"/>
                <w:color w:val="auto"/>
                <w:kern w:val="0"/>
                <w:sz w:val="24"/>
                <w:szCs w:val="24"/>
                <w:highlight w:val="none"/>
                <w:lang w:val="en-US" w:eastAsia="zh-CN" w:bidi="ar"/>
              </w:rPr>
              <w:t>；</w:t>
            </w:r>
            <w:r>
              <w:rPr>
                <w:rFonts w:hint="eastAsia" w:ascii="宋体" w:hAnsi="宋体" w:eastAsia="宋体" w:cs="宋体"/>
                <w:b/>
                <w:bCs/>
                <w:color w:val="auto"/>
                <w:kern w:val="0"/>
                <w:sz w:val="24"/>
                <w:szCs w:val="24"/>
                <w:highlight w:val="none"/>
                <w:lang w:val="en-US" w:eastAsia="zh-CN" w:bidi="ar"/>
              </w:rPr>
              <w:t>（必须提供，否则响应文件按无效响应处理）</w:t>
            </w:r>
          </w:p>
          <w:p w14:paraId="4B6777FF">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color w:val="auto"/>
                <w:sz w:val="24"/>
                <w:szCs w:val="24"/>
                <w:highlight w:val="none"/>
                <w:lang w:val="en-US" w:eastAsia="zh-CN"/>
              </w:rPr>
            </w:pPr>
            <w:r>
              <w:rPr>
                <w:rFonts w:hint="eastAsia" w:ascii="宋体" w:hAnsi="宋体" w:eastAsia="宋体" w:cs="宋体"/>
                <w:color w:val="auto"/>
                <w:kern w:val="0"/>
                <w:sz w:val="24"/>
                <w:szCs w:val="24"/>
                <w:highlight w:val="none"/>
                <w:lang w:val="en-US" w:eastAsia="zh-CN" w:bidi="ar"/>
              </w:rPr>
              <w:t>（</w:t>
            </w:r>
            <w:r>
              <w:rPr>
                <w:rFonts w:hint="eastAsia" w:ascii="宋体" w:hAnsi="宋体" w:cs="宋体"/>
                <w:color w:val="auto"/>
                <w:kern w:val="0"/>
                <w:sz w:val="24"/>
                <w:szCs w:val="24"/>
                <w:highlight w:val="none"/>
                <w:lang w:val="en-US" w:eastAsia="zh-CN" w:bidi="ar"/>
              </w:rPr>
              <w:t>2</w:t>
            </w:r>
            <w:r>
              <w:rPr>
                <w:rFonts w:hint="eastAsia" w:ascii="宋体" w:hAnsi="宋体" w:eastAsia="宋体" w:cs="宋体"/>
                <w:color w:val="auto"/>
                <w:kern w:val="0"/>
                <w:sz w:val="24"/>
                <w:szCs w:val="24"/>
                <w:highlight w:val="none"/>
                <w:lang w:val="en-US" w:eastAsia="zh-CN" w:bidi="ar"/>
              </w:rPr>
              <w:t>）商务条款偏离表</w:t>
            </w:r>
            <w:r>
              <w:rPr>
                <w:rFonts w:hint="eastAsia" w:ascii="宋体" w:hAnsi="宋体" w:cs="宋体"/>
                <w:color w:val="auto"/>
                <w:kern w:val="0"/>
                <w:sz w:val="24"/>
                <w:szCs w:val="24"/>
                <w:highlight w:val="none"/>
                <w:lang w:val="en-US" w:eastAsia="zh-CN" w:bidi="ar"/>
              </w:rPr>
              <w:t>；</w:t>
            </w:r>
            <w:r>
              <w:rPr>
                <w:rFonts w:hint="eastAsia" w:ascii="宋体" w:hAnsi="宋体" w:eastAsia="宋体" w:cs="宋体"/>
                <w:b/>
                <w:bCs/>
                <w:color w:val="auto"/>
                <w:kern w:val="0"/>
                <w:sz w:val="24"/>
                <w:szCs w:val="24"/>
                <w:highlight w:val="none"/>
                <w:lang w:val="en-US" w:eastAsia="zh-CN" w:bidi="ar"/>
              </w:rPr>
              <w:t xml:space="preserve">（必须提供，否则响应文件按无效响应处理） </w:t>
            </w:r>
          </w:p>
          <w:p w14:paraId="25E90B1A">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宋体" w:hAnsi="宋体" w:eastAsia="宋体" w:cs="宋体"/>
                <w:b/>
                <w:bCs/>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w:t>
            </w:r>
            <w:r>
              <w:rPr>
                <w:rFonts w:hint="eastAsia" w:ascii="宋体" w:hAnsi="宋体" w:cs="宋体"/>
                <w:color w:val="auto"/>
                <w:kern w:val="0"/>
                <w:sz w:val="24"/>
                <w:szCs w:val="24"/>
                <w:highlight w:val="none"/>
                <w:lang w:val="en-US" w:eastAsia="zh-CN" w:bidi="ar"/>
              </w:rPr>
              <w:t>3</w:t>
            </w:r>
            <w:r>
              <w:rPr>
                <w:rFonts w:hint="eastAsia" w:ascii="宋体" w:hAnsi="宋体" w:eastAsia="宋体" w:cs="宋体"/>
                <w:color w:val="auto"/>
                <w:kern w:val="0"/>
                <w:sz w:val="24"/>
                <w:szCs w:val="24"/>
                <w:highlight w:val="none"/>
                <w:lang w:val="en-US" w:eastAsia="zh-CN" w:bidi="ar"/>
              </w:rPr>
              <w:t>）项目管理机构配备情况表及项目经理、技术负责人简历表</w:t>
            </w:r>
            <w:r>
              <w:rPr>
                <w:rFonts w:hint="eastAsia" w:ascii="宋体" w:hAnsi="宋体" w:cs="宋体"/>
                <w:color w:val="auto"/>
                <w:kern w:val="0"/>
                <w:sz w:val="24"/>
                <w:szCs w:val="24"/>
                <w:highlight w:val="none"/>
                <w:lang w:val="en-US" w:eastAsia="zh-CN" w:bidi="ar"/>
              </w:rPr>
              <w:t>；</w:t>
            </w:r>
            <w:r>
              <w:rPr>
                <w:rFonts w:hint="eastAsia" w:ascii="宋体" w:hAnsi="宋体" w:eastAsia="宋体" w:cs="宋体"/>
                <w:b/>
                <w:bCs/>
                <w:color w:val="auto"/>
                <w:kern w:val="0"/>
                <w:sz w:val="24"/>
                <w:szCs w:val="24"/>
                <w:highlight w:val="none"/>
                <w:lang w:val="en-US" w:eastAsia="zh-CN" w:bidi="ar"/>
              </w:rPr>
              <w:t xml:space="preserve">（必须提供，否则响应文件按无效响应处理） </w:t>
            </w:r>
          </w:p>
          <w:p w14:paraId="4D97AD78">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w:t>
            </w:r>
            <w:r>
              <w:rPr>
                <w:rFonts w:hint="eastAsia" w:ascii="宋体" w:hAnsi="宋体" w:cs="宋体"/>
                <w:color w:val="auto"/>
                <w:kern w:val="0"/>
                <w:sz w:val="24"/>
                <w:szCs w:val="24"/>
                <w:highlight w:val="none"/>
                <w:lang w:val="en-US" w:eastAsia="zh-CN" w:bidi="ar"/>
              </w:rPr>
              <w:t>4</w:t>
            </w:r>
            <w:r>
              <w:rPr>
                <w:rFonts w:hint="eastAsia" w:ascii="宋体" w:hAnsi="宋体" w:eastAsia="宋体" w:cs="宋体"/>
                <w:color w:val="auto"/>
                <w:kern w:val="0"/>
                <w:sz w:val="24"/>
                <w:szCs w:val="24"/>
                <w:highlight w:val="none"/>
                <w:lang w:val="en-US" w:eastAsia="zh-CN" w:bidi="ar"/>
              </w:rPr>
              <w:t>）施工组织设计；</w:t>
            </w:r>
            <w:r>
              <w:rPr>
                <w:rFonts w:hint="eastAsia" w:ascii="宋体" w:hAnsi="宋体" w:eastAsia="宋体" w:cs="宋体"/>
                <w:b/>
                <w:bCs/>
                <w:color w:val="auto"/>
                <w:kern w:val="0"/>
                <w:sz w:val="24"/>
                <w:szCs w:val="24"/>
                <w:highlight w:val="none"/>
                <w:lang w:val="en-US" w:eastAsia="zh-CN" w:bidi="ar"/>
              </w:rPr>
              <w:t xml:space="preserve">（必须提供，否则响应文件按无效响应处理） </w:t>
            </w:r>
          </w:p>
          <w:p w14:paraId="2FBCBF95">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w:t>
            </w:r>
            <w:r>
              <w:rPr>
                <w:rFonts w:hint="eastAsia" w:ascii="宋体" w:hAnsi="宋体" w:cs="宋体"/>
                <w:color w:val="auto"/>
                <w:kern w:val="0"/>
                <w:sz w:val="24"/>
                <w:szCs w:val="24"/>
                <w:highlight w:val="none"/>
                <w:lang w:val="en-US" w:eastAsia="zh-CN" w:bidi="ar"/>
              </w:rPr>
              <w:t>5</w:t>
            </w:r>
            <w:r>
              <w:rPr>
                <w:rFonts w:hint="eastAsia" w:ascii="宋体" w:hAnsi="宋体" w:eastAsia="宋体" w:cs="宋体"/>
                <w:color w:val="auto"/>
                <w:kern w:val="0"/>
                <w:sz w:val="24"/>
                <w:szCs w:val="24"/>
                <w:highlight w:val="none"/>
                <w:lang w:val="en-US" w:eastAsia="zh-CN" w:bidi="ar"/>
              </w:rPr>
              <w:t xml:space="preserve">）资信业绩（如有）； </w:t>
            </w:r>
          </w:p>
          <w:p w14:paraId="38A7C0DF">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w:t>
            </w:r>
            <w:r>
              <w:rPr>
                <w:rFonts w:hint="eastAsia" w:ascii="宋体" w:hAnsi="宋体" w:cs="宋体"/>
                <w:color w:val="auto"/>
                <w:kern w:val="0"/>
                <w:sz w:val="24"/>
                <w:szCs w:val="24"/>
                <w:highlight w:val="none"/>
                <w:lang w:val="en-US" w:eastAsia="zh-CN" w:bidi="ar"/>
              </w:rPr>
              <w:t>6</w:t>
            </w:r>
            <w:r>
              <w:rPr>
                <w:rFonts w:hint="eastAsia" w:ascii="宋体" w:hAnsi="宋体" w:eastAsia="宋体" w:cs="宋体"/>
                <w:color w:val="auto"/>
                <w:kern w:val="0"/>
                <w:sz w:val="24"/>
                <w:szCs w:val="24"/>
                <w:highlight w:val="none"/>
                <w:lang w:val="en-US" w:eastAsia="zh-CN" w:bidi="ar"/>
              </w:rPr>
              <w:t xml:space="preserve">）磋商供应商认为必要提供的声明及其它资料（如有）。 </w:t>
            </w:r>
          </w:p>
          <w:p w14:paraId="2958EBB7">
            <w:pPr>
              <w:keepNext w:val="0"/>
              <w:keepLines w:val="0"/>
              <w:pageBreakBefore w:val="0"/>
              <w:widowControl/>
              <w:suppressLineNumbers w:val="0"/>
              <w:kinsoku/>
              <w:wordWrap/>
              <w:overflowPunct/>
              <w:topLinePunct w:val="0"/>
              <w:autoSpaceDE/>
              <w:autoSpaceDN/>
              <w:bidi w:val="0"/>
              <w:adjustRightInd/>
              <w:snapToGrid/>
              <w:spacing w:line="360" w:lineRule="auto"/>
              <w:ind w:firstLine="482" w:firstLineChars="200"/>
              <w:jc w:val="left"/>
              <w:textAlignment w:val="auto"/>
              <w:outlineLvl w:val="9"/>
              <w:rPr>
                <w:rFonts w:hint="eastAsia" w:ascii="宋体" w:hAnsi="宋体" w:eastAsia="宋体" w:cs="宋体"/>
                <w:color w:val="auto"/>
                <w:sz w:val="24"/>
                <w:szCs w:val="24"/>
                <w:highlight w:val="none"/>
              </w:rPr>
            </w:pPr>
            <w:r>
              <w:rPr>
                <w:rFonts w:hint="eastAsia" w:ascii="宋体" w:hAnsi="宋体" w:eastAsia="宋体" w:cs="宋体"/>
                <w:b/>
                <w:bCs/>
                <w:color w:val="auto"/>
                <w:kern w:val="0"/>
                <w:sz w:val="24"/>
                <w:szCs w:val="24"/>
                <w:highlight w:val="none"/>
                <w:lang w:val="en-US" w:eastAsia="zh-CN" w:bidi="ar"/>
              </w:rPr>
              <w:t>注：以上材料必须加盖供应商</w:t>
            </w:r>
            <w:r>
              <w:rPr>
                <w:rFonts w:hint="eastAsia" w:ascii="宋体" w:hAnsi="宋体" w:cs="宋体"/>
                <w:b/>
                <w:bCs/>
                <w:color w:val="auto"/>
                <w:kern w:val="0"/>
                <w:sz w:val="24"/>
                <w:szCs w:val="24"/>
                <w:highlight w:val="none"/>
                <w:lang w:val="en-US" w:eastAsia="zh-CN" w:bidi="ar"/>
              </w:rPr>
              <w:t>电子签章</w:t>
            </w:r>
            <w:r>
              <w:rPr>
                <w:rFonts w:hint="eastAsia" w:ascii="宋体" w:hAnsi="宋体" w:eastAsia="宋体" w:cs="宋体"/>
                <w:b/>
                <w:bCs/>
                <w:color w:val="auto"/>
                <w:kern w:val="0"/>
                <w:sz w:val="24"/>
                <w:szCs w:val="24"/>
                <w:highlight w:val="none"/>
                <w:lang w:val="en-US" w:eastAsia="zh-CN" w:bidi="ar"/>
              </w:rPr>
              <w:t>，否则响应文件按无效响应处理。</w:t>
            </w:r>
          </w:p>
        </w:tc>
      </w:tr>
      <w:tr w14:paraId="4CDB2C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4BA64A31">
            <w:pPr>
              <w:keepNext w:val="0"/>
              <w:keepLines w:val="0"/>
              <w:pageBreakBefore w:val="0"/>
              <w:kinsoku/>
              <w:wordWrap/>
              <w:overflowPunct/>
              <w:topLinePunct w:val="0"/>
              <w:autoSpaceDE/>
              <w:autoSpaceDN/>
              <w:bidi w:val="0"/>
              <w:adjustRightInd/>
              <w:spacing w:line="360" w:lineRule="auto"/>
              <w:jc w:val="center"/>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12.2</w:t>
            </w:r>
          </w:p>
        </w:tc>
        <w:tc>
          <w:tcPr>
            <w:tcW w:w="8186" w:type="dxa"/>
            <w:vAlign w:val="center"/>
          </w:tcPr>
          <w:p w14:paraId="0B300A4B">
            <w:pPr>
              <w:keepNext w:val="0"/>
              <w:keepLines w:val="0"/>
              <w:pageBreakBefore w:val="0"/>
              <w:kinsoku/>
              <w:wordWrap/>
              <w:overflowPunct/>
              <w:topLinePunct w:val="0"/>
              <w:autoSpaceDE/>
              <w:autoSpaceDN/>
              <w:bidi w:val="0"/>
              <w:adjustRightInd/>
              <w:snapToGrid w:val="0"/>
              <w:spacing w:line="360" w:lineRule="auto"/>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1、响应文件电子版要求：投标文件应按资格证明文件、报价</w:t>
            </w:r>
            <w:r>
              <w:rPr>
                <w:rFonts w:hint="eastAsia" w:ascii="宋体" w:hAnsi="宋体" w:eastAsia="宋体" w:cs="宋体"/>
                <w:color w:val="auto"/>
                <w:sz w:val="24"/>
                <w:szCs w:val="24"/>
                <w:highlight w:val="none"/>
                <w:lang w:val="en-US" w:eastAsia="zh-CN"/>
              </w:rPr>
              <w:t>文件、</w:t>
            </w:r>
            <w:r>
              <w:rPr>
                <w:rFonts w:hint="eastAsia" w:ascii="宋体" w:hAnsi="宋体" w:eastAsia="宋体" w:cs="宋体"/>
                <w:color w:val="auto"/>
                <w:sz w:val="24"/>
                <w:szCs w:val="24"/>
                <w:highlight w:val="none"/>
              </w:rPr>
              <w:t>商务技术文件分别编制，资格证明文件、报价</w:t>
            </w:r>
            <w:r>
              <w:rPr>
                <w:rFonts w:hint="eastAsia" w:ascii="宋体" w:hAnsi="宋体" w:eastAsia="宋体" w:cs="宋体"/>
                <w:color w:val="auto"/>
                <w:sz w:val="24"/>
                <w:szCs w:val="24"/>
                <w:highlight w:val="none"/>
                <w:lang w:val="en-US" w:eastAsia="zh-CN"/>
              </w:rPr>
              <w:t>文件、</w:t>
            </w:r>
            <w:r>
              <w:rPr>
                <w:rFonts w:hint="eastAsia" w:ascii="宋体" w:hAnsi="宋体" w:eastAsia="宋体" w:cs="宋体"/>
                <w:color w:val="auto"/>
                <w:sz w:val="24"/>
                <w:szCs w:val="24"/>
                <w:highlight w:val="none"/>
              </w:rPr>
              <w:t>商务技术文件按顺序合并生成电子文件。不可涂改，否则响应文件按无效响应处理。</w:t>
            </w:r>
          </w:p>
          <w:p w14:paraId="2913EEC0">
            <w:pPr>
              <w:keepNext w:val="0"/>
              <w:keepLines w:val="0"/>
              <w:pageBreakBefore w:val="0"/>
              <w:kinsoku/>
              <w:wordWrap/>
              <w:overflowPunct/>
              <w:topLinePunct w:val="0"/>
              <w:autoSpaceDE/>
              <w:autoSpaceDN/>
              <w:bidi w:val="0"/>
              <w:adjustRightInd/>
              <w:snapToGrid w:val="0"/>
              <w:spacing w:line="360" w:lineRule="auto"/>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2、响应文件电子版密封方式：电子响应文件通过平台有效CA加密后在广西政府采购云平台投送。</w:t>
            </w:r>
          </w:p>
          <w:p w14:paraId="3B5E40D3">
            <w:pPr>
              <w:keepNext w:val="0"/>
              <w:keepLines w:val="0"/>
              <w:pageBreakBefore w:val="0"/>
              <w:kinsoku/>
              <w:wordWrap/>
              <w:overflowPunct/>
              <w:topLinePunct w:val="0"/>
              <w:autoSpaceDE/>
              <w:autoSpaceDN/>
              <w:bidi w:val="0"/>
              <w:adjustRightInd/>
              <w:snapToGrid w:val="0"/>
              <w:spacing w:line="360" w:lineRule="auto"/>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3、电子《投标文件》是指通过“ 广西政府采购云平台电子投标客户端”完成《投标文件》编制后生成并加密的数据电文形式的电子加密《投标文件》</w:t>
            </w:r>
          </w:p>
        </w:tc>
      </w:tr>
      <w:tr w14:paraId="424F8D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992" w:type="dxa"/>
            <w:vAlign w:val="center"/>
          </w:tcPr>
          <w:p w14:paraId="7F808408">
            <w:pPr>
              <w:keepNext w:val="0"/>
              <w:keepLines w:val="0"/>
              <w:pageBreakBefore w:val="0"/>
              <w:kinsoku/>
              <w:wordWrap/>
              <w:overflowPunct/>
              <w:topLinePunct w:val="0"/>
              <w:autoSpaceDE/>
              <w:autoSpaceDN/>
              <w:bidi w:val="0"/>
              <w:adjustRightInd/>
              <w:spacing w:line="360" w:lineRule="auto"/>
              <w:jc w:val="center"/>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15.2</w:t>
            </w:r>
          </w:p>
        </w:tc>
        <w:tc>
          <w:tcPr>
            <w:tcW w:w="8186" w:type="dxa"/>
            <w:vAlign w:val="center"/>
          </w:tcPr>
          <w:p w14:paraId="4DB092A4">
            <w:pPr>
              <w:keepNext w:val="0"/>
              <w:keepLines w:val="0"/>
              <w:pageBreakBefore w:val="0"/>
              <w:kinsoku/>
              <w:wordWrap/>
              <w:overflowPunct/>
              <w:topLinePunct w:val="0"/>
              <w:autoSpaceDE/>
              <w:autoSpaceDN/>
              <w:bidi w:val="0"/>
              <w:adjustRightInd/>
              <w:snapToGrid w:val="0"/>
              <w:spacing w:line="360" w:lineRule="auto"/>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竞争性磋商报价包括为实施和完成合同工程所需的劳务、材料、机械、质检（自检）、安装、缺陷修复、管理、保险、税费、利润以及设计及安全文明施工费等费用，以及合同明示或暗示的所有责任、义务和一般风险。</w:t>
            </w:r>
          </w:p>
          <w:p w14:paraId="32C1A41C">
            <w:pPr>
              <w:keepNext w:val="0"/>
              <w:keepLines w:val="0"/>
              <w:pageBreakBefore w:val="0"/>
              <w:kinsoku/>
              <w:wordWrap/>
              <w:overflowPunct/>
              <w:topLinePunct w:val="0"/>
              <w:autoSpaceDE/>
              <w:autoSpaceDN/>
              <w:bidi w:val="0"/>
              <w:adjustRightInd/>
              <w:snapToGrid w:val="0"/>
              <w:spacing w:line="360" w:lineRule="auto"/>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磋商报价：本工程磋商报价采用工程量清单报价。供应商应就采购人提供的工程量清单全部内容作完整唯一报价，漏项报价的或有选择的或有条件的报价，其磋商将视为无效。</w:t>
            </w:r>
          </w:p>
        </w:tc>
      </w:tr>
      <w:tr w14:paraId="39D849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992" w:type="dxa"/>
            <w:vAlign w:val="center"/>
          </w:tcPr>
          <w:p w14:paraId="17498679">
            <w:pPr>
              <w:keepNext w:val="0"/>
              <w:keepLines w:val="0"/>
              <w:pageBreakBefore w:val="0"/>
              <w:kinsoku/>
              <w:wordWrap/>
              <w:overflowPunct/>
              <w:topLinePunct w:val="0"/>
              <w:autoSpaceDE/>
              <w:autoSpaceDN/>
              <w:bidi w:val="0"/>
              <w:adjustRightInd/>
              <w:spacing w:line="360" w:lineRule="auto"/>
              <w:jc w:val="center"/>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16.2</w:t>
            </w:r>
          </w:p>
        </w:tc>
        <w:tc>
          <w:tcPr>
            <w:tcW w:w="8186" w:type="dxa"/>
            <w:vAlign w:val="center"/>
          </w:tcPr>
          <w:p w14:paraId="70746889">
            <w:pPr>
              <w:pStyle w:val="10"/>
              <w:keepNext w:val="0"/>
              <w:keepLines w:val="0"/>
              <w:pageBreakBefore w:val="0"/>
              <w:widowControl w:val="0"/>
              <w:tabs>
                <w:tab w:val="clear" w:pos="454"/>
              </w:tabs>
              <w:kinsoku/>
              <w:wordWrap/>
              <w:overflowPunct/>
              <w:topLinePunct w:val="0"/>
              <w:autoSpaceDE/>
              <w:autoSpaceDN/>
              <w:bidi w:val="0"/>
              <w:adjustRightInd/>
              <w:snapToGrid w:val="0"/>
              <w:spacing w:afterLines="0" w:line="360" w:lineRule="auto"/>
              <w:ind w:left="0" w:firstLine="480" w:firstLineChars="200"/>
              <w:jc w:val="both"/>
              <w:textAlignment w:val="auto"/>
              <w:outlineLvl w:val="9"/>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竞标有效期：自首次响应文件提交截止之日起</w:t>
            </w:r>
            <w:r>
              <w:rPr>
                <w:rFonts w:hint="eastAsia" w:ascii="宋体" w:hAnsi="宋体" w:eastAsia="宋体" w:cs="宋体"/>
                <w:color w:val="auto"/>
                <w:kern w:val="2"/>
                <w:sz w:val="24"/>
                <w:szCs w:val="24"/>
                <w:highlight w:val="none"/>
                <w:u w:val="single"/>
              </w:rPr>
              <w:t xml:space="preserve"> 60 </w:t>
            </w:r>
            <w:r>
              <w:rPr>
                <w:rFonts w:hint="eastAsia" w:ascii="宋体" w:hAnsi="宋体" w:cs="宋体"/>
                <w:color w:val="auto"/>
                <w:kern w:val="2"/>
                <w:sz w:val="24"/>
                <w:szCs w:val="24"/>
                <w:highlight w:val="none"/>
                <w:lang w:val="en-US" w:eastAsia="zh-CN"/>
              </w:rPr>
              <w:t>日历天</w:t>
            </w:r>
            <w:r>
              <w:rPr>
                <w:rFonts w:hint="eastAsia" w:ascii="宋体" w:hAnsi="宋体" w:eastAsia="宋体" w:cs="宋体"/>
                <w:color w:val="auto"/>
                <w:kern w:val="2"/>
                <w:sz w:val="24"/>
                <w:szCs w:val="24"/>
                <w:highlight w:val="none"/>
              </w:rPr>
              <w:t>。</w:t>
            </w:r>
          </w:p>
        </w:tc>
      </w:tr>
      <w:tr w14:paraId="3342A9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39713823">
            <w:pPr>
              <w:keepNext w:val="0"/>
              <w:keepLines w:val="0"/>
              <w:pageBreakBefore w:val="0"/>
              <w:kinsoku/>
              <w:wordWrap/>
              <w:overflowPunct/>
              <w:topLinePunct w:val="0"/>
              <w:autoSpaceDE/>
              <w:autoSpaceDN/>
              <w:bidi w:val="0"/>
              <w:adjustRightInd/>
              <w:spacing w:line="360" w:lineRule="auto"/>
              <w:jc w:val="center"/>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17.1</w:t>
            </w:r>
          </w:p>
        </w:tc>
        <w:tc>
          <w:tcPr>
            <w:tcW w:w="8186" w:type="dxa"/>
            <w:vAlign w:val="center"/>
          </w:tcPr>
          <w:p w14:paraId="7A828179">
            <w:pPr>
              <w:keepNext w:val="0"/>
              <w:keepLines w:val="0"/>
              <w:pageBreakBefore w:val="0"/>
              <w:kinsoku/>
              <w:wordWrap/>
              <w:overflowPunct/>
              <w:topLinePunct w:val="0"/>
              <w:autoSpaceDE/>
              <w:autoSpaceDN/>
              <w:bidi w:val="0"/>
              <w:adjustRightInd/>
              <w:snapToGrid w:val="0"/>
              <w:spacing w:line="360" w:lineRule="auto"/>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本项目不收取磋商保证金。</w:t>
            </w:r>
          </w:p>
        </w:tc>
      </w:tr>
      <w:tr w14:paraId="1AEB6E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1B56161A">
            <w:pPr>
              <w:keepNext w:val="0"/>
              <w:keepLines w:val="0"/>
              <w:pageBreakBefore w:val="0"/>
              <w:kinsoku/>
              <w:wordWrap/>
              <w:overflowPunct/>
              <w:topLinePunct w:val="0"/>
              <w:autoSpaceDE/>
              <w:autoSpaceDN/>
              <w:bidi w:val="0"/>
              <w:adjustRightInd/>
              <w:spacing w:line="360" w:lineRule="auto"/>
              <w:jc w:val="center"/>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20.1</w:t>
            </w:r>
          </w:p>
        </w:tc>
        <w:tc>
          <w:tcPr>
            <w:tcW w:w="8186" w:type="dxa"/>
            <w:vAlign w:val="center"/>
          </w:tcPr>
          <w:p w14:paraId="4E23BA9E">
            <w:pPr>
              <w:keepNext w:val="0"/>
              <w:keepLines w:val="0"/>
              <w:pageBreakBefore w:val="0"/>
              <w:kinsoku/>
              <w:wordWrap/>
              <w:overflowPunct/>
              <w:topLinePunct w:val="0"/>
              <w:autoSpaceDE/>
              <w:autoSpaceDN/>
              <w:bidi w:val="0"/>
              <w:adjustRightInd/>
              <w:snapToGrid w:val="0"/>
              <w:spacing w:line="360" w:lineRule="auto"/>
              <w:ind w:firstLine="480" w:firstLineChars="200"/>
              <w:textAlignment w:val="auto"/>
              <w:outlineLvl w:val="9"/>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响应文件提交起止时间：详见竞争性磋商公告。</w:t>
            </w:r>
          </w:p>
          <w:p w14:paraId="2898EAA9">
            <w:pPr>
              <w:keepNext w:val="0"/>
              <w:keepLines w:val="0"/>
              <w:pageBreakBefore w:val="0"/>
              <w:kinsoku/>
              <w:wordWrap/>
              <w:overflowPunct/>
              <w:topLinePunct w:val="0"/>
              <w:autoSpaceDE/>
              <w:autoSpaceDN/>
              <w:bidi w:val="0"/>
              <w:adjustRightInd/>
              <w:snapToGrid w:val="0"/>
              <w:spacing w:line="360" w:lineRule="auto"/>
              <w:ind w:firstLine="480" w:firstLineChars="200"/>
              <w:textAlignment w:val="auto"/>
              <w:outlineLvl w:val="9"/>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响应文件提交截止时间：详见竞争性磋商公告。</w:t>
            </w:r>
          </w:p>
          <w:p w14:paraId="2D5868F7">
            <w:pPr>
              <w:keepNext w:val="0"/>
              <w:keepLines w:val="0"/>
              <w:pageBreakBefore w:val="0"/>
              <w:kinsoku/>
              <w:wordWrap/>
              <w:overflowPunct/>
              <w:topLinePunct w:val="0"/>
              <w:autoSpaceDE/>
              <w:autoSpaceDN/>
              <w:bidi w:val="0"/>
              <w:adjustRightInd/>
              <w:snapToGrid w:val="0"/>
              <w:spacing w:line="360" w:lineRule="auto"/>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响应文件提交地点：详见竞争性磋商公告。</w:t>
            </w:r>
          </w:p>
          <w:p w14:paraId="53C55C22">
            <w:pPr>
              <w:keepNext w:val="0"/>
              <w:keepLines w:val="0"/>
              <w:pageBreakBefore w:val="0"/>
              <w:kinsoku/>
              <w:wordWrap/>
              <w:overflowPunct/>
              <w:topLinePunct w:val="0"/>
              <w:autoSpaceDE/>
              <w:autoSpaceDN/>
              <w:bidi w:val="0"/>
              <w:adjustRightInd/>
              <w:spacing w:line="360" w:lineRule="auto"/>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供应商必须在响应文件提交截止时间前，通过有效数字证书（CA认证锁）进行电子签章、加密，然后通过网络将加密的电子响应文件递交至“广西政府采购云平台”。</w:t>
            </w:r>
          </w:p>
        </w:tc>
      </w:tr>
      <w:tr w14:paraId="023BBF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626F80F6">
            <w:pPr>
              <w:keepNext w:val="0"/>
              <w:keepLines w:val="0"/>
              <w:pageBreakBefore w:val="0"/>
              <w:kinsoku/>
              <w:wordWrap/>
              <w:overflowPunct/>
              <w:topLinePunct w:val="0"/>
              <w:autoSpaceDE/>
              <w:autoSpaceDN/>
              <w:bidi w:val="0"/>
              <w:adjustRightInd/>
              <w:spacing w:line="360" w:lineRule="auto"/>
              <w:jc w:val="center"/>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24.1</w:t>
            </w:r>
          </w:p>
        </w:tc>
        <w:tc>
          <w:tcPr>
            <w:tcW w:w="8186" w:type="dxa"/>
            <w:vAlign w:val="center"/>
          </w:tcPr>
          <w:p w14:paraId="6363C306">
            <w:pPr>
              <w:keepNext w:val="0"/>
              <w:keepLines w:val="0"/>
              <w:pageBreakBefore w:val="0"/>
              <w:kinsoku/>
              <w:wordWrap/>
              <w:overflowPunct/>
              <w:topLinePunct w:val="0"/>
              <w:autoSpaceDE/>
              <w:autoSpaceDN/>
              <w:bidi w:val="0"/>
              <w:adjustRightInd/>
              <w:snapToGrid w:val="0"/>
              <w:spacing w:line="360" w:lineRule="auto"/>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磋商小组的人数：</w:t>
            </w:r>
            <w:r>
              <w:rPr>
                <w:rFonts w:hint="eastAsia" w:ascii="宋体" w:hAnsi="宋体" w:eastAsia="宋体" w:cs="宋体"/>
                <w:color w:val="auto"/>
                <w:sz w:val="24"/>
                <w:szCs w:val="24"/>
                <w:highlight w:val="none"/>
                <w:u w:val="single"/>
              </w:rPr>
              <w:t xml:space="preserve"> 3 </w:t>
            </w:r>
            <w:r>
              <w:rPr>
                <w:rFonts w:hint="eastAsia" w:ascii="宋体" w:hAnsi="宋体" w:eastAsia="宋体" w:cs="宋体"/>
                <w:color w:val="auto"/>
                <w:sz w:val="24"/>
                <w:szCs w:val="24"/>
                <w:highlight w:val="none"/>
              </w:rPr>
              <w:t>人，其中采购人代表</w:t>
            </w:r>
            <w:r>
              <w:rPr>
                <w:rFonts w:hint="eastAsia" w:ascii="宋体" w:hAnsi="宋体" w:eastAsia="宋体" w:cs="宋体"/>
                <w:color w:val="auto"/>
                <w:sz w:val="24"/>
                <w:szCs w:val="24"/>
                <w:highlight w:val="none"/>
                <w:u w:val="single"/>
              </w:rPr>
              <w:t xml:space="preserve"> 1 人</w:t>
            </w:r>
            <w:r>
              <w:rPr>
                <w:rFonts w:hint="eastAsia" w:ascii="宋体" w:hAnsi="宋体" w:eastAsia="宋体" w:cs="宋体"/>
                <w:color w:val="auto"/>
                <w:sz w:val="24"/>
                <w:szCs w:val="24"/>
                <w:highlight w:val="none"/>
              </w:rPr>
              <w:t>，广西政府采购云平台广西评审专家库抽取评审专家</w:t>
            </w:r>
            <w:r>
              <w:rPr>
                <w:rFonts w:hint="eastAsia" w:ascii="宋体" w:hAnsi="宋体" w:eastAsia="宋体" w:cs="宋体"/>
                <w:color w:val="auto"/>
                <w:sz w:val="24"/>
                <w:szCs w:val="24"/>
                <w:highlight w:val="none"/>
                <w:u w:val="single"/>
              </w:rPr>
              <w:t xml:space="preserve"> 2 </w:t>
            </w:r>
            <w:r>
              <w:rPr>
                <w:rFonts w:hint="eastAsia" w:ascii="宋体" w:hAnsi="宋体" w:eastAsia="宋体" w:cs="宋体"/>
                <w:color w:val="auto"/>
                <w:sz w:val="24"/>
                <w:szCs w:val="24"/>
                <w:highlight w:val="none"/>
              </w:rPr>
              <w:t>人。</w:t>
            </w:r>
          </w:p>
          <w:p w14:paraId="7A0BBB20">
            <w:pPr>
              <w:keepNext w:val="0"/>
              <w:keepLines w:val="0"/>
              <w:pageBreakBefore w:val="0"/>
              <w:kinsoku/>
              <w:wordWrap/>
              <w:overflowPunct/>
              <w:topLinePunct w:val="0"/>
              <w:autoSpaceDE/>
              <w:autoSpaceDN/>
              <w:bidi w:val="0"/>
              <w:adjustRightInd/>
              <w:snapToGrid w:val="0"/>
              <w:spacing w:line="360" w:lineRule="auto"/>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磋商小组确定方式：开标前由采购代理机构在广西政府采购云平台广西评审专家库随机抽取确定，其中至少抽取1名异地专家与采购项目所在地抽取的专家进行评审。</w:t>
            </w:r>
          </w:p>
        </w:tc>
      </w:tr>
      <w:tr w14:paraId="3E2F44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8" w:hRule="atLeast"/>
          <w:jc w:val="center"/>
        </w:trPr>
        <w:tc>
          <w:tcPr>
            <w:tcW w:w="992" w:type="dxa"/>
            <w:vAlign w:val="center"/>
          </w:tcPr>
          <w:p w14:paraId="2D6B4484">
            <w:pPr>
              <w:keepNext w:val="0"/>
              <w:keepLines w:val="0"/>
              <w:pageBreakBefore w:val="0"/>
              <w:kinsoku/>
              <w:wordWrap/>
              <w:overflowPunct/>
              <w:topLinePunct w:val="0"/>
              <w:autoSpaceDE/>
              <w:autoSpaceDN/>
              <w:bidi w:val="0"/>
              <w:adjustRightInd/>
              <w:spacing w:line="360" w:lineRule="auto"/>
              <w:jc w:val="center"/>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27.1</w:t>
            </w:r>
          </w:p>
        </w:tc>
        <w:tc>
          <w:tcPr>
            <w:tcW w:w="8186" w:type="dxa"/>
            <w:vAlign w:val="center"/>
          </w:tcPr>
          <w:p w14:paraId="0E660E59">
            <w:pPr>
              <w:pStyle w:val="12"/>
              <w:keepNext w:val="0"/>
              <w:keepLines w:val="0"/>
              <w:pageBreakBefore w:val="0"/>
              <w:kinsoku/>
              <w:wordWrap/>
              <w:overflowPunct/>
              <w:topLinePunct w:val="0"/>
              <w:autoSpaceDE/>
              <w:autoSpaceDN/>
              <w:bidi w:val="0"/>
              <w:adjustRightInd/>
              <w:spacing w:line="360" w:lineRule="auto"/>
              <w:ind w:firstLine="482" w:firstLineChars="200"/>
              <w:jc w:val="both"/>
              <w:textAlignment w:val="auto"/>
              <w:outlineLvl w:val="9"/>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是否授权磋商小组直接确定成交供应商：是</w:t>
            </w:r>
          </w:p>
        </w:tc>
      </w:tr>
      <w:tr w14:paraId="644734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8" w:hRule="atLeast"/>
          <w:jc w:val="center"/>
        </w:trPr>
        <w:tc>
          <w:tcPr>
            <w:tcW w:w="992" w:type="dxa"/>
            <w:vAlign w:val="center"/>
          </w:tcPr>
          <w:p w14:paraId="3041FC88">
            <w:pPr>
              <w:keepNext w:val="0"/>
              <w:keepLines w:val="0"/>
              <w:pageBreakBefore w:val="0"/>
              <w:kinsoku/>
              <w:wordWrap/>
              <w:overflowPunct/>
              <w:topLinePunct w:val="0"/>
              <w:autoSpaceDE/>
              <w:autoSpaceDN/>
              <w:bidi w:val="0"/>
              <w:adjustRightInd/>
              <w:spacing w:line="360" w:lineRule="auto"/>
              <w:jc w:val="center"/>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28</w:t>
            </w:r>
          </w:p>
        </w:tc>
        <w:tc>
          <w:tcPr>
            <w:tcW w:w="8186" w:type="dxa"/>
            <w:vAlign w:val="center"/>
          </w:tcPr>
          <w:p w14:paraId="02ED48C8">
            <w:pPr>
              <w:keepNext w:val="0"/>
              <w:keepLines w:val="0"/>
              <w:pageBreakBefore w:val="0"/>
              <w:widowControl w:val="0"/>
              <w:kinsoku/>
              <w:wordWrap/>
              <w:overflowPunct/>
              <w:topLinePunct w:val="0"/>
              <w:autoSpaceDE/>
              <w:autoSpaceDN/>
              <w:bidi w:val="0"/>
              <w:adjustRightInd/>
              <w:snapToGrid w:val="0"/>
              <w:spacing w:line="360" w:lineRule="auto"/>
              <w:ind w:firstLine="482"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履约保证金</w:t>
            </w:r>
            <w:r>
              <w:rPr>
                <w:rFonts w:hint="eastAsia" w:ascii="宋体" w:hAnsi="宋体" w:eastAsia="宋体" w:cs="宋体"/>
                <w:b/>
                <w:bCs/>
                <w:color w:val="auto"/>
                <w:sz w:val="24"/>
                <w:szCs w:val="24"/>
                <w:highlight w:val="none"/>
                <w:lang w:eastAsia="zh-CN"/>
              </w:rPr>
              <w:t>：</w:t>
            </w:r>
            <w:r>
              <w:rPr>
                <w:rFonts w:hint="eastAsia" w:ascii="宋体" w:hAnsi="宋体" w:eastAsia="宋体" w:cs="宋体"/>
                <w:color w:val="auto"/>
                <w:sz w:val="24"/>
                <w:szCs w:val="24"/>
                <w:highlight w:val="none"/>
                <w:lang w:val="en-US" w:eastAsia="zh-CN"/>
              </w:rPr>
              <w:t>本项目</w:t>
            </w:r>
            <w:r>
              <w:rPr>
                <w:rFonts w:hint="eastAsia" w:ascii="宋体" w:hAnsi="宋体" w:cs="宋体"/>
                <w:color w:val="auto"/>
                <w:sz w:val="24"/>
                <w:szCs w:val="24"/>
                <w:highlight w:val="none"/>
                <w:lang w:val="en-US" w:eastAsia="zh-CN"/>
              </w:rPr>
              <w:t>不收取</w:t>
            </w:r>
            <w:r>
              <w:rPr>
                <w:rFonts w:hint="eastAsia" w:ascii="宋体" w:hAnsi="宋体" w:eastAsia="宋体" w:cs="宋体"/>
                <w:color w:val="auto"/>
                <w:sz w:val="24"/>
                <w:szCs w:val="24"/>
                <w:highlight w:val="none"/>
                <w:lang w:val="en-US" w:eastAsia="zh-CN"/>
              </w:rPr>
              <w:t>履约保证金</w:t>
            </w:r>
          </w:p>
        </w:tc>
      </w:tr>
      <w:tr w14:paraId="4601FB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0" w:hRule="atLeast"/>
          <w:jc w:val="center"/>
        </w:trPr>
        <w:tc>
          <w:tcPr>
            <w:tcW w:w="992" w:type="dxa"/>
            <w:vAlign w:val="center"/>
          </w:tcPr>
          <w:p w14:paraId="5D198AE9">
            <w:pPr>
              <w:keepNext w:val="0"/>
              <w:keepLines w:val="0"/>
              <w:pageBreakBefore w:val="0"/>
              <w:kinsoku/>
              <w:wordWrap/>
              <w:overflowPunct/>
              <w:topLinePunct w:val="0"/>
              <w:autoSpaceDE/>
              <w:autoSpaceDN/>
              <w:bidi w:val="0"/>
              <w:adjustRightInd/>
              <w:spacing w:line="360" w:lineRule="auto"/>
              <w:jc w:val="center"/>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29.1</w:t>
            </w:r>
          </w:p>
        </w:tc>
        <w:tc>
          <w:tcPr>
            <w:tcW w:w="8186" w:type="dxa"/>
            <w:vAlign w:val="center"/>
          </w:tcPr>
          <w:p w14:paraId="605BC0FA">
            <w:pPr>
              <w:keepNext w:val="0"/>
              <w:keepLines w:val="0"/>
              <w:pageBreakBefore w:val="0"/>
              <w:kinsoku/>
              <w:wordWrap/>
              <w:overflowPunct/>
              <w:topLinePunct w:val="0"/>
              <w:autoSpaceDE/>
              <w:autoSpaceDN/>
              <w:bidi w:val="0"/>
              <w:adjustRightInd/>
              <w:snapToGrid w:val="0"/>
              <w:spacing w:line="360" w:lineRule="auto"/>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签订合同携带的证明材料： </w:t>
            </w:r>
          </w:p>
          <w:p w14:paraId="79B85EDA">
            <w:pPr>
              <w:keepNext w:val="0"/>
              <w:keepLines w:val="0"/>
              <w:pageBreakBefore w:val="0"/>
              <w:kinsoku/>
              <w:wordWrap/>
              <w:overflowPunct/>
              <w:topLinePunct w:val="0"/>
              <w:autoSpaceDE/>
              <w:autoSpaceDN/>
              <w:bidi w:val="0"/>
              <w:adjustRightInd/>
              <w:snapToGrid w:val="0"/>
              <w:spacing w:line="360" w:lineRule="auto"/>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1、使用的有效CA证书加盖单位电子公章（如采购人已办理CA数字证书时采用）或线下签订。</w:t>
            </w:r>
          </w:p>
          <w:p w14:paraId="615325E6">
            <w:pPr>
              <w:keepNext w:val="0"/>
              <w:keepLines w:val="0"/>
              <w:pageBreakBefore w:val="0"/>
              <w:kinsoku/>
              <w:wordWrap/>
              <w:overflowPunct/>
              <w:topLinePunct w:val="0"/>
              <w:autoSpaceDE/>
              <w:autoSpaceDN/>
              <w:bidi w:val="0"/>
              <w:adjustRightInd/>
              <w:snapToGrid w:val="0"/>
              <w:spacing w:line="360" w:lineRule="auto"/>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2、委托代理人负责签订合同的，须携带授权委托书及委托代理人身份证原件等其他资格证件。</w:t>
            </w:r>
          </w:p>
          <w:p w14:paraId="7EC518D1">
            <w:pPr>
              <w:keepNext w:val="0"/>
              <w:keepLines w:val="0"/>
              <w:pageBreakBefore w:val="0"/>
              <w:kinsoku/>
              <w:wordWrap/>
              <w:overflowPunct/>
              <w:topLinePunct w:val="0"/>
              <w:autoSpaceDE/>
              <w:autoSpaceDN/>
              <w:bidi w:val="0"/>
              <w:adjustRightInd/>
              <w:snapToGrid w:val="0"/>
              <w:spacing w:line="360" w:lineRule="auto"/>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3、法定代表人</w:t>
            </w:r>
            <w:r>
              <w:rPr>
                <w:rFonts w:hint="eastAsia" w:ascii="宋体" w:hAnsi="宋体" w:eastAsia="宋体" w:cs="宋体"/>
                <w:color w:val="auto"/>
                <w:sz w:val="24"/>
                <w:szCs w:val="24"/>
                <w:highlight w:val="none"/>
                <w:lang w:eastAsia="zh-CN"/>
              </w:rPr>
              <w:t>（负责人）</w:t>
            </w:r>
            <w:r>
              <w:rPr>
                <w:rFonts w:hint="eastAsia" w:ascii="宋体" w:hAnsi="宋体" w:eastAsia="宋体" w:cs="宋体"/>
                <w:color w:val="auto"/>
                <w:sz w:val="24"/>
                <w:szCs w:val="24"/>
                <w:highlight w:val="none"/>
              </w:rPr>
              <w:t>负责签订合同的，须携带法定代表人</w:t>
            </w:r>
            <w:r>
              <w:rPr>
                <w:rFonts w:hint="eastAsia" w:ascii="宋体" w:hAnsi="宋体" w:eastAsia="宋体" w:cs="宋体"/>
                <w:color w:val="auto"/>
                <w:sz w:val="24"/>
                <w:szCs w:val="24"/>
                <w:highlight w:val="none"/>
                <w:lang w:eastAsia="zh-CN"/>
              </w:rPr>
              <w:t>（负责人）</w:t>
            </w:r>
            <w:r>
              <w:rPr>
                <w:rFonts w:hint="eastAsia" w:ascii="宋体" w:hAnsi="宋体" w:eastAsia="宋体" w:cs="宋体"/>
                <w:color w:val="auto"/>
                <w:sz w:val="24"/>
                <w:szCs w:val="24"/>
                <w:highlight w:val="none"/>
              </w:rPr>
              <w:t>身份证明原件及身份证原件等其他证明材料。</w:t>
            </w:r>
          </w:p>
        </w:tc>
      </w:tr>
      <w:tr w14:paraId="0B0C3E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0C0DDE97">
            <w:pPr>
              <w:keepNext w:val="0"/>
              <w:keepLines w:val="0"/>
              <w:pageBreakBefore w:val="0"/>
              <w:kinsoku/>
              <w:wordWrap/>
              <w:overflowPunct/>
              <w:topLinePunct w:val="0"/>
              <w:autoSpaceDE/>
              <w:autoSpaceDN/>
              <w:bidi w:val="0"/>
              <w:adjustRightInd/>
              <w:spacing w:line="360" w:lineRule="auto"/>
              <w:jc w:val="center"/>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31.2</w:t>
            </w:r>
          </w:p>
        </w:tc>
        <w:tc>
          <w:tcPr>
            <w:tcW w:w="8186" w:type="dxa"/>
            <w:vAlign w:val="center"/>
          </w:tcPr>
          <w:p w14:paraId="4D8135D9">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接收质疑函方式：以书面形式。</w:t>
            </w:r>
          </w:p>
          <w:p w14:paraId="4446E192">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outlineLvl w:val="9"/>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质疑联系部门及联系方式</w:t>
            </w:r>
            <w:r>
              <w:rPr>
                <w:rFonts w:hint="eastAsia" w:ascii="宋体" w:hAnsi="宋体" w:eastAsia="宋体" w:cs="宋体"/>
                <w:color w:val="auto"/>
                <w:sz w:val="24"/>
                <w:szCs w:val="24"/>
                <w:highlight w:val="none"/>
                <w:lang w:eastAsia="zh-CN"/>
              </w:rPr>
              <w:t>：</w:t>
            </w:r>
          </w:p>
          <w:p w14:paraId="22FD9655">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rPr>
              <w:t>（1）</w:t>
            </w:r>
            <w:r>
              <w:rPr>
                <w:rFonts w:hint="eastAsia" w:ascii="宋体" w:hAnsi="宋体" w:cs="宋体"/>
                <w:color w:val="auto"/>
                <w:sz w:val="24"/>
                <w:szCs w:val="24"/>
                <w:highlight w:val="none"/>
                <w:u w:val="single"/>
                <w:lang w:eastAsia="zh-CN"/>
              </w:rPr>
              <w:t>中奋工程设计咨询有限公司</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14:paraId="2737CC45">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联系电话：</w:t>
            </w:r>
            <w:r>
              <w:rPr>
                <w:rFonts w:hint="eastAsia" w:ascii="宋体" w:hAnsi="宋体" w:cs="宋体"/>
                <w:color w:val="auto"/>
                <w:sz w:val="24"/>
                <w:szCs w:val="24"/>
                <w:highlight w:val="none"/>
                <w:u w:val="single"/>
                <w:lang w:eastAsia="zh-CN"/>
              </w:rPr>
              <w:t>18807840102</w:t>
            </w:r>
            <w:r>
              <w:rPr>
                <w:rFonts w:hint="eastAsia" w:ascii="宋体" w:hAnsi="宋体" w:eastAsia="宋体" w:cs="宋体"/>
                <w:color w:val="auto"/>
                <w:sz w:val="24"/>
                <w:szCs w:val="24"/>
                <w:highlight w:val="none"/>
                <w:lang w:eastAsia="zh-CN"/>
              </w:rPr>
              <w:t>；</w:t>
            </w:r>
          </w:p>
          <w:p w14:paraId="5585B021">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通讯地址：</w:t>
            </w:r>
            <w:r>
              <w:rPr>
                <w:rFonts w:hint="eastAsia" w:ascii="宋体" w:hAnsi="宋体" w:cs="宋体"/>
                <w:color w:val="auto"/>
                <w:sz w:val="24"/>
                <w:szCs w:val="24"/>
                <w:highlight w:val="none"/>
                <w:u w:val="single"/>
                <w:lang w:eastAsia="zh-CN"/>
              </w:rPr>
              <w:t>南宁市青秀区中柬路9号4号楼4-1801、1802、3A号</w:t>
            </w:r>
            <w:r>
              <w:rPr>
                <w:rFonts w:hint="eastAsia" w:ascii="宋体" w:hAnsi="宋体" w:eastAsia="宋体" w:cs="宋体"/>
                <w:color w:val="auto"/>
                <w:sz w:val="24"/>
                <w:szCs w:val="24"/>
                <w:highlight w:val="none"/>
                <w:u w:val="none"/>
                <w:lang w:eastAsia="zh-CN"/>
              </w:rPr>
              <w:t>。</w:t>
            </w:r>
            <w:r>
              <w:rPr>
                <w:rFonts w:hint="eastAsia" w:ascii="宋体" w:hAnsi="宋体" w:eastAsia="宋体" w:cs="宋体"/>
                <w:color w:val="auto"/>
                <w:sz w:val="24"/>
                <w:szCs w:val="24"/>
                <w:highlight w:val="none"/>
              </w:rPr>
              <w:t xml:space="preserve"> </w:t>
            </w:r>
          </w:p>
          <w:p w14:paraId="5851F11B">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rPr>
              <w:t>（2）</w:t>
            </w:r>
            <w:r>
              <w:rPr>
                <w:rFonts w:hint="eastAsia" w:ascii="宋体" w:hAnsi="宋体" w:cs="宋体"/>
                <w:color w:val="auto"/>
                <w:sz w:val="24"/>
                <w:szCs w:val="24"/>
                <w:highlight w:val="none"/>
                <w:u w:val="single"/>
                <w:lang w:eastAsia="zh-CN"/>
              </w:rPr>
              <w:t>富川瑶族自治县农业农村局</w:t>
            </w:r>
            <w:r>
              <w:rPr>
                <w:rFonts w:hint="eastAsia" w:ascii="宋体" w:hAnsi="宋体" w:eastAsia="宋体" w:cs="宋体"/>
                <w:color w:val="auto"/>
                <w:sz w:val="24"/>
                <w:szCs w:val="24"/>
                <w:highlight w:val="none"/>
              </w:rPr>
              <w:t>；</w:t>
            </w:r>
          </w:p>
          <w:p w14:paraId="002B0D76">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联系电话：</w:t>
            </w:r>
            <w:r>
              <w:rPr>
                <w:rFonts w:hint="eastAsia" w:ascii="宋体" w:hAnsi="宋体" w:cs="宋体"/>
                <w:color w:val="auto"/>
                <w:sz w:val="24"/>
                <w:szCs w:val="24"/>
                <w:highlight w:val="none"/>
                <w:u w:val="single"/>
                <w:lang w:val="en-US" w:eastAsia="zh-CN"/>
              </w:rPr>
              <w:t>0774-7895680</w:t>
            </w:r>
            <w:r>
              <w:rPr>
                <w:rFonts w:hint="eastAsia" w:ascii="宋体" w:hAnsi="宋体" w:eastAsia="宋体" w:cs="宋体"/>
                <w:color w:val="auto"/>
                <w:sz w:val="24"/>
                <w:szCs w:val="24"/>
                <w:highlight w:val="none"/>
                <w:lang w:eastAsia="zh-CN"/>
              </w:rPr>
              <w:t>；</w:t>
            </w:r>
          </w:p>
          <w:p w14:paraId="5E63AF6D">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通讯地址：</w:t>
            </w:r>
            <w:r>
              <w:rPr>
                <w:rFonts w:hint="eastAsia" w:ascii="宋体" w:hAnsi="宋体" w:eastAsia="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single"/>
                <w:lang w:val="en-US" w:eastAsia="zh-CN"/>
              </w:rPr>
              <w:t xml:space="preserve">富川瑶族自治县富阳镇新建路37号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eastAsia="zh-CN"/>
              </w:rPr>
              <w:t>。</w:t>
            </w:r>
            <w:r>
              <w:rPr>
                <w:rFonts w:hint="eastAsia" w:ascii="宋体" w:hAnsi="宋体" w:eastAsia="宋体" w:cs="宋体"/>
                <w:color w:val="auto"/>
                <w:sz w:val="24"/>
                <w:szCs w:val="24"/>
                <w:highlight w:val="none"/>
              </w:rPr>
              <w:t xml:space="preserve"> </w:t>
            </w:r>
          </w:p>
          <w:p w14:paraId="21480D0B">
            <w:pPr>
              <w:keepNext w:val="0"/>
              <w:keepLines w:val="0"/>
              <w:pageBreakBefore w:val="0"/>
              <w:kinsoku/>
              <w:wordWrap/>
              <w:overflowPunct/>
              <w:topLinePunct w:val="0"/>
              <w:autoSpaceDE/>
              <w:autoSpaceDN/>
              <w:bidi w:val="0"/>
              <w:adjustRightInd/>
              <w:snapToGrid w:val="0"/>
              <w:spacing w:line="360" w:lineRule="auto"/>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业务时间：上午8时00分到12时00分，下午3时00分到6时00分，业务时间以外、双休日和法定节假日不办理业务。</w:t>
            </w:r>
          </w:p>
        </w:tc>
      </w:tr>
      <w:tr w14:paraId="57ACAC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76BCCA09">
            <w:pPr>
              <w:keepNext w:val="0"/>
              <w:keepLines w:val="0"/>
              <w:pageBreakBefore w:val="0"/>
              <w:kinsoku/>
              <w:wordWrap/>
              <w:overflowPunct/>
              <w:topLinePunct w:val="0"/>
              <w:autoSpaceDE/>
              <w:autoSpaceDN/>
              <w:bidi w:val="0"/>
              <w:adjustRightInd/>
              <w:spacing w:line="360" w:lineRule="auto"/>
              <w:jc w:val="center"/>
              <w:textAlignment w:val="auto"/>
              <w:outlineLvl w:val="9"/>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31.6</w:t>
            </w:r>
          </w:p>
        </w:tc>
        <w:tc>
          <w:tcPr>
            <w:tcW w:w="8186" w:type="dxa"/>
            <w:vAlign w:val="center"/>
          </w:tcPr>
          <w:p w14:paraId="62B9BC49">
            <w:pPr>
              <w:keepNext w:val="0"/>
              <w:keepLines w:val="0"/>
              <w:pageBreakBefore w:val="0"/>
              <w:kinsoku/>
              <w:wordWrap/>
              <w:overflowPunct/>
              <w:topLinePunct w:val="0"/>
              <w:autoSpaceDE/>
              <w:autoSpaceDN/>
              <w:bidi w:val="0"/>
              <w:adjustRightInd/>
              <w:snapToGrid w:val="0"/>
              <w:spacing w:line="360" w:lineRule="auto"/>
              <w:ind w:firstLine="480" w:firstLineChars="200"/>
              <w:textAlignment w:val="auto"/>
              <w:outlineLvl w:val="9"/>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投诉受理方式</w:t>
            </w:r>
            <w:r>
              <w:rPr>
                <w:rFonts w:hint="eastAsia" w:ascii="宋体" w:hAnsi="宋体" w:eastAsia="宋体" w:cs="宋体"/>
                <w:color w:val="auto"/>
                <w:sz w:val="24"/>
                <w:szCs w:val="24"/>
                <w:highlight w:val="none"/>
                <w:lang w:eastAsia="zh-CN"/>
              </w:rPr>
              <w:t>：</w:t>
            </w:r>
          </w:p>
          <w:p w14:paraId="1CCDA04F">
            <w:pPr>
              <w:keepNext w:val="0"/>
              <w:keepLines w:val="0"/>
              <w:pageBreakBefore w:val="0"/>
              <w:kinsoku/>
              <w:wordWrap/>
              <w:overflowPunct/>
              <w:topLinePunct w:val="0"/>
              <w:autoSpaceDE/>
              <w:autoSpaceDN/>
              <w:bidi w:val="0"/>
              <w:adjustRightInd/>
              <w:snapToGrid w:val="0"/>
              <w:spacing w:line="360" w:lineRule="auto"/>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1、受理方式：纸质方式受理，投诉书正、副本（经过质疑的事项才可投诉）。</w:t>
            </w:r>
          </w:p>
          <w:p w14:paraId="2D9C8F53">
            <w:pPr>
              <w:keepNext w:val="0"/>
              <w:keepLines w:val="0"/>
              <w:pageBreakBefore w:val="0"/>
              <w:kinsoku/>
              <w:wordWrap/>
              <w:overflowPunct/>
              <w:topLinePunct w:val="0"/>
              <w:autoSpaceDE/>
              <w:autoSpaceDN/>
              <w:bidi w:val="0"/>
              <w:adjustRightInd/>
              <w:snapToGrid w:val="0"/>
              <w:spacing w:line="360" w:lineRule="auto"/>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2、邮寄地址：</w:t>
            </w:r>
          </w:p>
          <w:p w14:paraId="793AC725">
            <w:pPr>
              <w:keepNext w:val="0"/>
              <w:keepLines w:val="0"/>
              <w:pageBreakBefore w:val="0"/>
              <w:kinsoku/>
              <w:wordWrap/>
              <w:overflowPunct/>
              <w:topLinePunct w:val="0"/>
              <w:autoSpaceDE/>
              <w:autoSpaceDN/>
              <w:bidi w:val="0"/>
              <w:adjustRightInd/>
              <w:snapToGrid w:val="0"/>
              <w:spacing w:line="360" w:lineRule="auto"/>
              <w:ind w:firstLine="480" w:firstLineChars="200"/>
              <w:textAlignment w:val="auto"/>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名称：</w:t>
            </w:r>
            <w:r>
              <w:rPr>
                <w:rFonts w:hint="eastAsia" w:ascii="宋体" w:hAnsi="宋体" w:eastAsia="宋体" w:cs="宋体"/>
                <w:color w:val="auto"/>
                <w:kern w:val="0"/>
                <w:sz w:val="24"/>
                <w:szCs w:val="24"/>
                <w:highlight w:val="none"/>
              </w:rPr>
              <w:t>富川瑶族自治县财政局政府采购监督股</w:t>
            </w:r>
          </w:p>
          <w:p w14:paraId="13622686">
            <w:pPr>
              <w:keepNext w:val="0"/>
              <w:keepLines w:val="0"/>
              <w:pageBreakBefore w:val="0"/>
              <w:kinsoku/>
              <w:wordWrap/>
              <w:overflowPunct/>
              <w:topLinePunct w:val="0"/>
              <w:autoSpaceDE/>
              <w:autoSpaceDN/>
              <w:bidi w:val="0"/>
              <w:adjustRightInd/>
              <w:snapToGrid w:val="0"/>
              <w:spacing w:line="360" w:lineRule="auto"/>
              <w:ind w:firstLine="480" w:firstLineChars="200"/>
              <w:textAlignment w:val="auto"/>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地址：富川财源路1号</w:t>
            </w:r>
          </w:p>
          <w:p w14:paraId="46280E7C">
            <w:pPr>
              <w:keepNext w:val="0"/>
              <w:keepLines w:val="0"/>
              <w:pageBreakBefore w:val="0"/>
              <w:kinsoku/>
              <w:wordWrap/>
              <w:overflowPunct/>
              <w:topLinePunct w:val="0"/>
              <w:autoSpaceDE/>
              <w:autoSpaceDN/>
              <w:bidi w:val="0"/>
              <w:adjustRightInd/>
              <w:snapToGrid w:val="0"/>
              <w:spacing w:line="360" w:lineRule="auto"/>
              <w:ind w:firstLine="480" w:firstLineChars="200"/>
              <w:textAlignment w:val="auto"/>
              <w:outlineLvl w:val="9"/>
              <w:rPr>
                <w:rFonts w:hint="eastAsia"/>
                <w:color w:val="auto"/>
                <w:sz w:val="24"/>
                <w:szCs w:val="24"/>
                <w:highlight w:val="none"/>
                <w:lang w:eastAsia="zh-CN"/>
              </w:rPr>
            </w:pPr>
            <w:r>
              <w:rPr>
                <w:rFonts w:hint="eastAsia" w:ascii="宋体" w:hAnsi="宋体" w:eastAsia="宋体" w:cs="宋体"/>
                <w:color w:val="auto"/>
                <w:sz w:val="24"/>
                <w:szCs w:val="24"/>
                <w:highlight w:val="none"/>
                <w:lang w:val="en-US" w:eastAsia="zh-CN"/>
              </w:rPr>
              <w:t>联系电话：</w:t>
            </w:r>
            <w:r>
              <w:rPr>
                <w:rFonts w:hint="eastAsia" w:ascii="宋体" w:hAnsi="宋体" w:cs="宋体"/>
                <w:color w:val="auto"/>
                <w:sz w:val="24"/>
                <w:szCs w:val="24"/>
                <w:highlight w:val="none"/>
                <w:lang w:val="en-US" w:eastAsia="zh-CN"/>
              </w:rPr>
              <w:t>0774-7882324</w:t>
            </w:r>
          </w:p>
        </w:tc>
      </w:tr>
      <w:tr w14:paraId="6CF61C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5592B521">
            <w:pPr>
              <w:keepNext w:val="0"/>
              <w:keepLines w:val="0"/>
              <w:pageBreakBefore w:val="0"/>
              <w:kinsoku/>
              <w:wordWrap/>
              <w:overflowPunct/>
              <w:topLinePunct w:val="0"/>
              <w:autoSpaceDE/>
              <w:autoSpaceDN/>
              <w:bidi w:val="0"/>
              <w:adjustRightInd/>
              <w:spacing w:line="360" w:lineRule="auto"/>
              <w:jc w:val="center"/>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32.1</w:t>
            </w:r>
          </w:p>
        </w:tc>
        <w:tc>
          <w:tcPr>
            <w:tcW w:w="8186" w:type="dxa"/>
            <w:vAlign w:val="center"/>
          </w:tcPr>
          <w:p w14:paraId="6EF7A94D">
            <w:pPr>
              <w:pStyle w:val="20"/>
              <w:keepNext w:val="0"/>
              <w:keepLines w:val="0"/>
              <w:pageBreakBefore w:val="0"/>
              <w:kinsoku/>
              <w:wordWrap/>
              <w:overflowPunct/>
              <w:topLinePunct w:val="0"/>
              <w:autoSpaceDE/>
              <w:autoSpaceDN/>
              <w:bidi w:val="0"/>
              <w:adjustRightInd/>
              <w:snapToGrid w:val="0"/>
              <w:spacing w:line="360" w:lineRule="auto"/>
              <w:ind w:firstLine="480" w:firstLineChars="200"/>
              <w:textAlignment w:val="auto"/>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1.采购代理费支付方式：</w:t>
            </w:r>
          </w:p>
          <w:p w14:paraId="7F7B3560">
            <w:pPr>
              <w:pStyle w:val="20"/>
              <w:keepNext w:val="0"/>
              <w:keepLines w:val="0"/>
              <w:pageBreakBefore w:val="0"/>
              <w:kinsoku/>
              <w:wordWrap/>
              <w:overflowPunct/>
              <w:topLinePunct w:val="0"/>
              <w:autoSpaceDE/>
              <w:autoSpaceDN/>
              <w:bidi w:val="0"/>
              <w:adjustRightInd/>
              <w:snapToGrid w:val="0"/>
              <w:spacing w:line="360" w:lineRule="auto"/>
              <w:ind w:firstLine="480" w:firstLineChars="200"/>
              <w:textAlignment w:val="auto"/>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w:t>
            </w:r>
            <w:r>
              <w:rPr>
                <w:rFonts w:hint="eastAsia" w:hAnsi="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lang w:val="en-US" w:eastAsia="zh-CN"/>
              </w:rPr>
              <w:t>本项目代理服务费由</w:t>
            </w:r>
            <w:r>
              <w:rPr>
                <w:rFonts w:hint="eastAsia" w:ascii="宋体" w:hAnsi="宋体" w:eastAsia="宋体" w:cs="宋体"/>
                <w:color w:val="auto"/>
                <w:sz w:val="24"/>
                <w:szCs w:val="24"/>
                <w:highlight w:val="none"/>
                <w:u w:val="single"/>
                <w:lang w:val="en-US" w:eastAsia="zh-CN"/>
              </w:rPr>
              <w:t>成交供应商</w:t>
            </w:r>
            <w:r>
              <w:rPr>
                <w:rFonts w:hint="eastAsia" w:ascii="宋体" w:hAnsi="宋体" w:eastAsia="宋体" w:cs="宋体"/>
                <w:color w:val="auto"/>
                <w:sz w:val="24"/>
                <w:szCs w:val="24"/>
                <w:highlight w:val="none"/>
                <w:lang w:val="en-US" w:eastAsia="zh-CN"/>
              </w:rPr>
              <w:t>在领取成交通知书前，一次性足额支付至采购代理机构指定账户。</w:t>
            </w:r>
          </w:p>
          <w:p w14:paraId="1029331D">
            <w:pPr>
              <w:pStyle w:val="20"/>
              <w:keepNext w:val="0"/>
              <w:keepLines w:val="0"/>
              <w:pageBreakBefore w:val="0"/>
              <w:kinsoku/>
              <w:wordWrap/>
              <w:overflowPunct/>
              <w:topLinePunct w:val="0"/>
              <w:autoSpaceDE/>
              <w:autoSpaceDN/>
              <w:bidi w:val="0"/>
              <w:adjustRightInd/>
              <w:snapToGrid w:val="0"/>
              <w:spacing w:line="360" w:lineRule="auto"/>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采购代理费收取标准：</w:t>
            </w:r>
          </w:p>
          <w:p w14:paraId="61C9522D">
            <w:pPr>
              <w:pStyle w:val="20"/>
              <w:keepNext w:val="0"/>
              <w:keepLines w:val="0"/>
              <w:pageBreakBefore w:val="0"/>
              <w:kinsoku/>
              <w:wordWrap/>
              <w:overflowPunct/>
              <w:topLinePunct w:val="0"/>
              <w:autoSpaceDE/>
              <w:autoSpaceDN/>
              <w:bidi w:val="0"/>
              <w:adjustRightInd/>
              <w:snapToGrid w:val="0"/>
              <w:spacing w:line="360" w:lineRule="auto"/>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采购代理服务费：</w:t>
            </w:r>
            <w:bookmarkStart w:id="125" w:name="OLE_LINK22"/>
            <w:r>
              <w:rPr>
                <w:rFonts w:hint="eastAsia" w:ascii="宋体" w:hAnsi="宋体" w:eastAsia="宋体" w:cs="宋体"/>
                <w:color w:val="auto"/>
                <w:sz w:val="24"/>
                <w:szCs w:val="24"/>
                <w:highlight w:val="none"/>
              </w:rPr>
              <w:t>参照《招标代理服务收费管理暂行办法》（计价格</w:t>
            </w:r>
            <w:r>
              <w:rPr>
                <w:rFonts w:hint="eastAsia" w:ascii="宋体" w:hAnsi="宋体" w:eastAsia="宋体" w:cs="宋体"/>
                <w:color w:val="auto"/>
                <w:sz w:val="24"/>
                <w:szCs w:val="24"/>
                <w:highlight w:val="none"/>
                <w:lang w:eastAsia="zh-CN"/>
              </w:rPr>
              <w:t>〔2002〕1980号</w:t>
            </w:r>
            <w:r>
              <w:rPr>
                <w:rFonts w:hint="eastAsia" w:ascii="宋体" w:hAnsi="宋体" w:eastAsia="宋体" w:cs="宋体"/>
                <w:color w:val="auto"/>
                <w:sz w:val="24"/>
                <w:szCs w:val="24"/>
                <w:highlight w:val="none"/>
              </w:rPr>
              <w:t>）及《国家发展改革委办公厅关于招标代理服务收费有关问题的通知》（发改办价格</w:t>
            </w:r>
            <w:r>
              <w:rPr>
                <w:rFonts w:hint="eastAsia" w:ascii="宋体" w:hAnsi="宋体" w:eastAsia="宋体" w:cs="宋体"/>
                <w:color w:val="auto"/>
                <w:sz w:val="24"/>
                <w:szCs w:val="24"/>
                <w:highlight w:val="none"/>
                <w:lang w:eastAsia="zh-CN"/>
              </w:rPr>
              <w:t>〔2003〕857号</w:t>
            </w:r>
            <w:r>
              <w:rPr>
                <w:rFonts w:hint="eastAsia" w:ascii="宋体" w:hAnsi="宋体" w:eastAsia="宋体" w:cs="宋体"/>
                <w:color w:val="auto"/>
                <w:sz w:val="24"/>
                <w:szCs w:val="24"/>
                <w:highlight w:val="none"/>
              </w:rPr>
              <w:t>）规定执行，取</w:t>
            </w:r>
            <w:r>
              <w:rPr>
                <w:rFonts w:hint="eastAsia" w:ascii="宋体" w:hAnsi="宋体" w:eastAsia="宋体" w:cs="宋体"/>
                <w:color w:val="auto"/>
                <w:sz w:val="24"/>
                <w:szCs w:val="24"/>
                <w:highlight w:val="none"/>
                <w:lang w:val="en-US" w:eastAsia="zh-CN"/>
              </w:rPr>
              <w:t>成交</w:t>
            </w:r>
            <w:r>
              <w:rPr>
                <w:rFonts w:hint="eastAsia" w:ascii="宋体" w:hAnsi="宋体" w:eastAsia="宋体" w:cs="宋体"/>
                <w:color w:val="auto"/>
                <w:sz w:val="24"/>
                <w:szCs w:val="24"/>
                <w:highlight w:val="none"/>
              </w:rPr>
              <w:t>价作为计算基数，按差额定率累进法计算。</w:t>
            </w:r>
            <w:bookmarkEnd w:id="125"/>
          </w:p>
          <w:p w14:paraId="2DECE082">
            <w:pPr>
              <w:pStyle w:val="20"/>
              <w:keepNext w:val="0"/>
              <w:keepLines w:val="0"/>
              <w:pageBreakBefore w:val="0"/>
              <w:kinsoku/>
              <w:wordWrap/>
              <w:overflowPunct/>
              <w:topLinePunct w:val="0"/>
              <w:autoSpaceDE/>
              <w:autoSpaceDN/>
              <w:bidi w:val="0"/>
              <w:adjustRightInd/>
              <w:snapToGrid w:val="0"/>
              <w:spacing w:line="360" w:lineRule="auto"/>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采购代理费收取银行账户</w:t>
            </w:r>
          </w:p>
          <w:p w14:paraId="5CF2991D">
            <w:pPr>
              <w:pStyle w:val="20"/>
              <w:keepNext w:val="0"/>
              <w:keepLines w:val="0"/>
              <w:pageBreakBefore w:val="0"/>
              <w:kinsoku/>
              <w:wordWrap/>
              <w:overflowPunct/>
              <w:topLinePunct w:val="0"/>
              <w:autoSpaceDE/>
              <w:autoSpaceDN/>
              <w:bidi w:val="0"/>
              <w:adjustRightInd/>
              <w:snapToGrid w:val="0"/>
              <w:spacing w:line="360" w:lineRule="auto"/>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开户名称：中奋工程设计咨询有限公司贺州分公司</w:t>
            </w:r>
          </w:p>
          <w:p w14:paraId="014B5309">
            <w:pPr>
              <w:pStyle w:val="20"/>
              <w:keepNext w:val="0"/>
              <w:keepLines w:val="0"/>
              <w:pageBreakBefore w:val="0"/>
              <w:kinsoku/>
              <w:wordWrap/>
              <w:overflowPunct/>
              <w:topLinePunct w:val="0"/>
              <w:autoSpaceDE/>
              <w:autoSpaceDN/>
              <w:bidi w:val="0"/>
              <w:adjustRightInd/>
              <w:snapToGrid w:val="0"/>
              <w:spacing w:line="360" w:lineRule="auto"/>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开户银行：桂林银行股份有限公司贺州分行</w:t>
            </w:r>
          </w:p>
          <w:p w14:paraId="452DB013">
            <w:pPr>
              <w:pStyle w:val="20"/>
              <w:keepNext w:val="0"/>
              <w:keepLines w:val="0"/>
              <w:pageBreakBefore w:val="0"/>
              <w:kinsoku/>
              <w:wordWrap/>
              <w:overflowPunct/>
              <w:topLinePunct w:val="0"/>
              <w:autoSpaceDE/>
              <w:autoSpaceDN/>
              <w:bidi w:val="0"/>
              <w:adjustRightInd/>
              <w:snapToGrid w:val="0"/>
              <w:spacing w:line="360" w:lineRule="auto"/>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开户行号：660000015524600011</w:t>
            </w:r>
          </w:p>
        </w:tc>
      </w:tr>
      <w:tr w14:paraId="1B4078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772926F0">
            <w:pPr>
              <w:keepNext w:val="0"/>
              <w:keepLines w:val="0"/>
              <w:pageBreakBefore w:val="0"/>
              <w:kinsoku/>
              <w:wordWrap/>
              <w:overflowPunct/>
              <w:topLinePunct w:val="0"/>
              <w:autoSpaceDE/>
              <w:autoSpaceDN/>
              <w:bidi w:val="0"/>
              <w:adjustRightInd/>
              <w:spacing w:line="360" w:lineRule="auto"/>
              <w:jc w:val="center"/>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33.1</w:t>
            </w:r>
          </w:p>
        </w:tc>
        <w:tc>
          <w:tcPr>
            <w:tcW w:w="8186" w:type="dxa"/>
            <w:vAlign w:val="center"/>
          </w:tcPr>
          <w:p w14:paraId="2ADCF1AF">
            <w:pPr>
              <w:pStyle w:val="20"/>
              <w:keepNext w:val="0"/>
              <w:keepLines w:val="0"/>
              <w:pageBreakBefore w:val="0"/>
              <w:kinsoku/>
              <w:wordWrap/>
              <w:overflowPunct/>
              <w:topLinePunct w:val="0"/>
              <w:autoSpaceDE/>
              <w:autoSpaceDN/>
              <w:bidi w:val="0"/>
              <w:adjustRightInd/>
              <w:snapToGrid w:val="0"/>
              <w:spacing w:line="360" w:lineRule="auto"/>
              <w:ind w:firstLine="480" w:firstLineChars="200"/>
              <w:textAlignment w:val="auto"/>
              <w:outlineLvl w:val="9"/>
              <w:rPr>
                <w:rFonts w:hint="eastAsia" w:ascii="宋体" w:hAnsi="宋体" w:eastAsia="宋体" w:cs="宋体"/>
                <w:color w:val="auto"/>
                <w:kern w:val="2"/>
                <w:sz w:val="24"/>
                <w:szCs w:val="24"/>
                <w:highlight w:val="none"/>
              </w:rPr>
            </w:pPr>
            <w:r>
              <w:rPr>
                <w:rFonts w:hint="eastAsia" w:ascii="宋体" w:hAnsi="宋体" w:eastAsia="宋体" w:cs="宋体"/>
                <w:color w:val="auto"/>
                <w:sz w:val="24"/>
                <w:szCs w:val="24"/>
                <w:highlight w:val="none"/>
              </w:rPr>
              <w:t>解释：构成本磋商文件的各个组成文件应互为解释，互为说明；除磋商文件中有特别规定外，仅适用于竞标阶段的规定，按更正公告（澄清公告）、竞争性磋商公告、供应商须知、采购需求和说明、评审程序、评审方法、响应文件格式、合同文本的先后顺序解释；同一组成文件中就同一事项的规定或者约定不一致的，以编排顺序在后者为准；同一组成文件不同版本之间有不一致的，以形成时间在后者为准；更正公告（澄清公告）与同步更新的磋商文件不一致时以更正公告（澄清公告）为准。按本款前述规定仍不能形成结论的，由采购人或者采购代理机构负责解释。</w:t>
            </w:r>
          </w:p>
        </w:tc>
      </w:tr>
      <w:tr w14:paraId="20D093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4AFDC50B">
            <w:pPr>
              <w:keepNext w:val="0"/>
              <w:keepLines w:val="0"/>
              <w:pageBreakBefore w:val="0"/>
              <w:kinsoku/>
              <w:wordWrap/>
              <w:overflowPunct/>
              <w:topLinePunct w:val="0"/>
              <w:autoSpaceDE/>
              <w:autoSpaceDN/>
              <w:bidi w:val="0"/>
              <w:adjustRightInd/>
              <w:spacing w:line="360" w:lineRule="auto"/>
              <w:jc w:val="center"/>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33.3</w:t>
            </w:r>
          </w:p>
        </w:tc>
        <w:tc>
          <w:tcPr>
            <w:tcW w:w="8186" w:type="dxa"/>
            <w:vAlign w:val="center"/>
          </w:tcPr>
          <w:p w14:paraId="0261F9CC">
            <w:pPr>
              <w:pStyle w:val="20"/>
              <w:keepNext w:val="0"/>
              <w:keepLines w:val="0"/>
              <w:pageBreakBefore w:val="0"/>
              <w:kinsoku/>
              <w:wordWrap/>
              <w:overflowPunct/>
              <w:topLinePunct w:val="0"/>
              <w:autoSpaceDE/>
              <w:autoSpaceDN/>
              <w:bidi w:val="0"/>
              <w:adjustRightInd/>
              <w:snapToGrid w:val="0"/>
              <w:spacing w:line="360" w:lineRule="auto"/>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本磋商文件中描述供应商的“公章”是指根据我国对公章的管理规定，用供应商法定主体行为名称制作的印章（包括广西政府采购云平台CA电子签章），除本磋商文件有特殊规定外，供应商的财务章、部门章、分公司章、工会章、合同章、竞标/投标专用章、业务专用章及银行的转账章、现金收讫章、现金付讫章等其他形式印章均不能代替公章。</w:t>
            </w:r>
          </w:p>
          <w:p w14:paraId="18BFA7AB">
            <w:pPr>
              <w:pStyle w:val="20"/>
              <w:keepNext w:val="0"/>
              <w:keepLines w:val="0"/>
              <w:pageBreakBefore w:val="0"/>
              <w:kinsoku/>
              <w:wordWrap/>
              <w:overflowPunct/>
              <w:topLinePunct w:val="0"/>
              <w:autoSpaceDE/>
              <w:autoSpaceDN/>
              <w:bidi w:val="0"/>
              <w:adjustRightInd/>
              <w:snapToGrid w:val="0"/>
              <w:spacing w:line="360" w:lineRule="auto"/>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2、供应商为其他组织或者自然人时，本磋商文件规定的法定代表人指负责人或者自然人。本磋商文件所称负责人是指参加竞标的负责人，本磋商文件所称自然人指参与竞标的自然人本人。</w:t>
            </w:r>
          </w:p>
          <w:p w14:paraId="0FA63F44">
            <w:pPr>
              <w:pStyle w:val="20"/>
              <w:keepNext w:val="0"/>
              <w:keepLines w:val="0"/>
              <w:pageBreakBefore w:val="0"/>
              <w:kinsoku/>
              <w:wordWrap/>
              <w:overflowPunct/>
              <w:topLinePunct w:val="0"/>
              <w:autoSpaceDE/>
              <w:autoSpaceDN/>
              <w:bidi w:val="0"/>
              <w:adjustRightInd/>
              <w:snapToGrid w:val="0"/>
              <w:spacing w:line="360" w:lineRule="auto"/>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3、本磋商文件中描述供应商的“签字”是指供应商的法定代表人</w:t>
            </w:r>
            <w:r>
              <w:rPr>
                <w:rFonts w:hint="eastAsia" w:ascii="宋体" w:hAnsi="宋体" w:eastAsia="宋体" w:cs="宋体"/>
                <w:color w:val="auto"/>
                <w:sz w:val="24"/>
                <w:szCs w:val="24"/>
                <w:highlight w:val="none"/>
                <w:lang w:eastAsia="zh-CN"/>
              </w:rPr>
              <w:t>（负责人）</w:t>
            </w:r>
            <w:r>
              <w:rPr>
                <w:rFonts w:hint="eastAsia" w:ascii="宋体" w:hAnsi="宋体" w:eastAsia="宋体" w:cs="宋体"/>
                <w:color w:val="auto"/>
                <w:sz w:val="24"/>
                <w:szCs w:val="24"/>
                <w:highlight w:val="none"/>
              </w:rPr>
              <w:t>或者委托代理人亲自在文件规定签署处亲笔写上个人的名字的行为，私章、签字章、印鉴、影印等其他形式均不能代替亲笔签字。</w:t>
            </w:r>
          </w:p>
          <w:p w14:paraId="41BA3C90">
            <w:pPr>
              <w:pStyle w:val="20"/>
              <w:keepNext w:val="0"/>
              <w:keepLines w:val="0"/>
              <w:pageBreakBefore w:val="0"/>
              <w:kinsoku/>
              <w:wordWrap/>
              <w:overflowPunct/>
              <w:topLinePunct w:val="0"/>
              <w:autoSpaceDE/>
              <w:autoSpaceDN/>
              <w:bidi w:val="0"/>
              <w:adjustRightInd/>
              <w:snapToGrid w:val="0"/>
              <w:spacing w:line="360" w:lineRule="auto"/>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4、自然人竞标的，磋商文件规定盖公章处由自然人摁手指指印。</w:t>
            </w:r>
          </w:p>
          <w:p w14:paraId="63D42143">
            <w:pPr>
              <w:pStyle w:val="20"/>
              <w:keepNext w:val="0"/>
              <w:keepLines w:val="0"/>
              <w:pageBreakBefore w:val="0"/>
              <w:kinsoku/>
              <w:wordWrap/>
              <w:overflowPunct/>
              <w:topLinePunct w:val="0"/>
              <w:autoSpaceDE/>
              <w:autoSpaceDN/>
              <w:bidi w:val="0"/>
              <w:adjustRightInd/>
              <w:snapToGrid w:val="0"/>
              <w:spacing w:line="360" w:lineRule="auto"/>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5、本磋商文件所称的“以上”“以下”“以内”“届满”，包括本数；所称的“不满”“超过”“以外”，不包括本数。</w:t>
            </w:r>
          </w:p>
          <w:p w14:paraId="2C48972C">
            <w:pPr>
              <w:pStyle w:val="20"/>
              <w:keepNext w:val="0"/>
              <w:keepLines w:val="0"/>
              <w:pageBreakBefore w:val="0"/>
              <w:kinsoku/>
              <w:wordWrap/>
              <w:overflowPunct/>
              <w:topLinePunct w:val="0"/>
              <w:autoSpaceDE/>
              <w:autoSpaceDN/>
              <w:bidi w:val="0"/>
              <w:adjustRightInd/>
              <w:snapToGrid w:val="0"/>
              <w:spacing w:line="360" w:lineRule="auto"/>
              <w:ind w:firstLine="482"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6.因项目存档需要，须按以下要求提供纸质响应文件:成交供应商在成交通知书发出后7天内须提交</w:t>
            </w:r>
            <w:r>
              <w:rPr>
                <w:rFonts w:hint="eastAsia" w:hAnsi="宋体" w:cs="宋体"/>
                <w:b/>
                <w:bCs/>
                <w:color w:val="auto"/>
                <w:sz w:val="24"/>
                <w:szCs w:val="24"/>
                <w:highlight w:val="none"/>
                <w:lang w:val="en-US" w:eastAsia="zh-CN"/>
              </w:rPr>
              <w:t>3</w:t>
            </w:r>
            <w:r>
              <w:rPr>
                <w:rFonts w:hint="eastAsia" w:ascii="宋体" w:hAnsi="宋体" w:eastAsia="宋体" w:cs="宋体"/>
                <w:b/>
                <w:bCs/>
                <w:color w:val="auto"/>
                <w:sz w:val="24"/>
                <w:szCs w:val="24"/>
                <w:highlight w:val="none"/>
              </w:rPr>
              <w:t>套纸质版响应文件(含资格证明文件、商务技术文件、报价文件，按要求加盖公章)给采购代理机构。提交的纸质版响应文件交本必须与其上传的电子响应文件内客一致，不允许有篡改。如项目验收时因所提供的纸质响应文件与评标的响应文件不一致造成纠纷时，所有责任由成交供应商承担。</w:t>
            </w:r>
          </w:p>
        </w:tc>
      </w:tr>
      <w:tr w14:paraId="2AE914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5ADFCCA8">
            <w:pPr>
              <w:keepNext w:val="0"/>
              <w:keepLines w:val="0"/>
              <w:pageBreakBefore w:val="0"/>
              <w:kinsoku/>
              <w:wordWrap/>
              <w:overflowPunct/>
              <w:topLinePunct w:val="0"/>
              <w:autoSpaceDE/>
              <w:autoSpaceDN/>
              <w:bidi w:val="0"/>
              <w:adjustRightInd/>
              <w:spacing w:line="360" w:lineRule="auto"/>
              <w:jc w:val="center"/>
              <w:textAlignment w:val="auto"/>
              <w:outlineLvl w:val="9"/>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33.</w:t>
            </w:r>
            <w:r>
              <w:rPr>
                <w:rFonts w:hint="eastAsia" w:ascii="宋体" w:hAnsi="宋体" w:cs="宋体"/>
                <w:color w:val="auto"/>
                <w:sz w:val="24"/>
                <w:szCs w:val="24"/>
                <w:highlight w:val="none"/>
                <w:lang w:val="en-US" w:eastAsia="zh-CN"/>
              </w:rPr>
              <w:t>4</w:t>
            </w:r>
          </w:p>
        </w:tc>
        <w:tc>
          <w:tcPr>
            <w:tcW w:w="8186" w:type="dxa"/>
            <w:vAlign w:val="center"/>
          </w:tcPr>
          <w:p w14:paraId="4C4AF915">
            <w:pPr>
              <w:pStyle w:val="20"/>
              <w:keepNext w:val="0"/>
              <w:keepLines w:val="0"/>
              <w:pageBreakBefore w:val="0"/>
              <w:kinsoku/>
              <w:wordWrap/>
              <w:overflowPunct/>
              <w:topLinePunct w:val="0"/>
              <w:autoSpaceDE/>
              <w:autoSpaceDN/>
              <w:bidi w:val="0"/>
              <w:adjustRightInd/>
              <w:snapToGrid w:val="0"/>
              <w:spacing w:line="360" w:lineRule="auto"/>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在政府采购活动中推广使用电子保承的通知：根据《广西壮族自治区财政厅关于在政府采购活动中推广使用电子保函的通知》(桂财采(2023)92号)、贺州市财政局关于在政府采购活动中推广使用电子保函的通知文件的精神，为中小企业参与政府采购活动提供便和，切实减轻企业负担，进一步优化政府采购营商环境在本区实施的政府采购活动中，项目如采用了投标保证金保函、约保证金保函及预付款保函的部分，均鼓励采职政府采购电了保承的形式。电了保函有关业务操作流程和手册可从“广西政府采购金融服务平台”查阅下载，供应商在电子保函的申请、使用、查看应用过程中遇到问题可咨询技术支撑方:4009039583。</w:t>
            </w:r>
          </w:p>
        </w:tc>
      </w:tr>
      <w:tr w14:paraId="07724C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4E9333B3">
            <w:pPr>
              <w:keepNext w:val="0"/>
              <w:keepLines w:val="0"/>
              <w:pageBreakBefore w:val="0"/>
              <w:kinsoku/>
              <w:wordWrap/>
              <w:overflowPunct/>
              <w:topLinePunct w:val="0"/>
              <w:autoSpaceDE/>
              <w:autoSpaceDN/>
              <w:bidi w:val="0"/>
              <w:adjustRightInd/>
              <w:spacing w:line="360" w:lineRule="auto"/>
              <w:jc w:val="center"/>
              <w:textAlignment w:val="auto"/>
              <w:outlineLvl w:val="9"/>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33.</w:t>
            </w:r>
            <w:r>
              <w:rPr>
                <w:rFonts w:hint="eastAsia" w:ascii="宋体" w:hAnsi="宋体" w:cs="宋体"/>
                <w:color w:val="auto"/>
                <w:sz w:val="24"/>
                <w:szCs w:val="24"/>
                <w:highlight w:val="none"/>
                <w:lang w:val="en-US" w:eastAsia="zh-CN"/>
              </w:rPr>
              <w:t>5</w:t>
            </w:r>
          </w:p>
        </w:tc>
        <w:tc>
          <w:tcPr>
            <w:tcW w:w="8186" w:type="dxa"/>
            <w:vAlign w:val="center"/>
          </w:tcPr>
          <w:p w14:paraId="5982C9D0">
            <w:pPr>
              <w:pStyle w:val="20"/>
              <w:keepNext w:val="0"/>
              <w:keepLines w:val="0"/>
              <w:pageBreakBefore w:val="0"/>
              <w:kinsoku/>
              <w:wordWrap/>
              <w:overflowPunct/>
              <w:topLinePunct w:val="0"/>
              <w:autoSpaceDE/>
              <w:autoSpaceDN/>
              <w:bidi w:val="0"/>
              <w:adjustRightInd/>
              <w:snapToGrid w:val="0"/>
              <w:spacing w:line="360" w:lineRule="auto"/>
              <w:ind w:firstLine="480" w:firstLineChars="200"/>
              <w:textAlignment w:val="auto"/>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进一步推行“政采贷”工作的通知：根据《贺州市财政局关于进一步推行“政采贷”工作的通知》(贺财采(2024)3号)，为有效缓解中小微企业融资难、融资贵问题，如政府采购中标的供应商存在融资需求，在中标公告发布后，可通过“广西政府采购金融服务平台”进行合同融资预申请。相关事宜请跟</w:t>
            </w:r>
            <w:r>
              <w:rPr>
                <w:rFonts w:hint="eastAsia" w:ascii="宋体" w:hAnsi="宋体" w:eastAsia="宋体" w:cs="宋体"/>
                <w:color w:val="auto"/>
                <w:kern w:val="0"/>
                <w:sz w:val="24"/>
                <w:szCs w:val="24"/>
                <w:highlight w:val="none"/>
              </w:rPr>
              <w:t>富川瑶族自治县财政局政府采购监督股</w:t>
            </w:r>
            <w:r>
              <w:rPr>
                <w:rFonts w:hint="eastAsia" w:ascii="宋体" w:hAnsi="宋体" w:eastAsia="宋体" w:cs="宋体"/>
                <w:color w:val="auto"/>
                <w:sz w:val="24"/>
                <w:szCs w:val="24"/>
                <w:highlight w:val="none"/>
                <w:lang w:val="en-US" w:eastAsia="zh-CN"/>
              </w:rPr>
              <w:t xml:space="preserve">  电话：</w:t>
            </w:r>
            <w:r>
              <w:rPr>
                <w:rFonts w:hint="eastAsia" w:hAnsi="宋体" w:cs="宋体"/>
                <w:color w:val="auto"/>
                <w:sz w:val="24"/>
                <w:szCs w:val="24"/>
                <w:highlight w:val="none"/>
                <w:lang w:val="en-US" w:eastAsia="zh-CN"/>
              </w:rPr>
              <w:t>0774-7882324</w:t>
            </w:r>
            <w:r>
              <w:rPr>
                <w:rFonts w:hint="eastAsia" w:ascii="宋体" w:hAnsi="宋体" w:eastAsia="宋体" w:cs="宋体"/>
                <w:color w:val="auto"/>
                <w:sz w:val="24"/>
                <w:szCs w:val="24"/>
                <w:highlight w:val="none"/>
                <w:lang w:val="en-US" w:eastAsia="zh-CN"/>
              </w:rPr>
              <w:t>。</w:t>
            </w:r>
          </w:p>
        </w:tc>
      </w:tr>
    </w:tbl>
    <w:p w14:paraId="3F183456">
      <w:pPr>
        <w:spacing w:line="360" w:lineRule="auto"/>
        <w:jc w:val="center"/>
        <w:outlineLvl w:val="1"/>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br w:type="page"/>
      </w:r>
      <w:bookmarkStart w:id="126" w:name="_Toc6834"/>
      <w:bookmarkStart w:id="127" w:name="_Toc8424"/>
      <w:bookmarkStart w:id="128" w:name="_Toc4689"/>
      <w:bookmarkStart w:id="129" w:name="_Toc25577"/>
      <w:r>
        <w:rPr>
          <w:rFonts w:hint="eastAsia" w:ascii="宋体" w:hAnsi="宋体" w:eastAsia="宋体" w:cs="宋体"/>
          <w:b/>
          <w:color w:val="auto"/>
          <w:sz w:val="32"/>
          <w:szCs w:val="32"/>
          <w:highlight w:val="none"/>
        </w:rPr>
        <w:t>供应商须知正文</w:t>
      </w:r>
      <w:bookmarkEnd w:id="126"/>
      <w:bookmarkEnd w:id="127"/>
      <w:bookmarkEnd w:id="128"/>
      <w:bookmarkEnd w:id="129"/>
    </w:p>
    <w:p w14:paraId="57DE4F8F">
      <w:pPr>
        <w:spacing w:line="360" w:lineRule="auto"/>
        <w:jc w:val="center"/>
        <w:rPr>
          <w:rFonts w:hint="eastAsia" w:ascii="宋体" w:hAnsi="宋体" w:eastAsia="宋体" w:cs="宋体"/>
          <w:b/>
          <w:color w:val="auto"/>
          <w:sz w:val="32"/>
          <w:szCs w:val="32"/>
          <w:highlight w:val="none"/>
        </w:rPr>
      </w:pPr>
    </w:p>
    <w:p w14:paraId="13FEAD2E">
      <w:pPr>
        <w:spacing w:line="360" w:lineRule="auto"/>
        <w:jc w:val="center"/>
        <w:outlineLvl w:val="1"/>
        <w:rPr>
          <w:rFonts w:hint="eastAsia" w:ascii="宋体" w:hAnsi="宋体" w:eastAsia="宋体" w:cs="宋体"/>
          <w:b/>
          <w:color w:val="auto"/>
          <w:sz w:val="32"/>
          <w:szCs w:val="32"/>
          <w:highlight w:val="none"/>
        </w:rPr>
      </w:pPr>
      <w:bookmarkStart w:id="130" w:name="_Toc905"/>
      <w:bookmarkStart w:id="131" w:name="_Toc6600"/>
      <w:bookmarkStart w:id="132" w:name="_Toc4936"/>
      <w:bookmarkStart w:id="133" w:name="_Toc11592"/>
      <w:r>
        <w:rPr>
          <w:rFonts w:hint="eastAsia" w:ascii="宋体" w:hAnsi="宋体" w:eastAsia="宋体" w:cs="宋体"/>
          <w:b/>
          <w:color w:val="auto"/>
          <w:sz w:val="32"/>
          <w:szCs w:val="32"/>
          <w:highlight w:val="none"/>
        </w:rPr>
        <w:t>一、总则</w:t>
      </w:r>
      <w:bookmarkEnd w:id="130"/>
      <w:bookmarkEnd w:id="131"/>
      <w:bookmarkEnd w:id="132"/>
      <w:bookmarkEnd w:id="133"/>
    </w:p>
    <w:p w14:paraId="17EE5132">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outlineLvl w:val="2"/>
        <w:rPr>
          <w:rFonts w:hint="eastAsia" w:ascii="宋体" w:hAnsi="宋体" w:eastAsia="宋体" w:cs="宋体"/>
          <w:b/>
          <w:bCs/>
          <w:color w:val="auto"/>
          <w:sz w:val="21"/>
          <w:szCs w:val="21"/>
          <w:highlight w:val="none"/>
        </w:rPr>
      </w:pPr>
      <w:bookmarkStart w:id="134" w:name="_Toc32345"/>
      <w:bookmarkStart w:id="135" w:name="_Toc20312"/>
      <w:bookmarkStart w:id="136" w:name="_Toc17438"/>
      <w:bookmarkStart w:id="137" w:name="_Toc15174"/>
      <w:r>
        <w:rPr>
          <w:rFonts w:hint="eastAsia" w:ascii="宋体" w:hAnsi="宋体" w:eastAsia="宋体" w:cs="宋体"/>
          <w:b/>
          <w:bCs/>
          <w:color w:val="auto"/>
          <w:sz w:val="21"/>
          <w:szCs w:val="21"/>
          <w:highlight w:val="none"/>
        </w:rPr>
        <w:t>1、适用范围</w:t>
      </w:r>
      <w:bookmarkEnd w:id="134"/>
      <w:bookmarkEnd w:id="135"/>
      <w:bookmarkEnd w:id="136"/>
      <w:bookmarkEnd w:id="137"/>
    </w:p>
    <w:p w14:paraId="6F6CEC9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本项目采购人、采购代理机构、供应商、磋商小组的相关行为均受《中华人民共和国政府采购法》《中华人民共和国政府采购法实施条例》《政府采购竞争性磋商采购方式管理暂行办法》《财政部关于政府采购竞争性磋商采购方式管理暂行办法有关问题的补充通知》及本项目本级和上级财政部门政府采购有关规定的约束和保护。</w:t>
      </w:r>
    </w:p>
    <w:p w14:paraId="768BB56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w:t>
      </w:r>
      <w:r>
        <w:rPr>
          <w:rFonts w:hint="eastAsia" w:ascii="宋体" w:hAnsi="宋体" w:eastAsia="宋体" w:cs="宋体"/>
          <w:color w:val="auto"/>
          <w:spacing w:val="-6"/>
          <w:sz w:val="21"/>
          <w:szCs w:val="21"/>
          <w:highlight w:val="none"/>
        </w:rPr>
        <w:t>本竞争性磋商文件（以下简称磋商文件）适用于本项目的所有采购程序和环节（法律、法规另有规定的，从其规定）。</w:t>
      </w:r>
    </w:p>
    <w:p w14:paraId="5CFE6377">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outlineLvl w:val="2"/>
        <w:rPr>
          <w:rFonts w:hint="eastAsia" w:ascii="宋体" w:hAnsi="宋体" w:eastAsia="宋体" w:cs="宋体"/>
          <w:b/>
          <w:bCs/>
          <w:color w:val="auto"/>
          <w:sz w:val="21"/>
          <w:szCs w:val="21"/>
          <w:highlight w:val="none"/>
        </w:rPr>
      </w:pPr>
      <w:bookmarkStart w:id="138" w:name="_Toc16425"/>
      <w:bookmarkStart w:id="139" w:name="_Toc6800"/>
      <w:bookmarkStart w:id="140" w:name="_Toc31101"/>
      <w:bookmarkStart w:id="141" w:name="_Toc10030"/>
      <w:r>
        <w:rPr>
          <w:rFonts w:hint="eastAsia" w:ascii="宋体" w:hAnsi="宋体" w:eastAsia="宋体" w:cs="宋体"/>
          <w:b/>
          <w:bCs/>
          <w:color w:val="auto"/>
          <w:sz w:val="21"/>
          <w:szCs w:val="21"/>
          <w:highlight w:val="none"/>
        </w:rPr>
        <w:t>2、定义</w:t>
      </w:r>
      <w:bookmarkEnd w:id="138"/>
      <w:bookmarkEnd w:id="139"/>
      <w:bookmarkEnd w:id="140"/>
      <w:bookmarkEnd w:id="141"/>
    </w:p>
    <w:p w14:paraId="034543C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2.1“采购人”是指依法进行政府采购的国家机关、事业单位、团体组织。</w:t>
      </w:r>
    </w:p>
    <w:p w14:paraId="56D3797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2.2“采购代理机构”是指政府采购集中采购机构和集中采购机构以外的采购代理机构。</w:t>
      </w:r>
    </w:p>
    <w:p w14:paraId="4769CBB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2.3“供应商”是指向采购人提供货物、工程或者服务的法人、其他组织或者自然人。</w:t>
      </w:r>
    </w:p>
    <w:p w14:paraId="22B803A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2.4“工程”按照招标投标法及其实施条例必须进行招标的工程建设项目以外的工程建设项目。</w:t>
      </w:r>
    </w:p>
    <w:p w14:paraId="653723A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2.5“竞标”是指供应商按照本项目竞争性磋商公告规定的方式获取磋商文件、提交响应文件并希望获得标的的行为。</w:t>
      </w:r>
    </w:p>
    <w:p w14:paraId="2B0EF2F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cs="宋体"/>
          <w:color w:val="auto"/>
          <w:sz w:val="21"/>
          <w:szCs w:val="21"/>
          <w:highlight w:val="none"/>
          <w:lang w:val="en-US" w:eastAsia="zh-CN"/>
        </w:rPr>
        <w:t>6</w:t>
      </w:r>
      <w:r>
        <w:rPr>
          <w:rFonts w:hint="eastAsia" w:ascii="宋体" w:hAnsi="宋体" w:eastAsia="宋体" w:cs="宋体"/>
          <w:color w:val="auto"/>
          <w:sz w:val="21"/>
          <w:szCs w:val="21"/>
          <w:highlight w:val="none"/>
        </w:rPr>
        <w:t>“响应文件”是指：供应商根据本磋商文件要求，编制包含资格证明、报价、商务技术等所有内容的文件。</w:t>
      </w:r>
    </w:p>
    <w:p w14:paraId="21AAA04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2.7“实质性要求”是指磋商文件中已经指明不满足则响应文件按无效响应处理的条款，或者不能负偏离的条款，或者采购需求和说明中带“▲”的条款。</w:t>
      </w:r>
    </w:p>
    <w:p w14:paraId="34D73A2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2.8“正偏离”，是指响应文件对磋商文件“采购需求和说明”中有关条款作出的响应优于条款要求并有利于采购人的情形。</w:t>
      </w:r>
    </w:p>
    <w:p w14:paraId="36D3933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2.9“负偏离”，是指响应文件对磋商文件“采购需求和说明”中有关条款作出的响应不满足条款要求，导致采购人要求不能得到满足的情形。</w:t>
      </w:r>
    </w:p>
    <w:p w14:paraId="331E42C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2.10“允许负偏离的条款”是指采购需求和说明中的不属于“实质性要求”的条款。</w:t>
      </w:r>
    </w:p>
    <w:p w14:paraId="5CA63DC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2.11“书面形式”是指合同书、信件和数据电文（包括电报、电传、传真、电子数据交换和电子邮件）等可以有形地表现所载内容的形式。</w:t>
      </w:r>
    </w:p>
    <w:p w14:paraId="690DD14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3"/>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2.12“首次报价”是指供应商提交的首次响应文件中的报价。</w:t>
      </w:r>
    </w:p>
    <w:p w14:paraId="4E4CEAA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2.13“评审价”是指供应商提交的最后报价并经修正（如有）和政策功能价格扣除（如有）后的价格。</w:t>
      </w:r>
    </w:p>
    <w:p w14:paraId="29DA31C2">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outlineLvl w:val="2"/>
        <w:rPr>
          <w:rFonts w:hint="eastAsia" w:ascii="宋体" w:hAnsi="宋体" w:eastAsia="宋体" w:cs="宋体"/>
          <w:b/>
          <w:bCs/>
          <w:color w:val="auto"/>
          <w:sz w:val="21"/>
          <w:szCs w:val="21"/>
          <w:highlight w:val="none"/>
        </w:rPr>
      </w:pPr>
      <w:bookmarkStart w:id="142" w:name="_Toc6645"/>
      <w:bookmarkStart w:id="143" w:name="_Toc24801"/>
      <w:bookmarkStart w:id="144" w:name="_Toc4820"/>
      <w:bookmarkStart w:id="145" w:name="_Toc27925"/>
      <w:r>
        <w:rPr>
          <w:rFonts w:hint="eastAsia" w:ascii="宋体" w:hAnsi="宋体" w:eastAsia="宋体" w:cs="宋体"/>
          <w:b/>
          <w:bCs/>
          <w:color w:val="auto"/>
          <w:sz w:val="21"/>
          <w:szCs w:val="21"/>
          <w:highlight w:val="none"/>
        </w:rPr>
        <w:t>3、供应商的资格条件</w:t>
      </w:r>
      <w:bookmarkEnd w:id="142"/>
      <w:bookmarkEnd w:id="143"/>
      <w:bookmarkEnd w:id="144"/>
      <w:bookmarkEnd w:id="145"/>
    </w:p>
    <w:p w14:paraId="67A9A53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供应商的资格条件详见“供应商须知前附表”。</w:t>
      </w:r>
    </w:p>
    <w:p w14:paraId="22F7962C">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outlineLvl w:val="2"/>
        <w:rPr>
          <w:rFonts w:hint="eastAsia" w:ascii="宋体" w:hAnsi="宋体" w:eastAsia="宋体" w:cs="宋体"/>
          <w:b/>
          <w:bCs/>
          <w:color w:val="auto"/>
          <w:sz w:val="21"/>
          <w:szCs w:val="21"/>
          <w:highlight w:val="none"/>
        </w:rPr>
      </w:pPr>
      <w:bookmarkStart w:id="146" w:name="_Toc867"/>
      <w:bookmarkStart w:id="147" w:name="_Toc23831"/>
      <w:bookmarkStart w:id="148" w:name="_Toc11303"/>
      <w:bookmarkStart w:id="149" w:name="_Toc14071"/>
      <w:r>
        <w:rPr>
          <w:rFonts w:hint="eastAsia" w:ascii="宋体" w:hAnsi="宋体" w:cs="宋体"/>
          <w:b/>
          <w:bCs/>
          <w:color w:val="auto"/>
          <w:sz w:val="21"/>
          <w:szCs w:val="21"/>
          <w:highlight w:val="none"/>
          <w:lang w:val="en-US" w:eastAsia="zh-CN"/>
        </w:rPr>
        <w:t>4、</w:t>
      </w:r>
      <w:r>
        <w:rPr>
          <w:rFonts w:hint="eastAsia" w:ascii="宋体" w:hAnsi="宋体" w:eastAsia="宋体" w:cs="宋体"/>
          <w:b/>
          <w:bCs/>
          <w:color w:val="auto"/>
          <w:sz w:val="21"/>
          <w:szCs w:val="21"/>
          <w:highlight w:val="none"/>
        </w:rPr>
        <w:t>磋商费用</w:t>
      </w:r>
      <w:bookmarkEnd w:id="146"/>
      <w:bookmarkEnd w:id="147"/>
      <w:bookmarkEnd w:id="148"/>
    </w:p>
    <w:p w14:paraId="2539EB0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供应商应承担参与本次采购活动有关的所有费用，包括但不限于获取磋商文件、勘查现场、编制和提交响应文件、参加磋商与应答、签订合同等，不论竞争性磋商结果如何，均应自行承担。</w:t>
      </w:r>
    </w:p>
    <w:p w14:paraId="1D8CE44A">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outlineLvl w:val="2"/>
        <w:rPr>
          <w:rFonts w:hint="eastAsia" w:ascii="宋体" w:hAnsi="宋体" w:eastAsia="宋体" w:cs="宋体"/>
          <w:b/>
          <w:bCs/>
          <w:color w:val="auto"/>
          <w:sz w:val="21"/>
          <w:szCs w:val="21"/>
          <w:highlight w:val="none"/>
        </w:rPr>
      </w:pPr>
      <w:bookmarkStart w:id="150" w:name="_Toc19441"/>
      <w:bookmarkStart w:id="151" w:name="_Toc15697"/>
      <w:bookmarkStart w:id="152" w:name="_Toc23279"/>
      <w:r>
        <w:rPr>
          <w:rFonts w:hint="eastAsia" w:ascii="宋体" w:hAnsi="宋体" w:eastAsia="宋体" w:cs="宋体"/>
          <w:b/>
          <w:bCs/>
          <w:color w:val="auto"/>
          <w:sz w:val="21"/>
          <w:szCs w:val="21"/>
          <w:highlight w:val="none"/>
        </w:rPr>
        <w:t>5、联合体竞标</w:t>
      </w:r>
      <w:bookmarkEnd w:id="149"/>
      <w:bookmarkEnd w:id="150"/>
      <w:bookmarkEnd w:id="151"/>
      <w:bookmarkEnd w:id="152"/>
    </w:p>
    <w:p w14:paraId="694EE6EB">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3"/>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5.1本项目是否接受联合体竞标，详见“供应商须知前附表”。</w:t>
      </w:r>
    </w:p>
    <w:p w14:paraId="6BEA5F0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5.2如接受联合体竞标，联合体竞标要求详见“供应商须知前附表”。</w:t>
      </w:r>
    </w:p>
    <w:p w14:paraId="45C5B05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5.3</w:t>
      </w:r>
      <w:bookmarkStart w:id="153" w:name="_Hlk66782192"/>
      <w:r>
        <w:rPr>
          <w:rFonts w:hint="eastAsia" w:ascii="宋体" w:hAnsi="宋体" w:eastAsia="宋体" w:cs="宋体"/>
          <w:color w:val="auto"/>
          <w:sz w:val="21"/>
          <w:szCs w:val="21"/>
          <w:highlight w:val="none"/>
        </w:rPr>
        <w:t>根据《政府采购促进中小企业发展管理办法》（财库〔2020〕46号）第九条第二款的规定，接受大中型企业与小微企业组成联合体或者允许大中型企业向一家或者多家小微企业分包的采购项目，对于联合协议或者分包意向协议约定小微企业的合同份额占到合同总金额40%以上的，采购人、采购代理机构应当对联合体或者大中型企业的报价给予2%-3%的扣除，用扣除后的价格参加评审。</w:t>
      </w:r>
      <w:bookmarkEnd w:id="153"/>
    </w:p>
    <w:p w14:paraId="034762E5">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outlineLvl w:val="2"/>
        <w:rPr>
          <w:rFonts w:hint="eastAsia" w:ascii="宋体" w:hAnsi="宋体" w:eastAsia="宋体" w:cs="宋体"/>
          <w:b/>
          <w:bCs/>
          <w:color w:val="auto"/>
          <w:sz w:val="21"/>
          <w:szCs w:val="21"/>
          <w:highlight w:val="none"/>
        </w:rPr>
      </w:pPr>
      <w:bookmarkStart w:id="154" w:name="_Toc5355"/>
      <w:bookmarkStart w:id="155" w:name="_Toc194"/>
      <w:bookmarkStart w:id="156" w:name="_Toc8516"/>
      <w:bookmarkStart w:id="157" w:name="_Toc5601"/>
      <w:r>
        <w:rPr>
          <w:rFonts w:hint="eastAsia" w:ascii="宋体" w:hAnsi="宋体" w:eastAsia="宋体" w:cs="宋体"/>
          <w:b/>
          <w:bCs/>
          <w:color w:val="auto"/>
          <w:sz w:val="21"/>
          <w:szCs w:val="21"/>
          <w:highlight w:val="none"/>
        </w:rPr>
        <w:t>6、转包与分包</w:t>
      </w:r>
      <w:bookmarkEnd w:id="154"/>
      <w:bookmarkEnd w:id="155"/>
      <w:bookmarkEnd w:id="156"/>
      <w:bookmarkEnd w:id="157"/>
      <w:r>
        <w:rPr>
          <w:rFonts w:hint="eastAsia" w:ascii="宋体" w:hAnsi="宋体" w:eastAsia="宋体" w:cs="宋体"/>
          <w:b/>
          <w:bCs/>
          <w:color w:val="auto"/>
          <w:sz w:val="21"/>
          <w:szCs w:val="21"/>
          <w:highlight w:val="none"/>
        </w:rPr>
        <w:t xml:space="preserve">             </w:t>
      </w:r>
    </w:p>
    <w:p w14:paraId="6A73636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3"/>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6.1本项目不允许转包。</w:t>
      </w:r>
    </w:p>
    <w:p w14:paraId="42A270C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6.2本项目是否允许分包详见“供应商须知前附表”，本项目不允许违法分包。</w:t>
      </w:r>
    </w:p>
    <w:p w14:paraId="36CE197D">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outlineLvl w:val="2"/>
        <w:rPr>
          <w:rFonts w:hint="eastAsia" w:ascii="宋体" w:hAnsi="宋体" w:eastAsia="宋体" w:cs="宋体"/>
          <w:b/>
          <w:bCs/>
          <w:color w:val="auto"/>
          <w:sz w:val="21"/>
          <w:szCs w:val="21"/>
          <w:highlight w:val="none"/>
        </w:rPr>
      </w:pPr>
      <w:bookmarkStart w:id="158" w:name="_Toc254970673"/>
      <w:bookmarkStart w:id="159" w:name="_Toc22303"/>
      <w:bookmarkStart w:id="160" w:name="_Toc30420"/>
      <w:bookmarkStart w:id="161" w:name="_Toc5217"/>
      <w:bookmarkStart w:id="162" w:name="_Toc21086"/>
      <w:bookmarkStart w:id="163" w:name="_Toc254970532"/>
      <w:r>
        <w:rPr>
          <w:rFonts w:hint="eastAsia" w:ascii="宋体" w:hAnsi="宋体" w:eastAsia="宋体" w:cs="宋体"/>
          <w:b/>
          <w:bCs/>
          <w:color w:val="auto"/>
          <w:sz w:val="21"/>
          <w:szCs w:val="21"/>
          <w:highlight w:val="none"/>
        </w:rPr>
        <w:t>7、特别说明</w:t>
      </w:r>
      <w:bookmarkEnd w:id="158"/>
      <w:bookmarkEnd w:id="159"/>
      <w:bookmarkEnd w:id="160"/>
      <w:bookmarkEnd w:id="161"/>
      <w:bookmarkEnd w:id="162"/>
      <w:bookmarkEnd w:id="163"/>
    </w:p>
    <w:p w14:paraId="1117350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bookmarkStart w:id="164" w:name="_8.1提供相同品牌产品且通过资格审查、符合性审查的不同投标人参加同一合"/>
      <w:bookmarkEnd w:id="164"/>
      <w:r>
        <w:rPr>
          <w:rFonts w:hint="eastAsia" w:ascii="宋体" w:hAnsi="宋体" w:eastAsia="宋体" w:cs="宋体"/>
          <w:color w:val="auto"/>
          <w:sz w:val="21"/>
          <w:szCs w:val="21"/>
          <w:highlight w:val="none"/>
        </w:rPr>
        <w:t>7.1</w:t>
      </w:r>
      <w:bookmarkStart w:id="165" w:name="_Hlk65832145"/>
      <w:r>
        <w:rPr>
          <w:rFonts w:hint="eastAsia" w:ascii="宋体" w:hAnsi="宋体" w:eastAsia="宋体" w:cs="宋体"/>
          <w:color w:val="auto"/>
          <w:sz w:val="21"/>
          <w:szCs w:val="21"/>
          <w:highlight w:val="none"/>
        </w:rPr>
        <w:t>如果本磋商文件要求提供供应商或制造商的资格、信誉、荣誉、业绩与企业认证等材料的，资格、信誉、荣誉、业绩与企业认证等必须为供应商或者制造商所拥有或自身获得。</w:t>
      </w:r>
    </w:p>
    <w:bookmarkEnd w:id="165"/>
    <w:p w14:paraId="44C5F34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7.2供应商应仔细阅读磋商文件的所有内容，按照磋商文件的要求提交响应文件，并对所提供的全部资料的真实性承担法律责任。</w:t>
      </w:r>
    </w:p>
    <w:p w14:paraId="35A1169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7.3供应商在竞标活动中提供任何疑似虚假材料，将报监管部门查处；签订合同后发现的，成交供应商须依照《中华人民共和国消费者权益保护法》规定赔偿采购人，且民事赔偿并不免除违法供应商的行政与刑事责任。</w:t>
      </w:r>
    </w:p>
    <w:p w14:paraId="6D096428">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7.</w:t>
      </w:r>
      <w:r>
        <w:rPr>
          <w:rFonts w:hint="eastAsia" w:ascii="宋体" w:hAnsi="宋体" w:cs="宋体"/>
          <w:b/>
          <w:bCs/>
          <w:color w:val="auto"/>
          <w:sz w:val="21"/>
          <w:szCs w:val="21"/>
          <w:highlight w:val="none"/>
          <w:lang w:val="en-US" w:eastAsia="zh-CN"/>
        </w:rPr>
        <w:t>4</w:t>
      </w:r>
      <w:r>
        <w:rPr>
          <w:rFonts w:hint="eastAsia" w:ascii="宋体" w:hAnsi="宋体" w:eastAsia="宋体" w:cs="宋体"/>
          <w:b/>
          <w:bCs/>
          <w:color w:val="auto"/>
          <w:sz w:val="21"/>
          <w:szCs w:val="21"/>
          <w:highlight w:val="none"/>
        </w:rPr>
        <w:t>在政府采购活动中，采购人员及相关人员与供应商有下列利害关系之一的，应当回避：</w:t>
      </w:r>
    </w:p>
    <w:p w14:paraId="460D99C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（1）参加采购活动前3年内与供应商存在劳动关系；</w:t>
      </w:r>
    </w:p>
    <w:p w14:paraId="05706C4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（2）参加采购活动前3年内担任供应商的董事、监事；</w:t>
      </w:r>
    </w:p>
    <w:p w14:paraId="60826D2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（3）参加采购活动前3年内是供应商的控股股东或者实际控制人；</w:t>
      </w:r>
    </w:p>
    <w:p w14:paraId="4D7D718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（4）与供应商的法定代表人或者负责人有夫妻、直系血亲、三代以内旁系血亲或者近姻亲关系；</w:t>
      </w:r>
    </w:p>
    <w:p w14:paraId="2F1A5A1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（5）与供应商有其他可能影响政府采购活动公平、公正进行的关系。</w:t>
      </w:r>
    </w:p>
    <w:p w14:paraId="680BFCD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4041AA99">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7.</w:t>
      </w:r>
      <w:r>
        <w:rPr>
          <w:rFonts w:hint="eastAsia" w:ascii="宋体" w:hAnsi="宋体" w:cs="宋体"/>
          <w:b/>
          <w:bCs/>
          <w:color w:val="auto"/>
          <w:sz w:val="21"/>
          <w:szCs w:val="21"/>
          <w:highlight w:val="none"/>
          <w:lang w:val="en-US" w:eastAsia="zh-CN"/>
        </w:rPr>
        <w:t>5</w:t>
      </w:r>
      <w:r>
        <w:rPr>
          <w:rFonts w:hint="eastAsia" w:ascii="宋体" w:hAnsi="宋体" w:eastAsia="宋体" w:cs="宋体"/>
          <w:b/>
          <w:bCs/>
          <w:color w:val="auto"/>
          <w:sz w:val="21"/>
          <w:szCs w:val="21"/>
          <w:highlight w:val="none"/>
        </w:rPr>
        <w:t>有下列情形之一的视为供应商相互串通竞标，响应文件将被视为无效：</w:t>
      </w:r>
    </w:p>
    <w:p w14:paraId="7CDF2F2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（1）不同投标人的投标文件由同一单位或者个人编制；或不同投标人报名的IP地址一致的;</w:t>
      </w:r>
    </w:p>
    <w:p w14:paraId="0D393F7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宋体" w:hAnsi="宋体" w:eastAsia="宋体" w:cs="宋体"/>
          <w:color w:val="auto"/>
          <w:sz w:val="21"/>
          <w:szCs w:val="21"/>
          <w:highlight w:val="none"/>
        </w:rPr>
      </w:pPr>
      <w:r>
        <w:rPr>
          <w:rFonts w:hint="default"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2</w:t>
      </w:r>
      <w:r>
        <w:rPr>
          <w:rFonts w:hint="default" w:ascii="宋体" w:hAnsi="宋体" w:eastAsia="宋体" w:cs="宋体"/>
          <w:color w:val="auto"/>
          <w:sz w:val="21"/>
          <w:szCs w:val="21"/>
          <w:highlight w:val="none"/>
          <w:lang w:val="en-US" w:eastAsia="zh-CN"/>
        </w:rPr>
        <w:t>）不同投标人委托同一单位或者个人办理投标事宜;</w:t>
      </w:r>
    </w:p>
    <w:p w14:paraId="47CEDCC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宋体" w:hAnsi="宋体" w:eastAsia="宋体" w:cs="宋体"/>
          <w:color w:val="auto"/>
          <w:sz w:val="21"/>
          <w:szCs w:val="21"/>
          <w:highlight w:val="none"/>
        </w:rPr>
      </w:pPr>
      <w:r>
        <w:rPr>
          <w:rFonts w:hint="default"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3</w:t>
      </w:r>
      <w:r>
        <w:rPr>
          <w:rFonts w:hint="default" w:ascii="宋体" w:hAnsi="宋体" w:eastAsia="宋体" w:cs="宋体"/>
          <w:color w:val="auto"/>
          <w:sz w:val="21"/>
          <w:szCs w:val="21"/>
          <w:highlight w:val="none"/>
          <w:lang w:val="en-US" w:eastAsia="zh-CN"/>
        </w:rPr>
        <w:t>）不同的投标人的投标文件载明的项目管理员为同一个人;</w:t>
      </w:r>
    </w:p>
    <w:p w14:paraId="400BD88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宋体" w:hAnsi="宋体" w:eastAsia="宋体" w:cs="宋体"/>
          <w:color w:val="auto"/>
          <w:sz w:val="21"/>
          <w:szCs w:val="21"/>
          <w:highlight w:val="none"/>
        </w:rPr>
      </w:pPr>
      <w:r>
        <w:rPr>
          <w:rFonts w:hint="default"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4</w:t>
      </w:r>
      <w:r>
        <w:rPr>
          <w:rFonts w:hint="default" w:ascii="宋体" w:hAnsi="宋体" w:eastAsia="宋体" w:cs="宋体"/>
          <w:color w:val="auto"/>
          <w:sz w:val="21"/>
          <w:szCs w:val="21"/>
          <w:highlight w:val="none"/>
          <w:lang w:val="en-US" w:eastAsia="zh-CN"/>
        </w:rPr>
        <w:t>）不同投标人的投标文件异常一致或投标报价呈规律性差异;</w:t>
      </w:r>
    </w:p>
    <w:p w14:paraId="6F6E47D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宋体" w:hAnsi="宋体" w:eastAsia="宋体" w:cs="宋体"/>
          <w:color w:val="auto"/>
          <w:sz w:val="21"/>
          <w:szCs w:val="21"/>
          <w:highlight w:val="none"/>
        </w:rPr>
      </w:pPr>
      <w:r>
        <w:rPr>
          <w:rFonts w:hint="default"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5</w:t>
      </w:r>
      <w:r>
        <w:rPr>
          <w:rFonts w:hint="default" w:ascii="宋体" w:hAnsi="宋体" w:eastAsia="宋体" w:cs="宋体"/>
          <w:color w:val="auto"/>
          <w:sz w:val="21"/>
          <w:szCs w:val="21"/>
          <w:highlight w:val="none"/>
          <w:lang w:val="en-US" w:eastAsia="zh-CN"/>
        </w:rPr>
        <w:t>）不同投标人的投标文件相互混装;</w:t>
      </w:r>
    </w:p>
    <w:p w14:paraId="77250EE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宋体" w:hAnsi="宋体" w:eastAsia="宋体" w:cs="宋体"/>
          <w:color w:val="auto"/>
          <w:sz w:val="21"/>
          <w:szCs w:val="21"/>
          <w:highlight w:val="none"/>
          <w:lang w:val="en-US" w:eastAsia="zh-CN"/>
        </w:rPr>
      </w:pPr>
      <w:r>
        <w:rPr>
          <w:rFonts w:hint="default"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6</w:t>
      </w:r>
      <w:r>
        <w:rPr>
          <w:rFonts w:hint="default" w:ascii="宋体" w:hAnsi="宋体" w:eastAsia="宋体" w:cs="宋体"/>
          <w:color w:val="auto"/>
          <w:sz w:val="21"/>
          <w:szCs w:val="21"/>
          <w:highlight w:val="none"/>
          <w:lang w:val="en-US" w:eastAsia="zh-CN"/>
        </w:rPr>
        <w:t>）不同投标人的投标保证金从同一单位或者个人账户转出。</w:t>
      </w:r>
    </w:p>
    <w:p w14:paraId="4C6EA267">
      <w:pPr>
        <w:pStyle w:val="2"/>
        <w:spacing w:line="360" w:lineRule="auto"/>
        <w:rPr>
          <w:rFonts w:hint="default"/>
          <w:color w:val="auto"/>
        </w:rPr>
      </w:pPr>
      <w:r>
        <w:rPr>
          <w:rFonts w:hint="eastAsia" w:ascii="宋体" w:hAnsi="宋体" w:cs="宋体"/>
          <w:color w:val="auto"/>
          <w:sz w:val="21"/>
          <w:szCs w:val="21"/>
          <w:highlight w:val="none"/>
          <w:lang w:val="en-US" w:eastAsia="zh-CN"/>
        </w:rPr>
        <w:t>（7）不同投标人的投标文件由同一单位或者个人编制；或不同投标人报名的IP地址一致的；此类投标供应商将视为无效。</w:t>
      </w:r>
    </w:p>
    <w:p w14:paraId="03AC8B24">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7.</w:t>
      </w:r>
      <w:r>
        <w:rPr>
          <w:rFonts w:hint="eastAsia" w:ascii="宋体" w:hAnsi="宋体" w:cs="宋体"/>
          <w:b/>
          <w:bCs/>
          <w:color w:val="auto"/>
          <w:sz w:val="21"/>
          <w:szCs w:val="21"/>
          <w:highlight w:val="none"/>
          <w:lang w:val="en-US" w:eastAsia="zh-CN"/>
        </w:rPr>
        <w:t>6</w:t>
      </w:r>
      <w:r>
        <w:rPr>
          <w:rFonts w:hint="eastAsia" w:ascii="宋体" w:hAnsi="宋体" w:eastAsia="宋体" w:cs="宋体"/>
          <w:b/>
          <w:bCs/>
          <w:color w:val="auto"/>
          <w:sz w:val="21"/>
          <w:szCs w:val="21"/>
          <w:highlight w:val="none"/>
        </w:rPr>
        <w:t>供应商有下列情形之一的，属于恶意串通行为，将报同级监督管理部门：</w:t>
      </w:r>
    </w:p>
    <w:p w14:paraId="48D5E2B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（1）供应商直接或者间接从采购人或者采购代理机构处获得其他供应商的相关信息并修改其响应文件；</w:t>
      </w:r>
    </w:p>
    <w:p w14:paraId="298E4C7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（2）供应商按照采购人或者采购代理机构的授意撤换、修改响应文件；</w:t>
      </w:r>
    </w:p>
    <w:p w14:paraId="5079E5B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（3）供应商之间协商报价、技术方案等响应文件或者响应文件的实质性内容；</w:t>
      </w:r>
    </w:p>
    <w:p w14:paraId="69EF1EE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（4）属于同一集团、协会、商会等组织成员的供应商按照该组织要求协同参加政府采购活动；</w:t>
      </w:r>
    </w:p>
    <w:p w14:paraId="78ED9B7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（5）供应商之间事先约定一致抬高或者压低报价，或者在政府采购活动中事先约定轮流以高价位或者低价位成交，或者事先约定由某一特定供应商成交，然后再参加竞标；</w:t>
      </w:r>
    </w:p>
    <w:p w14:paraId="05E3E24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（6）供应商之间商定部分供应商放弃参加政府采购活动或者放弃成交；</w:t>
      </w:r>
    </w:p>
    <w:p w14:paraId="63BA729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（7）供应商与采购人或者采购代理机构之间、供应商相互之间，为谋求特定供应商成交或者排斥其他供应商的其他串通行为。</w:t>
      </w:r>
    </w:p>
    <w:p w14:paraId="4D87EFBB">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1"/>
        <w:rPr>
          <w:rFonts w:hint="eastAsia" w:ascii="宋体" w:hAnsi="宋体" w:eastAsia="宋体" w:cs="宋体"/>
          <w:b/>
          <w:bCs/>
          <w:color w:val="auto"/>
          <w:sz w:val="32"/>
          <w:szCs w:val="32"/>
          <w:highlight w:val="none"/>
        </w:rPr>
      </w:pPr>
      <w:bookmarkStart w:id="166" w:name="_Toc254970675"/>
      <w:bookmarkStart w:id="167" w:name="_Toc27117"/>
      <w:bookmarkStart w:id="168" w:name="_Toc254970534"/>
      <w:bookmarkStart w:id="169" w:name="_Toc3697"/>
      <w:bookmarkStart w:id="170" w:name="_Toc10145"/>
      <w:bookmarkStart w:id="171" w:name="_Toc10166"/>
      <w:r>
        <w:rPr>
          <w:rFonts w:hint="eastAsia" w:ascii="宋体" w:hAnsi="宋体" w:eastAsia="宋体" w:cs="宋体"/>
          <w:b/>
          <w:bCs/>
          <w:color w:val="auto"/>
          <w:sz w:val="32"/>
          <w:szCs w:val="32"/>
          <w:highlight w:val="none"/>
        </w:rPr>
        <w:t>二、磋商文件</w:t>
      </w:r>
      <w:bookmarkEnd w:id="166"/>
      <w:bookmarkEnd w:id="167"/>
      <w:bookmarkEnd w:id="168"/>
      <w:bookmarkEnd w:id="169"/>
      <w:bookmarkEnd w:id="170"/>
      <w:bookmarkEnd w:id="171"/>
    </w:p>
    <w:p w14:paraId="7BA2E881">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outlineLvl w:val="2"/>
        <w:rPr>
          <w:rFonts w:hint="eastAsia" w:ascii="宋体" w:hAnsi="宋体" w:eastAsia="宋体" w:cs="宋体"/>
          <w:b/>
          <w:bCs/>
          <w:color w:val="auto"/>
          <w:sz w:val="21"/>
          <w:szCs w:val="21"/>
          <w:highlight w:val="none"/>
        </w:rPr>
      </w:pPr>
      <w:bookmarkStart w:id="172" w:name="_Toc10668"/>
      <w:bookmarkStart w:id="173" w:name="_Toc18423"/>
      <w:bookmarkStart w:id="174" w:name="_Toc10872"/>
      <w:bookmarkStart w:id="175" w:name="_Toc20201"/>
      <w:r>
        <w:rPr>
          <w:rFonts w:hint="eastAsia" w:ascii="宋体" w:hAnsi="宋体" w:eastAsia="宋体" w:cs="宋体"/>
          <w:b/>
          <w:bCs/>
          <w:color w:val="auto"/>
          <w:sz w:val="21"/>
          <w:szCs w:val="21"/>
          <w:highlight w:val="none"/>
        </w:rPr>
        <w:t>8、磋商文件的构成</w:t>
      </w:r>
      <w:bookmarkEnd w:id="172"/>
      <w:bookmarkEnd w:id="173"/>
      <w:bookmarkEnd w:id="174"/>
      <w:bookmarkEnd w:id="175"/>
    </w:p>
    <w:p w14:paraId="7E07419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bookmarkStart w:id="176" w:name="_Toc17000"/>
      <w:bookmarkStart w:id="177" w:name="_Toc808"/>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_Toc17140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竞争性磋商公告</w:t>
      </w:r>
      <w:r>
        <w:rPr>
          <w:rFonts w:hint="eastAsia" w:ascii="宋体" w:hAnsi="宋体" w:eastAsia="宋体" w:cs="宋体"/>
          <w:color w:val="auto"/>
          <w:sz w:val="21"/>
          <w:szCs w:val="21"/>
          <w:highlight w:val="none"/>
        </w:rPr>
        <w:fldChar w:fldCharType="end"/>
      </w:r>
    </w:p>
    <w:p w14:paraId="424CAA3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_Toc29370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lang w:val="en-US" w:eastAsia="zh-CN"/>
        </w:rPr>
        <w:t>（2）供应商须知</w:t>
      </w:r>
      <w:r>
        <w:rPr>
          <w:rFonts w:hint="eastAsia" w:ascii="宋体" w:hAnsi="宋体" w:eastAsia="宋体" w:cs="宋体"/>
          <w:color w:val="auto"/>
          <w:sz w:val="21"/>
          <w:szCs w:val="21"/>
          <w:highlight w:val="none"/>
        </w:rPr>
        <w:fldChar w:fldCharType="end"/>
      </w:r>
    </w:p>
    <w:p w14:paraId="0C2DED4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_Toc18588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lang w:val="en-US" w:eastAsia="zh-CN"/>
        </w:rPr>
        <w:t>（3）采购需求和说明</w:t>
      </w:r>
      <w:r>
        <w:rPr>
          <w:rFonts w:hint="eastAsia" w:ascii="宋体" w:hAnsi="宋体" w:eastAsia="宋体" w:cs="宋体"/>
          <w:color w:val="auto"/>
          <w:sz w:val="21"/>
          <w:szCs w:val="21"/>
          <w:highlight w:val="none"/>
        </w:rPr>
        <w:fldChar w:fldCharType="end"/>
      </w:r>
    </w:p>
    <w:p w14:paraId="1D98F3B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_Toc26532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lang w:val="en-US" w:eastAsia="zh-CN"/>
        </w:rPr>
        <w:t>（4）工程量清单</w:t>
      </w:r>
      <w:r>
        <w:rPr>
          <w:rFonts w:hint="eastAsia" w:ascii="宋体" w:hAnsi="宋体" w:eastAsia="宋体" w:cs="宋体"/>
          <w:color w:val="auto"/>
          <w:sz w:val="21"/>
          <w:szCs w:val="21"/>
          <w:highlight w:val="none"/>
        </w:rPr>
        <w:fldChar w:fldCharType="end"/>
      </w:r>
    </w:p>
    <w:p w14:paraId="40EDBB6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_Toc14227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lang w:val="en-US" w:eastAsia="zh-CN"/>
        </w:rPr>
        <w:t>（5）图纸</w:t>
      </w:r>
      <w:r>
        <w:rPr>
          <w:rFonts w:hint="eastAsia" w:ascii="宋体" w:hAnsi="宋体" w:eastAsia="宋体" w:cs="宋体"/>
          <w:color w:val="auto"/>
          <w:sz w:val="21"/>
          <w:szCs w:val="21"/>
          <w:highlight w:val="none"/>
        </w:rPr>
        <w:fldChar w:fldCharType="end"/>
      </w:r>
    </w:p>
    <w:p w14:paraId="59865FD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_Toc23392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lang w:val="en-US" w:eastAsia="zh-CN"/>
        </w:rPr>
        <w:t>（6）响应文件格式</w:t>
      </w:r>
      <w:r>
        <w:rPr>
          <w:rFonts w:hint="eastAsia" w:ascii="宋体" w:hAnsi="宋体" w:eastAsia="宋体" w:cs="宋体"/>
          <w:color w:val="auto"/>
          <w:sz w:val="21"/>
          <w:szCs w:val="21"/>
          <w:highlight w:val="none"/>
        </w:rPr>
        <w:fldChar w:fldCharType="end"/>
      </w:r>
    </w:p>
    <w:p w14:paraId="6A3BF0E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fldChar w:fldCharType="begin"/>
      </w:r>
      <w:r>
        <w:rPr>
          <w:rFonts w:hint="eastAsia" w:ascii="宋体" w:hAnsi="宋体" w:eastAsia="宋体" w:cs="宋体"/>
          <w:color w:val="auto"/>
          <w:sz w:val="21"/>
          <w:szCs w:val="21"/>
          <w:highlight w:val="none"/>
          <w:lang w:val="en-US" w:eastAsia="zh-CN"/>
        </w:rPr>
        <w:instrText xml:space="preserve"> HYPERLINK \l _Toc16458 </w:instrText>
      </w:r>
      <w:r>
        <w:rPr>
          <w:rFonts w:hint="eastAsia" w:ascii="宋体" w:hAnsi="宋体" w:eastAsia="宋体" w:cs="宋体"/>
          <w:color w:val="auto"/>
          <w:sz w:val="21"/>
          <w:szCs w:val="21"/>
          <w:highlight w:val="none"/>
          <w:lang w:val="en-US" w:eastAsia="zh-CN"/>
        </w:rPr>
        <w:fldChar w:fldCharType="separate"/>
      </w:r>
      <w:r>
        <w:rPr>
          <w:rFonts w:hint="eastAsia" w:ascii="宋体" w:hAnsi="宋体" w:eastAsia="宋体" w:cs="宋体"/>
          <w:color w:val="auto"/>
          <w:sz w:val="21"/>
          <w:szCs w:val="21"/>
          <w:highlight w:val="none"/>
          <w:lang w:val="en-US" w:eastAsia="zh-CN"/>
        </w:rPr>
        <w:t>（7）政府采购合同书</w:t>
      </w:r>
      <w:r>
        <w:rPr>
          <w:rFonts w:hint="eastAsia" w:ascii="宋体" w:hAnsi="宋体" w:eastAsia="宋体" w:cs="宋体"/>
          <w:color w:val="auto"/>
          <w:sz w:val="21"/>
          <w:szCs w:val="21"/>
          <w:highlight w:val="none"/>
          <w:lang w:val="en-US" w:eastAsia="zh-CN"/>
        </w:rPr>
        <w:fldChar w:fldCharType="end"/>
      </w:r>
    </w:p>
    <w:p w14:paraId="7ED96F4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fldChar w:fldCharType="begin"/>
      </w:r>
      <w:r>
        <w:rPr>
          <w:rFonts w:hint="eastAsia" w:ascii="宋体" w:hAnsi="宋体" w:eastAsia="宋体" w:cs="宋体"/>
          <w:color w:val="auto"/>
          <w:sz w:val="21"/>
          <w:szCs w:val="21"/>
          <w:highlight w:val="none"/>
          <w:lang w:val="en-US" w:eastAsia="zh-CN"/>
        </w:rPr>
        <w:instrText xml:space="preserve"> HYPERLINK \l _Toc9838 </w:instrText>
      </w:r>
      <w:r>
        <w:rPr>
          <w:rFonts w:hint="eastAsia" w:ascii="宋体" w:hAnsi="宋体" w:eastAsia="宋体" w:cs="宋体"/>
          <w:color w:val="auto"/>
          <w:sz w:val="21"/>
          <w:szCs w:val="21"/>
          <w:highlight w:val="none"/>
          <w:lang w:val="en-US" w:eastAsia="zh-CN"/>
        </w:rPr>
        <w:fldChar w:fldCharType="separate"/>
      </w:r>
      <w:r>
        <w:rPr>
          <w:rFonts w:hint="eastAsia" w:ascii="宋体" w:hAnsi="宋体" w:eastAsia="宋体" w:cs="宋体"/>
          <w:color w:val="auto"/>
          <w:sz w:val="21"/>
          <w:szCs w:val="21"/>
          <w:highlight w:val="none"/>
          <w:lang w:val="en-US" w:eastAsia="zh-CN"/>
        </w:rPr>
        <w:t>（8）评审程序、评审方法和评审标准</w:t>
      </w:r>
      <w:r>
        <w:rPr>
          <w:rFonts w:hint="eastAsia" w:ascii="宋体" w:hAnsi="宋体" w:eastAsia="宋体" w:cs="宋体"/>
          <w:color w:val="auto"/>
          <w:sz w:val="21"/>
          <w:szCs w:val="21"/>
          <w:highlight w:val="none"/>
          <w:lang w:val="en-US" w:eastAsia="zh-CN"/>
        </w:rPr>
        <w:fldChar w:fldCharType="end"/>
      </w:r>
    </w:p>
    <w:p w14:paraId="08BA4C8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fldChar w:fldCharType="begin"/>
      </w:r>
      <w:r>
        <w:rPr>
          <w:rFonts w:hint="eastAsia" w:ascii="宋体" w:hAnsi="宋体" w:eastAsia="宋体" w:cs="宋体"/>
          <w:color w:val="auto"/>
          <w:sz w:val="21"/>
          <w:szCs w:val="21"/>
          <w:highlight w:val="none"/>
          <w:lang w:val="en-US" w:eastAsia="zh-CN"/>
        </w:rPr>
        <w:instrText xml:space="preserve"> HYPERLINK \l _Toc15258 </w:instrText>
      </w:r>
      <w:r>
        <w:rPr>
          <w:rFonts w:hint="eastAsia" w:ascii="宋体" w:hAnsi="宋体" w:eastAsia="宋体" w:cs="宋体"/>
          <w:color w:val="auto"/>
          <w:sz w:val="21"/>
          <w:szCs w:val="21"/>
          <w:highlight w:val="none"/>
          <w:lang w:val="en-US" w:eastAsia="zh-CN"/>
        </w:rPr>
        <w:fldChar w:fldCharType="separate"/>
      </w:r>
      <w:r>
        <w:rPr>
          <w:rFonts w:hint="eastAsia" w:ascii="宋体" w:hAnsi="宋体" w:eastAsia="宋体" w:cs="宋体"/>
          <w:color w:val="auto"/>
          <w:sz w:val="21"/>
          <w:szCs w:val="21"/>
          <w:highlight w:val="none"/>
          <w:lang w:val="en-US" w:eastAsia="zh-CN"/>
        </w:rPr>
        <w:t>（9）质疑、投诉材料格式</w:t>
      </w:r>
      <w:r>
        <w:rPr>
          <w:rFonts w:hint="eastAsia" w:ascii="宋体" w:hAnsi="宋体" w:eastAsia="宋体" w:cs="宋体"/>
          <w:color w:val="auto"/>
          <w:sz w:val="21"/>
          <w:szCs w:val="21"/>
          <w:highlight w:val="none"/>
          <w:lang w:val="en-US" w:eastAsia="zh-CN"/>
        </w:rPr>
        <w:tab/>
      </w:r>
      <w:r>
        <w:rPr>
          <w:rFonts w:hint="eastAsia" w:ascii="宋体" w:hAnsi="宋体" w:eastAsia="宋体" w:cs="宋体"/>
          <w:color w:val="auto"/>
          <w:sz w:val="21"/>
          <w:szCs w:val="21"/>
          <w:highlight w:val="none"/>
          <w:lang w:val="en-US" w:eastAsia="zh-CN"/>
        </w:rPr>
        <w:fldChar w:fldCharType="end"/>
      </w:r>
    </w:p>
    <w:p w14:paraId="372F8F49">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outlineLvl w:val="2"/>
        <w:rPr>
          <w:rFonts w:hint="eastAsia" w:ascii="宋体" w:hAnsi="宋体" w:eastAsia="宋体" w:cs="宋体"/>
          <w:b/>
          <w:bCs/>
          <w:color w:val="auto"/>
          <w:sz w:val="21"/>
          <w:szCs w:val="21"/>
          <w:highlight w:val="none"/>
        </w:rPr>
      </w:pPr>
      <w:bookmarkStart w:id="178" w:name="_Toc29099"/>
      <w:bookmarkStart w:id="179" w:name="_Toc12"/>
      <w:r>
        <w:rPr>
          <w:rFonts w:hint="eastAsia" w:ascii="宋体" w:hAnsi="宋体" w:eastAsia="宋体" w:cs="宋体"/>
          <w:b/>
          <w:bCs/>
          <w:color w:val="auto"/>
          <w:sz w:val="21"/>
          <w:szCs w:val="21"/>
          <w:highlight w:val="none"/>
        </w:rPr>
        <w:t>9、供应商的询问</w:t>
      </w:r>
      <w:bookmarkEnd w:id="176"/>
      <w:bookmarkEnd w:id="177"/>
      <w:bookmarkEnd w:id="178"/>
      <w:bookmarkEnd w:id="179"/>
    </w:p>
    <w:p w14:paraId="440BE8F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供应商应认真阅读磋商文件的采购需求和说明，如供应商对磋商文件有疑问的，如要求采购人作出澄清或者修改的，供应商尽可能在提交响应文件截止之日前，以书面形式向采购人、采购代理机构提出。</w:t>
      </w:r>
    </w:p>
    <w:p w14:paraId="04B14DC1">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outlineLvl w:val="2"/>
        <w:rPr>
          <w:rFonts w:hint="eastAsia" w:ascii="宋体" w:hAnsi="宋体" w:eastAsia="宋体" w:cs="宋体"/>
          <w:b/>
          <w:bCs/>
          <w:color w:val="auto"/>
          <w:sz w:val="21"/>
          <w:szCs w:val="21"/>
          <w:highlight w:val="none"/>
        </w:rPr>
      </w:pPr>
      <w:bookmarkStart w:id="180" w:name="_Toc16025"/>
      <w:bookmarkStart w:id="181" w:name="_Toc24282"/>
      <w:bookmarkStart w:id="182" w:name="_Toc19860"/>
      <w:bookmarkStart w:id="183" w:name="_Toc25379"/>
      <w:r>
        <w:rPr>
          <w:rFonts w:hint="eastAsia" w:ascii="宋体" w:hAnsi="宋体" w:eastAsia="宋体" w:cs="宋体"/>
          <w:b/>
          <w:bCs/>
          <w:color w:val="auto"/>
          <w:sz w:val="21"/>
          <w:szCs w:val="21"/>
          <w:highlight w:val="none"/>
        </w:rPr>
        <w:t>10、磋商文件的澄清和修改</w:t>
      </w:r>
      <w:bookmarkEnd w:id="180"/>
      <w:bookmarkEnd w:id="181"/>
      <w:bookmarkEnd w:id="182"/>
      <w:bookmarkEnd w:id="183"/>
    </w:p>
    <w:p w14:paraId="4E2628C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bookmarkStart w:id="184" w:name="_Toc5704"/>
      <w:r>
        <w:rPr>
          <w:rFonts w:hint="eastAsia" w:ascii="宋体" w:hAnsi="宋体" w:eastAsia="宋体" w:cs="宋体"/>
          <w:color w:val="auto"/>
          <w:sz w:val="21"/>
          <w:szCs w:val="21"/>
          <w:highlight w:val="none"/>
        </w:rPr>
        <w:t>10.1提交首次响应文件截止之日前，采购人或者采购代理机构可以对已发出的磋商文件进行必要的澄清或者修改，澄清或者修改的内容作为磋商文件的组成部分。澄清或者修改的内容可能影响响应文件编制的，采购人或者采购代理机构应当在提交首次响应文件截止之日5日前，在原公告发布媒体上发布更正公告，并以书面形式通知所有获取磋商文件的供应商，不足5日的，应当顺延提交首次响应文件截止时间。</w:t>
      </w:r>
    </w:p>
    <w:p w14:paraId="2CAFA22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10.2采购人和采购代理机构可以视采购具体情况，变更首次响应文件提交截止时间和开启时间，并在原公告发布媒体上发布更正公告。</w:t>
      </w:r>
    </w:p>
    <w:p w14:paraId="5CDF06C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10.3磋商文件澄清、答复、修改、补充的内容为磋商文件的组成部分。当磋商文件与磋商文件的澄清、答复、修改、补充通知就同一内容的表述不一致时，以最后发出的文件为准。</w:t>
      </w:r>
    </w:p>
    <w:p w14:paraId="2BDE2F1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10.4响应文件未按磋商文件的澄清、修改后的内容编制的，其响应文件作无效响应处理。</w:t>
      </w:r>
    </w:p>
    <w:p w14:paraId="4BE311A6">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1"/>
        <w:rPr>
          <w:rFonts w:hint="eastAsia" w:ascii="宋体" w:hAnsi="宋体" w:eastAsia="宋体" w:cs="宋体"/>
          <w:b/>
          <w:bCs/>
          <w:color w:val="auto"/>
          <w:szCs w:val="21"/>
          <w:highlight w:val="none"/>
        </w:rPr>
      </w:pPr>
      <w:bookmarkStart w:id="185" w:name="_Toc21507"/>
      <w:bookmarkStart w:id="186" w:name="_Toc31532"/>
      <w:bookmarkStart w:id="187" w:name="_Toc22096"/>
      <w:r>
        <w:rPr>
          <w:rFonts w:hint="eastAsia" w:ascii="宋体" w:hAnsi="宋体" w:eastAsia="宋体" w:cs="宋体"/>
          <w:b/>
          <w:bCs/>
          <w:color w:val="auto"/>
          <w:sz w:val="32"/>
          <w:szCs w:val="32"/>
          <w:highlight w:val="none"/>
        </w:rPr>
        <w:t>三、响应文件的编制</w:t>
      </w:r>
      <w:bookmarkEnd w:id="184"/>
      <w:bookmarkEnd w:id="185"/>
      <w:bookmarkEnd w:id="186"/>
      <w:bookmarkEnd w:id="187"/>
    </w:p>
    <w:p w14:paraId="507DED7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Cs w:val="21"/>
          <w:highlight w:val="none"/>
        </w:rPr>
      </w:pPr>
    </w:p>
    <w:p w14:paraId="794F8DC0">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outlineLvl w:val="2"/>
        <w:rPr>
          <w:rFonts w:hint="eastAsia" w:ascii="宋体" w:hAnsi="宋体" w:eastAsia="宋体" w:cs="宋体"/>
          <w:b/>
          <w:bCs/>
          <w:color w:val="auto"/>
          <w:sz w:val="21"/>
          <w:szCs w:val="21"/>
          <w:highlight w:val="none"/>
        </w:rPr>
      </w:pPr>
      <w:bookmarkStart w:id="188" w:name="_Toc31369"/>
      <w:bookmarkStart w:id="189" w:name="_Toc18336"/>
      <w:bookmarkStart w:id="190" w:name="_Toc26529"/>
      <w:bookmarkStart w:id="191" w:name="_Toc17040"/>
      <w:r>
        <w:rPr>
          <w:rFonts w:hint="eastAsia" w:ascii="宋体" w:hAnsi="宋体" w:eastAsia="宋体" w:cs="宋体"/>
          <w:b/>
          <w:bCs/>
          <w:color w:val="auto"/>
          <w:sz w:val="21"/>
          <w:szCs w:val="21"/>
          <w:highlight w:val="none"/>
        </w:rPr>
        <w:t>11、响应文件的编制原则</w:t>
      </w:r>
      <w:bookmarkEnd w:id="188"/>
      <w:bookmarkEnd w:id="189"/>
      <w:bookmarkEnd w:id="190"/>
      <w:bookmarkEnd w:id="191"/>
    </w:p>
    <w:p w14:paraId="12956B4B">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供应商必须按照磋商文件的要求编制响应文件，并对其提交的响应文件的真实性、合法性承担法律责任。响应文件必须对磋商文件作出实质性响应。</w:t>
      </w:r>
    </w:p>
    <w:p w14:paraId="79891B36">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outlineLvl w:val="2"/>
        <w:rPr>
          <w:rFonts w:hint="eastAsia" w:ascii="宋体" w:hAnsi="宋体" w:eastAsia="宋体" w:cs="宋体"/>
          <w:b/>
          <w:bCs/>
          <w:color w:val="auto"/>
          <w:sz w:val="21"/>
          <w:szCs w:val="21"/>
          <w:highlight w:val="none"/>
        </w:rPr>
      </w:pPr>
      <w:bookmarkStart w:id="192" w:name="_Toc17488"/>
      <w:bookmarkStart w:id="193" w:name="_Toc18204"/>
      <w:bookmarkStart w:id="194" w:name="_Toc16250"/>
      <w:bookmarkStart w:id="195" w:name="_Toc29330"/>
      <w:r>
        <w:rPr>
          <w:rFonts w:hint="eastAsia" w:ascii="宋体" w:hAnsi="宋体" w:eastAsia="宋体" w:cs="宋体"/>
          <w:b/>
          <w:bCs/>
          <w:color w:val="auto"/>
          <w:sz w:val="21"/>
          <w:szCs w:val="21"/>
          <w:highlight w:val="none"/>
        </w:rPr>
        <w:t>12、响应文件的组成</w:t>
      </w:r>
      <w:bookmarkEnd w:id="192"/>
      <w:bookmarkEnd w:id="193"/>
      <w:bookmarkEnd w:id="194"/>
      <w:bookmarkEnd w:id="195"/>
    </w:p>
    <w:p w14:paraId="17F7743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3"/>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12.1响应文件由资格证明文件、报价</w:t>
      </w:r>
      <w:r>
        <w:rPr>
          <w:rFonts w:hint="eastAsia" w:ascii="宋体" w:hAnsi="宋体" w:eastAsia="宋体" w:cs="宋体"/>
          <w:color w:val="auto"/>
          <w:sz w:val="21"/>
          <w:szCs w:val="21"/>
          <w:highlight w:val="none"/>
          <w:lang w:eastAsia="zh-CN"/>
        </w:rPr>
        <w:t>文件、</w:t>
      </w:r>
      <w:r>
        <w:rPr>
          <w:rFonts w:hint="eastAsia" w:ascii="宋体" w:hAnsi="宋体" w:eastAsia="宋体" w:cs="宋体"/>
          <w:color w:val="auto"/>
          <w:sz w:val="21"/>
          <w:szCs w:val="21"/>
          <w:highlight w:val="none"/>
        </w:rPr>
        <w:t>商务技术文件</w:t>
      </w:r>
      <w:r>
        <w:rPr>
          <w:rFonts w:hint="eastAsia" w:ascii="宋体" w:hAnsi="宋体" w:eastAsia="宋体" w:cs="宋体"/>
          <w:color w:val="auto"/>
          <w:sz w:val="21"/>
          <w:szCs w:val="21"/>
          <w:highlight w:val="none"/>
          <w:lang w:eastAsia="zh-CN"/>
        </w:rPr>
        <w:t>三</w:t>
      </w:r>
      <w:r>
        <w:rPr>
          <w:rFonts w:hint="eastAsia" w:ascii="宋体" w:hAnsi="宋体" w:eastAsia="宋体" w:cs="宋体"/>
          <w:color w:val="auto"/>
          <w:sz w:val="21"/>
          <w:szCs w:val="21"/>
          <w:highlight w:val="none"/>
        </w:rPr>
        <w:t>部分组成。</w:t>
      </w:r>
    </w:p>
    <w:p w14:paraId="76A5F56C">
      <w:pPr>
        <w:keepNext w:val="0"/>
        <w:keepLines w:val="0"/>
        <w:pageBreakBefore w:val="0"/>
        <w:widowControl w:val="0"/>
        <w:kinsoku/>
        <w:wordWrap/>
        <w:overflowPunct/>
        <w:topLinePunct w:val="0"/>
        <w:autoSpaceDE/>
        <w:autoSpaceDN/>
        <w:bidi w:val="0"/>
        <w:adjustRightInd/>
        <w:snapToGrid/>
        <w:spacing w:line="360" w:lineRule="auto"/>
        <w:ind w:left="840" w:leftChars="200" w:hanging="420" w:hanging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12.1.1资格证明文件：详见须知前附表</w:t>
      </w:r>
    </w:p>
    <w:p w14:paraId="79C0F928">
      <w:pPr>
        <w:keepNext w:val="0"/>
        <w:keepLines w:val="0"/>
        <w:pageBreakBefore w:val="0"/>
        <w:widowControl w:val="0"/>
        <w:kinsoku/>
        <w:wordWrap/>
        <w:overflowPunct/>
        <w:topLinePunct w:val="0"/>
        <w:autoSpaceDE/>
        <w:autoSpaceDN/>
        <w:bidi w:val="0"/>
        <w:adjustRightInd/>
        <w:snapToGrid/>
        <w:spacing w:line="360" w:lineRule="auto"/>
        <w:ind w:left="840" w:leftChars="200" w:hanging="420" w:hanging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12.1.2报价</w:t>
      </w:r>
      <w:r>
        <w:rPr>
          <w:rFonts w:hint="eastAsia" w:ascii="宋体" w:hAnsi="宋体" w:eastAsia="宋体" w:cs="宋体"/>
          <w:color w:val="auto"/>
          <w:sz w:val="21"/>
          <w:szCs w:val="21"/>
          <w:highlight w:val="none"/>
          <w:lang w:val="en-US" w:eastAsia="zh-CN"/>
        </w:rPr>
        <w:t>文件：</w:t>
      </w:r>
      <w:r>
        <w:rPr>
          <w:rFonts w:hint="eastAsia" w:ascii="宋体" w:hAnsi="宋体" w:eastAsia="宋体" w:cs="宋体"/>
          <w:color w:val="auto"/>
          <w:sz w:val="21"/>
          <w:szCs w:val="21"/>
          <w:highlight w:val="none"/>
        </w:rPr>
        <w:t>详见须知前附表</w:t>
      </w:r>
    </w:p>
    <w:p w14:paraId="26E918FD">
      <w:pPr>
        <w:keepNext w:val="0"/>
        <w:keepLines w:val="0"/>
        <w:pageBreakBefore w:val="0"/>
        <w:widowControl w:val="0"/>
        <w:kinsoku/>
        <w:wordWrap/>
        <w:overflowPunct/>
        <w:topLinePunct w:val="0"/>
        <w:autoSpaceDE/>
        <w:autoSpaceDN/>
        <w:bidi w:val="0"/>
        <w:adjustRightInd/>
        <w:snapToGrid/>
        <w:spacing w:line="360" w:lineRule="auto"/>
        <w:ind w:left="840" w:leftChars="200" w:hanging="420" w:hanging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12.1.3</w:t>
      </w:r>
      <w:r>
        <w:rPr>
          <w:rFonts w:hint="eastAsia" w:ascii="宋体" w:hAnsi="宋体" w:eastAsia="宋体" w:cs="宋体"/>
          <w:color w:val="auto"/>
          <w:sz w:val="21"/>
          <w:szCs w:val="21"/>
          <w:highlight w:val="none"/>
        </w:rPr>
        <w:t>商务技术文件：详见须知前附表</w:t>
      </w:r>
    </w:p>
    <w:p w14:paraId="7B41AC49">
      <w:pPr>
        <w:keepNext w:val="0"/>
        <w:keepLines w:val="0"/>
        <w:pageBreakBefore w:val="0"/>
        <w:widowControl w:val="0"/>
        <w:kinsoku/>
        <w:wordWrap/>
        <w:overflowPunct/>
        <w:topLinePunct w:val="0"/>
        <w:autoSpaceDE/>
        <w:autoSpaceDN/>
        <w:bidi w:val="0"/>
        <w:adjustRightInd/>
        <w:snapToGrid/>
        <w:spacing w:line="360" w:lineRule="auto"/>
        <w:ind w:left="840" w:leftChars="200" w:hanging="420" w:hangingChars="200"/>
        <w:textAlignment w:val="auto"/>
        <w:outlineLvl w:val="3"/>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12.2响应文件电子版：详见须知前附表</w:t>
      </w:r>
    </w:p>
    <w:p w14:paraId="30125DFC">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outlineLvl w:val="2"/>
        <w:rPr>
          <w:rFonts w:hint="eastAsia" w:ascii="宋体" w:hAnsi="宋体" w:eastAsia="宋体" w:cs="宋体"/>
          <w:b/>
          <w:bCs/>
          <w:color w:val="auto"/>
          <w:sz w:val="21"/>
          <w:szCs w:val="21"/>
          <w:highlight w:val="none"/>
        </w:rPr>
      </w:pPr>
      <w:bookmarkStart w:id="196" w:name="_Toc32461"/>
      <w:bookmarkStart w:id="197" w:name="_Toc7687"/>
      <w:bookmarkStart w:id="198" w:name="_Toc18549"/>
      <w:bookmarkStart w:id="199" w:name="_Toc22209"/>
      <w:r>
        <w:rPr>
          <w:rFonts w:hint="eastAsia" w:ascii="宋体" w:hAnsi="宋体" w:eastAsia="宋体" w:cs="宋体"/>
          <w:b/>
          <w:bCs/>
          <w:color w:val="auto"/>
          <w:sz w:val="21"/>
          <w:szCs w:val="21"/>
          <w:highlight w:val="none"/>
        </w:rPr>
        <w:t>13、计量单位</w:t>
      </w:r>
      <w:bookmarkEnd w:id="196"/>
      <w:bookmarkEnd w:id="197"/>
      <w:bookmarkEnd w:id="198"/>
      <w:bookmarkEnd w:id="199"/>
    </w:p>
    <w:p w14:paraId="4B32500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磋商文件已有明确规定的，使用磋商文件规定的计量单位；磋商文件没有规定的，应采用中华人民共和国法定计量单位，货币种类为人民币，否则视同未响应。</w:t>
      </w:r>
    </w:p>
    <w:p w14:paraId="2D54836B">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outlineLvl w:val="2"/>
        <w:rPr>
          <w:rFonts w:hint="eastAsia" w:ascii="宋体" w:hAnsi="宋体" w:eastAsia="宋体" w:cs="宋体"/>
          <w:b/>
          <w:bCs/>
          <w:color w:val="auto"/>
          <w:sz w:val="21"/>
          <w:szCs w:val="21"/>
          <w:highlight w:val="none"/>
        </w:rPr>
      </w:pPr>
      <w:bookmarkStart w:id="200" w:name="_Toc24170"/>
      <w:bookmarkStart w:id="201" w:name="_Toc29232"/>
      <w:bookmarkStart w:id="202" w:name="_Toc9026"/>
      <w:bookmarkStart w:id="203" w:name="_Toc5662"/>
      <w:r>
        <w:rPr>
          <w:rFonts w:hint="eastAsia" w:ascii="宋体" w:hAnsi="宋体" w:eastAsia="宋体" w:cs="宋体"/>
          <w:b/>
          <w:bCs/>
          <w:color w:val="auto"/>
          <w:sz w:val="21"/>
          <w:szCs w:val="21"/>
          <w:highlight w:val="none"/>
        </w:rPr>
        <w:t>14、竞标的风险</w:t>
      </w:r>
      <w:bookmarkEnd w:id="200"/>
      <w:bookmarkEnd w:id="201"/>
      <w:bookmarkEnd w:id="202"/>
      <w:bookmarkEnd w:id="203"/>
    </w:p>
    <w:p w14:paraId="4B1F0FA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供应商没有按照磋商文件要求提供全部资料，或者供应商没有对磋商文件在各方面作出实质性响应可能导致其响应无效，是供应商应当考虑的风险。</w:t>
      </w:r>
    </w:p>
    <w:p w14:paraId="537E2F14">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outlineLvl w:val="2"/>
        <w:rPr>
          <w:rFonts w:hint="eastAsia" w:ascii="宋体" w:hAnsi="宋体" w:eastAsia="宋体" w:cs="宋体"/>
          <w:b/>
          <w:bCs/>
          <w:color w:val="auto"/>
          <w:sz w:val="21"/>
          <w:szCs w:val="21"/>
          <w:highlight w:val="none"/>
        </w:rPr>
      </w:pPr>
      <w:bookmarkStart w:id="204" w:name="_Toc19567"/>
      <w:bookmarkStart w:id="205" w:name="_Toc18810"/>
      <w:bookmarkStart w:id="206" w:name="_Toc25465"/>
      <w:bookmarkStart w:id="207" w:name="_Toc13655"/>
      <w:r>
        <w:rPr>
          <w:rFonts w:hint="eastAsia" w:ascii="宋体" w:hAnsi="宋体" w:eastAsia="宋体" w:cs="宋体"/>
          <w:b/>
          <w:bCs/>
          <w:color w:val="auto"/>
          <w:sz w:val="21"/>
          <w:szCs w:val="21"/>
          <w:highlight w:val="none"/>
        </w:rPr>
        <w:t>15、竞标报价要求和构成</w:t>
      </w:r>
      <w:bookmarkEnd w:id="204"/>
      <w:bookmarkEnd w:id="205"/>
      <w:bookmarkEnd w:id="206"/>
      <w:bookmarkEnd w:id="207"/>
    </w:p>
    <w:p w14:paraId="7170F89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bookmarkStart w:id="208" w:name="_Toc31096"/>
      <w:r>
        <w:rPr>
          <w:rFonts w:hint="eastAsia" w:ascii="宋体" w:hAnsi="宋体" w:eastAsia="宋体" w:cs="宋体"/>
          <w:color w:val="auto"/>
          <w:sz w:val="21"/>
          <w:szCs w:val="21"/>
          <w:highlight w:val="none"/>
        </w:rPr>
        <w:t>15.1竞标报价应按磋商文件中“磋商函”格式填写。</w:t>
      </w:r>
    </w:p>
    <w:p w14:paraId="166D4E4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15.2竞标报价的价格构成见“供应商须知前附表”。</w:t>
      </w:r>
    </w:p>
    <w:p w14:paraId="22E7FCB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15.3竞标报价要求</w:t>
      </w:r>
    </w:p>
    <w:p w14:paraId="11EDEA9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15.3.1供应商的竞标报价应符合以下要求，否则响应文件按无效响应处理：</w:t>
      </w:r>
    </w:p>
    <w:p w14:paraId="0AD1D27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（1）供应商必须按要求编写已标价工程量清单</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不得存在漏项报价；</w:t>
      </w:r>
    </w:p>
    <w:p w14:paraId="7A0FBFE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（2）供应商必须就所竞标的单项内容作唯一报价。</w:t>
      </w:r>
    </w:p>
    <w:p w14:paraId="42A0CF0B">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（3）已标价工程量清单报价与磋商报价函必须一致；</w:t>
      </w:r>
    </w:p>
    <w:p w14:paraId="37B7FB6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15.3.2竞标报价（包含首次报价、最后报价）超过所竞标分标规定的采购预算金额或者最高限价的，其响应文件将作无效处理。</w:t>
      </w:r>
    </w:p>
    <w:p w14:paraId="3839870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15.3.3</w:t>
      </w:r>
      <w:bookmarkStart w:id="209" w:name="_Hlk42592874"/>
      <w:r>
        <w:rPr>
          <w:rFonts w:hint="eastAsia" w:ascii="宋体" w:hAnsi="宋体" w:eastAsia="宋体" w:cs="宋体"/>
          <w:color w:val="auto"/>
          <w:sz w:val="21"/>
          <w:szCs w:val="21"/>
          <w:highlight w:val="none"/>
        </w:rPr>
        <w:t>竞标报价（包含首次报价、最后报价）超过分项采购预算金额或者最高限价的，其响应文件将作无效处理。</w:t>
      </w:r>
      <w:bookmarkEnd w:id="209"/>
    </w:p>
    <w:p w14:paraId="418C2A8F">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outlineLvl w:val="2"/>
        <w:rPr>
          <w:rFonts w:hint="eastAsia" w:ascii="宋体" w:hAnsi="宋体" w:eastAsia="宋体" w:cs="宋体"/>
          <w:b/>
          <w:bCs/>
          <w:color w:val="auto"/>
          <w:sz w:val="21"/>
          <w:szCs w:val="21"/>
          <w:highlight w:val="none"/>
        </w:rPr>
      </w:pPr>
      <w:bookmarkStart w:id="210" w:name="_Toc9788"/>
      <w:bookmarkStart w:id="211" w:name="_Toc1808"/>
      <w:bookmarkStart w:id="212" w:name="_Toc11139"/>
      <w:r>
        <w:rPr>
          <w:rFonts w:hint="eastAsia" w:ascii="宋体" w:hAnsi="宋体" w:eastAsia="宋体" w:cs="宋体"/>
          <w:b/>
          <w:bCs/>
          <w:color w:val="auto"/>
          <w:sz w:val="21"/>
          <w:szCs w:val="21"/>
          <w:highlight w:val="none"/>
        </w:rPr>
        <w:t>16、竞标有效期</w:t>
      </w:r>
      <w:bookmarkEnd w:id="208"/>
      <w:bookmarkEnd w:id="210"/>
      <w:bookmarkEnd w:id="211"/>
      <w:bookmarkEnd w:id="212"/>
    </w:p>
    <w:p w14:paraId="0699114B">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16.1竞标有效期是指为保证采购人有足够的时间在提交响应文件后完成评审、确定成交供应商、合同签订等工作而要求供应商提交的响应文件在一定时间内保持有效的期限。</w:t>
      </w:r>
    </w:p>
    <w:p w14:paraId="0653E0E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16.2 竞标有效期应由供应商按“供应商须知前附表”规定的期限作出响应。</w:t>
      </w:r>
    </w:p>
    <w:p w14:paraId="61A2351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3"/>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16.3供应商的响应文件在竞标有效期内均保持有效。</w:t>
      </w:r>
    </w:p>
    <w:p w14:paraId="7028490D">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outlineLvl w:val="2"/>
        <w:rPr>
          <w:rFonts w:hint="eastAsia" w:ascii="宋体" w:hAnsi="宋体" w:eastAsia="宋体" w:cs="宋体"/>
          <w:b/>
          <w:bCs/>
          <w:color w:val="auto"/>
          <w:sz w:val="21"/>
          <w:szCs w:val="21"/>
          <w:highlight w:val="none"/>
        </w:rPr>
      </w:pPr>
      <w:bookmarkStart w:id="213" w:name="_Toc30906"/>
      <w:bookmarkStart w:id="214" w:name="_Toc19455"/>
      <w:bookmarkStart w:id="215" w:name="_Toc3012"/>
      <w:bookmarkStart w:id="216" w:name="_Toc10557"/>
      <w:r>
        <w:rPr>
          <w:rFonts w:hint="eastAsia" w:ascii="宋体" w:hAnsi="宋体" w:eastAsia="宋体" w:cs="宋体"/>
          <w:b/>
          <w:bCs/>
          <w:color w:val="auto"/>
          <w:sz w:val="21"/>
          <w:szCs w:val="21"/>
          <w:highlight w:val="none"/>
        </w:rPr>
        <w:t>17</w:t>
      </w: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 w:val="21"/>
          <w:szCs w:val="21"/>
          <w:highlight w:val="none"/>
        </w:rPr>
        <w:t>磋商保证金</w:t>
      </w:r>
      <w:bookmarkEnd w:id="213"/>
      <w:bookmarkEnd w:id="214"/>
      <w:bookmarkEnd w:id="215"/>
      <w:bookmarkEnd w:id="216"/>
    </w:p>
    <w:p w14:paraId="2753B2CB">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详见须知前附表。</w:t>
      </w:r>
    </w:p>
    <w:p w14:paraId="4C46F4F7">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outlineLvl w:val="2"/>
        <w:rPr>
          <w:rFonts w:hint="eastAsia" w:ascii="宋体" w:hAnsi="宋体" w:eastAsia="宋体" w:cs="宋体"/>
          <w:b/>
          <w:bCs/>
          <w:color w:val="auto"/>
          <w:sz w:val="21"/>
          <w:szCs w:val="21"/>
          <w:highlight w:val="none"/>
        </w:rPr>
      </w:pPr>
      <w:bookmarkStart w:id="217" w:name="_Toc27631"/>
      <w:bookmarkStart w:id="218" w:name="_Toc9125"/>
      <w:bookmarkStart w:id="219" w:name="_Toc10193"/>
      <w:bookmarkStart w:id="220" w:name="_Toc16170"/>
      <w:r>
        <w:rPr>
          <w:rFonts w:hint="eastAsia" w:ascii="宋体" w:hAnsi="宋体" w:eastAsia="宋体" w:cs="宋体"/>
          <w:b/>
          <w:bCs/>
          <w:color w:val="auto"/>
          <w:sz w:val="21"/>
          <w:szCs w:val="21"/>
          <w:highlight w:val="none"/>
        </w:rPr>
        <w:t>18、响应文件编制的要求</w:t>
      </w:r>
      <w:bookmarkEnd w:id="217"/>
      <w:bookmarkEnd w:id="218"/>
      <w:bookmarkEnd w:id="219"/>
      <w:bookmarkEnd w:id="220"/>
    </w:p>
    <w:p w14:paraId="78C9D4E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18.1各供应商在编制响应文件时请按照磋商文件“第</w:t>
      </w:r>
      <w:r>
        <w:rPr>
          <w:rFonts w:hint="eastAsia" w:ascii="宋体" w:hAnsi="宋体" w:cs="宋体"/>
          <w:color w:val="auto"/>
          <w:sz w:val="21"/>
          <w:szCs w:val="21"/>
          <w:highlight w:val="none"/>
          <w:lang w:eastAsia="zh-CN"/>
        </w:rPr>
        <w:t>六</w:t>
      </w:r>
      <w:r>
        <w:rPr>
          <w:rFonts w:hint="eastAsia" w:ascii="宋体" w:hAnsi="宋体" w:eastAsia="宋体" w:cs="宋体"/>
          <w:color w:val="auto"/>
          <w:sz w:val="21"/>
          <w:szCs w:val="21"/>
          <w:highlight w:val="none"/>
        </w:rPr>
        <w:t>章 响应文件格式”规定的格式进行，混乱的编排导致响应文件被误读或磋商小组查找不到有效文件是供应商的风险。不完整、编排混乱导致响应文件被误读、漏读或者查找不到相关内容的，由此引发的后果由供应商承担。</w:t>
      </w:r>
    </w:p>
    <w:p w14:paraId="728A2A7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18.2响应文件应按资格证明文件、报价</w:t>
      </w:r>
      <w:r>
        <w:rPr>
          <w:rFonts w:hint="eastAsia" w:ascii="宋体" w:hAnsi="宋体" w:cs="宋体"/>
          <w:color w:val="auto"/>
          <w:sz w:val="21"/>
          <w:szCs w:val="21"/>
          <w:highlight w:val="none"/>
          <w:lang w:eastAsia="zh-CN"/>
        </w:rPr>
        <w:t>文件、</w:t>
      </w:r>
      <w:r>
        <w:rPr>
          <w:rFonts w:hint="eastAsia" w:ascii="宋体" w:hAnsi="宋体" w:eastAsia="宋体" w:cs="宋体"/>
          <w:color w:val="auto"/>
          <w:sz w:val="21"/>
          <w:szCs w:val="21"/>
          <w:highlight w:val="none"/>
        </w:rPr>
        <w:t>商务技术文件分别编制电子文件，并按广西政府采购云平台的要求编制、加密、上传。</w:t>
      </w:r>
    </w:p>
    <w:p w14:paraId="3C9E8E6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18</w:t>
      </w:r>
      <w:bookmarkStart w:id="221" w:name="_Hlk65832699"/>
      <w:r>
        <w:rPr>
          <w:rFonts w:hint="eastAsia" w:ascii="宋体" w:hAnsi="宋体" w:eastAsia="宋体" w:cs="宋体"/>
          <w:color w:val="auto"/>
          <w:sz w:val="21"/>
          <w:szCs w:val="21"/>
          <w:highlight w:val="none"/>
        </w:rPr>
        <w:t>.3响应文件须由供应商在</w:t>
      </w:r>
      <w:r>
        <w:rPr>
          <w:rFonts w:hint="eastAsia" w:ascii="宋体" w:hAnsi="宋体" w:eastAsia="宋体" w:cs="宋体"/>
          <w:color w:val="auto"/>
          <w:kern w:val="0"/>
          <w:sz w:val="21"/>
          <w:szCs w:val="21"/>
          <w:highlight w:val="none"/>
          <w:lang w:val="zh-CN"/>
        </w:rPr>
        <w:t>“</w:t>
      </w:r>
      <w:r>
        <w:rPr>
          <w:rFonts w:hint="eastAsia" w:ascii="宋体" w:hAnsi="宋体" w:cs="宋体"/>
          <w:color w:val="auto"/>
          <w:kern w:val="0"/>
          <w:sz w:val="21"/>
          <w:szCs w:val="21"/>
          <w:highlight w:val="none"/>
          <w:lang w:val="zh-CN"/>
        </w:rPr>
        <w:t>第</w:t>
      </w:r>
      <w:r>
        <w:rPr>
          <w:rFonts w:hint="eastAsia" w:ascii="宋体" w:hAnsi="宋体" w:cs="宋体"/>
          <w:color w:val="auto"/>
          <w:sz w:val="21"/>
          <w:szCs w:val="21"/>
          <w:highlight w:val="none"/>
          <w:lang w:eastAsia="zh-CN"/>
        </w:rPr>
        <w:t>六</w:t>
      </w:r>
      <w:r>
        <w:rPr>
          <w:rFonts w:hint="eastAsia" w:ascii="宋体" w:hAnsi="宋体" w:eastAsia="宋体" w:cs="宋体"/>
          <w:color w:val="auto"/>
          <w:sz w:val="21"/>
          <w:szCs w:val="21"/>
          <w:highlight w:val="none"/>
        </w:rPr>
        <w:t>章 响应文件格式</w:t>
      </w:r>
      <w:r>
        <w:rPr>
          <w:rFonts w:hint="eastAsia" w:ascii="宋体" w:hAnsi="宋体" w:eastAsia="宋体" w:cs="宋体"/>
          <w:color w:val="auto"/>
          <w:kern w:val="0"/>
          <w:sz w:val="21"/>
          <w:szCs w:val="21"/>
          <w:highlight w:val="none"/>
          <w:lang w:val="zh-CN"/>
        </w:rPr>
        <w:t>”</w:t>
      </w:r>
      <w:r>
        <w:rPr>
          <w:rFonts w:hint="eastAsia" w:ascii="宋体" w:hAnsi="宋体" w:eastAsia="宋体" w:cs="宋体"/>
          <w:color w:val="auto"/>
          <w:sz w:val="21"/>
          <w:szCs w:val="21"/>
          <w:highlight w:val="none"/>
        </w:rPr>
        <w:t>规定位置进行签署、盖章</w:t>
      </w:r>
      <w:bookmarkEnd w:id="221"/>
      <w:r>
        <w:rPr>
          <w:rFonts w:hint="eastAsia" w:ascii="宋体" w:hAnsi="宋体" w:eastAsia="宋体" w:cs="宋体"/>
          <w:color w:val="auto"/>
          <w:sz w:val="21"/>
          <w:szCs w:val="21"/>
          <w:highlight w:val="none"/>
        </w:rPr>
        <w:t>，否则其响应文件按无效响应处理。骑缝盖公章不视为在规定位置盖章。</w:t>
      </w:r>
    </w:p>
    <w:p w14:paraId="7CD40F4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18.4响应文件应避免涂改、行间插字或者删除，否则其响应文件按无效响应处理。</w:t>
      </w:r>
    </w:p>
    <w:p w14:paraId="76D4EAEB">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outlineLvl w:val="2"/>
        <w:rPr>
          <w:rFonts w:hint="eastAsia" w:ascii="宋体" w:hAnsi="宋体" w:eastAsia="宋体" w:cs="宋体"/>
          <w:b/>
          <w:bCs/>
          <w:color w:val="auto"/>
          <w:sz w:val="21"/>
          <w:szCs w:val="21"/>
          <w:highlight w:val="none"/>
        </w:rPr>
      </w:pPr>
      <w:bookmarkStart w:id="222" w:name="_Toc6236"/>
      <w:bookmarkStart w:id="223" w:name="_Toc31861"/>
      <w:bookmarkStart w:id="224" w:name="_Toc11121"/>
      <w:bookmarkStart w:id="225" w:name="_Toc27085"/>
      <w:r>
        <w:rPr>
          <w:rFonts w:hint="eastAsia" w:ascii="宋体" w:hAnsi="宋体" w:eastAsia="宋体" w:cs="宋体"/>
          <w:b/>
          <w:bCs/>
          <w:color w:val="auto"/>
          <w:sz w:val="21"/>
          <w:szCs w:val="21"/>
          <w:highlight w:val="none"/>
        </w:rPr>
        <w:t>19、响应文件的密封和标记</w:t>
      </w:r>
      <w:bookmarkEnd w:id="222"/>
      <w:bookmarkEnd w:id="223"/>
      <w:bookmarkEnd w:id="224"/>
      <w:bookmarkEnd w:id="225"/>
    </w:p>
    <w:p w14:paraId="1E062F2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kern w:val="0"/>
          <w:sz w:val="21"/>
          <w:szCs w:val="21"/>
          <w:highlight w:val="none"/>
          <w:lang w:val="zh-CN"/>
        </w:rPr>
      </w:pPr>
      <w:r>
        <w:rPr>
          <w:rFonts w:hint="eastAsia" w:ascii="宋体" w:hAnsi="宋体" w:eastAsia="宋体" w:cs="宋体"/>
          <w:color w:val="auto"/>
          <w:kern w:val="0"/>
          <w:sz w:val="21"/>
          <w:szCs w:val="21"/>
          <w:highlight w:val="none"/>
          <w:lang w:val="zh-CN"/>
        </w:rPr>
        <w:t>19.1供应商进行电子交易应安装客户端软件—“ 广西政府采购云平台电子交易客户端”，并按照磋商文件和电子交易平台的要求编制并加密响应文件。供应商未按规定加密的响应文件，电子交易平台将拒收并提示。</w:t>
      </w:r>
    </w:p>
    <w:p w14:paraId="6FE8FFB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kern w:val="0"/>
          <w:sz w:val="21"/>
          <w:szCs w:val="21"/>
          <w:highlight w:val="none"/>
          <w:lang w:val="zh-CN"/>
        </w:rPr>
      </w:pPr>
      <w:r>
        <w:rPr>
          <w:rFonts w:hint="eastAsia" w:ascii="宋体" w:hAnsi="宋体" w:eastAsia="宋体" w:cs="宋体"/>
          <w:color w:val="auto"/>
          <w:kern w:val="0"/>
          <w:sz w:val="21"/>
          <w:szCs w:val="21"/>
          <w:highlight w:val="none"/>
          <w:lang w:val="zh-CN"/>
        </w:rPr>
        <w:t>19.2使用“ 广西政府采购云平台电子交易客户端”需要提前申领CA数字证书，申领流程见该项目采购公告。</w:t>
      </w:r>
    </w:p>
    <w:p w14:paraId="2819CCFB">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19.3为确保网上操作合法、有效和安全，供应商应当在响应文件提交截止时间前完成在“政府采购云平台”的身份认证，确保在电子交易过程中能够对相关数据电文进行加密和使用电子签名。</w:t>
      </w:r>
    </w:p>
    <w:p w14:paraId="0173464A">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outlineLvl w:val="2"/>
        <w:rPr>
          <w:rFonts w:hint="eastAsia" w:ascii="宋体" w:hAnsi="宋体" w:eastAsia="宋体" w:cs="宋体"/>
          <w:b/>
          <w:bCs/>
          <w:color w:val="auto"/>
          <w:sz w:val="21"/>
          <w:szCs w:val="21"/>
          <w:highlight w:val="none"/>
        </w:rPr>
      </w:pPr>
      <w:bookmarkStart w:id="226" w:name="_Toc11947"/>
      <w:bookmarkStart w:id="227" w:name="_Toc2303"/>
      <w:bookmarkStart w:id="228" w:name="_Toc10840"/>
      <w:bookmarkStart w:id="229" w:name="_Toc9483"/>
      <w:r>
        <w:rPr>
          <w:rFonts w:hint="eastAsia" w:ascii="宋体" w:hAnsi="宋体" w:eastAsia="宋体" w:cs="宋体"/>
          <w:b/>
          <w:bCs/>
          <w:color w:val="auto"/>
          <w:sz w:val="21"/>
          <w:szCs w:val="21"/>
          <w:highlight w:val="none"/>
        </w:rPr>
        <w:t>20、响应文件的提交</w:t>
      </w:r>
      <w:bookmarkEnd w:id="226"/>
      <w:bookmarkEnd w:id="227"/>
      <w:bookmarkEnd w:id="228"/>
      <w:bookmarkEnd w:id="229"/>
    </w:p>
    <w:p w14:paraId="40329D8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20.1供应商必须在“供应商须知前附表”规定的时间和地点提交响应文件。</w:t>
      </w:r>
    </w:p>
    <w:p w14:paraId="0FA2033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20.2 在响应文件提交截止时间以后，不能补充、修改响应文件。</w:t>
      </w:r>
    </w:p>
    <w:p w14:paraId="44B21F2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20.</w:t>
      </w: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rPr>
        <w:t xml:space="preserve"> 电子交易平台收到响应文件，将妥善保存并即时向供应商发出确认回执通知。在响应文件提交截止时间前，除供应商补充、修改或者撤回响应文件外，任何单位和个人不得解密或提取响应文件。</w:t>
      </w:r>
    </w:p>
    <w:p w14:paraId="2E19467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20.</w:t>
      </w:r>
      <w:r>
        <w:rPr>
          <w:rFonts w:hint="eastAsia" w:ascii="宋体" w:hAnsi="宋体" w:cs="宋体"/>
          <w:color w:val="auto"/>
          <w:sz w:val="21"/>
          <w:szCs w:val="21"/>
          <w:highlight w:val="none"/>
          <w:lang w:val="en-US" w:eastAsia="zh-CN"/>
        </w:rPr>
        <w:t>4</w:t>
      </w:r>
      <w:r>
        <w:rPr>
          <w:rFonts w:hint="eastAsia" w:ascii="宋体" w:hAnsi="宋体" w:eastAsia="宋体" w:cs="宋体"/>
          <w:color w:val="auto"/>
          <w:sz w:val="21"/>
          <w:szCs w:val="21"/>
          <w:highlight w:val="none"/>
        </w:rPr>
        <w:t xml:space="preserve"> 采购机构不可视情况延长提交响应文件的截止时间。</w:t>
      </w:r>
    </w:p>
    <w:p w14:paraId="3B0C0E2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20.</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本项目不接受备份响应文件。</w:t>
      </w:r>
    </w:p>
    <w:p w14:paraId="73924FBE">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outlineLvl w:val="2"/>
        <w:rPr>
          <w:rFonts w:hint="eastAsia" w:ascii="宋体" w:hAnsi="宋体" w:eastAsia="宋体" w:cs="宋体"/>
          <w:b/>
          <w:bCs/>
          <w:color w:val="auto"/>
          <w:sz w:val="21"/>
          <w:szCs w:val="21"/>
          <w:highlight w:val="none"/>
        </w:rPr>
      </w:pPr>
      <w:bookmarkStart w:id="230" w:name="_Toc25868"/>
      <w:bookmarkStart w:id="231" w:name="_Toc17222"/>
      <w:bookmarkStart w:id="232" w:name="_Toc31320"/>
      <w:bookmarkStart w:id="233" w:name="_Toc1636"/>
      <w:r>
        <w:rPr>
          <w:rFonts w:hint="eastAsia" w:ascii="宋体" w:hAnsi="宋体" w:eastAsia="宋体" w:cs="宋体"/>
          <w:b/>
          <w:bCs/>
          <w:color w:val="auto"/>
          <w:sz w:val="21"/>
          <w:szCs w:val="21"/>
          <w:highlight w:val="none"/>
        </w:rPr>
        <w:t>21、首次响应文件的补充、修改与撤回</w:t>
      </w:r>
      <w:bookmarkEnd w:id="230"/>
      <w:bookmarkEnd w:id="231"/>
      <w:bookmarkEnd w:id="232"/>
      <w:bookmarkEnd w:id="233"/>
    </w:p>
    <w:p w14:paraId="6179E5D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在首次响应文件提交截止时间前，可以对所提交的响应文件进行补充、修改或者撤回，并书面通知采购人、采购代理机构。补充、修改的内容作为响应文件的组成部分。补充、修改的内容与响应文件不一致的，以补充、修改的内容为准。</w:t>
      </w:r>
    </w:p>
    <w:p w14:paraId="19E82117">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outlineLvl w:val="2"/>
        <w:rPr>
          <w:rFonts w:hint="eastAsia" w:ascii="宋体" w:hAnsi="宋体" w:eastAsia="宋体" w:cs="宋体"/>
          <w:b/>
          <w:bCs/>
          <w:color w:val="auto"/>
          <w:sz w:val="21"/>
          <w:szCs w:val="21"/>
          <w:highlight w:val="none"/>
        </w:rPr>
      </w:pPr>
      <w:bookmarkStart w:id="234" w:name="_Toc24336"/>
      <w:bookmarkStart w:id="235" w:name="_Toc22576"/>
      <w:bookmarkStart w:id="236" w:name="_Toc21781"/>
      <w:bookmarkStart w:id="237" w:name="_Toc11594"/>
      <w:bookmarkStart w:id="238" w:name="_Hlk45702405"/>
      <w:r>
        <w:rPr>
          <w:rFonts w:hint="eastAsia" w:ascii="宋体" w:hAnsi="宋体" w:eastAsia="宋体" w:cs="宋体"/>
          <w:b/>
          <w:bCs/>
          <w:color w:val="auto"/>
          <w:sz w:val="21"/>
          <w:szCs w:val="21"/>
          <w:highlight w:val="none"/>
        </w:rPr>
        <w:t>22、首次响应文件的退回</w:t>
      </w:r>
      <w:bookmarkEnd w:id="234"/>
      <w:bookmarkEnd w:id="235"/>
      <w:bookmarkEnd w:id="236"/>
      <w:bookmarkEnd w:id="237"/>
    </w:p>
    <w:bookmarkEnd w:id="238"/>
    <w:p w14:paraId="1CBDC54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bookmarkStart w:id="239" w:name="_Toc17590"/>
      <w:r>
        <w:rPr>
          <w:rFonts w:hint="eastAsia" w:ascii="宋体" w:hAnsi="宋体" w:eastAsia="宋体" w:cs="宋体"/>
          <w:color w:val="auto"/>
          <w:sz w:val="21"/>
          <w:szCs w:val="21"/>
          <w:highlight w:val="none"/>
        </w:rPr>
        <w:t>采购人和采购代理机构对已提交的响应文件概不退回。</w:t>
      </w:r>
    </w:p>
    <w:p w14:paraId="60295A17">
      <w:pPr>
        <w:keepNext w:val="0"/>
        <w:keepLines w:val="0"/>
        <w:pageBreakBefore w:val="0"/>
        <w:widowControl w:val="0"/>
        <w:kinsoku/>
        <w:wordWrap/>
        <w:overflowPunct/>
        <w:topLinePunct w:val="0"/>
        <w:autoSpaceDE/>
        <w:autoSpaceDN/>
        <w:bidi w:val="0"/>
        <w:adjustRightInd/>
        <w:snapToGrid/>
        <w:spacing w:line="360" w:lineRule="auto"/>
        <w:ind w:left="420" w:firstLine="420"/>
        <w:jc w:val="center"/>
        <w:textAlignment w:val="auto"/>
        <w:outlineLvl w:val="1"/>
        <w:rPr>
          <w:rFonts w:hint="eastAsia" w:ascii="宋体" w:hAnsi="宋体" w:eastAsia="宋体" w:cs="宋体"/>
          <w:b/>
          <w:bCs/>
          <w:color w:val="auto"/>
          <w:sz w:val="32"/>
          <w:szCs w:val="32"/>
          <w:highlight w:val="none"/>
        </w:rPr>
      </w:pPr>
      <w:bookmarkStart w:id="240" w:name="_Toc15963"/>
      <w:bookmarkStart w:id="241" w:name="_Toc31040"/>
      <w:bookmarkStart w:id="242" w:name="_Toc17254"/>
      <w:r>
        <w:rPr>
          <w:rFonts w:hint="eastAsia" w:ascii="宋体" w:hAnsi="宋体" w:eastAsia="宋体" w:cs="宋体"/>
          <w:b/>
          <w:bCs/>
          <w:color w:val="auto"/>
          <w:sz w:val="32"/>
          <w:szCs w:val="32"/>
          <w:highlight w:val="none"/>
        </w:rPr>
        <w:t>四、评审及磋商</w:t>
      </w:r>
      <w:bookmarkEnd w:id="239"/>
      <w:bookmarkEnd w:id="240"/>
      <w:bookmarkEnd w:id="241"/>
      <w:bookmarkEnd w:id="242"/>
    </w:p>
    <w:p w14:paraId="3735771E">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outlineLvl w:val="2"/>
        <w:rPr>
          <w:rFonts w:hint="eastAsia" w:ascii="宋体" w:hAnsi="宋体" w:eastAsia="宋体" w:cs="宋体"/>
          <w:b/>
          <w:bCs/>
          <w:color w:val="auto"/>
          <w:sz w:val="21"/>
          <w:szCs w:val="21"/>
          <w:highlight w:val="none"/>
        </w:rPr>
      </w:pPr>
      <w:bookmarkStart w:id="243" w:name="_Toc1571"/>
      <w:bookmarkStart w:id="244" w:name="_Toc11961"/>
      <w:bookmarkStart w:id="245" w:name="_Toc5666"/>
      <w:bookmarkStart w:id="246" w:name="_Toc26761"/>
      <w:r>
        <w:rPr>
          <w:rFonts w:hint="eastAsia" w:ascii="宋体" w:hAnsi="宋体" w:eastAsia="宋体" w:cs="宋体"/>
          <w:b/>
          <w:bCs/>
          <w:color w:val="auto"/>
          <w:sz w:val="21"/>
          <w:szCs w:val="21"/>
          <w:highlight w:val="none"/>
        </w:rPr>
        <w:t>24、磋商小组成立</w:t>
      </w:r>
      <w:bookmarkEnd w:id="243"/>
      <w:bookmarkEnd w:id="244"/>
      <w:bookmarkEnd w:id="245"/>
      <w:bookmarkEnd w:id="246"/>
    </w:p>
    <w:p w14:paraId="29D1906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24.1磋商小组由采购人代表和评审专家共3人以上单数组成，具体人数见“供应商须知前附表”，其中评审专家人数不得少于磋商小组成员总数的2/3。评审专家由采购代理机构在广西政府采购云平台广西评审专家库内相关专业技术、经济等方面的专家名单中随机抽取，其中至少抽取1名异地专家与采购项目所在地抽取的专家进行评审。采购人代表不得以评审专家身份参加本部门或者本单位采购项目的评审。采购代理机构人员不得参加本机构代理的采购项目的评审。达到公开招标数额标准的货物或者服务采购项目，或者达到公开招标规模标准的政府采购工程，经批准采用竞争性磋商方式采购的，磋商小组由5人以上单数组成。</w:t>
      </w:r>
    </w:p>
    <w:p w14:paraId="1AD3AB7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24.2评审专家应当从政府采购评审专家库内相关专业的专家名单中随机抽取。市场竞争不充分的科研项目，以及需要扶持的科技成果转化项目，以及情况特殊、通过随机方式难以确定合适的评审专家的项目，经主管预算单位同意，可以自行选定评审专家。技术复杂、专业性强的采购项目，评审专家中应当包含1名法律专家。</w:t>
      </w:r>
    </w:p>
    <w:p w14:paraId="6E301861">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outlineLvl w:val="2"/>
        <w:rPr>
          <w:rFonts w:hint="eastAsia" w:ascii="宋体" w:hAnsi="宋体" w:eastAsia="宋体" w:cs="宋体"/>
          <w:b/>
          <w:bCs/>
          <w:color w:val="auto"/>
          <w:sz w:val="21"/>
          <w:szCs w:val="21"/>
          <w:highlight w:val="none"/>
        </w:rPr>
      </w:pPr>
      <w:bookmarkStart w:id="247" w:name="_Toc21696"/>
      <w:bookmarkStart w:id="248" w:name="_Toc11009"/>
      <w:bookmarkStart w:id="249" w:name="_Toc22249"/>
      <w:bookmarkStart w:id="250" w:name="_Toc26277"/>
      <w:r>
        <w:rPr>
          <w:rFonts w:hint="eastAsia" w:ascii="宋体" w:hAnsi="宋体" w:eastAsia="宋体" w:cs="宋体"/>
          <w:b/>
          <w:bCs/>
          <w:color w:val="auto"/>
          <w:sz w:val="21"/>
          <w:szCs w:val="21"/>
          <w:highlight w:val="none"/>
        </w:rPr>
        <w:t>25、响应文件的开启</w:t>
      </w:r>
      <w:bookmarkEnd w:id="247"/>
      <w:bookmarkEnd w:id="248"/>
      <w:bookmarkEnd w:id="249"/>
      <w:bookmarkEnd w:id="250"/>
    </w:p>
    <w:p w14:paraId="295F1E9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25.1响应文件由磋商小组或者采购代理机构在“供应商须知前附表”规定的时间开启。</w:t>
      </w:r>
    </w:p>
    <w:p w14:paraId="0D969EC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3"/>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25.2 响应文件解密</w:t>
      </w:r>
    </w:p>
    <w:p w14:paraId="01B79C2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（1）采购代理机构将在“供应商须知前附表”规定的时间通过电子交易平台组织响应文件开启，采购机构依托电子交易平台发起开始解密指令，供应商的法定代表人</w:t>
      </w:r>
      <w:r>
        <w:rPr>
          <w:rFonts w:hint="eastAsia" w:ascii="宋体" w:hAnsi="宋体" w:eastAsia="宋体" w:cs="宋体"/>
          <w:color w:val="auto"/>
          <w:sz w:val="21"/>
          <w:szCs w:val="21"/>
          <w:highlight w:val="none"/>
          <w:lang w:eastAsia="zh-CN"/>
        </w:rPr>
        <w:t>（负责人）</w:t>
      </w:r>
      <w:r>
        <w:rPr>
          <w:rFonts w:hint="eastAsia" w:ascii="宋体" w:hAnsi="宋体" w:eastAsia="宋体" w:cs="宋体"/>
          <w:color w:val="auto"/>
          <w:sz w:val="21"/>
          <w:szCs w:val="21"/>
          <w:highlight w:val="none"/>
        </w:rPr>
        <w:t>或其委托代理人</w:t>
      </w:r>
      <w:r>
        <w:rPr>
          <w:rFonts w:hint="eastAsia" w:ascii="宋体" w:hAnsi="宋体" w:eastAsia="宋体" w:cs="宋体"/>
          <w:b/>
          <w:bCs/>
          <w:color w:val="auto"/>
          <w:sz w:val="21"/>
          <w:szCs w:val="21"/>
          <w:highlight w:val="none"/>
        </w:rPr>
        <w:t>须携带加密时所用的CA锁按平台提示和采购文件的规定登录到广西政府采购云平台电子开标大厅签到并在发起解密指令之时起30分钟内完成对电子响应文件在线解密</w:t>
      </w:r>
      <w:r>
        <w:rPr>
          <w:rFonts w:hint="eastAsia" w:ascii="宋体" w:hAnsi="宋体" w:eastAsia="宋体" w:cs="宋体"/>
          <w:color w:val="auto"/>
          <w:sz w:val="21"/>
          <w:szCs w:val="21"/>
          <w:highlight w:val="none"/>
        </w:rPr>
        <w:t>。发起解密指令之时起5分钟内供应商还未进行解密的，代理机构可根据广西政府采购云平台预留联系方式通知供应商，供应商没预留联系方式或预留联系方式无效，导致代理机构无法联系到供应商进行解密的，</w:t>
      </w:r>
      <w:r>
        <w:rPr>
          <w:rFonts w:hint="eastAsia" w:ascii="宋体" w:hAnsi="宋体" w:eastAsia="宋体" w:cs="宋体"/>
          <w:b/>
          <w:bCs/>
          <w:color w:val="auto"/>
          <w:sz w:val="21"/>
          <w:szCs w:val="21"/>
          <w:highlight w:val="none"/>
        </w:rPr>
        <w:t>视为响应文件无效</w:t>
      </w:r>
      <w:r>
        <w:rPr>
          <w:rFonts w:hint="eastAsia" w:ascii="宋体" w:hAnsi="宋体" w:eastAsia="宋体" w:cs="宋体"/>
          <w:color w:val="auto"/>
          <w:sz w:val="21"/>
          <w:szCs w:val="21"/>
          <w:highlight w:val="none"/>
        </w:rPr>
        <w:t>。（解密异常情况处理：详见本章2</w:t>
      </w:r>
      <w:r>
        <w:rPr>
          <w:rFonts w:hint="eastAsia" w:ascii="宋体" w:hAnsi="宋体" w:cs="宋体"/>
          <w:color w:val="auto"/>
          <w:sz w:val="21"/>
          <w:szCs w:val="21"/>
          <w:highlight w:val="none"/>
          <w:lang w:val="en-US" w:eastAsia="zh-CN"/>
        </w:rPr>
        <w:t>5</w:t>
      </w:r>
      <w:r>
        <w:rPr>
          <w:rFonts w:hint="eastAsia" w:ascii="宋体" w:hAnsi="宋体" w:eastAsia="宋体" w:cs="宋体"/>
          <w:color w:val="auto"/>
          <w:sz w:val="21"/>
          <w:szCs w:val="21"/>
          <w:highlight w:val="none"/>
        </w:rPr>
        <w:t>.3 电子交易活动的中止。）</w:t>
      </w:r>
    </w:p>
    <w:p w14:paraId="0E6A388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（2）如供应商成功解密响应文件，但未在“ 广西政府采购云平台”电子开标大厅参加磋商的，视同认可磋商过程和结果，由此产生的后果由供应商自行负责。 参与磋商的供应商不足3家的，不得磋商。</w:t>
      </w:r>
    </w:p>
    <w:p w14:paraId="7C947BC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（3）初步评审。响应文件解密结束后，磋商小组依据法律法规和招标文件的规定，对供应商进行线上初步评审（资格性审查、符合性审查）。</w:t>
      </w:r>
    </w:p>
    <w:p w14:paraId="289B218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（4）电子在线磋商评审（开启第二轮报价或最后报价），由磋商小组通过以下三种方式的其中一种与供应商进行磋商（A视频会议 B发送磋商问题函 C备注和附件），完成最终轮磋商后须提交磋商结果。</w:t>
      </w:r>
    </w:p>
    <w:p w14:paraId="61CDE8F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（5）电子在线询标，磋商小组在评审过程中对竞标文件内容有任何疑义，可在线询标，各供应商应在规定地点、时间提交询标澄清回复。</w:t>
      </w:r>
    </w:p>
    <w:p w14:paraId="0B8147B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3"/>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5.3电子交易活动的中止</w:t>
      </w:r>
    </w:p>
    <w:p w14:paraId="11647B5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cs="宋体"/>
          <w:color w:val="auto"/>
          <w:sz w:val="21"/>
          <w:szCs w:val="21"/>
          <w:highlight w:val="none"/>
        </w:rPr>
      </w:pPr>
      <w:r>
        <w:rPr>
          <w:rFonts w:hint="eastAsia" w:ascii="宋体" w:hAnsi="宋体" w:cs="宋体"/>
          <w:color w:val="auto"/>
          <w:sz w:val="21"/>
          <w:szCs w:val="21"/>
          <w:highlight w:val="none"/>
        </w:rPr>
        <w:t>采购过程中出现以下情形，导致电子交易平台无法正常运行，</w:t>
      </w:r>
      <w:r>
        <w:rPr>
          <w:rFonts w:ascii="宋体" w:hAnsi="宋体" w:cs="宋体"/>
          <w:color w:val="auto"/>
          <w:sz w:val="21"/>
          <w:szCs w:val="21"/>
          <w:highlight w:val="none"/>
        </w:rPr>
        <w:t xml:space="preserve"> </w:t>
      </w:r>
      <w:r>
        <w:rPr>
          <w:rFonts w:hint="eastAsia" w:ascii="宋体" w:hAnsi="宋体" w:cs="宋体"/>
          <w:color w:val="auto"/>
          <w:sz w:val="21"/>
          <w:szCs w:val="21"/>
          <w:highlight w:val="none"/>
        </w:rPr>
        <w:t>或者无法保证电子交易的公平、公正和安全时，采购机构可中止电子交易活动：</w:t>
      </w:r>
      <w:r>
        <w:rPr>
          <w:rFonts w:ascii="宋体" w:hAnsi="宋体" w:cs="宋体"/>
          <w:color w:val="auto"/>
          <w:sz w:val="21"/>
          <w:szCs w:val="21"/>
          <w:highlight w:val="none"/>
        </w:rPr>
        <w:t xml:space="preserve"> </w:t>
      </w:r>
    </w:p>
    <w:p w14:paraId="6E71A0E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cs="宋体"/>
          <w:color w:val="auto"/>
          <w:sz w:val="21"/>
          <w:szCs w:val="21"/>
          <w:highlight w:val="none"/>
        </w:rPr>
      </w:pPr>
      <w:r>
        <w:rPr>
          <w:rFonts w:hint="eastAsia" w:ascii="宋体" w:hAnsi="宋体" w:cs="宋体"/>
          <w:color w:val="auto"/>
          <w:sz w:val="21"/>
          <w:szCs w:val="21"/>
          <w:highlight w:val="none"/>
        </w:rPr>
        <w:t>（</w:t>
      </w:r>
      <w:r>
        <w:rPr>
          <w:rFonts w:ascii="宋体" w:hAnsi="宋体" w:cs="宋体"/>
          <w:color w:val="auto"/>
          <w:sz w:val="21"/>
          <w:szCs w:val="21"/>
          <w:highlight w:val="none"/>
        </w:rPr>
        <w:t>1</w:t>
      </w:r>
      <w:r>
        <w:rPr>
          <w:rFonts w:hint="eastAsia" w:ascii="宋体" w:hAnsi="宋体" w:cs="宋体"/>
          <w:color w:val="auto"/>
          <w:sz w:val="21"/>
          <w:szCs w:val="21"/>
          <w:highlight w:val="none"/>
        </w:rPr>
        <w:t>）电子交易平台发生故障而无法登录访问的；</w:t>
      </w:r>
      <w:r>
        <w:rPr>
          <w:rFonts w:ascii="宋体" w:hAnsi="宋体" w:cs="宋体"/>
          <w:color w:val="auto"/>
          <w:sz w:val="21"/>
          <w:szCs w:val="21"/>
          <w:highlight w:val="none"/>
        </w:rPr>
        <w:t xml:space="preserve"> </w:t>
      </w:r>
    </w:p>
    <w:p w14:paraId="79EF159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cs="宋体"/>
          <w:color w:val="auto"/>
          <w:sz w:val="21"/>
          <w:szCs w:val="21"/>
          <w:highlight w:val="none"/>
        </w:rPr>
      </w:pPr>
      <w:r>
        <w:rPr>
          <w:rFonts w:hint="eastAsia" w:ascii="宋体" w:hAnsi="宋体" w:cs="宋体"/>
          <w:color w:val="auto"/>
          <w:sz w:val="21"/>
          <w:szCs w:val="21"/>
          <w:highlight w:val="none"/>
        </w:rPr>
        <w:t>（</w:t>
      </w:r>
      <w:r>
        <w:rPr>
          <w:rFonts w:ascii="宋体" w:hAnsi="宋体" w:cs="宋体"/>
          <w:color w:val="auto"/>
          <w:sz w:val="21"/>
          <w:szCs w:val="21"/>
          <w:highlight w:val="none"/>
        </w:rPr>
        <w:t>2</w:t>
      </w:r>
      <w:r>
        <w:rPr>
          <w:rFonts w:hint="eastAsia" w:ascii="宋体" w:hAnsi="宋体" w:cs="宋体"/>
          <w:color w:val="auto"/>
          <w:sz w:val="21"/>
          <w:szCs w:val="21"/>
          <w:highlight w:val="none"/>
        </w:rPr>
        <w:t>）电子交易平台应用或数据库出现错误，不能进行正常操作的；</w:t>
      </w:r>
      <w:r>
        <w:rPr>
          <w:rFonts w:ascii="宋体" w:hAnsi="宋体" w:cs="宋体"/>
          <w:color w:val="auto"/>
          <w:sz w:val="21"/>
          <w:szCs w:val="21"/>
          <w:highlight w:val="none"/>
        </w:rPr>
        <w:t xml:space="preserve"> </w:t>
      </w:r>
    </w:p>
    <w:p w14:paraId="1F0A959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cs="宋体"/>
          <w:color w:val="auto"/>
          <w:sz w:val="21"/>
          <w:szCs w:val="21"/>
          <w:highlight w:val="none"/>
        </w:rPr>
      </w:pPr>
      <w:r>
        <w:rPr>
          <w:rFonts w:hint="eastAsia" w:ascii="宋体" w:hAnsi="宋体" w:cs="宋体"/>
          <w:color w:val="auto"/>
          <w:sz w:val="21"/>
          <w:szCs w:val="21"/>
          <w:highlight w:val="none"/>
        </w:rPr>
        <w:t>（</w:t>
      </w:r>
      <w:r>
        <w:rPr>
          <w:rFonts w:ascii="宋体" w:hAnsi="宋体" w:cs="宋体"/>
          <w:color w:val="auto"/>
          <w:sz w:val="21"/>
          <w:szCs w:val="21"/>
          <w:highlight w:val="none"/>
        </w:rPr>
        <w:t>3</w:t>
      </w:r>
      <w:r>
        <w:rPr>
          <w:rFonts w:hint="eastAsia" w:ascii="宋体" w:hAnsi="宋体" w:cs="宋体"/>
          <w:color w:val="auto"/>
          <w:sz w:val="21"/>
          <w:szCs w:val="21"/>
          <w:highlight w:val="none"/>
        </w:rPr>
        <w:t>）电子交易平台发现严重安全漏洞，有潜在泄密危险的；</w:t>
      </w:r>
      <w:r>
        <w:rPr>
          <w:rFonts w:ascii="宋体" w:hAnsi="宋体" w:cs="宋体"/>
          <w:color w:val="auto"/>
          <w:sz w:val="21"/>
          <w:szCs w:val="21"/>
          <w:highlight w:val="none"/>
        </w:rPr>
        <w:t xml:space="preserve"> </w:t>
      </w:r>
    </w:p>
    <w:p w14:paraId="263BB68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cs="宋体"/>
          <w:color w:val="auto"/>
          <w:sz w:val="21"/>
          <w:szCs w:val="21"/>
          <w:highlight w:val="none"/>
        </w:rPr>
      </w:pPr>
      <w:r>
        <w:rPr>
          <w:rFonts w:hint="eastAsia" w:ascii="宋体" w:hAnsi="宋体" w:cs="宋体"/>
          <w:color w:val="auto"/>
          <w:sz w:val="21"/>
          <w:szCs w:val="21"/>
          <w:highlight w:val="none"/>
        </w:rPr>
        <w:t>（</w:t>
      </w:r>
      <w:r>
        <w:rPr>
          <w:rFonts w:ascii="宋体" w:hAnsi="宋体" w:cs="宋体"/>
          <w:color w:val="auto"/>
          <w:sz w:val="21"/>
          <w:szCs w:val="21"/>
          <w:highlight w:val="none"/>
        </w:rPr>
        <w:t>4</w:t>
      </w:r>
      <w:r>
        <w:rPr>
          <w:rFonts w:hint="eastAsia" w:ascii="宋体" w:hAnsi="宋体" w:cs="宋体"/>
          <w:color w:val="auto"/>
          <w:sz w:val="21"/>
          <w:szCs w:val="21"/>
          <w:highlight w:val="none"/>
        </w:rPr>
        <w:t>）病毒发作导致不能进行正常操作的；</w:t>
      </w:r>
      <w:r>
        <w:rPr>
          <w:rFonts w:ascii="宋体" w:hAnsi="宋体" w:cs="宋体"/>
          <w:color w:val="auto"/>
          <w:sz w:val="21"/>
          <w:szCs w:val="21"/>
          <w:highlight w:val="none"/>
        </w:rPr>
        <w:t xml:space="preserve"> </w:t>
      </w:r>
    </w:p>
    <w:p w14:paraId="3C84E11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cs="宋体"/>
          <w:color w:val="auto"/>
          <w:sz w:val="21"/>
          <w:szCs w:val="21"/>
          <w:highlight w:val="none"/>
        </w:rPr>
      </w:pPr>
      <w:r>
        <w:rPr>
          <w:rFonts w:hint="eastAsia" w:ascii="宋体" w:hAnsi="宋体" w:cs="宋体"/>
          <w:color w:val="auto"/>
          <w:sz w:val="21"/>
          <w:szCs w:val="21"/>
          <w:highlight w:val="none"/>
        </w:rPr>
        <w:t>（</w:t>
      </w:r>
      <w:r>
        <w:rPr>
          <w:rFonts w:ascii="宋体" w:hAnsi="宋体" w:cs="宋体"/>
          <w:color w:val="auto"/>
          <w:sz w:val="21"/>
          <w:szCs w:val="21"/>
          <w:highlight w:val="none"/>
        </w:rPr>
        <w:t>5</w:t>
      </w:r>
      <w:r>
        <w:rPr>
          <w:rFonts w:hint="eastAsia" w:ascii="宋体" w:hAnsi="宋体" w:cs="宋体"/>
          <w:color w:val="auto"/>
          <w:sz w:val="21"/>
          <w:szCs w:val="21"/>
          <w:highlight w:val="none"/>
        </w:rPr>
        <w:t>）其他无法保证电子交易的公平、公正和安全的情况</w:t>
      </w:r>
      <w:r>
        <w:rPr>
          <w:rFonts w:ascii="宋体" w:hAnsi="宋体" w:cs="宋体"/>
          <w:color w:val="auto"/>
          <w:sz w:val="21"/>
          <w:szCs w:val="21"/>
          <w:highlight w:val="none"/>
        </w:rPr>
        <w:t xml:space="preserve"> </w:t>
      </w:r>
    </w:p>
    <w:p w14:paraId="56A0027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cs="宋体"/>
          <w:color w:val="auto"/>
          <w:sz w:val="21"/>
          <w:szCs w:val="21"/>
          <w:highlight w:val="none"/>
        </w:rPr>
      </w:pPr>
      <w:r>
        <w:rPr>
          <w:rFonts w:hint="eastAsia" w:ascii="宋体" w:hAnsi="宋体" w:cs="宋体"/>
          <w:color w:val="auto"/>
          <w:sz w:val="21"/>
          <w:szCs w:val="21"/>
          <w:highlight w:val="none"/>
          <w:lang w:val="en-US" w:eastAsia="zh-CN"/>
        </w:rPr>
        <w:t>25</w:t>
      </w:r>
      <w:r>
        <w:rPr>
          <w:rFonts w:ascii="宋体" w:hAnsi="宋体" w:cs="宋体"/>
          <w:color w:val="auto"/>
          <w:sz w:val="21"/>
          <w:szCs w:val="21"/>
          <w:highlight w:val="none"/>
        </w:rPr>
        <w:t xml:space="preserve">.4 </w:t>
      </w:r>
      <w:r>
        <w:rPr>
          <w:rFonts w:hint="eastAsia" w:ascii="宋体" w:hAnsi="宋体" w:cs="宋体"/>
          <w:color w:val="auto"/>
          <w:sz w:val="21"/>
          <w:szCs w:val="21"/>
          <w:highlight w:val="none"/>
        </w:rPr>
        <w:t>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监管部门备案。</w:t>
      </w:r>
    </w:p>
    <w:p w14:paraId="00156534">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outlineLvl w:val="2"/>
        <w:rPr>
          <w:rFonts w:hint="eastAsia" w:ascii="宋体" w:hAnsi="宋体" w:eastAsia="宋体" w:cs="宋体"/>
          <w:b/>
          <w:bCs/>
          <w:color w:val="auto"/>
          <w:sz w:val="21"/>
          <w:szCs w:val="21"/>
          <w:highlight w:val="none"/>
        </w:rPr>
      </w:pPr>
      <w:bookmarkStart w:id="251" w:name="_Toc30136"/>
      <w:bookmarkStart w:id="252" w:name="_Toc12858"/>
      <w:bookmarkStart w:id="253" w:name="_Toc27650"/>
      <w:bookmarkStart w:id="254" w:name="_Toc30171"/>
      <w:r>
        <w:rPr>
          <w:rFonts w:hint="eastAsia" w:ascii="宋体" w:hAnsi="宋体" w:eastAsia="宋体" w:cs="宋体"/>
          <w:b/>
          <w:bCs/>
          <w:color w:val="auto"/>
          <w:sz w:val="21"/>
          <w:szCs w:val="21"/>
          <w:highlight w:val="none"/>
        </w:rPr>
        <w:t>26、评审程序、评审方法</w:t>
      </w:r>
      <w:bookmarkEnd w:id="251"/>
      <w:bookmarkEnd w:id="252"/>
      <w:bookmarkEnd w:id="253"/>
      <w:bookmarkEnd w:id="254"/>
    </w:p>
    <w:p w14:paraId="05F517C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3"/>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26</w:t>
      </w:r>
      <w:r>
        <w:rPr>
          <w:rFonts w:hint="eastAsia" w:ascii="宋体" w:hAnsi="宋体" w:eastAsia="宋体" w:cs="宋体"/>
          <w:color w:val="auto"/>
          <w:sz w:val="21"/>
          <w:szCs w:val="21"/>
          <w:highlight w:val="none"/>
        </w:rPr>
        <w:t>.1本采购项目的评标依据为《竞争性磋商文件》和《响应文件》。</w:t>
      </w:r>
    </w:p>
    <w:p w14:paraId="343CC65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3"/>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26</w:t>
      </w:r>
      <w:r>
        <w:rPr>
          <w:rFonts w:hint="eastAsia" w:ascii="宋体" w:hAnsi="宋体" w:eastAsia="宋体" w:cs="宋体"/>
          <w:color w:val="auto"/>
          <w:sz w:val="21"/>
          <w:szCs w:val="21"/>
          <w:highlight w:val="none"/>
        </w:rPr>
        <w:t>.2评标工作将采取</w:t>
      </w:r>
      <w:r>
        <w:rPr>
          <w:rFonts w:hint="eastAsia" w:ascii="宋体" w:hAnsi="宋体" w:eastAsia="宋体" w:cs="宋体"/>
          <w:color w:val="auto"/>
          <w:sz w:val="21"/>
          <w:szCs w:val="21"/>
          <w:highlight w:val="none"/>
          <w:u w:val="single"/>
        </w:rPr>
        <w:t>封闭方式</w:t>
      </w:r>
      <w:r>
        <w:rPr>
          <w:rFonts w:hint="eastAsia" w:ascii="宋体" w:hAnsi="宋体" w:eastAsia="宋体" w:cs="宋体"/>
          <w:color w:val="auto"/>
          <w:sz w:val="21"/>
          <w:szCs w:val="21"/>
          <w:highlight w:val="none"/>
        </w:rPr>
        <w:t>进行，磋商小组成员和有关工作人员不得透露对《响应文件》的评审、比较和成交人的确定情况以及与评标有关的其他情况。</w:t>
      </w:r>
    </w:p>
    <w:p w14:paraId="1311133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3"/>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26</w:t>
      </w:r>
      <w:r>
        <w:rPr>
          <w:rFonts w:hint="eastAsia" w:ascii="宋体" w:hAnsi="宋体" w:eastAsia="宋体" w:cs="宋体"/>
          <w:color w:val="auto"/>
          <w:sz w:val="21"/>
          <w:szCs w:val="21"/>
          <w:highlight w:val="none"/>
        </w:rPr>
        <w:t>.3磋商供应商在评标过程中，所进行的力图影响评标结果公正性的活动，将可能导致其成交资格被取消。</w:t>
      </w:r>
    </w:p>
    <w:p w14:paraId="24A7435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3"/>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26</w:t>
      </w:r>
      <w:r>
        <w:rPr>
          <w:rFonts w:hint="eastAsia" w:ascii="宋体" w:hAnsi="宋体" w:eastAsia="宋体" w:cs="宋体"/>
          <w:color w:val="auto"/>
          <w:sz w:val="21"/>
          <w:szCs w:val="21"/>
          <w:highlight w:val="none"/>
        </w:rPr>
        <w:t>.4磋商小组成员按照客观、公正、审慎的原则，根据磋商文件规定的评审程序、评审方法和评审标准进行独立评审。</w:t>
      </w:r>
    </w:p>
    <w:p w14:paraId="7335740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3"/>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26</w:t>
      </w:r>
      <w:r>
        <w:rPr>
          <w:rFonts w:hint="eastAsia" w:ascii="宋体" w:hAnsi="宋体" w:eastAsia="宋体" w:cs="宋体"/>
          <w:color w:val="auto"/>
          <w:sz w:val="21"/>
          <w:szCs w:val="21"/>
          <w:highlight w:val="none"/>
        </w:rPr>
        <w:t>.4.1响应文件线上资格评审。资格评审分为资格性审查和符合性审查。</w:t>
      </w:r>
    </w:p>
    <w:p w14:paraId="40D3FF2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3"/>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 资格性检查。依据法律法规和竞争性磋商文件的规定对响应文件的资格证明、磋商保证金等进行审查，以确定供应商是否具备竞标资格。它所涉及到的主要文件和内容为磋商文件供应商须知第12.1.1条、第</w:t>
      </w:r>
      <w:r>
        <w:rPr>
          <w:rFonts w:hint="eastAsia" w:ascii="宋体" w:hAnsi="宋体" w:eastAsia="宋体" w:cs="宋体"/>
          <w:color w:val="auto"/>
          <w:sz w:val="21"/>
          <w:szCs w:val="21"/>
          <w:highlight w:val="none"/>
          <w:lang w:val="en-US" w:eastAsia="zh-CN"/>
        </w:rPr>
        <w:t>18</w:t>
      </w:r>
      <w:r>
        <w:rPr>
          <w:rFonts w:hint="eastAsia" w:ascii="宋体" w:hAnsi="宋体" w:eastAsia="宋体" w:cs="宋体"/>
          <w:color w:val="auto"/>
          <w:sz w:val="21"/>
          <w:szCs w:val="21"/>
          <w:highlight w:val="none"/>
        </w:rPr>
        <w:t>条所述的资格证明文件内容和签署、盖章的合格性、合法性等（注：其中信用查询规则见“供应商须知前附表”，“广西政府采购云”平台已与“信用中国”和“中国政府采购网”平台做接口，磋商小组可直接在线查询）。如果供应商不具备竞标资格，不满足磋商文件所规定的资格标准或提供资格证明文件不全的，其竞标将被拒绝。</w:t>
      </w:r>
    </w:p>
    <w:p w14:paraId="2BC1FDB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3"/>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 符合性检查。依据磋商文件的规定，从响应文件的有效性、完整性和对磋商文件的响应程度进行审查，以确定是否符合对磋商文件的实质性要求作出响应（采购人可根据具体项目的情况对实质性要求作特别的规定）。实质性偏离是指：1)实质性影响合同的范围、质量和履行；2)实质性违背磋商文件，限制了采购人的权利和成交人合同项下的义务；3)不公正地影响了其它作出实质性响应的供应商的竞争地位。对没有实质性响应的响应文件将不进行评审，其竞标将被拒绝。</w:t>
      </w:r>
    </w:p>
    <w:p w14:paraId="0D9FC84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3"/>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 出现下列情况之一的，视为未实质性响应磋商文件的响应文件，按无效响应处理。</w:t>
      </w:r>
    </w:p>
    <w:p w14:paraId="3096CBE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3"/>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① 响应文件未按本须知第1</w:t>
      </w: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rPr>
        <w:t>条规定进行编制、签署、盖章的；</w:t>
      </w:r>
    </w:p>
    <w:p w14:paraId="5D8A1D7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3"/>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② 未按本须知第</w:t>
      </w:r>
      <w:r>
        <w:rPr>
          <w:rFonts w:hint="eastAsia" w:ascii="宋体" w:hAnsi="宋体" w:eastAsia="宋体" w:cs="宋体"/>
          <w:color w:val="auto"/>
          <w:sz w:val="21"/>
          <w:szCs w:val="21"/>
          <w:highlight w:val="none"/>
          <w:lang w:val="en-US" w:eastAsia="zh-CN"/>
        </w:rPr>
        <w:t>12.1.1</w:t>
      </w:r>
      <w:r>
        <w:rPr>
          <w:rFonts w:hint="eastAsia" w:ascii="宋体" w:hAnsi="宋体" w:eastAsia="宋体" w:cs="宋体"/>
          <w:color w:val="auto"/>
          <w:sz w:val="21"/>
          <w:szCs w:val="21"/>
          <w:highlight w:val="none"/>
        </w:rPr>
        <w:t>条规定提交必须提供且有效的证明文件的；</w:t>
      </w:r>
    </w:p>
    <w:p w14:paraId="44782F1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3"/>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③ 未按有关要求提交或足额提交磋商保证金的；</w:t>
      </w:r>
    </w:p>
    <w:p w14:paraId="6272053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3"/>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④ 响应文件实质上没有响应竞争性磋商采购文件的要求的(包括：质量要求、工期、技术标准和要求、合同价款主要条款、磋商有效期等)；</w:t>
      </w:r>
    </w:p>
    <w:p w14:paraId="1526212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3"/>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⑤ 供应商提交的是可选择的报价，或最后报价超过采购预算价的；</w:t>
      </w:r>
    </w:p>
    <w:p w14:paraId="0E48474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3"/>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⑥ 供应商已标价工程量清单的项目编码（12位）、计量单位、工程量任何一处与招标工程量清单不一致的；</w:t>
      </w:r>
    </w:p>
    <w:p w14:paraId="7268AAA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3"/>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⑦供应商已标价工程量清单的项目名称或项目特征与招标工程量清单不一致，磋商小组要求澄清、说明或补正，但供应商拒绝澄清、说明或补正的；</w:t>
      </w:r>
    </w:p>
    <w:p w14:paraId="769AC9C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3"/>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⑧设有暂估价、暂列金额的，投标时未按招标人工程量清单给出的暂估价总价、暂列金额总价计入投标总报价中的；</w:t>
      </w:r>
    </w:p>
    <w:p w14:paraId="0703874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3"/>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⑨ 不符合有关法律、法规和磋商文件中规定的其他实质性条款。</w:t>
      </w:r>
    </w:p>
    <w:p w14:paraId="2D9CA22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3"/>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26</w:t>
      </w:r>
      <w:r>
        <w:rPr>
          <w:rFonts w:hint="eastAsia" w:ascii="宋体" w:hAnsi="宋体" w:eastAsia="宋体" w:cs="宋体"/>
          <w:color w:val="auto"/>
          <w:sz w:val="21"/>
          <w:szCs w:val="21"/>
          <w:highlight w:val="none"/>
        </w:rPr>
        <w:t>.4.2澄清有关问题。</w:t>
      </w:r>
    </w:p>
    <w:p w14:paraId="6CB104B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3"/>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 磋商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1EB94CF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3"/>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(2)磋商小组要求供应商澄清、说明或者更正响应文件应当以在线询标形式作出。供应商的澄清、说明或者更正应当由法定代表人或委托代理人签名或盖电子公章。由授权代表签字的，应当附法定代表人授权书。</w:t>
      </w:r>
    </w:p>
    <w:p w14:paraId="393A866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3"/>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(3)响应文件如果出现计算或表达上的错误，修正错误的原则如下：</w:t>
      </w:r>
    </w:p>
    <w:p w14:paraId="30A45FA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3"/>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① 响应文件中《竞标函》、《竞标函附录》的报价与已标价工程量清单汇总报价不一致的，以已标价工程量清单汇总报价为准。</w:t>
      </w:r>
    </w:p>
    <w:p w14:paraId="1DB4ED8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3"/>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② 响应文件的大写金额和小写金额不一致的，以大写金额为准；</w:t>
      </w:r>
    </w:p>
    <w:p w14:paraId="70F29FC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3"/>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③ 总价金额与按单价汇总金额不一致的，以单价金额计算结果为准；</w:t>
      </w:r>
    </w:p>
    <w:p w14:paraId="7E61342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3"/>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④ 单价金额小数点有明显错位的，应以总价为准，并修改单价；</w:t>
      </w:r>
    </w:p>
    <w:p w14:paraId="61028D7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3"/>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⑤ 对不同文字文本响应文件的解释发生异议的，以中文文本为准。</w:t>
      </w:r>
    </w:p>
    <w:p w14:paraId="704DC20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3"/>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⑥ 按上述修正错误的原则及方法调整或修正响应文件的磋商报价，在供应商确认后，调整后的磋商报价对供应商起约束作用。如果供应商拒绝确认，不接受修正后的价格或报价，则其响应文件将不予评审，其竞标将被拒绝，采购人有权没收其磋商保证金。</w:t>
      </w:r>
    </w:p>
    <w:p w14:paraId="5731294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3"/>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26</w:t>
      </w:r>
      <w:r>
        <w:rPr>
          <w:rFonts w:hint="eastAsia" w:ascii="宋体" w:hAnsi="宋体" w:eastAsia="宋体" w:cs="宋体"/>
          <w:color w:val="auto"/>
          <w:sz w:val="21"/>
          <w:szCs w:val="21"/>
          <w:highlight w:val="none"/>
        </w:rPr>
        <w:t>.4.3磋商过程。</w:t>
      </w:r>
    </w:p>
    <w:p w14:paraId="5E4DDE6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3"/>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(1)磋商小组所有成员集中与单一供应商分别进行磋商（最多三轮），磋商的内容包括技术条件、商务性条件及磋商小组认为需要磋商的内容。</w:t>
      </w:r>
    </w:p>
    <w:p w14:paraId="5FF09E5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3"/>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(2)在磋商过程中，磋商小组可以根据磋商文件和磋商情况实质性变动项目需求中的技术、服务要求以及合同草案条款，但不得变动磋商文件中的其他内容。实质性变动的内容，须经采购人代表确认。</w:t>
      </w:r>
    </w:p>
    <w:p w14:paraId="43BAFA1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3"/>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(3)对磋商文件作出的实质性变动是磋商文件的有效组成部分，磋商小组应当及时以在线询标/澄清形式同时通知所有参加磋商的供应商。</w:t>
      </w:r>
    </w:p>
    <w:p w14:paraId="0801AEF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3"/>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(4)供应商应当按照磋商文件的变动情况和磋商小组的要求重新提交应答文件，并由其法定代表人或委托代理人签名或盖电子公章。由授权代表签字的，应当附法定代表人授权书。</w:t>
      </w:r>
    </w:p>
    <w:p w14:paraId="502243F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3"/>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(5)供应商未在通知的时间内到达现场参加磋商的，或未提交书面说明退出磋商的，或未在规定时间内提交在线应答文件和最后报价的，视为供应商自动放弃磋商。</w:t>
      </w:r>
    </w:p>
    <w:p w14:paraId="237293A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3"/>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(6)最终磋商结束后，磋商小组不得再与供应商进行任何形式的商谈。磋商的任何一方不得透露与磋商有关的其他供应商的技术资料、价格和其他信息。</w:t>
      </w:r>
    </w:p>
    <w:p w14:paraId="33DA561B">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3"/>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26</w:t>
      </w:r>
      <w:r>
        <w:rPr>
          <w:rFonts w:hint="eastAsia" w:ascii="宋体" w:hAnsi="宋体" w:eastAsia="宋体" w:cs="宋体"/>
          <w:color w:val="auto"/>
          <w:sz w:val="21"/>
          <w:szCs w:val="21"/>
          <w:highlight w:val="none"/>
        </w:rPr>
        <w:t>.4.4磋商小组对竞标人资格性和竞标文件符合性审查。磋商小组只接受通过资格性和符合性审查竞标人在规定时间（30分钟）内进行磋商最终总报价。</w:t>
      </w:r>
    </w:p>
    <w:p w14:paraId="6517223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3"/>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26</w:t>
      </w:r>
      <w:r>
        <w:rPr>
          <w:rFonts w:hint="eastAsia" w:ascii="宋体" w:hAnsi="宋体" w:eastAsia="宋体" w:cs="宋体"/>
          <w:color w:val="auto"/>
          <w:sz w:val="21"/>
          <w:szCs w:val="21"/>
          <w:highlight w:val="none"/>
        </w:rPr>
        <w:t>.4.5比较与评价。经磋商确定最终采购需求和提交最后报价的供应商后，由磋商小组采用综合评分法（详见第八章）对提交最后报价的供应商的响应文件和最后报价进行综合评分。</w:t>
      </w:r>
    </w:p>
    <w:p w14:paraId="60D6949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3"/>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26</w:t>
      </w:r>
      <w:r>
        <w:rPr>
          <w:rFonts w:hint="eastAsia" w:ascii="宋体" w:hAnsi="宋体" w:eastAsia="宋体" w:cs="宋体"/>
          <w:color w:val="auto"/>
          <w:sz w:val="21"/>
          <w:szCs w:val="21"/>
          <w:highlight w:val="none"/>
        </w:rPr>
        <w:t>.4.6推荐成交候选人名单及编写评审报告。磋商小组根据综合评分情况，按照评分办法的成交标准及成交候选人推荐原则依次推荐成交候选人名单，并根据磋商过程和结果编写评审报告。</w:t>
      </w:r>
    </w:p>
    <w:p w14:paraId="26E6E39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3"/>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26</w:t>
      </w:r>
      <w:r>
        <w:rPr>
          <w:rFonts w:hint="eastAsia" w:ascii="宋体" w:hAnsi="宋体" w:eastAsia="宋体" w:cs="宋体"/>
          <w:color w:val="auto"/>
          <w:sz w:val="21"/>
          <w:szCs w:val="21"/>
          <w:highlight w:val="none"/>
        </w:rPr>
        <w:t>.5评审会纪律</w:t>
      </w:r>
    </w:p>
    <w:p w14:paraId="06A3E1D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3"/>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26</w:t>
      </w:r>
      <w:r>
        <w:rPr>
          <w:rFonts w:hint="eastAsia" w:ascii="宋体" w:hAnsi="宋体" w:eastAsia="宋体" w:cs="宋体"/>
          <w:color w:val="auto"/>
          <w:sz w:val="21"/>
          <w:szCs w:val="21"/>
          <w:highlight w:val="none"/>
        </w:rPr>
        <w:t>.5.1评审过程的保密性。磋商小组成员、有关工作人员及其他知情人不得透露对响应文件评审、比较、成交候选人的推荐情况以及与评审有关的其他情况。</w:t>
      </w:r>
    </w:p>
    <w:p w14:paraId="6961B31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3"/>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26</w:t>
      </w:r>
      <w:r>
        <w:rPr>
          <w:rFonts w:hint="eastAsia" w:ascii="宋体" w:hAnsi="宋体" w:eastAsia="宋体" w:cs="宋体"/>
          <w:color w:val="auto"/>
          <w:sz w:val="21"/>
          <w:szCs w:val="21"/>
          <w:highlight w:val="none"/>
        </w:rPr>
        <w:t>.5.2在磋商评审期间，供应商试图影响采购人和磋商小组的任何活动，将导致其报价被拒绝，并承担相应的法律责任。</w:t>
      </w:r>
    </w:p>
    <w:p w14:paraId="3D5EA229">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outlineLvl w:val="2"/>
        <w:rPr>
          <w:rFonts w:hint="eastAsia" w:ascii="宋体" w:hAnsi="宋体" w:eastAsia="宋体" w:cs="宋体"/>
          <w:b/>
          <w:bCs/>
          <w:color w:val="auto"/>
          <w:sz w:val="21"/>
          <w:szCs w:val="21"/>
          <w:highlight w:val="none"/>
        </w:rPr>
      </w:pPr>
      <w:bookmarkStart w:id="255" w:name="_Toc9124"/>
      <w:bookmarkStart w:id="256" w:name="_Toc6620"/>
      <w:bookmarkStart w:id="257" w:name="_Toc19530"/>
      <w:bookmarkStart w:id="258" w:name="_Toc4226"/>
      <w:r>
        <w:rPr>
          <w:rFonts w:hint="eastAsia" w:ascii="宋体" w:hAnsi="宋体" w:eastAsia="宋体" w:cs="宋体"/>
          <w:b/>
          <w:bCs/>
          <w:color w:val="auto"/>
          <w:sz w:val="21"/>
          <w:szCs w:val="21"/>
          <w:highlight w:val="none"/>
        </w:rPr>
        <w:t>27、确定成交供应商及结果公告</w:t>
      </w:r>
      <w:bookmarkEnd w:id="255"/>
      <w:bookmarkEnd w:id="256"/>
      <w:bookmarkEnd w:id="257"/>
      <w:bookmarkEnd w:id="258"/>
    </w:p>
    <w:p w14:paraId="41C3195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27.1</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b/>
          <w:bCs/>
          <w:color w:val="auto"/>
          <w:kern w:val="0"/>
          <w:sz w:val="21"/>
          <w:szCs w:val="21"/>
          <w:highlight w:val="none"/>
          <w:u w:val="single"/>
        </w:rPr>
        <w:t>采购人授权磋商小组直接确定成交供应商</w:t>
      </w:r>
      <w:r>
        <w:rPr>
          <w:rFonts w:hint="eastAsia" w:ascii="宋体" w:hAnsi="宋体" w:eastAsia="宋体" w:cs="宋体"/>
          <w:b/>
          <w:bCs/>
          <w:color w:val="auto"/>
          <w:sz w:val="21"/>
          <w:szCs w:val="21"/>
          <w:highlight w:val="none"/>
          <w:u w:val="single"/>
        </w:rPr>
        <w:t>。评审报告提出的排序第一的供应商为成交供应商。</w:t>
      </w:r>
    </w:p>
    <w:p w14:paraId="1C12E68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27.2采购代理机构应当在</w:t>
      </w:r>
      <w:r>
        <w:rPr>
          <w:rFonts w:hint="eastAsia" w:ascii="宋体" w:hAnsi="宋体" w:eastAsia="宋体" w:cs="宋体"/>
          <w:color w:val="auto"/>
          <w:kern w:val="0"/>
          <w:sz w:val="21"/>
          <w:szCs w:val="21"/>
          <w:highlight w:val="none"/>
        </w:rPr>
        <w:t>成交</w:t>
      </w:r>
      <w:r>
        <w:rPr>
          <w:rFonts w:hint="eastAsia" w:ascii="宋体" w:hAnsi="宋体" w:eastAsia="宋体" w:cs="宋体"/>
          <w:color w:val="auto"/>
          <w:sz w:val="21"/>
          <w:szCs w:val="21"/>
          <w:highlight w:val="none"/>
        </w:rPr>
        <w:t>供应商确定后2个工作日内，</w:t>
      </w:r>
      <w:r>
        <w:rPr>
          <w:rFonts w:hint="eastAsia" w:ascii="宋体" w:hAnsi="宋体" w:eastAsia="宋体" w:cs="宋体"/>
          <w:color w:val="auto"/>
          <w:sz w:val="21"/>
          <w:szCs w:val="21"/>
          <w:highlight w:val="none"/>
        </w:rPr>
        <w:t>在省级以上财政部门指定的媒体上公告成交结果，</w:t>
      </w:r>
      <w:r>
        <w:rPr>
          <w:rFonts w:hint="eastAsia" w:ascii="宋体" w:hAnsi="宋体" w:eastAsia="宋体" w:cs="宋体"/>
          <w:color w:val="auto"/>
          <w:sz w:val="21"/>
          <w:szCs w:val="21"/>
          <w:highlight w:val="none"/>
        </w:rPr>
        <w:t>同时向成交供应商发出成交通知书。采购人或者采购代理机构发出成交通知书前，应当对成交供应商信用进行查询，对列入失信被执行人、重大税收违法案件当事人名单、政府采购严重违法失信行为记录名单及其他不符合《中华人民共和国政府采购法》第二十二条规定条件的供应商，取消其成交资格，并确定排名第二的成交候选人为成交供应商。排名第二的成交候选人因上述规定的同样原因被取消成交资格的，采购人可以确定排名第三的成交候选人为成交供应商，以此类推。以上信息查询记录及相关证据与磋商文件一并保存。</w:t>
      </w:r>
      <w:bookmarkStart w:id="259" w:name="_Hlk66782294"/>
      <w:r>
        <w:rPr>
          <w:rFonts w:hint="eastAsia" w:ascii="宋体" w:hAnsi="宋体" w:eastAsia="宋体" w:cs="宋体"/>
          <w:color w:val="auto"/>
          <w:sz w:val="21"/>
          <w:szCs w:val="21"/>
          <w:highlight w:val="none"/>
        </w:rPr>
        <w:t>成交供应商享受《政府采购促进中小企业发展管理办法》（财库〔2020〕46号）规定的中小企业扶持政策的，采购人、采购代理机构应当随成交结果公开成交供应商的《中小企业声明函》。</w:t>
      </w:r>
      <w:bookmarkEnd w:id="259"/>
    </w:p>
    <w:p w14:paraId="6E298FD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27.3 采购人、采购代理机构认为供应商对采购过程、成交结果提出的质疑成立且影响或者可能影响成交结果的，合格供应商符合法定数量时，可以从合格的成交候选人中另行确定成交供应商的，应当依法另行确定成交供应商；否则应当重新开展采购活动。</w:t>
      </w:r>
    </w:p>
    <w:p w14:paraId="572F2E2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27.4排名第一的成交候选人放弃成交、因不可抗力提出不能履行合同，采购人可以确定排名第二的成交候选人为成交供应商。排名第二的成交候选人因前款规定的同样原因不能签订合同的，采购人可以确定排名第三的成交候选人为成交供应商，以此类推。</w:t>
      </w:r>
    </w:p>
    <w:p w14:paraId="579492B1">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outlineLvl w:val="2"/>
        <w:rPr>
          <w:rFonts w:hint="eastAsia" w:ascii="宋体" w:hAnsi="宋体" w:eastAsia="宋体" w:cs="宋体"/>
          <w:b/>
          <w:bCs/>
          <w:color w:val="auto"/>
          <w:sz w:val="21"/>
          <w:szCs w:val="21"/>
          <w:highlight w:val="none"/>
        </w:rPr>
      </w:pPr>
      <w:bookmarkStart w:id="260" w:name="_Toc30786"/>
      <w:bookmarkStart w:id="261" w:name="_Toc31570"/>
      <w:bookmarkStart w:id="262" w:name="_Toc30988"/>
      <w:bookmarkStart w:id="263" w:name="_Toc32708"/>
      <w:r>
        <w:rPr>
          <w:rFonts w:hint="eastAsia" w:ascii="宋体" w:hAnsi="宋体" w:eastAsia="宋体" w:cs="宋体"/>
          <w:b/>
          <w:bCs/>
          <w:color w:val="auto"/>
          <w:sz w:val="21"/>
          <w:szCs w:val="21"/>
          <w:highlight w:val="none"/>
        </w:rPr>
        <w:t>28、履约保证金</w:t>
      </w:r>
      <w:bookmarkEnd w:id="260"/>
      <w:bookmarkEnd w:id="261"/>
      <w:bookmarkEnd w:id="262"/>
      <w:bookmarkEnd w:id="263"/>
      <w:r>
        <w:rPr>
          <w:rFonts w:hint="eastAsia" w:ascii="宋体" w:hAnsi="宋体" w:eastAsia="宋体" w:cs="宋体"/>
          <w:b/>
          <w:bCs/>
          <w:color w:val="auto"/>
          <w:sz w:val="21"/>
          <w:szCs w:val="21"/>
          <w:highlight w:val="none"/>
        </w:rPr>
        <w:t xml:space="preserve"> </w:t>
      </w:r>
    </w:p>
    <w:p w14:paraId="58AB8DD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详见“供应商须知前附表”。</w:t>
      </w:r>
    </w:p>
    <w:p w14:paraId="6AC874D5">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outlineLvl w:val="2"/>
        <w:rPr>
          <w:rFonts w:hint="eastAsia" w:ascii="宋体" w:hAnsi="宋体" w:eastAsia="宋体" w:cs="宋体"/>
          <w:b/>
          <w:bCs/>
          <w:color w:val="auto"/>
          <w:sz w:val="21"/>
          <w:szCs w:val="21"/>
          <w:highlight w:val="none"/>
        </w:rPr>
      </w:pPr>
      <w:bookmarkStart w:id="264" w:name="_Toc17346"/>
      <w:bookmarkStart w:id="265" w:name="_Toc1420"/>
      <w:bookmarkStart w:id="266" w:name="_Toc31009"/>
      <w:bookmarkStart w:id="267" w:name="_Toc30852"/>
      <w:r>
        <w:rPr>
          <w:rFonts w:hint="eastAsia" w:ascii="宋体" w:hAnsi="宋体" w:eastAsia="宋体" w:cs="宋体"/>
          <w:b/>
          <w:bCs/>
          <w:color w:val="auto"/>
          <w:sz w:val="21"/>
          <w:szCs w:val="21"/>
          <w:highlight w:val="none"/>
        </w:rPr>
        <w:t>29、签订合同</w:t>
      </w:r>
      <w:bookmarkEnd w:id="264"/>
      <w:bookmarkEnd w:id="265"/>
      <w:bookmarkEnd w:id="266"/>
      <w:bookmarkEnd w:id="267"/>
    </w:p>
    <w:p w14:paraId="1E18819A">
      <w:pPr>
        <w:keepNext w:val="0"/>
        <w:keepLines w:val="0"/>
        <w:pageBreakBefore w:val="0"/>
        <w:widowControl w:val="0"/>
        <w:kinsoku/>
        <w:wordWrap/>
        <w:overflowPunct/>
        <w:topLinePunct w:val="0"/>
        <w:autoSpaceDE/>
        <w:autoSpaceDN/>
        <w:bidi w:val="0"/>
        <w:adjustRightInd/>
        <w:snapToGrid/>
        <w:spacing w:line="360" w:lineRule="auto"/>
        <w:ind w:firstLine="424" w:firstLineChars="202"/>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val="en-US" w:eastAsia="zh-CN"/>
        </w:rPr>
        <w:t>9</w:t>
      </w:r>
      <w:r>
        <w:rPr>
          <w:rFonts w:hint="eastAsia" w:ascii="宋体" w:hAnsi="宋体" w:eastAsia="宋体" w:cs="宋体"/>
          <w:color w:val="auto"/>
          <w:sz w:val="21"/>
          <w:szCs w:val="21"/>
          <w:highlight w:val="none"/>
        </w:rPr>
        <w:t>.1</w:t>
      </w:r>
      <w:bookmarkStart w:id="268" w:name="OLE_LINK3"/>
      <w:r>
        <w:rPr>
          <w:rFonts w:hint="eastAsia" w:ascii="宋体" w:hAnsi="宋体" w:eastAsia="宋体" w:cs="宋体"/>
          <w:color w:val="auto"/>
          <w:sz w:val="21"/>
          <w:szCs w:val="21"/>
          <w:highlight w:val="none"/>
        </w:rPr>
        <w:t>成交人领取成交通知书后，应在成交通知书发出之日起</w:t>
      </w:r>
      <w:r>
        <w:rPr>
          <w:rFonts w:hint="eastAsia" w:ascii="宋体" w:hAnsi="宋体" w:eastAsia="宋体" w:cs="宋体"/>
          <w:color w:val="auto"/>
          <w:sz w:val="21"/>
          <w:szCs w:val="21"/>
          <w:highlight w:val="none"/>
          <w:lang w:val="en-US" w:eastAsia="zh-CN"/>
        </w:rPr>
        <w:t>25</w:t>
      </w:r>
      <w:r>
        <w:rPr>
          <w:rFonts w:hint="eastAsia" w:ascii="宋体" w:hAnsi="宋体" w:eastAsia="宋体" w:cs="宋体"/>
          <w:color w:val="auto"/>
          <w:sz w:val="21"/>
          <w:szCs w:val="21"/>
          <w:highlight w:val="none"/>
        </w:rPr>
        <w:t>日内与采购人签订合同</w:t>
      </w:r>
      <w:bookmarkEnd w:id="268"/>
      <w:r>
        <w:rPr>
          <w:rFonts w:hint="eastAsia" w:ascii="宋体" w:hAnsi="宋体" w:eastAsia="宋体" w:cs="宋体"/>
          <w:color w:val="auto"/>
          <w:sz w:val="21"/>
          <w:szCs w:val="21"/>
          <w:highlight w:val="none"/>
        </w:rPr>
        <w:t>。</w:t>
      </w:r>
    </w:p>
    <w:p w14:paraId="0DE3D83A">
      <w:pPr>
        <w:keepNext w:val="0"/>
        <w:keepLines w:val="0"/>
        <w:pageBreakBefore w:val="0"/>
        <w:widowControl w:val="0"/>
        <w:kinsoku/>
        <w:wordWrap/>
        <w:overflowPunct/>
        <w:topLinePunct w:val="0"/>
        <w:autoSpaceDE/>
        <w:autoSpaceDN/>
        <w:bidi w:val="0"/>
        <w:adjustRightInd/>
        <w:snapToGrid/>
        <w:spacing w:line="360" w:lineRule="auto"/>
        <w:ind w:firstLine="424" w:firstLineChars="202"/>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val="en-US" w:eastAsia="zh-CN"/>
        </w:rPr>
        <w:t>9</w:t>
      </w:r>
      <w:r>
        <w:rPr>
          <w:rFonts w:hint="eastAsia" w:ascii="宋体" w:hAnsi="宋体" w:eastAsia="宋体" w:cs="宋体"/>
          <w:color w:val="auto"/>
          <w:sz w:val="21"/>
          <w:szCs w:val="21"/>
          <w:highlight w:val="none"/>
        </w:rPr>
        <w:t>.2如成交人不按成交通知书的规定签订合同（采购人原因除外），则按成交人违约处理，本代理将取消该成交决定，不予退还该成交人的磋商保证金，成交人应当依法承担法律责任。如采购人无正当理由拒签合同的，给成交供应商造成损失的，成交供应商可追究采购人承担相应的法律责任。</w:t>
      </w:r>
    </w:p>
    <w:p w14:paraId="5DA2195B">
      <w:pPr>
        <w:keepNext w:val="0"/>
        <w:keepLines w:val="0"/>
        <w:pageBreakBefore w:val="0"/>
        <w:widowControl w:val="0"/>
        <w:kinsoku/>
        <w:wordWrap/>
        <w:overflowPunct/>
        <w:topLinePunct w:val="0"/>
        <w:autoSpaceDE/>
        <w:autoSpaceDN/>
        <w:bidi w:val="0"/>
        <w:adjustRightInd/>
        <w:snapToGrid/>
        <w:spacing w:line="360" w:lineRule="auto"/>
        <w:ind w:firstLine="424" w:firstLineChars="202"/>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val="en-US" w:eastAsia="zh-CN"/>
        </w:rPr>
        <w:t>9</w:t>
      </w:r>
      <w:r>
        <w:rPr>
          <w:rFonts w:hint="eastAsia" w:ascii="宋体" w:hAnsi="宋体" w:eastAsia="宋体" w:cs="宋体"/>
          <w:color w:val="auto"/>
          <w:sz w:val="21"/>
          <w:szCs w:val="21"/>
          <w:highlight w:val="none"/>
        </w:rPr>
        <w:t>.3成交人因不可抗力或者自身原因不能履行政府采购合同的，采购人可以确定排名第二位的成交候选人并与其签订政府采购合同，以此类推，也可以重新开展政府采购活动。</w:t>
      </w:r>
    </w:p>
    <w:p w14:paraId="5BD7B4EB">
      <w:pPr>
        <w:keepNext w:val="0"/>
        <w:keepLines w:val="0"/>
        <w:pageBreakBefore w:val="0"/>
        <w:widowControl w:val="0"/>
        <w:kinsoku/>
        <w:wordWrap/>
        <w:overflowPunct/>
        <w:topLinePunct w:val="0"/>
        <w:autoSpaceDE/>
        <w:autoSpaceDN/>
        <w:bidi w:val="0"/>
        <w:adjustRightInd/>
        <w:snapToGrid/>
        <w:spacing w:line="360" w:lineRule="auto"/>
        <w:ind w:firstLine="424" w:firstLineChars="202"/>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val="en-US" w:eastAsia="zh-CN"/>
        </w:rPr>
        <w:t>9</w:t>
      </w:r>
      <w:r>
        <w:rPr>
          <w:rFonts w:hint="eastAsia" w:ascii="宋体" w:hAnsi="宋体" w:eastAsia="宋体" w:cs="宋体"/>
          <w:color w:val="auto"/>
          <w:sz w:val="21"/>
          <w:szCs w:val="21"/>
          <w:highlight w:val="none"/>
        </w:rPr>
        <w:t>.4由于成交人放弃成交或未按规定签订合同，造成本项目的合同成交价提高（指采购人选择第二成交候选人或重新采购导致成交金额高于违约单位的成交价），所超出违约供应的成交价部分由违约单位承担赔偿责任。</w:t>
      </w:r>
    </w:p>
    <w:p w14:paraId="10103394">
      <w:pPr>
        <w:keepNext w:val="0"/>
        <w:keepLines w:val="0"/>
        <w:pageBreakBefore w:val="0"/>
        <w:widowControl w:val="0"/>
        <w:kinsoku/>
        <w:wordWrap/>
        <w:overflowPunct/>
        <w:topLinePunct w:val="0"/>
        <w:autoSpaceDE/>
        <w:autoSpaceDN/>
        <w:bidi w:val="0"/>
        <w:adjustRightInd/>
        <w:snapToGrid/>
        <w:spacing w:line="360" w:lineRule="auto"/>
        <w:ind w:firstLine="424" w:firstLineChars="202"/>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val="en-US" w:eastAsia="zh-CN"/>
        </w:rPr>
        <w:t>9</w:t>
      </w:r>
      <w:r>
        <w:rPr>
          <w:rFonts w:hint="eastAsia" w:ascii="宋体" w:hAnsi="宋体" w:eastAsia="宋体" w:cs="宋体"/>
          <w:color w:val="auto"/>
          <w:sz w:val="21"/>
          <w:szCs w:val="21"/>
          <w:highlight w:val="none"/>
        </w:rPr>
        <w:t>.5政府采购合同是政府采购项目验收的依据，中标供应商和采购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14:paraId="4FC36EEB">
      <w:pPr>
        <w:keepNext w:val="0"/>
        <w:keepLines w:val="0"/>
        <w:pageBreakBefore w:val="0"/>
        <w:widowControl w:val="0"/>
        <w:kinsoku/>
        <w:wordWrap/>
        <w:overflowPunct/>
        <w:topLinePunct w:val="0"/>
        <w:autoSpaceDE/>
        <w:autoSpaceDN/>
        <w:bidi w:val="0"/>
        <w:adjustRightInd/>
        <w:snapToGrid/>
        <w:spacing w:line="360" w:lineRule="auto"/>
        <w:ind w:firstLine="426" w:firstLineChars="202"/>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2</w:t>
      </w:r>
      <w:r>
        <w:rPr>
          <w:rFonts w:hint="eastAsia" w:ascii="宋体" w:hAnsi="宋体" w:eastAsia="宋体" w:cs="宋体"/>
          <w:b/>
          <w:bCs/>
          <w:color w:val="auto"/>
          <w:sz w:val="21"/>
          <w:szCs w:val="21"/>
          <w:highlight w:val="none"/>
          <w:lang w:val="en-US" w:eastAsia="zh-CN"/>
        </w:rPr>
        <w:t>9</w:t>
      </w:r>
      <w:r>
        <w:rPr>
          <w:rFonts w:hint="eastAsia" w:ascii="宋体" w:hAnsi="宋体" w:eastAsia="宋体" w:cs="宋体"/>
          <w:b/>
          <w:bCs/>
          <w:color w:val="auto"/>
          <w:sz w:val="21"/>
          <w:szCs w:val="21"/>
          <w:highlight w:val="none"/>
        </w:rPr>
        <w:t>.6采购人和成交人应当在《成交通知书》发出之日起</w:t>
      </w:r>
      <w:r>
        <w:rPr>
          <w:rFonts w:hint="eastAsia" w:ascii="宋体" w:hAnsi="宋体" w:eastAsia="宋体" w:cs="宋体"/>
          <w:b/>
          <w:bCs/>
          <w:color w:val="auto"/>
          <w:sz w:val="21"/>
          <w:szCs w:val="21"/>
          <w:highlight w:val="none"/>
          <w:lang w:val="en-US" w:eastAsia="zh-CN"/>
        </w:rPr>
        <w:t>25</w:t>
      </w:r>
      <w:r>
        <w:rPr>
          <w:rFonts w:hint="eastAsia" w:ascii="宋体" w:hAnsi="宋体" w:eastAsia="宋体" w:cs="宋体"/>
          <w:b/>
          <w:bCs/>
          <w:color w:val="auto"/>
          <w:sz w:val="21"/>
          <w:szCs w:val="21"/>
          <w:highlight w:val="none"/>
        </w:rPr>
        <w:t>日内，根据《竞争性磋商文件》和成交人的《响应文件》等内容签订合同。成交单位在签订施工合同前须提交一份调整后的已标价工程量清单递交给采购人，调整后的预算总价为成交单位磋商过程中的最后报价。</w:t>
      </w:r>
    </w:p>
    <w:p w14:paraId="0A6F0298">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outlineLvl w:val="2"/>
        <w:rPr>
          <w:rFonts w:hint="eastAsia" w:ascii="宋体" w:hAnsi="宋体" w:eastAsia="宋体" w:cs="宋体"/>
          <w:b/>
          <w:bCs/>
          <w:color w:val="auto"/>
          <w:sz w:val="21"/>
          <w:szCs w:val="21"/>
          <w:highlight w:val="none"/>
        </w:rPr>
      </w:pPr>
      <w:bookmarkStart w:id="269" w:name="_Toc7235"/>
      <w:bookmarkStart w:id="270" w:name="_Toc814"/>
      <w:bookmarkStart w:id="271" w:name="_Toc4248"/>
      <w:bookmarkStart w:id="272" w:name="_Toc25144"/>
      <w:r>
        <w:rPr>
          <w:rFonts w:hint="eastAsia" w:ascii="宋体" w:hAnsi="宋体" w:eastAsia="宋体" w:cs="宋体"/>
          <w:b/>
          <w:bCs/>
          <w:color w:val="auto"/>
          <w:sz w:val="21"/>
          <w:szCs w:val="21"/>
          <w:highlight w:val="none"/>
        </w:rPr>
        <w:t>30、政府采购合同公告</w:t>
      </w:r>
      <w:bookmarkEnd w:id="269"/>
      <w:bookmarkEnd w:id="270"/>
      <w:bookmarkEnd w:id="271"/>
      <w:bookmarkEnd w:id="272"/>
    </w:p>
    <w:p w14:paraId="65538C1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根据《中华人民共和国政府采购法实施条例》第五十条规定，采购人应当自政府采购合同签订之日起2个工作日（争取1个工作日内）内，将政府采购合同在省级以上人民政府财政部门指定的媒体上公告，但政府采购合同中涉及国家秘密、商业秘密的内容除外。</w:t>
      </w:r>
    </w:p>
    <w:p w14:paraId="408F5F10">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outlineLvl w:val="2"/>
        <w:rPr>
          <w:rFonts w:hint="eastAsia" w:ascii="宋体" w:hAnsi="宋体" w:eastAsia="宋体" w:cs="宋体"/>
          <w:b/>
          <w:bCs/>
          <w:color w:val="auto"/>
          <w:sz w:val="21"/>
          <w:szCs w:val="21"/>
          <w:highlight w:val="none"/>
        </w:rPr>
      </w:pPr>
      <w:bookmarkStart w:id="273" w:name="_Toc28789"/>
      <w:bookmarkStart w:id="274" w:name="_Toc12760"/>
      <w:bookmarkStart w:id="275" w:name="_Toc1270"/>
      <w:bookmarkStart w:id="276" w:name="_Toc26526"/>
      <w:r>
        <w:rPr>
          <w:rFonts w:hint="eastAsia" w:ascii="宋体" w:hAnsi="宋体" w:eastAsia="宋体" w:cs="宋体"/>
          <w:b/>
          <w:bCs/>
          <w:color w:val="auto"/>
          <w:sz w:val="21"/>
          <w:szCs w:val="21"/>
          <w:highlight w:val="none"/>
        </w:rPr>
        <w:t>31、 询问、质疑和投诉</w:t>
      </w:r>
      <w:bookmarkEnd w:id="273"/>
      <w:bookmarkEnd w:id="274"/>
      <w:bookmarkEnd w:id="275"/>
      <w:bookmarkEnd w:id="276"/>
    </w:p>
    <w:p w14:paraId="24EAC50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31.1供应商对政府采购活动事项有疑问的，可以向采购人、采购代理机构提出询问，采购人或者采购代理机构应当在3个工作日内对供应商依法提出的询问作出答复。</w:t>
      </w:r>
    </w:p>
    <w:p w14:paraId="4C97621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31.2供应商认为磋商文件、采购过程或者成交结果使自己的合法权益受到损害的，应当在知道或者应知其权益受到损害之日起7个工作日内，以书面形式向采购人、采购代理机构提出质疑，</w:t>
      </w:r>
      <w:r>
        <w:rPr>
          <w:rFonts w:hint="eastAsia" w:ascii="宋体" w:hAnsi="宋体" w:eastAsia="宋体" w:cs="宋体"/>
          <w:color w:val="auto"/>
          <w:sz w:val="21"/>
          <w:szCs w:val="21"/>
          <w:highlight w:val="none"/>
          <w:shd w:val="clear" w:color="auto" w:fill="FFFFFF"/>
        </w:rPr>
        <w:t>接收质疑函的方式、联系部门、联系电话和通讯地址等信息详见</w:t>
      </w:r>
      <w:r>
        <w:rPr>
          <w:rFonts w:hint="eastAsia" w:ascii="宋体" w:hAnsi="宋体" w:eastAsia="宋体" w:cs="宋体"/>
          <w:color w:val="auto"/>
          <w:sz w:val="21"/>
          <w:szCs w:val="21"/>
          <w:highlight w:val="none"/>
        </w:rPr>
        <w:t>“供应商须知前附表”。具体质疑起算时间如下：</w:t>
      </w:r>
    </w:p>
    <w:p w14:paraId="0F0288B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（1）对可以质疑的磋商文件提出质疑的，为收到磋商文件之日或者竞争性磋商公告期限届满之日；</w:t>
      </w:r>
    </w:p>
    <w:p w14:paraId="03B24A2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（2）对采购过程提出质疑的，为各采购程序环节结束之日；</w:t>
      </w:r>
    </w:p>
    <w:p w14:paraId="0F803D6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（3）对成交结果提出质疑的，为成交结果公告期限届满之日。</w:t>
      </w:r>
    </w:p>
    <w:p w14:paraId="586FABAB">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31.3供应商提出的询问或者质疑超出采购人对采购代理机构委托授权范围的，采购代理机构应当告知供应商向采购人提出。政府采购评审专家应当配合采购人或者采购代理机构答复供应商的询问和质疑。</w:t>
      </w:r>
    </w:p>
    <w:p w14:paraId="30C0066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31.4 供应商提出质疑应当提交质疑函和必要的证明材料，针对同一采购程序环节的质疑必须在法定质疑期内一次性提出。质疑函应当包括下列内容</w:t>
      </w:r>
      <w:r>
        <w:rPr>
          <w:rFonts w:hint="eastAsia" w:ascii="宋体" w:hAnsi="宋体" w:eastAsia="宋体" w:cs="宋体"/>
          <w:bCs/>
          <w:color w:val="auto"/>
          <w:sz w:val="21"/>
          <w:szCs w:val="21"/>
          <w:highlight w:val="none"/>
        </w:rPr>
        <w:t>（质疑函格式后附）</w:t>
      </w:r>
      <w:r>
        <w:rPr>
          <w:rFonts w:hint="eastAsia" w:ascii="宋体" w:hAnsi="宋体" w:eastAsia="宋体" w:cs="宋体"/>
          <w:color w:val="auto"/>
          <w:sz w:val="21"/>
          <w:szCs w:val="21"/>
          <w:highlight w:val="none"/>
        </w:rPr>
        <w:t>：</w:t>
      </w:r>
    </w:p>
    <w:p w14:paraId="395F231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（1）供应商的姓名或者名称、地址、邮编、联系人及联系电话；</w:t>
      </w:r>
    </w:p>
    <w:p w14:paraId="109D008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（2）质疑项目的名称、编号；</w:t>
      </w:r>
    </w:p>
    <w:p w14:paraId="32901B0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（3）具体、明确的质疑事项和与质疑事项相关的请求；</w:t>
      </w:r>
    </w:p>
    <w:p w14:paraId="2C5E3FB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（4）事实依据；</w:t>
      </w:r>
    </w:p>
    <w:p w14:paraId="30935E5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（5）必要的法律依据；</w:t>
      </w:r>
    </w:p>
    <w:p w14:paraId="0262B34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（6）提出质疑的日期。</w:t>
      </w:r>
    </w:p>
    <w:p w14:paraId="0B01217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供应商为自然人的，应当由本人签字；供应商为法人或者其他组织的，应当由法定代表人、主要负责人，或者其委托代理人签字或者盖章，并加盖公章。</w:t>
      </w:r>
    </w:p>
    <w:p w14:paraId="4713815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31.5采购人、采购代理机构认为供应商质疑不成立，或者成立但未对成交结果构成影响的，继续开展采购活动；认为供应商质疑成立且影响或者可能影响成交结果的，按照下列情况处理：</w:t>
      </w:r>
    </w:p>
    <w:p w14:paraId="1C5E248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（一）对采购文件提出的质疑，依法通过澄清或者修改可以继续开展采购活动的，澄清或者修改采购文件后继续开展采购活动；否则应当修改采购文件后重新开展采购活动。</w:t>
      </w:r>
    </w:p>
    <w:p w14:paraId="578CCC8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（二）对采购过程或者成交结果提出的质疑，合格供应商符合法定数量时，可以从合格的成交候选人中另行确定成交供应商的，应当依法另行确定成交供应商；否则应当重新开展采购活动。</w:t>
      </w:r>
    </w:p>
    <w:p w14:paraId="12DA19A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质疑答复导致成交结果改变的，采购人或者采购代理机构应当将有关情况书面报告本级财政部门。</w:t>
      </w:r>
    </w:p>
    <w:p w14:paraId="7AA9349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31.6投诉的权利。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w:t>
      </w:r>
    </w:p>
    <w:p w14:paraId="12DD8217">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outlineLvl w:val="2"/>
        <w:rPr>
          <w:rFonts w:hint="eastAsia" w:ascii="宋体" w:hAnsi="宋体" w:eastAsia="宋体" w:cs="宋体"/>
          <w:b/>
          <w:bCs/>
          <w:color w:val="auto"/>
          <w:sz w:val="21"/>
          <w:szCs w:val="21"/>
          <w:highlight w:val="none"/>
        </w:rPr>
      </w:pPr>
      <w:bookmarkStart w:id="277" w:name="_Toc3592"/>
      <w:bookmarkStart w:id="278" w:name="_Toc16704"/>
      <w:bookmarkStart w:id="279" w:name="_Toc61"/>
      <w:bookmarkStart w:id="280" w:name="_Toc24413"/>
      <w:r>
        <w:rPr>
          <w:rFonts w:hint="eastAsia" w:ascii="宋体" w:hAnsi="宋体" w:eastAsia="宋体" w:cs="宋体"/>
          <w:b/>
          <w:bCs/>
          <w:color w:val="auto"/>
          <w:sz w:val="21"/>
          <w:szCs w:val="21"/>
          <w:highlight w:val="none"/>
        </w:rPr>
        <w:t>32、其他内容</w:t>
      </w:r>
      <w:bookmarkEnd w:id="277"/>
      <w:bookmarkEnd w:id="278"/>
      <w:bookmarkEnd w:id="279"/>
      <w:bookmarkEnd w:id="280"/>
    </w:p>
    <w:p w14:paraId="7620F94B">
      <w:pPr>
        <w:keepNext w:val="0"/>
        <w:keepLines w:val="0"/>
        <w:pageBreakBefore w:val="0"/>
        <w:widowControl w:val="0"/>
        <w:tabs>
          <w:tab w:val="left" w:pos="2835"/>
        </w:tabs>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32.1代理服务收费标准及缴费账户详见“供应商须知前附表”。</w:t>
      </w:r>
    </w:p>
    <w:p w14:paraId="6407476D">
      <w:pPr>
        <w:keepNext w:val="0"/>
        <w:keepLines w:val="0"/>
        <w:pageBreakBefore w:val="0"/>
        <w:widowControl w:val="0"/>
        <w:tabs>
          <w:tab w:val="left" w:pos="2835"/>
        </w:tabs>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32.2采购代理服务费参照《招标代理服务收费管理暂行办法》（计价格</w:t>
      </w:r>
      <w:r>
        <w:rPr>
          <w:rFonts w:hint="eastAsia" w:ascii="宋体" w:hAnsi="宋体" w:eastAsia="宋体" w:cs="宋体"/>
          <w:color w:val="auto"/>
          <w:sz w:val="21"/>
          <w:szCs w:val="21"/>
          <w:highlight w:val="none"/>
          <w:lang w:eastAsia="zh-CN"/>
        </w:rPr>
        <w:t>〔2002〕1980号</w:t>
      </w:r>
      <w:r>
        <w:rPr>
          <w:rFonts w:hint="eastAsia" w:ascii="宋体" w:hAnsi="宋体" w:eastAsia="宋体" w:cs="宋体"/>
          <w:color w:val="auto"/>
          <w:sz w:val="21"/>
          <w:szCs w:val="21"/>
          <w:highlight w:val="none"/>
        </w:rPr>
        <w:t>）及《国家发展改革委办公厅关于招标代理服务收费有关问题的通知》（发改办价格</w:t>
      </w:r>
      <w:r>
        <w:rPr>
          <w:rFonts w:hint="eastAsia" w:ascii="宋体" w:hAnsi="宋体" w:eastAsia="宋体" w:cs="宋体"/>
          <w:color w:val="auto"/>
          <w:sz w:val="21"/>
          <w:szCs w:val="21"/>
          <w:highlight w:val="none"/>
          <w:lang w:eastAsia="zh-CN"/>
        </w:rPr>
        <w:t>〔2003〕857号</w:t>
      </w:r>
      <w:r>
        <w:rPr>
          <w:rFonts w:hint="eastAsia" w:ascii="宋体" w:hAnsi="宋体" w:eastAsia="宋体" w:cs="宋体"/>
          <w:color w:val="auto"/>
          <w:sz w:val="21"/>
          <w:szCs w:val="21"/>
          <w:highlight w:val="none"/>
        </w:rPr>
        <w:t>）规定执行</w:t>
      </w:r>
      <w:r>
        <w:rPr>
          <w:rFonts w:hint="eastAsia" w:ascii="宋体" w:hAnsi="宋体" w:eastAsia="宋体" w:cs="宋体"/>
          <w:color w:val="auto"/>
          <w:sz w:val="21"/>
          <w:szCs w:val="21"/>
          <w:highlight w:val="none"/>
          <w:lang w:eastAsia="zh-CN"/>
        </w:rPr>
        <w:t>。</w:t>
      </w:r>
    </w:p>
    <w:p w14:paraId="7BF27976">
      <w:pPr>
        <w:keepNext w:val="0"/>
        <w:keepLines w:val="0"/>
        <w:pageBreakBefore w:val="0"/>
        <w:widowControl w:val="0"/>
        <w:tabs>
          <w:tab w:val="left" w:pos="2835"/>
        </w:tabs>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代理服务费收费计算标准：</w:t>
      </w:r>
    </w:p>
    <w:tbl>
      <w:tblPr>
        <w:tblStyle w:val="33"/>
        <w:tblW w:w="92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
        <w:gridCol w:w="3470"/>
        <w:gridCol w:w="2049"/>
        <w:gridCol w:w="1899"/>
        <w:gridCol w:w="1837"/>
      </w:tblGrid>
      <w:tr w14:paraId="6FE56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5" w:type="dxa"/>
            <w:gridSpan w:val="2"/>
            <w:tcBorders>
              <w:tl2br w:val="single" w:color="auto" w:sz="4" w:space="0"/>
            </w:tcBorders>
          </w:tcPr>
          <w:p w14:paraId="7EB33A8D">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费率</w:t>
            </w:r>
          </w:p>
          <w:p w14:paraId="475E9EA7">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金额</w:t>
            </w:r>
          </w:p>
        </w:tc>
        <w:tc>
          <w:tcPr>
            <w:tcW w:w="2049" w:type="dxa"/>
            <w:vAlign w:val="center"/>
          </w:tcPr>
          <w:p w14:paraId="03A7191D">
            <w:pPr>
              <w:spacing w:line="360" w:lineRule="auto"/>
              <w:ind w:firstLine="120" w:firstLineChars="5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货物类</w:t>
            </w:r>
          </w:p>
        </w:tc>
        <w:tc>
          <w:tcPr>
            <w:tcW w:w="1899" w:type="dxa"/>
            <w:vAlign w:val="center"/>
          </w:tcPr>
          <w:p w14:paraId="09722805">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服务类</w:t>
            </w:r>
          </w:p>
        </w:tc>
        <w:tc>
          <w:tcPr>
            <w:tcW w:w="1837" w:type="dxa"/>
            <w:vAlign w:val="center"/>
          </w:tcPr>
          <w:p w14:paraId="0C52DC26">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工程类</w:t>
            </w:r>
          </w:p>
        </w:tc>
      </w:tr>
      <w:tr w14:paraId="0FA5A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5" w:type="dxa"/>
            <w:gridSpan w:val="2"/>
          </w:tcPr>
          <w:p w14:paraId="2CB3BCCA">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100万元以下</w:t>
            </w:r>
          </w:p>
        </w:tc>
        <w:tc>
          <w:tcPr>
            <w:tcW w:w="2049" w:type="dxa"/>
          </w:tcPr>
          <w:p w14:paraId="0A36FD2D">
            <w:pPr>
              <w:spacing w:line="360" w:lineRule="auto"/>
              <w:rPr>
                <w:rFonts w:hint="eastAsia" w:ascii="宋体" w:hAnsi="宋体" w:eastAsia="宋体" w:cs="宋体"/>
                <w:color w:val="auto"/>
                <w:sz w:val="24"/>
                <w:highlight w:val="none"/>
              </w:rPr>
            </w:pPr>
            <w:r>
              <w:rPr>
                <w:rFonts w:hint="eastAsia" w:ascii="宋体" w:hAnsi="宋体" w:eastAsia="宋体" w:cs="宋体"/>
                <w:color w:val="auto"/>
                <w:kern w:val="0"/>
                <w:sz w:val="24"/>
                <w:highlight w:val="none"/>
              </w:rPr>
              <w:t xml:space="preserve">  1.5%                </w:t>
            </w:r>
          </w:p>
        </w:tc>
        <w:tc>
          <w:tcPr>
            <w:tcW w:w="1899" w:type="dxa"/>
          </w:tcPr>
          <w:p w14:paraId="3386D267">
            <w:pPr>
              <w:spacing w:line="360" w:lineRule="auto"/>
              <w:ind w:firstLine="240" w:firstLineChars="100"/>
              <w:rPr>
                <w:rFonts w:hint="eastAsia" w:ascii="宋体" w:hAnsi="宋体" w:eastAsia="宋体" w:cs="宋体"/>
                <w:color w:val="auto"/>
                <w:sz w:val="24"/>
                <w:highlight w:val="none"/>
              </w:rPr>
            </w:pPr>
            <w:r>
              <w:rPr>
                <w:rFonts w:hint="eastAsia" w:ascii="宋体" w:hAnsi="宋体" w:eastAsia="宋体" w:cs="宋体"/>
                <w:color w:val="auto"/>
                <w:kern w:val="0"/>
                <w:sz w:val="24"/>
                <w:highlight w:val="none"/>
              </w:rPr>
              <w:t>1.5%</w:t>
            </w:r>
          </w:p>
        </w:tc>
        <w:tc>
          <w:tcPr>
            <w:tcW w:w="1837" w:type="dxa"/>
          </w:tcPr>
          <w:p w14:paraId="241DD3EE">
            <w:pPr>
              <w:spacing w:line="360" w:lineRule="auto"/>
              <w:ind w:firstLine="240" w:firstLineChars="100"/>
              <w:rPr>
                <w:rFonts w:hint="eastAsia" w:ascii="宋体" w:hAnsi="宋体" w:eastAsia="宋体" w:cs="宋体"/>
                <w:color w:val="auto"/>
                <w:sz w:val="24"/>
                <w:highlight w:val="none"/>
              </w:rPr>
            </w:pPr>
            <w:r>
              <w:rPr>
                <w:rFonts w:hint="eastAsia" w:ascii="宋体" w:hAnsi="宋体" w:eastAsia="宋体" w:cs="宋体"/>
                <w:color w:val="auto"/>
                <w:kern w:val="0"/>
                <w:sz w:val="24"/>
                <w:highlight w:val="none"/>
              </w:rPr>
              <w:t xml:space="preserve">1.0% </w:t>
            </w:r>
          </w:p>
        </w:tc>
      </w:tr>
      <w:tr w14:paraId="7B478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5" w:type="dxa"/>
            <w:gridSpan w:val="2"/>
          </w:tcPr>
          <w:p w14:paraId="13488C8E">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100～500万元</w:t>
            </w:r>
          </w:p>
        </w:tc>
        <w:tc>
          <w:tcPr>
            <w:tcW w:w="2049" w:type="dxa"/>
          </w:tcPr>
          <w:p w14:paraId="0E298BE1">
            <w:pPr>
              <w:spacing w:line="360" w:lineRule="auto"/>
              <w:ind w:firstLine="240" w:firstLineChars="100"/>
              <w:rPr>
                <w:rFonts w:hint="eastAsia" w:ascii="宋体" w:hAnsi="宋体" w:eastAsia="宋体" w:cs="宋体"/>
                <w:color w:val="auto"/>
                <w:sz w:val="24"/>
                <w:highlight w:val="none"/>
              </w:rPr>
            </w:pPr>
            <w:r>
              <w:rPr>
                <w:rFonts w:hint="eastAsia" w:ascii="宋体" w:hAnsi="宋体" w:eastAsia="宋体" w:cs="宋体"/>
                <w:color w:val="auto"/>
                <w:kern w:val="0"/>
                <w:sz w:val="24"/>
                <w:highlight w:val="none"/>
              </w:rPr>
              <w:t xml:space="preserve">1.1%                 </w:t>
            </w:r>
          </w:p>
        </w:tc>
        <w:tc>
          <w:tcPr>
            <w:tcW w:w="1899" w:type="dxa"/>
          </w:tcPr>
          <w:p w14:paraId="3B2F5539">
            <w:pPr>
              <w:spacing w:line="360" w:lineRule="auto"/>
              <w:ind w:firstLine="240" w:firstLineChars="100"/>
              <w:rPr>
                <w:rFonts w:hint="eastAsia" w:ascii="宋体" w:hAnsi="宋体" w:eastAsia="宋体" w:cs="宋体"/>
                <w:color w:val="auto"/>
                <w:sz w:val="24"/>
                <w:highlight w:val="none"/>
              </w:rPr>
            </w:pPr>
            <w:r>
              <w:rPr>
                <w:rFonts w:hint="eastAsia" w:ascii="宋体" w:hAnsi="宋体" w:eastAsia="宋体" w:cs="宋体"/>
                <w:color w:val="auto"/>
                <w:kern w:val="0"/>
                <w:sz w:val="24"/>
                <w:highlight w:val="none"/>
              </w:rPr>
              <w:t>0.8%</w:t>
            </w:r>
          </w:p>
        </w:tc>
        <w:tc>
          <w:tcPr>
            <w:tcW w:w="1837" w:type="dxa"/>
          </w:tcPr>
          <w:p w14:paraId="349F7C02">
            <w:pPr>
              <w:spacing w:line="360" w:lineRule="auto"/>
              <w:ind w:firstLine="240" w:firstLineChars="100"/>
              <w:rPr>
                <w:rFonts w:hint="eastAsia" w:ascii="宋体" w:hAnsi="宋体" w:eastAsia="宋体" w:cs="宋体"/>
                <w:color w:val="auto"/>
                <w:sz w:val="24"/>
                <w:highlight w:val="none"/>
              </w:rPr>
            </w:pPr>
            <w:r>
              <w:rPr>
                <w:rFonts w:hint="eastAsia" w:ascii="宋体" w:hAnsi="宋体" w:eastAsia="宋体" w:cs="宋体"/>
                <w:color w:val="auto"/>
                <w:kern w:val="0"/>
                <w:sz w:val="24"/>
                <w:highlight w:val="none"/>
              </w:rPr>
              <w:t xml:space="preserve">0.7% </w:t>
            </w:r>
          </w:p>
        </w:tc>
      </w:tr>
      <w:tr w14:paraId="3E86D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5" w:type="dxa"/>
          <w:jc w:val="center"/>
        </w:trPr>
        <w:tc>
          <w:tcPr>
            <w:tcW w:w="3470" w:type="dxa"/>
          </w:tcPr>
          <w:p w14:paraId="452DC39E">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500～1000万元</w:t>
            </w:r>
          </w:p>
        </w:tc>
        <w:tc>
          <w:tcPr>
            <w:tcW w:w="2049" w:type="dxa"/>
          </w:tcPr>
          <w:p w14:paraId="7A1ACC3B">
            <w:pPr>
              <w:spacing w:line="360" w:lineRule="auto"/>
              <w:rPr>
                <w:rFonts w:hint="eastAsia" w:ascii="宋体" w:hAnsi="宋体" w:eastAsia="宋体" w:cs="宋体"/>
                <w:color w:val="auto"/>
                <w:sz w:val="24"/>
                <w:highlight w:val="none"/>
              </w:rPr>
            </w:pPr>
            <w:r>
              <w:rPr>
                <w:rFonts w:hint="eastAsia" w:ascii="宋体" w:hAnsi="宋体" w:eastAsia="宋体" w:cs="宋体"/>
                <w:color w:val="auto"/>
                <w:kern w:val="0"/>
                <w:sz w:val="24"/>
                <w:highlight w:val="none"/>
              </w:rPr>
              <w:t xml:space="preserve">  0.8%                </w:t>
            </w:r>
          </w:p>
        </w:tc>
        <w:tc>
          <w:tcPr>
            <w:tcW w:w="1899" w:type="dxa"/>
          </w:tcPr>
          <w:p w14:paraId="73739BD9">
            <w:pPr>
              <w:spacing w:line="360" w:lineRule="auto"/>
              <w:ind w:firstLine="240" w:firstLineChars="100"/>
              <w:rPr>
                <w:rFonts w:hint="eastAsia" w:ascii="宋体" w:hAnsi="宋体" w:eastAsia="宋体" w:cs="宋体"/>
                <w:color w:val="auto"/>
                <w:sz w:val="24"/>
                <w:highlight w:val="none"/>
              </w:rPr>
            </w:pPr>
            <w:r>
              <w:rPr>
                <w:rFonts w:hint="eastAsia" w:ascii="宋体" w:hAnsi="宋体" w:eastAsia="宋体" w:cs="宋体"/>
                <w:color w:val="auto"/>
                <w:kern w:val="0"/>
                <w:sz w:val="24"/>
                <w:highlight w:val="none"/>
              </w:rPr>
              <w:t>0.45%</w:t>
            </w:r>
          </w:p>
        </w:tc>
        <w:tc>
          <w:tcPr>
            <w:tcW w:w="1837" w:type="dxa"/>
          </w:tcPr>
          <w:p w14:paraId="3F966BF8">
            <w:pPr>
              <w:spacing w:line="360" w:lineRule="auto"/>
              <w:ind w:firstLine="240" w:firstLineChars="100"/>
              <w:rPr>
                <w:rFonts w:hint="eastAsia" w:ascii="宋体" w:hAnsi="宋体" w:eastAsia="宋体" w:cs="宋体"/>
                <w:color w:val="auto"/>
                <w:sz w:val="24"/>
                <w:highlight w:val="none"/>
              </w:rPr>
            </w:pPr>
            <w:r>
              <w:rPr>
                <w:rFonts w:hint="eastAsia" w:ascii="宋体" w:hAnsi="宋体" w:eastAsia="宋体" w:cs="宋体"/>
                <w:color w:val="auto"/>
                <w:kern w:val="0"/>
                <w:sz w:val="24"/>
                <w:highlight w:val="none"/>
              </w:rPr>
              <w:t>0.55%</w:t>
            </w:r>
          </w:p>
        </w:tc>
      </w:tr>
      <w:tr w14:paraId="5FBEF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5" w:type="dxa"/>
          <w:jc w:val="center"/>
        </w:trPr>
        <w:tc>
          <w:tcPr>
            <w:tcW w:w="3470" w:type="dxa"/>
          </w:tcPr>
          <w:p w14:paraId="43DEF752">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1000～5000万元</w:t>
            </w:r>
          </w:p>
        </w:tc>
        <w:tc>
          <w:tcPr>
            <w:tcW w:w="2049" w:type="dxa"/>
          </w:tcPr>
          <w:p w14:paraId="128DEA36">
            <w:pPr>
              <w:spacing w:line="360" w:lineRule="auto"/>
              <w:ind w:firstLine="240" w:firstLineChars="100"/>
              <w:rPr>
                <w:rFonts w:hint="eastAsia" w:ascii="宋体" w:hAnsi="宋体" w:eastAsia="宋体" w:cs="宋体"/>
                <w:color w:val="auto"/>
                <w:sz w:val="24"/>
                <w:highlight w:val="none"/>
              </w:rPr>
            </w:pPr>
            <w:r>
              <w:rPr>
                <w:rFonts w:hint="eastAsia" w:ascii="宋体" w:hAnsi="宋体" w:eastAsia="宋体" w:cs="宋体"/>
                <w:color w:val="auto"/>
                <w:kern w:val="0"/>
                <w:sz w:val="24"/>
                <w:highlight w:val="none"/>
              </w:rPr>
              <w:t xml:space="preserve">0.5%                </w:t>
            </w:r>
          </w:p>
        </w:tc>
        <w:tc>
          <w:tcPr>
            <w:tcW w:w="1899" w:type="dxa"/>
          </w:tcPr>
          <w:p w14:paraId="2878665A">
            <w:pPr>
              <w:spacing w:line="360" w:lineRule="auto"/>
              <w:ind w:firstLine="240" w:firstLineChars="100"/>
              <w:rPr>
                <w:rFonts w:hint="eastAsia" w:ascii="宋体" w:hAnsi="宋体" w:eastAsia="宋体" w:cs="宋体"/>
                <w:color w:val="auto"/>
                <w:sz w:val="24"/>
                <w:highlight w:val="none"/>
              </w:rPr>
            </w:pPr>
            <w:r>
              <w:rPr>
                <w:rFonts w:hint="eastAsia" w:ascii="宋体" w:hAnsi="宋体" w:eastAsia="宋体" w:cs="宋体"/>
                <w:color w:val="auto"/>
                <w:kern w:val="0"/>
                <w:sz w:val="24"/>
                <w:highlight w:val="none"/>
              </w:rPr>
              <w:t>0.25%</w:t>
            </w:r>
          </w:p>
        </w:tc>
        <w:tc>
          <w:tcPr>
            <w:tcW w:w="1837" w:type="dxa"/>
          </w:tcPr>
          <w:p w14:paraId="0FFB5A36">
            <w:pPr>
              <w:spacing w:line="360" w:lineRule="auto"/>
              <w:ind w:firstLine="240" w:firstLineChars="100"/>
              <w:rPr>
                <w:rFonts w:hint="eastAsia" w:ascii="宋体" w:hAnsi="宋体" w:eastAsia="宋体" w:cs="宋体"/>
                <w:color w:val="auto"/>
                <w:sz w:val="24"/>
                <w:highlight w:val="none"/>
              </w:rPr>
            </w:pPr>
            <w:r>
              <w:rPr>
                <w:rFonts w:hint="eastAsia" w:ascii="宋体" w:hAnsi="宋体" w:eastAsia="宋体" w:cs="宋体"/>
                <w:color w:val="auto"/>
                <w:kern w:val="0"/>
                <w:sz w:val="24"/>
                <w:highlight w:val="none"/>
              </w:rPr>
              <w:t xml:space="preserve">0.35% </w:t>
            </w:r>
          </w:p>
        </w:tc>
      </w:tr>
      <w:tr w14:paraId="0CAD0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5" w:type="dxa"/>
          <w:jc w:val="center"/>
        </w:trPr>
        <w:tc>
          <w:tcPr>
            <w:tcW w:w="3470" w:type="dxa"/>
          </w:tcPr>
          <w:p w14:paraId="3743E290">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5000万元～1亿元</w:t>
            </w:r>
          </w:p>
        </w:tc>
        <w:tc>
          <w:tcPr>
            <w:tcW w:w="2049" w:type="dxa"/>
          </w:tcPr>
          <w:p w14:paraId="279DCDCE">
            <w:pPr>
              <w:spacing w:line="360" w:lineRule="auto"/>
              <w:ind w:firstLine="240" w:firstLineChars="100"/>
              <w:rPr>
                <w:rFonts w:hint="eastAsia" w:ascii="宋体" w:hAnsi="宋体" w:eastAsia="宋体" w:cs="宋体"/>
                <w:color w:val="auto"/>
                <w:sz w:val="24"/>
                <w:highlight w:val="none"/>
              </w:rPr>
            </w:pPr>
            <w:r>
              <w:rPr>
                <w:rFonts w:hint="eastAsia" w:ascii="宋体" w:hAnsi="宋体" w:eastAsia="宋体" w:cs="宋体"/>
                <w:color w:val="auto"/>
                <w:kern w:val="0"/>
                <w:sz w:val="24"/>
                <w:highlight w:val="none"/>
              </w:rPr>
              <w:t xml:space="preserve">0.25%                 </w:t>
            </w:r>
          </w:p>
        </w:tc>
        <w:tc>
          <w:tcPr>
            <w:tcW w:w="1899" w:type="dxa"/>
          </w:tcPr>
          <w:p w14:paraId="4E8E422B">
            <w:pPr>
              <w:spacing w:line="360" w:lineRule="auto"/>
              <w:ind w:firstLine="240" w:firstLineChars="100"/>
              <w:rPr>
                <w:rFonts w:hint="eastAsia" w:ascii="宋体" w:hAnsi="宋体" w:eastAsia="宋体" w:cs="宋体"/>
                <w:color w:val="auto"/>
                <w:sz w:val="24"/>
                <w:highlight w:val="none"/>
              </w:rPr>
            </w:pPr>
            <w:r>
              <w:rPr>
                <w:rFonts w:hint="eastAsia" w:ascii="宋体" w:hAnsi="宋体" w:eastAsia="宋体" w:cs="宋体"/>
                <w:color w:val="auto"/>
                <w:kern w:val="0"/>
                <w:sz w:val="24"/>
                <w:highlight w:val="none"/>
              </w:rPr>
              <w:t>0.1%</w:t>
            </w:r>
          </w:p>
        </w:tc>
        <w:tc>
          <w:tcPr>
            <w:tcW w:w="1837" w:type="dxa"/>
          </w:tcPr>
          <w:p w14:paraId="49BD8B06">
            <w:pPr>
              <w:spacing w:line="360" w:lineRule="auto"/>
              <w:ind w:firstLine="240" w:firstLineChars="100"/>
              <w:rPr>
                <w:rFonts w:hint="eastAsia" w:ascii="宋体" w:hAnsi="宋体" w:eastAsia="宋体" w:cs="宋体"/>
                <w:color w:val="auto"/>
                <w:sz w:val="24"/>
                <w:highlight w:val="none"/>
              </w:rPr>
            </w:pPr>
            <w:r>
              <w:rPr>
                <w:rFonts w:hint="eastAsia" w:ascii="宋体" w:hAnsi="宋体" w:eastAsia="宋体" w:cs="宋体"/>
                <w:color w:val="auto"/>
                <w:kern w:val="0"/>
                <w:sz w:val="24"/>
                <w:highlight w:val="none"/>
              </w:rPr>
              <w:t>0.2%</w:t>
            </w:r>
          </w:p>
        </w:tc>
      </w:tr>
      <w:tr w14:paraId="3E790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5" w:type="dxa"/>
          <w:jc w:val="center"/>
        </w:trPr>
        <w:tc>
          <w:tcPr>
            <w:tcW w:w="3470" w:type="dxa"/>
          </w:tcPr>
          <w:p w14:paraId="6ECB163C">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1～5亿元</w:t>
            </w:r>
          </w:p>
        </w:tc>
        <w:tc>
          <w:tcPr>
            <w:tcW w:w="2049" w:type="dxa"/>
          </w:tcPr>
          <w:p w14:paraId="2F9CD16F">
            <w:pPr>
              <w:spacing w:line="360" w:lineRule="auto"/>
              <w:ind w:firstLine="240" w:firstLineChars="100"/>
              <w:rPr>
                <w:rFonts w:hint="eastAsia" w:ascii="宋体" w:hAnsi="宋体" w:eastAsia="宋体" w:cs="宋体"/>
                <w:color w:val="auto"/>
                <w:sz w:val="24"/>
                <w:highlight w:val="none"/>
              </w:rPr>
            </w:pPr>
            <w:r>
              <w:rPr>
                <w:rFonts w:hint="eastAsia" w:ascii="宋体" w:hAnsi="宋体" w:eastAsia="宋体" w:cs="宋体"/>
                <w:color w:val="auto"/>
                <w:sz w:val="24"/>
                <w:highlight w:val="none"/>
              </w:rPr>
              <w:t>0.05%</w:t>
            </w:r>
          </w:p>
        </w:tc>
        <w:tc>
          <w:tcPr>
            <w:tcW w:w="1899" w:type="dxa"/>
          </w:tcPr>
          <w:p w14:paraId="77C3DC77">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0.05%</w:t>
            </w:r>
          </w:p>
        </w:tc>
        <w:tc>
          <w:tcPr>
            <w:tcW w:w="1837" w:type="dxa"/>
          </w:tcPr>
          <w:p w14:paraId="09BA3685">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0.05%</w:t>
            </w:r>
          </w:p>
        </w:tc>
      </w:tr>
      <w:tr w14:paraId="486FC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5" w:type="dxa"/>
          <w:jc w:val="center"/>
        </w:trPr>
        <w:tc>
          <w:tcPr>
            <w:tcW w:w="3470" w:type="dxa"/>
          </w:tcPr>
          <w:p w14:paraId="1BECCB14">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5～10亿元</w:t>
            </w:r>
          </w:p>
        </w:tc>
        <w:tc>
          <w:tcPr>
            <w:tcW w:w="2049" w:type="dxa"/>
          </w:tcPr>
          <w:p w14:paraId="24223DFE">
            <w:pPr>
              <w:spacing w:line="360" w:lineRule="auto"/>
              <w:ind w:firstLine="120" w:firstLineChars="50"/>
              <w:rPr>
                <w:rFonts w:hint="eastAsia" w:ascii="宋体" w:hAnsi="宋体" w:eastAsia="宋体" w:cs="宋体"/>
                <w:color w:val="auto"/>
                <w:sz w:val="24"/>
                <w:highlight w:val="none"/>
              </w:rPr>
            </w:pPr>
            <w:r>
              <w:rPr>
                <w:rFonts w:hint="eastAsia" w:ascii="宋体" w:hAnsi="宋体" w:eastAsia="宋体" w:cs="宋体"/>
                <w:color w:val="auto"/>
                <w:sz w:val="24"/>
                <w:highlight w:val="none"/>
              </w:rPr>
              <w:t>0.035%</w:t>
            </w:r>
          </w:p>
        </w:tc>
        <w:tc>
          <w:tcPr>
            <w:tcW w:w="1899" w:type="dxa"/>
          </w:tcPr>
          <w:p w14:paraId="316FE3BB">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0.035%</w:t>
            </w:r>
          </w:p>
        </w:tc>
        <w:tc>
          <w:tcPr>
            <w:tcW w:w="1837" w:type="dxa"/>
          </w:tcPr>
          <w:p w14:paraId="0BBEBFBA">
            <w:pPr>
              <w:spacing w:line="360" w:lineRule="auto"/>
              <w:ind w:firstLine="120" w:firstLineChars="50"/>
              <w:rPr>
                <w:rFonts w:hint="eastAsia" w:ascii="宋体" w:hAnsi="宋体" w:eastAsia="宋体" w:cs="宋体"/>
                <w:color w:val="auto"/>
                <w:sz w:val="24"/>
                <w:highlight w:val="none"/>
              </w:rPr>
            </w:pPr>
            <w:r>
              <w:rPr>
                <w:rFonts w:hint="eastAsia" w:ascii="宋体" w:hAnsi="宋体" w:eastAsia="宋体" w:cs="宋体"/>
                <w:color w:val="auto"/>
                <w:sz w:val="24"/>
                <w:highlight w:val="none"/>
              </w:rPr>
              <w:t>0.035%</w:t>
            </w:r>
          </w:p>
        </w:tc>
      </w:tr>
      <w:tr w14:paraId="68551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5" w:type="dxa"/>
          <w:jc w:val="center"/>
        </w:trPr>
        <w:tc>
          <w:tcPr>
            <w:tcW w:w="3470" w:type="dxa"/>
          </w:tcPr>
          <w:p w14:paraId="6F723351">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10～50亿元</w:t>
            </w:r>
          </w:p>
        </w:tc>
        <w:tc>
          <w:tcPr>
            <w:tcW w:w="2049" w:type="dxa"/>
          </w:tcPr>
          <w:p w14:paraId="100120F7">
            <w:pPr>
              <w:spacing w:line="360" w:lineRule="auto"/>
              <w:ind w:firstLine="120" w:firstLineChars="50"/>
              <w:rPr>
                <w:rFonts w:hint="eastAsia" w:ascii="宋体" w:hAnsi="宋体" w:eastAsia="宋体" w:cs="宋体"/>
                <w:color w:val="auto"/>
                <w:sz w:val="24"/>
                <w:highlight w:val="none"/>
              </w:rPr>
            </w:pPr>
            <w:r>
              <w:rPr>
                <w:rFonts w:hint="eastAsia" w:ascii="宋体" w:hAnsi="宋体" w:eastAsia="宋体" w:cs="宋体"/>
                <w:color w:val="auto"/>
                <w:sz w:val="24"/>
                <w:highlight w:val="none"/>
              </w:rPr>
              <w:t>0.008%</w:t>
            </w:r>
          </w:p>
        </w:tc>
        <w:tc>
          <w:tcPr>
            <w:tcW w:w="1899" w:type="dxa"/>
          </w:tcPr>
          <w:p w14:paraId="3001C444">
            <w:pPr>
              <w:spacing w:line="360" w:lineRule="auto"/>
              <w:ind w:firstLine="240" w:firstLineChars="100"/>
              <w:rPr>
                <w:rFonts w:hint="eastAsia" w:ascii="宋体" w:hAnsi="宋体" w:eastAsia="宋体" w:cs="宋体"/>
                <w:color w:val="auto"/>
                <w:sz w:val="24"/>
                <w:highlight w:val="none"/>
              </w:rPr>
            </w:pPr>
            <w:r>
              <w:rPr>
                <w:rFonts w:hint="eastAsia" w:ascii="宋体" w:hAnsi="宋体" w:eastAsia="宋体" w:cs="宋体"/>
                <w:color w:val="auto"/>
                <w:sz w:val="24"/>
                <w:highlight w:val="none"/>
              </w:rPr>
              <w:t>0.008%</w:t>
            </w:r>
          </w:p>
        </w:tc>
        <w:tc>
          <w:tcPr>
            <w:tcW w:w="1837" w:type="dxa"/>
          </w:tcPr>
          <w:p w14:paraId="64E49661">
            <w:pPr>
              <w:spacing w:line="360" w:lineRule="auto"/>
              <w:ind w:firstLine="120" w:firstLineChars="50"/>
              <w:rPr>
                <w:rFonts w:hint="eastAsia" w:ascii="宋体" w:hAnsi="宋体" w:eastAsia="宋体" w:cs="宋体"/>
                <w:color w:val="auto"/>
                <w:sz w:val="24"/>
                <w:highlight w:val="none"/>
              </w:rPr>
            </w:pPr>
            <w:r>
              <w:rPr>
                <w:rFonts w:hint="eastAsia" w:ascii="宋体" w:hAnsi="宋体" w:eastAsia="宋体" w:cs="宋体"/>
                <w:color w:val="auto"/>
                <w:sz w:val="24"/>
                <w:highlight w:val="none"/>
              </w:rPr>
              <w:t>0.008%</w:t>
            </w:r>
          </w:p>
        </w:tc>
      </w:tr>
      <w:tr w14:paraId="666C1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5" w:type="dxa"/>
          <w:jc w:val="center"/>
        </w:trPr>
        <w:tc>
          <w:tcPr>
            <w:tcW w:w="3470" w:type="dxa"/>
          </w:tcPr>
          <w:p w14:paraId="63032D18">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50～100亿元</w:t>
            </w:r>
          </w:p>
        </w:tc>
        <w:tc>
          <w:tcPr>
            <w:tcW w:w="2049" w:type="dxa"/>
          </w:tcPr>
          <w:p w14:paraId="0E22AFC2">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0.006%</w:t>
            </w:r>
          </w:p>
        </w:tc>
        <w:tc>
          <w:tcPr>
            <w:tcW w:w="1899" w:type="dxa"/>
          </w:tcPr>
          <w:p w14:paraId="5D4819A0">
            <w:pPr>
              <w:spacing w:line="360" w:lineRule="auto"/>
              <w:ind w:firstLine="240" w:firstLineChars="100"/>
              <w:rPr>
                <w:rFonts w:hint="eastAsia" w:ascii="宋体" w:hAnsi="宋体" w:eastAsia="宋体" w:cs="宋体"/>
                <w:color w:val="auto"/>
                <w:sz w:val="24"/>
                <w:highlight w:val="none"/>
              </w:rPr>
            </w:pPr>
            <w:r>
              <w:rPr>
                <w:rFonts w:hint="eastAsia" w:ascii="宋体" w:hAnsi="宋体" w:eastAsia="宋体" w:cs="宋体"/>
                <w:color w:val="auto"/>
                <w:sz w:val="24"/>
                <w:highlight w:val="none"/>
              </w:rPr>
              <w:t>0.006%</w:t>
            </w:r>
          </w:p>
        </w:tc>
        <w:tc>
          <w:tcPr>
            <w:tcW w:w="1837" w:type="dxa"/>
          </w:tcPr>
          <w:p w14:paraId="0C3F10F0">
            <w:pPr>
              <w:spacing w:line="360" w:lineRule="auto"/>
              <w:ind w:firstLine="120" w:firstLineChars="50"/>
              <w:rPr>
                <w:rFonts w:hint="eastAsia" w:ascii="宋体" w:hAnsi="宋体" w:eastAsia="宋体" w:cs="宋体"/>
                <w:color w:val="auto"/>
                <w:sz w:val="24"/>
                <w:highlight w:val="none"/>
              </w:rPr>
            </w:pPr>
            <w:r>
              <w:rPr>
                <w:rFonts w:hint="eastAsia" w:ascii="宋体" w:hAnsi="宋体" w:eastAsia="宋体" w:cs="宋体"/>
                <w:color w:val="auto"/>
                <w:sz w:val="24"/>
                <w:highlight w:val="none"/>
              </w:rPr>
              <w:t>0.006%</w:t>
            </w:r>
          </w:p>
        </w:tc>
      </w:tr>
      <w:tr w14:paraId="53D8F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5" w:type="dxa"/>
          <w:jc w:val="center"/>
        </w:trPr>
        <w:tc>
          <w:tcPr>
            <w:tcW w:w="3470" w:type="dxa"/>
          </w:tcPr>
          <w:p w14:paraId="5ABC0425">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100亿以上</w:t>
            </w:r>
          </w:p>
        </w:tc>
        <w:tc>
          <w:tcPr>
            <w:tcW w:w="2049" w:type="dxa"/>
          </w:tcPr>
          <w:p w14:paraId="4B2BF820">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0.004%</w:t>
            </w:r>
          </w:p>
        </w:tc>
        <w:tc>
          <w:tcPr>
            <w:tcW w:w="1899" w:type="dxa"/>
          </w:tcPr>
          <w:p w14:paraId="6BF042B7">
            <w:pPr>
              <w:spacing w:line="360" w:lineRule="auto"/>
              <w:ind w:firstLine="240" w:firstLineChars="100"/>
              <w:rPr>
                <w:rFonts w:hint="eastAsia" w:ascii="宋体" w:hAnsi="宋体" w:eastAsia="宋体" w:cs="宋体"/>
                <w:color w:val="auto"/>
                <w:sz w:val="24"/>
                <w:highlight w:val="none"/>
              </w:rPr>
            </w:pPr>
            <w:r>
              <w:rPr>
                <w:rFonts w:hint="eastAsia" w:ascii="宋体" w:hAnsi="宋体" w:eastAsia="宋体" w:cs="宋体"/>
                <w:color w:val="auto"/>
                <w:sz w:val="24"/>
                <w:highlight w:val="none"/>
              </w:rPr>
              <w:t>0.004%</w:t>
            </w:r>
          </w:p>
        </w:tc>
        <w:tc>
          <w:tcPr>
            <w:tcW w:w="1837" w:type="dxa"/>
          </w:tcPr>
          <w:p w14:paraId="19AFE615">
            <w:pPr>
              <w:spacing w:line="360" w:lineRule="auto"/>
              <w:ind w:firstLine="120" w:firstLineChars="50"/>
              <w:rPr>
                <w:rFonts w:hint="eastAsia" w:ascii="宋体" w:hAnsi="宋体" w:eastAsia="宋体" w:cs="宋体"/>
                <w:color w:val="auto"/>
                <w:sz w:val="24"/>
                <w:highlight w:val="none"/>
              </w:rPr>
            </w:pPr>
            <w:r>
              <w:rPr>
                <w:rFonts w:hint="eastAsia" w:ascii="宋体" w:hAnsi="宋体" w:eastAsia="宋体" w:cs="宋体"/>
                <w:color w:val="auto"/>
                <w:sz w:val="24"/>
                <w:highlight w:val="none"/>
              </w:rPr>
              <w:t>0.004%</w:t>
            </w:r>
          </w:p>
        </w:tc>
      </w:tr>
    </w:tbl>
    <w:p w14:paraId="4C88095D">
      <w:pPr>
        <w:keepNext w:val="0"/>
        <w:keepLines w:val="0"/>
        <w:pageBreakBefore w:val="0"/>
        <w:widowControl w:val="0"/>
        <w:kinsoku/>
        <w:wordWrap/>
        <w:overflowPunct/>
        <w:topLinePunct w:val="0"/>
        <w:autoSpaceDE/>
        <w:autoSpaceDN/>
        <w:bidi w:val="0"/>
        <w:adjustRightInd/>
        <w:snapToGrid/>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w:t>
      </w:r>
    </w:p>
    <w:p w14:paraId="58D3ECD7">
      <w:pPr>
        <w:keepNext w:val="0"/>
        <w:keepLines w:val="0"/>
        <w:pageBreakBefore w:val="0"/>
        <w:widowControl w:val="0"/>
        <w:kinsoku/>
        <w:wordWrap/>
        <w:overflowPunct/>
        <w:topLinePunct w:val="0"/>
        <w:autoSpaceDE/>
        <w:autoSpaceDN/>
        <w:bidi w:val="0"/>
        <w:adjustRightInd/>
        <w:snapToGrid/>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（1）按本表费率计算的收费为采购代理的收费基准价格；</w:t>
      </w:r>
    </w:p>
    <w:p w14:paraId="1B0DAC8D">
      <w:pPr>
        <w:keepNext w:val="0"/>
        <w:keepLines w:val="0"/>
        <w:pageBreakBefore w:val="0"/>
        <w:widowControl w:val="0"/>
        <w:kinsoku/>
        <w:wordWrap/>
        <w:overflowPunct/>
        <w:topLinePunct w:val="0"/>
        <w:autoSpaceDE/>
        <w:autoSpaceDN/>
        <w:bidi w:val="0"/>
        <w:adjustRightInd/>
        <w:snapToGrid/>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（2）采购代理收费按差额定率累进法计算。</w:t>
      </w:r>
    </w:p>
    <w:p w14:paraId="01E9DDE6">
      <w:pPr>
        <w:keepNext w:val="0"/>
        <w:keepLines w:val="0"/>
        <w:pageBreakBefore w:val="0"/>
        <w:widowControl w:val="0"/>
        <w:kinsoku/>
        <w:wordWrap/>
        <w:overflowPunct/>
        <w:topLinePunct w:val="0"/>
        <w:autoSpaceDE/>
        <w:autoSpaceDN/>
        <w:bidi w:val="0"/>
        <w:adjustRightInd/>
        <w:snapToGrid/>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例如：某服务采购代理业务成交金额或者暂定价为150万元，计算采购代理收费额如下：</w:t>
      </w:r>
    </w:p>
    <w:p w14:paraId="3C9EBD8F">
      <w:pPr>
        <w:keepNext w:val="0"/>
        <w:keepLines w:val="0"/>
        <w:pageBreakBefore w:val="0"/>
        <w:widowControl w:val="0"/>
        <w:kinsoku/>
        <w:wordWrap/>
        <w:overflowPunct/>
        <w:topLinePunct w:val="0"/>
        <w:autoSpaceDE/>
        <w:autoSpaceDN/>
        <w:bidi w:val="0"/>
        <w:adjustRightInd/>
        <w:snapToGrid/>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100 万元 ×l.5 %＝ 1.5 万元</w:t>
      </w:r>
    </w:p>
    <w:p w14:paraId="4EF5973A">
      <w:pPr>
        <w:keepNext w:val="0"/>
        <w:keepLines w:val="0"/>
        <w:pageBreakBefore w:val="0"/>
        <w:widowControl w:val="0"/>
        <w:kinsoku/>
        <w:wordWrap/>
        <w:overflowPunct/>
        <w:topLinePunct w:val="0"/>
        <w:autoSpaceDE/>
        <w:autoSpaceDN/>
        <w:bidi w:val="0"/>
        <w:adjustRightInd/>
        <w:snapToGrid/>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150 － 100 ）万元 ×0.8%＝ 0.4万元</w:t>
      </w:r>
    </w:p>
    <w:p w14:paraId="5682D616">
      <w:pPr>
        <w:keepNext w:val="0"/>
        <w:keepLines w:val="0"/>
        <w:pageBreakBefore w:val="0"/>
        <w:widowControl w:val="0"/>
        <w:kinsoku/>
        <w:wordWrap/>
        <w:overflowPunct/>
        <w:topLinePunct w:val="0"/>
        <w:autoSpaceDE/>
        <w:autoSpaceDN/>
        <w:bidi w:val="0"/>
        <w:adjustRightInd/>
        <w:snapToGrid/>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合计收费＝ 1.5 ＋ 0.4＝ 1.9 万元</w:t>
      </w:r>
    </w:p>
    <w:p w14:paraId="145162F7">
      <w:pPr>
        <w:keepNext w:val="0"/>
        <w:keepLines w:val="0"/>
        <w:pageBreakBefore w:val="0"/>
        <w:widowControl w:val="0"/>
        <w:kinsoku/>
        <w:wordWrap/>
        <w:overflowPunct/>
        <w:topLinePunct w:val="0"/>
        <w:autoSpaceDE/>
        <w:autoSpaceDN/>
        <w:bidi w:val="0"/>
        <w:adjustRightInd/>
        <w:snapToGrid/>
        <w:spacing w:line="360" w:lineRule="auto"/>
        <w:ind w:firstLine="422" w:firstLineChars="200"/>
        <w:outlineLvl w:val="2"/>
        <w:rPr>
          <w:rFonts w:hint="eastAsia" w:ascii="宋体" w:hAnsi="宋体" w:eastAsia="宋体" w:cs="宋体"/>
          <w:b/>
          <w:bCs/>
          <w:color w:val="auto"/>
          <w:sz w:val="21"/>
          <w:szCs w:val="21"/>
          <w:highlight w:val="none"/>
        </w:rPr>
      </w:pPr>
      <w:bookmarkStart w:id="281" w:name="_Toc25167"/>
      <w:bookmarkStart w:id="282" w:name="_Toc3142"/>
      <w:bookmarkStart w:id="283" w:name="_Toc937"/>
      <w:bookmarkStart w:id="284" w:name="_Toc17018"/>
      <w:r>
        <w:rPr>
          <w:rFonts w:hint="eastAsia" w:ascii="宋体" w:hAnsi="宋体" w:eastAsia="宋体" w:cs="宋体"/>
          <w:b/>
          <w:bCs/>
          <w:color w:val="auto"/>
          <w:sz w:val="21"/>
          <w:szCs w:val="21"/>
          <w:highlight w:val="none"/>
        </w:rPr>
        <w:t>33、需要补充的其他内容</w:t>
      </w:r>
      <w:bookmarkEnd w:id="281"/>
      <w:bookmarkEnd w:id="282"/>
      <w:bookmarkEnd w:id="283"/>
      <w:bookmarkEnd w:id="284"/>
    </w:p>
    <w:p w14:paraId="28EAC58A">
      <w:pPr>
        <w:pStyle w:val="20"/>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center"/>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33.1本磋商文件解释规则详见“供应商须知前附表”。</w:t>
      </w:r>
    </w:p>
    <w:p w14:paraId="2288CB64">
      <w:pPr>
        <w:pStyle w:val="20"/>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center"/>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33.2 其他事项详见“供应商须知前附表”。</w:t>
      </w:r>
    </w:p>
    <w:p w14:paraId="65B1D87D">
      <w:pPr>
        <w:pStyle w:val="20"/>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center"/>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33.3本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w:t>
      </w:r>
      <w:r>
        <w:rPr>
          <w:rFonts w:hint="eastAsia" w:ascii="宋体" w:hAnsi="宋体" w:eastAsia="宋体" w:cs="宋体"/>
          <w:color w:val="auto"/>
          <w:sz w:val="21"/>
          <w:szCs w:val="21"/>
          <w:highlight w:val="none"/>
        </w:rPr>
        <w:t>服务由中小企业承接，即提供服务的人员为中小企业依照《中华人民共和国劳动合同法》订立劳动合同的从业人员，不对其中涉及的货物的制造商和工程承建商作出要求的</w:t>
      </w:r>
      <w:r>
        <w:rPr>
          <w:rFonts w:hint="eastAsia" w:ascii="宋体" w:hAnsi="宋体" w:eastAsia="宋体" w:cs="宋体"/>
          <w:color w:val="auto"/>
          <w:kern w:val="2"/>
          <w:sz w:val="21"/>
          <w:szCs w:val="21"/>
          <w:highlight w:val="none"/>
        </w:rPr>
        <w:t>，享受本文件规定的中小企业扶持政策。</w:t>
      </w:r>
    </w:p>
    <w:p w14:paraId="658D8C41">
      <w:pPr>
        <w:pStyle w:val="20"/>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center"/>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以联合体形式参加政府采购活动，联合体各方均为中小企业的，联合体视同中小企业。其中，联合体各方均为小微企业的，联合体视同小微企业。</w:t>
      </w:r>
    </w:p>
    <w:p w14:paraId="67F6DEA4">
      <w:pPr>
        <w:pStyle w:val="20"/>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center"/>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依据本文件规定享受扶持政策获得政府采购合同的，小微企业不得将合同分包给大中型企业，中型企业不得将合同分包给大型企业。</w:t>
      </w:r>
    </w:p>
    <w:p w14:paraId="23630444">
      <w:pPr>
        <w:pStyle w:val="20"/>
        <w:keepNext w:val="0"/>
        <w:keepLines w:val="0"/>
        <w:pageBreakBefore w:val="0"/>
        <w:widowControl w:val="0"/>
        <w:kinsoku/>
        <w:wordWrap/>
        <w:overflowPunct/>
        <w:topLinePunct w:val="0"/>
        <w:autoSpaceDE/>
        <w:autoSpaceDN/>
        <w:bidi w:val="0"/>
        <w:adjustRightInd/>
        <w:snapToGrid/>
        <w:spacing w:line="360" w:lineRule="auto"/>
        <w:ind w:firstLine="480"/>
        <w:textAlignment w:val="center"/>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33.</w:t>
      </w:r>
      <w:r>
        <w:rPr>
          <w:rFonts w:hint="eastAsia" w:hAnsi="宋体" w:cs="宋体"/>
          <w:color w:val="auto"/>
          <w:kern w:val="2"/>
          <w:sz w:val="21"/>
          <w:szCs w:val="21"/>
          <w:highlight w:val="none"/>
          <w:lang w:val="en-US" w:eastAsia="zh-CN"/>
        </w:rPr>
        <w:t>4</w:t>
      </w:r>
      <w:r>
        <w:rPr>
          <w:rFonts w:hint="eastAsia" w:ascii="宋体" w:hAnsi="宋体" w:eastAsia="宋体" w:cs="宋体"/>
          <w:color w:val="auto"/>
          <w:kern w:val="2"/>
          <w:sz w:val="21"/>
          <w:szCs w:val="21"/>
          <w:highlight w:val="none"/>
        </w:rPr>
        <w:t>在政府采购活动中推广使用电子保承的通知：根据《广西壮族自治区财政厅关于在政府采购活动中推广使用电子保函的通知》(桂财采(2023)92号)、贺州市财政局关于在政府采购活动中推广使用电子保函的通知文件的精神，为中小企业参与政府采购活动提供便和，切实减轻企业负担，进一步优化政府采购营商环境在本区实施的政府采购活动中，项目如采用了投标保证金保函、约保证金保函及预付款保函的部分，均鼓励采职政府采购电了保承的形式。电了保函有关业务操作流程和手册可从“广西政府采购金融服务平台”查阅下载，供应商在电子保函的申请、使用、查看应用过程中遇到问题可咨询技术支撑方:4009039583。</w:t>
      </w:r>
    </w:p>
    <w:p w14:paraId="5B9EC39B">
      <w:pPr>
        <w:pStyle w:val="20"/>
        <w:keepNext w:val="0"/>
        <w:keepLines w:val="0"/>
        <w:pageBreakBefore w:val="0"/>
        <w:widowControl w:val="0"/>
        <w:kinsoku/>
        <w:wordWrap/>
        <w:overflowPunct/>
        <w:topLinePunct w:val="0"/>
        <w:autoSpaceDE/>
        <w:autoSpaceDN/>
        <w:bidi w:val="0"/>
        <w:adjustRightInd/>
        <w:snapToGrid/>
        <w:spacing w:line="360" w:lineRule="auto"/>
        <w:ind w:firstLine="480"/>
        <w:textAlignment w:val="center"/>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33.5进一步推行“政采贷”工作的通知：根据《贺州市财政局关于进一步推行“政采贷”工作的通知》(贺财采(2024)3号)，为有效缓解中小微企业融资难、融资贵问题，如政府采购中标的供应商存在融资需求，在中标公告发布后，可通过“广西政府采购金融服务平台””进行合同融资预申请。相关事宜请跟富川瑶族自治县财政局政府采购监督股  电话：0774-7882324。</w:t>
      </w:r>
    </w:p>
    <w:p w14:paraId="5610F797">
      <w:pPr>
        <w:pStyle w:val="20"/>
        <w:keepNext w:val="0"/>
        <w:keepLines w:val="0"/>
        <w:pageBreakBefore w:val="0"/>
        <w:widowControl w:val="0"/>
        <w:kinsoku/>
        <w:wordWrap/>
        <w:overflowPunct/>
        <w:topLinePunct w:val="0"/>
        <w:autoSpaceDE/>
        <w:autoSpaceDN/>
        <w:bidi w:val="0"/>
        <w:adjustRightInd/>
        <w:snapToGrid/>
        <w:spacing w:line="360" w:lineRule="auto"/>
        <w:ind w:firstLine="480"/>
        <w:textAlignment w:val="center"/>
        <w:rPr>
          <w:rFonts w:hint="eastAsia" w:ascii="宋体" w:hAnsi="宋体" w:eastAsia="宋体" w:cs="宋体"/>
          <w:color w:val="auto"/>
          <w:sz w:val="32"/>
          <w:szCs w:val="32"/>
          <w:highlight w:val="none"/>
        </w:rPr>
      </w:pPr>
      <w:bookmarkStart w:id="285" w:name="_Toc21387"/>
      <w:bookmarkStart w:id="286" w:name="_Toc4306"/>
      <w:r>
        <w:rPr>
          <w:rFonts w:hint="eastAsia" w:ascii="宋体" w:hAnsi="宋体" w:eastAsia="宋体" w:cs="宋体"/>
          <w:color w:val="auto"/>
          <w:sz w:val="32"/>
          <w:szCs w:val="32"/>
          <w:highlight w:val="none"/>
        </w:rPr>
        <w:t>附件</w:t>
      </w:r>
      <w:r>
        <w:rPr>
          <w:rFonts w:hint="eastAsia" w:ascii="宋体" w:hAnsi="宋体" w:eastAsia="宋体" w:cs="宋体"/>
          <w:color w:val="auto"/>
          <w:sz w:val="32"/>
          <w:szCs w:val="32"/>
          <w:highlight w:val="none"/>
          <w:lang w:val="en-US" w:eastAsia="zh-CN"/>
        </w:rPr>
        <w:t>1</w:t>
      </w:r>
      <w:r>
        <w:rPr>
          <w:rFonts w:hint="eastAsia" w:ascii="宋体" w:hAnsi="宋体" w:eastAsia="宋体" w:cs="宋体"/>
          <w:color w:val="auto"/>
          <w:sz w:val="32"/>
          <w:szCs w:val="32"/>
          <w:highlight w:val="none"/>
        </w:rPr>
        <w:t>：</w:t>
      </w:r>
      <w:bookmarkEnd w:id="285"/>
    </w:p>
    <w:p w14:paraId="2FF2F997">
      <w:pPr>
        <w:spacing w:line="360" w:lineRule="auto"/>
        <w:jc w:val="center"/>
        <w:rPr>
          <w:rFonts w:hint="eastAsia" w:ascii="宋体" w:hAnsi="宋体" w:eastAsia="宋体" w:cs="宋体"/>
          <w:b/>
          <w:bCs/>
          <w:color w:val="auto"/>
          <w:sz w:val="44"/>
          <w:szCs w:val="44"/>
          <w:highlight w:val="none"/>
        </w:rPr>
      </w:pPr>
      <w:r>
        <w:rPr>
          <w:rFonts w:hint="eastAsia" w:ascii="宋体" w:hAnsi="宋体" w:eastAsia="宋体" w:cs="宋体"/>
          <w:b/>
          <w:bCs/>
          <w:color w:val="auto"/>
          <w:sz w:val="44"/>
          <w:szCs w:val="44"/>
          <w:highlight w:val="none"/>
        </w:rPr>
        <w:t>“政采贷”政策告知函</w:t>
      </w:r>
    </w:p>
    <w:p w14:paraId="4503E0F3">
      <w:pPr>
        <w:keepNext w:val="0"/>
        <w:keepLines w:val="0"/>
        <w:pageBreakBefore w:val="0"/>
        <w:kinsoku/>
        <w:wordWrap/>
        <w:overflowPunct/>
        <w:topLinePunct w:val="0"/>
        <w:autoSpaceDE/>
        <w:autoSpaceDN/>
        <w:bidi w:val="0"/>
        <w:spacing w:line="360" w:lineRule="auto"/>
        <w:jc w:val="both"/>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各供应商:</w:t>
      </w:r>
    </w:p>
    <w:p w14:paraId="3271607C">
      <w:pPr>
        <w:keepNext w:val="0"/>
        <w:keepLines w:val="0"/>
        <w:pageBreakBefore w:val="0"/>
        <w:kinsoku/>
        <w:wordWrap/>
        <w:overflowPunct/>
        <w:topLinePunct w:val="0"/>
        <w:autoSpaceDE/>
        <w:autoSpaceDN/>
        <w:bidi w:val="0"/>
        <w:spacing w:line="360" w:lineRule="auto"/>
        <w:ind w:firstLine="420" w:firstLineChars="200"/>
        <w:jc w:val="both"/>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欢迎贵公司参与贺州市政府采购活动!</w:t>
      </w:r>
    </w:p>
    <w:p w14:paraId="63D0F755">
      <w:pPr>
        <w:keepNext w:val="0"/>
        <w:keepLines w:val="0"/>
        <w:pageBreakBefore w:val="0"/>
        <w:widowControl/>
        <w:kinsoku/>
        <w:wordWrap/>
        <w:overflowPunct/>
        <w:topLinePunct w:val="0"/>
        <w:autoSpaceDE/>
        <w:autoSpaceDN/>
        <w:bidi w:val="0"/>
        <w:adjustRightInd w:val="0"/>
        <w:snapToGrid w:val="0"/>
        <w:spacing w:after="0" w:line="360" w:lineRule="auto"/>
        <w:ind w:left="0" w:leftChars="0" w:right="0" w:rightChars="0" w:firstLine="420" w:firstLineChars="200"/>
        <w:jc w:val="both"/>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政府采购合同融资是支持中小微企业发展，针对参与政府采购活动的供应商融资难、融资贵问题推出的融资政策。参与政府采购的供应商凭借包括中标（成交）通知书或政府采购合同等在内的相关材料、信息向银行业金融机构申请融资，银行业金融机构依托供应商信用和政府采购信息信誉，为其发放贷款，包括银行业金融机构以供应商的历史中标及履约情况等政府采购信息作为授信参考并发放的贷款。贵公司若成为本次政府采购项目的中标成交供应商，可持政府采购合同</w:t>
      </w:r>
      <w:r>
        <w:rPr>
          <w:rFonts w:hint="eastAsia" w:ascii="宋体" w:hAnsi="宋体" w:eastAsia="宋体" w:cs="宋体"/>
          <w:color w:val="auto"/>
          <w:sz w:val="21"/>
          <w:szCs w:val="21"/>
          <w:highlight w:val="none"/>
          <w:lang w:eastAsia="zh-CN"/>
        </w:rPr>
        <w:t>等相关材料</w:t>
      </w:r>
      <w:r>
        <w:rPr>
          <w:rFonts w:hint="eastAsia" w:ascii="宋体" w:hAnsi="宋体" w:eastAsia="宋体" w:cs="宋体"/>
          <w:color w:val="auto"/>
          <w:sz w:val="21"/>
          <w:szCs w:val="21"/>
          <w:highlight w:val="none"/>
        </w:rPr>
        <w:t>向金融机构申请贷款，金融机构核实信息，按照双方自愿的原则提供便捷、优惠的贷款服务。</w:t>
      </w:r>
    </w:p>
    <w:p w14:paraId="27DA0F84">
      <w:pPr>
        <w:keepNext w:val="0"/>
        <w:keepLines w:val="0"/>
        <w:pageBreakBefore w:val="0"/>
        <w:widowControl/>
        <w:kinsoku/>
        <w:wordWrap/>
        <w:overflowPunct/>
        <w:topLinePunct w:val="0"/>
        <w:autoSpaceDE/>
        <w:autoSpaceDN/>
        <w:bidi w:val="0"/>
        <w:adjustRightInd w:val="0"/>
        <w:snapToGrid w:val="0"/>
        <w:spacing w:after="0" w:line="360" w:lineRule="auto"/>
        <w:ind w:left="0" w:leftChars="0" w:right="0" w:rightChars="0" w:firstLine="420" w:firstLineChars="200"/>
        <w:jc w:val="both"/>
        <w:textAlignment w:val="auto"/>
        <w:outlineLvl w:val="9"/>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一、“政采贷”操作流程</w:t>
      </w:r>
    </w:p>
    <w:p w14:paraId="4989B600">
      <w:pPr>
        <w:keepNext w:val="0"/>
        <w:keepLines w:val="0"/>
        <w:pageBreakBefore w:val="0"/>
        <w:widowControl/>
        <w:kinsoku/>
        <w:wordWrap/>
        <w:overflowPunct/>
        <w:topLinePunct w:val="0"/>
        <w:autoSpaceDE/>
        <w:autoSpaceDN/>
        <w:bidi w:val="0"/>
        <w:adjustRightInd w:val="0"/>
        <w:snapToGrid w:val="0"/>
        <w:spacing w:after="0" w:line="360" w:lineRule="auto"/>
        <w:ind w:right="0" w:rightChars="0" w:firstLine="420" w:firstLineChars="200"/>
        <w:jc w:val="both"/>
        <w:textAlignment w:val="auto"/>
        <w:outlineLvl w:val="9"/>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进入“广西政府采购网”（</w:t>
      </w:r>
      <w:r>
        <w:rPr>
          <w:rFonts w:hint="eastAsia" w:ascii="宋体" w:hAnsi="宋体" w:eastAsia="宋体" w:cs="宋体"/>
          <w:color w:val="auto"/>
          <w:sz w:val="21"/>
          <w:szCs w:val="21"/>
          <w:highlight w:val="none"/>
          <w:lang w:eastAsia="zh-CN"/>
        </w:rPr>
        <w:fldChar w:fldCharType="begin"/>
      </w:r>
      <w:r>
        <w:rPr>
          <w:rFonts w:hint="eastAsia" w:ascii="宋体" w:hAnsi="宋体" w:eastAsia="宋体" w:cs="宋体"/>
          <w:color w:val="auto"/>
          <w:sz w:val="21"/>
          <w:szCs w:val="21"/>
          <w:highlight w:val="none"/>
          <w:lang w:eastAsia="zh-CN"/>
        </w:rPr>
        <w:instrText xml:space="preserve"> HYPERLINK "http://zfcg.gxzf.gov.cn/" </w:instrText>
      </w:r>
      <w:r>
        <w:rPr>
          <w:rFonts w:hint="eastAsia" w:ascii="宋体" w:hAnsi="宋体" w:eastAsia="宋体" w:cs="宋体"/>
          <w:color w:val="auto"/>
          <w:sz w:val="21"/>
          <w:szCs w:val="21"/>
          <w:highlight w:val="none"/>
          <w:lang w:eastAsia="zh-CN"/>
        </w:rPr>
        <w:fldChar w:fldCharType="separate"/>
      </w:r>
      <w:r>
        <w:rPr>
          <w:rStyle w:val="45"/>
          <w:rFonts w:hint="eastAsia" w:ascii="宋体" w:hAnsi="宋体" w:eastAsia="宋体" w:cs="宋体"/>
          <w:color w:val="auto"/>
          <w:sz w:val="21"/>
          <w:szCs w:val="21"/>
          <w:highlight w:val="none"/>
          <w:lang w:eastAsia="zh-CN"/>
        </w:rPr>
        <w:t>http://zfcg.gxzf.gov.cn/</w:t>
      </w:r>
      <w:r>
        <w:rPr>
          <w:rFonts w:hint="eastAsia" w:ascii="宋体" w:hAnsi="宋体" w:eastAsia="宋体" w:cs="宋体"/>
          <w:color w:val="auto"/>
          <w:sz w:val="21"/>
          <w:szCs w:val="21"/>
          <w:highlight w:val="none"/>
          <w:lang w:eastAsia="zh-CN"/>
        </w:rPr>
        <w:fldChar w:fldCharType="end"/>
      </w:r>
      <w:r>
        <w:rPr>
          <w:rFonts w:hint="eastAsia" w:ascii="宋体" w:hAnsi="宋体" w:eastAsia="宋体" w:cs="宋体"/>
          <w:color w:val="auto"/>
          <w:sz w:val="21"/>
          <w:szCs w:val="21"/>
          <w:highlight w:val="none"/>
          <w:lang w:eastAsia="zh-CN"/>
        </w:rPr>
        <w:t>）“办事指南”专栏找到“金融融资”板块，进入“广西政府采购金融服务平台”登录，选择试点银行机构进行合同融资预申请。</w:t>
      </w:r>
    </w:p>
    <w:p w14:paraId="175792DD">
      <w:pPr>
        <w:keepNext w:val="0"/>
        <w:keepLines w:val="0"/>
        <w:pageBreakBefore w:val="0"/>
        <w:widowControl/>
        <w:numPr>
          <w:ilvl w:val="0"/>
          <w:numId w:val="0"/>
        </w:numPr>
        <w:kinsoku/>
        <w:wordWrap/>
        <w:overflowPunct/>
        <w:topLinePunct w:val="0"/>
        <w:autoSpaceDE/>
        <w:autoSpaceDN/>
        <w:bidi w:val="0"/>
        <w:adjustRightInd w:val="0"/>
        <w:snapToGrid w:val="0"/>
        <w:spacing w:after="0" w:line="360" w:lineRule="auto"/>
        <w:ind w:left="0" w:leftChars="0" w:right="0" w:rightChars="0" w:firstLine="420" w:firstLineChars="200"/>
        <w:jc w:val="both"/>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kern w:val="2"/>
          <w:sz w:val="21"/>
          <w:szCs w:val="21"/>
          <w:highlight w:val="none"/>
          <w:lang w:val="en-US" w:eastAsia="zh-CN" w:bidi="ar-SA"/>
        </w:rPr>
        <w:t>二、</w:t>
      </w:r>
      <w:r>
        <w:rPr>
          <w:rFonts w:hint="eastAsia" w:ascii="宋体" w:hAnsi="宋体" w:eastAsia="宋体" w:cs="宋体"/>
          <w:color w:val="auto"/>
          <w:sz w:val="21"/>
          <w:szCs w:val="21"/>
          <w:highlight w:val="none"/>
          <w:lang w:val="en-US" w:eastAsia="zh-CN"/>
        </w:rPr>
        <w:t>承接银行联系方式</w:t>
      </w:r>
    </w:p>
    <w:p w14:paraId="16227169">
      <w:pPr>
        <w:keepNext w:val="0"/>
        <w:keepLines w:val="0"/>
        <w:pageBreakBefore w:val="0"/>
        <w:widowControl/>
        <w:numPr>
          <w:ilvl w:val="0"/>
          <w:numId w:val="0"/>
        </w:numPr>
        <w:kinsoku/>
        <w:wordWrap/>
        <w:overflowPunct/>
        <w:topLinePunct w:val="0"/>
        <w:autoSpaceDE/>
        <w:autoSpaceDN/>
        <w:bidi w:val="0"/>
        <w:adjustRightInd w:val="0"/>
        <w:snapToGrid w:val="0"/>
        <w:spacing w:after="0" w:line="360" w:lineRule="auto"/>
        <w:ind w:left="0" w:leftChars="0" w:right="0" w:rightChars="0" w:firstLine="420" w:firstLineChars="200"/>
        <w:jc w:val="both"/>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1.中国建设银行贺州分行</w:t>
      </w:r>
      <w:r>
        <w:rPr>
          <w:rFonts w:hint="eastAsia" w:ascii="宋体" w:hAnsi="宋体" w:eastAsia="宋体" w:cs="宋体"/>
          <w:color w:val="auto"/>
          <w:sz w:val="21"/>
          <w:szCs w:val="21"/>
          <w:highlight w:val="none"/>
          <w:lang w:val="en-US" w:eastAsia="zh-CN"/>
        </w:rPr>
        <w:tab/>
      </w:r>
    </w:p>
    <w:tbl>
      <w:tblPr>
        <w:tblStyle w:val="34"/>
        <w:tblpPr w:leftFromText="180" w:rightFromText="180" w:vertAnchor="text" w:horzAnchor="page" w:tblpX="1362" w:tblpY="142"/>
        <w:tblOverlap w:val="never"/>
        <w:tblW w:w="96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0"/>
        <w:gridCol w:w="2969"/>
        <w:gridCol w:w="954"/>
        <w:gridCol w:w="1125"/>
        <w:gridCol w:w="1537"/>
        <w:gridCol w:w="2625"/>
      </w:tblGrid>
      <w:tr w14:paraId="6C319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trPr>
        <w:tc>
          <w:tcPr>
            <w:tcW w:w="9600" w:type="dxa"/>
            <w:gridSpan w:val="6"/>
            <w:vAlign w:val="center"/>
          </w:tcPr>
          <w:p w14:paraId="2BEB4924">
            <w:pPr>
              <w:keepNext w:val="0"/>
              <w:keepLines w:val="0"/>
              <w:pageBreakBefore w:val="0"/>
              <w:widowControl/>
              <w:tabs>
                <w:tab w:val="left" w:pos="2172"/>
              </w:tabs>
              <w:kinsoku/>
              <w:wordWrap/>
              <w:overflowPunct/>
              <w:topLinePunct w:val="0"/>
              <w:autoSpaceDE/>
              <w:autoSpaceDN/>
              <w:bidi w:val="0"/>
              <w:adjustRightInd w:val="0"/>
              <w:snapToGrid w:val="0"/>
              <w:spacing w:line="360" w:lineRule="auto"/>
              <w:ind w:left="0" w:leftChars="0" w:right="0" w:rightChars="0" w:firstLine="0" w:firstLineChars="0"/>
              <w:jc w:val="both"/>
              <w:textAlignment w:val="auto"/>
              <w:outlineLvl w:val="9"/>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color w:val="auto"/>
                <w:kern w:val="0"/>
                <w:sz w:val="21"/>
                <w:szCs w:val="21"/>
                <w:highlight w:val="none"/>
                <w:u w:val="none"/>
                <w:lang w:val="en-US" w:eastAsia="zh-CN" w:bidi="ar"/>
              </w:rPr>
              <w:t>中国建设银行贺州分行 总协调人：杨宏毅  职务：公司业务部副总经理  手机号码：18077397188</w:t>
            </w:r>
          </w:p>
        </w:tc>
      </w:tr>
      <w:tr w14:paraId="2181A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0" w:type="dxa"/>
            <w:vAlign w:val="center"/>
          </w:tcPr>
          <w:p w14:paraId="413B5671">
            <w:pPr>
              <w:keepNext w:val="0"/>
              <w:keepLines w:val="0"/>
              <w:pageBreakBefore w:val="0"/>
              <w:widowControl/>
              <w:suppressLineNumbers w:val="0"/>
              <w:kinsoku/>
              <w:wordWrap/>
              <w:overflowPunct/>
              <w:topLinePunct w:val="0"/>
              <w:autoSpaceDE/>
              <w:autoSpaceDN/>
              <w:bidi w:val="0"/>
              <w:spacing w:line="360" w:lineRule="auto"/>
              <w:ind w:left="0" w:leftChars="0" w:right="0" w:rightChars="0" w:firstLine="0" w:firstLineChars="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b/>
                <w:i w:val="0"/>
                <w:color w:val="auto"/>
                <w:kern w:val="0"/>
                <w:sz w:val="21"/>
                <w:szCs w:val="21"/>
                <w:highlight w:val="none"/>
                <w:u w:val="none"/>
                <w:lang w:val="en-US" w:eastAsia="zh-CN" w:bidi="ar"/>
              </w:rPr>
              <w:t>序号</w:t>
            </w:r>
          </w:p>
        </w:tc>
        <w:tc>
          <w:tcPr>
            <w:tcW w:w="2969" w:type="dxa"/>
            <w:vAlign w:val="center"/>
          </w:tcPr>
          <w:p w14:paraId="01897F17">
            <w:pPr>
              <w:keepNext w:val="0"/>
              <w:keepLines w:val="0"/>
              <w:pageBreakBefore w:val="0"/>
              <w:widowControl/>
              <w:tabs>
                <w:tab w:val="left" w:pos="2172"/>
              </w:tabs>
              <w:kinsoku/>
              <w:wordWrap/>
              <w:overflowPunct/>
              <w:topLinePunct w:val="0"/>
              <w:autoSpaceDE/>
              <w:autoSpaceDN/>
              <w:bidi w:val="0"/>
              <w:adjustRightInd w:val="0"/>
              <w:snapToGrid w:val="0"/>
              <w:spacing w:line="360" w:lineRule="auto"/>
              <w:ind w:left="0" w:leftChars="0" w:right="0" w:rightChars="0" w:firstLine="0" w:firstLineChars="0"/>
              <w:jc w:val="center"/>
              <w:textAlignment w:val="auto"/>
              <w:outlineLvl w:val="9"/>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金融机构</w:t>
            </w:r>
          </w:p>
        </w:tc>
        <w:tc>
          <w:tcPr>
            <w:tcW w:w="954" w:type="dxa"/>
            <w:vAlign w:val="center"/>
          </w:tcPr>
          <w:p w14:paraId="63BDD619">
            <w:pPr>
              <w:keepNext w:val="0"/>
              <w:keepLines w:val="0"/>
              <w:pageBreakBefore w:val="0"/>
              <w:widowControl/>
              <w:tabs>
                <w:tab w:val="left" w:pos="2172"/>
              </w:tabs>
              <w:kinsoku/>
              <w:wordWrap/>
              <w:overflowPunct/>
              <w:topLinePunct w:val="0"/>
              <w:autoSpaceDE/>
              <w:autoSpaceDN/>
              <w:bidi w:val="0"/>
              <w:adjustRightInd w:val="0"/>
              <w:snapToGrid w:val="0"/>
              <w:spacing w:line="360" w:lineRule="auto"/>
              <w:ind w:left="0" w:leftChars="0" w:right="0" w:rightChars="0" w:firstLine="0" w:firstLineChars="0"/>
              <w:jc w:val="center"/>
              <w:textAlignment w:val="auto"/>
              <w:outlineLvl w:val="9"/>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联系人</w:t>
            </w:r>
          </w:p>
        </w:tc>
        <w:tc>
          <w:tcPr>
            <w:tcW w:w="1125" w:type="dxa"/>
            <w:vAlign w:val="center"/>
          </w:tcPr>
          <w:p w14:paraId="7B2E6F78">
            <w:pPr>
              <w:keepNext w:val="0"/>
              <w:keepLines w:val="0"/>
              <w:pageBreakBefore w:val="0"/>
              <w:widowControl/>
              <w:tabs>
                <w:tab w:val="left" w:pos="2172"/>
              </w:tabs>
              <w:kinsoku/>
              <w:wordWrap/>
              <w:overflowPunct/>
              <w:topLinePunct w:val="0"/>
              <w:autoSpaceDE/>
              <w:autoSpaceDN/>
              <w:bidi w:val="0"/>
              <w:adjustRightInd w:val="0"/>
              <w:snapToGrid w:val="0"/>
              <w:spacing w:line="360" w:lineRule="auto"/>
              <w:ind w:left="0" w:leftChars="0" w:right="0" w:rightChars="0" w:firstLine="0" w:firstLineChars="0"/>
              <w:jc w:val="center"/>
              <w:textAlignment w:val="auto"/>
              <w:outlineLvl w:val="9"/>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职务</w:t>
            </w:r>
          </w:p>
        </w:tc>
        <w:tc>
          <w:tcPr>
            <w:tcW w:w="1537" w:type="dxa"/>
            <w:vAlign w:val="center"/>
          </w:tcPr>
          <w:p w14:paraId="389560AB">
            <w:pPr>
              <w:keepNext w:val="0"/>
              <w:keepLines w:val="0"/>
              <w:pageBreakBefore w:val="0"/>
              <w:widowControl/>
              <w:tabs>
                <w:tab w:val="left" w:pos="2172"/>
              </w:tabs>
              <w:kinsoku/>
              <w:wordWrap/>
              <w:overflowPunct/>
              <w:topLinePunct w:val="0"/>
              <w:autoSpaceDE/>
              <w:autoSpaceDN/>
              <w:bidi w:val="0"/>
              <w:adjustRightInd w:val="0"/>
              <w:snapToGrid w:val="0"/>
              <w:spacing w:line="360" w:lineRule="auto"/>
              <w:ind w:left="0" w:leftChars="0" w:right="0" w:rightChars="0" w:firstLine="0" w:firstLineChars="0"/>
              <w:jc w:val="center"/>
              <w:textAlignment w:val="auto"/>
              <w:outlineLvl w:val="9"/>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手机号码</w:t>
            </w:r>
          </w:p>
        </w:tc>
        <w:tc>
          <w:tcPr>
            <w:tcW w:w="2625" w:type="dxa"/>
            <w:vAlign w:val="center"/>
          </w:tcPr>
          <w:p w14:paraId="5206B852">
            <w:pPr>
              <w:keepNext w:val="0"/>
              <w:keepLines w:val="0"/>
              <w:pageBreakBefore w:val="0"/>
              <w:widowControl/>
              <w:tabs>
                <w:tab w:val="left" w:pos="2172"/>
              </w:tabs>
              <w:kinsoku/>
              <w:wordWrap/>
              <w:overflowPunct/>
              <w:topLinePunct w:val="0"/>
              <w:autoSpaceDE/>
              <w:autoSpaceDN/>
              <w:bidi w:val="0"/>
              <w:adjustRightInd w:val="0"/>
              <w:snapToGrid w:val="0"/>
              <w:spacing w:line="360" w:lineRule="auto"/>
              <w:ind w:left="0" w:leftChars="0" w:right="0" w:rightChars="0" w:firstLine="0" w:firstLineChars="0"/>
              <w:jc w:val="center"/>
              <w:textAlignment w:val="auto"/>
              <w:outlineLvl w:val="9"/>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银行地址</w:t>
            </w:r>
          </w:p>
        </w:tc>
      </w:tr>
      <w:tr w14:paraId="51B68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3" w:hRule="atLeast"/>
        </w:trPr>
        <w:tc>
          <w:tcPr>
            <w:tcW w:w="390" w:type="dxa"/>
            <w:vAlign w:val="center"/>
          </w:tcPr>
          <w:p w14:paraId="5B3724A8">
            <w:pPr>
              <w:keepNext w:val="0"/>
              <w:keepLines w:val="0"/>
              <w:pageBreakBefore w:val="0"/>
              <w:widowControl/>
              <w:suppressLineNumbers w:val="0"/>
              <w:kinsoku/>
              <w:wordWrap/>
              <w:overflowPunct/>
              <w:topLinePunct w:val="0"/>
              <w:autoSpaceDE/>
              <w:autoSpaceDN/>
              <w:bidi w:val="0"/>
              <w:spacing w:line="360" w:lineRule="auto"/>
              <w:ind w:left="0" w:leftChars="0" w:right="0" w:rightChars="0" w:firstLine="0" w:firstLineChars="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color w:val="auto"/>
                <w:kern w:val="0"/>
                <w:sz w:val="21"/>
                <w:szCs w:val="21"/>
                <w:highlight w:val="none"/>
                <w:u w:val="none"/>
                <w:lang w:val="en-US" w:eastAsia="zh-CN" w:bidi="ar"/>
              </w:rPr>
              <w:t>1</w:t>
            </w:r>
          </w:p>
        </w:tc>
        <w:tc>
          <w:tcPr>
            <w:tcW w:w="2969" w:type="dxa"/>
            <w:vAlign w:val="center"/>
          </w:tcPr>
          <w:p w14:paraId="22A6825B">
            <w:pPr>
              <w:keepNext w:val="0"/>
              <w:keepLines w:val="0"/>
              <w:pageBreakBefore w:val="0"/>
              <w:widowControl/>
              <w:suppressLineNumbers w:val="0"/>
              <w:kinsoku/>
              <w:wordWrap/>
              <w:overflowPunct/>
              <w:topLinePunct w:val="0"/>
              <w:autoSpaceDE/>
              <w:autoSpaceDN/>
              <w:bidi w:val="0"/>
              <w:spacing w:line="360" w:lineRule="auto"/>
              <w:ind w:left="0" w:leftChars="0" w:right="0" w:rightChars="0" w:firstLine="0" w:firstLineChars="0"/>
              <w:jc w:val="left"/>
              <w:textAlignment w:val="center"/>
              <w:rPr>
                <w:rFonts w:hint="eastAsia" w:ascii="宋体" w:hAnsi="宋体" w:eastAsia="宋体" w:cs="宋体"/>
                <w:i w:val="0"/>
                <w:iCs w:val="0"/>
                <w:color w:val="auto"/>
                <w:sz w:val="21"/>
                <w:szCs w:val="21"/>
                <w:highlight w:val="none"/>
                <w:u w:val="none"/>
                <w:lang w:val="en-US" w:eastAsia="zh-CN" w:bidi="ar-SA"/>
              </w:rPr>
            </w:pPr>
            <w:r>
              <w:rPr>
                <w:rFonts w:hint="eastAsia" w:ascii="宋体" w:hAnsi="宋体" w:eastAsia="宋体" w:cs="宋体"/>
                <w:i w:val="0"/>
                <w:color w:val="auto"/>
                <w:kern w:val="0"/>
                <w:sz w:val="21"/>
                <w:szCs w:val="21"/>
                <w:highlight w:val="none"/>
                <w:u w:val="none"/>
                <w:lang w:val="en-US" w:eastAsia="zh-CN" w:bidi="ar"/>
              </w:rPr>
              <w:t>中国建设银行贺州分行营业部</w:t>
            </w:r>
          </w:p>
        </w:tc>
        <w:tc>
          <w:tcPr>
            <w:tcW w:w="954" w:type="dxa"/>
            <w:vAlign w:val="center"/>
          </w:tcPr>
          <w:p w14:paraId="718E2B21">
            <w:pPr>
              <w:keepNext w:val="0"/>
              <w:keepLines w:val="0"/>
              <w:pageBreakBefore w:val="0"/>
              <w:widowControl/>
              <w:suppressLineNumbers w:val="0"/>
              <w:kinsoku/>
              <w:wordWrap/>
              <w:overflowPunct/>
              <w:topLinePunct w:val="0"/>
              <w:autoSpaceDE/>
              <w:autoSpaceDN/>
              <w:bidi w:val="0"/>
              <w:spacing w:line="360" w:lineRule="auto"/>
              <w:ind w:left="0" w:leftChars="0" w:right="0" w:rightChars="0" w:firstLine="0" w:firstLineChars="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color w:val="auto"/>
                <w:kern w:val="0"/>
                <w:sz w:val="21"/>
                <w:szCs w:val="21"/>
                <w:highlight w:val="none"/>
                <w:u w:val="none"/>
                <w:lang w:val="en-US" w:eastAsia="zh-CN" w:bidi="ar"/>
              </w:rPr>
              <w:t>刘  雍</w:t>
            </w:r>
          </w:p>
        </w:tc>
        <w:tc>
          <w:tcPr>
            <w:tcW w:w="1125" w:type="dxa"/>
            <w:vAlign w:val="center"/>
          </w:tcPr>
          <w:p w14:paraId="3A271EFC">
            <w:pPr>
              <w:keepNext w:val="0"/>
              <w:keepLines w:val="0"/>
              <w:pageBreakBefore w:val="0"/>
              <w:widowControl/>
              <w:suppressLineNumbers w:val="0"/>
              <w:kinsoku/>
              <w:wordWrap/>
              <w:overflowPunct/>
              <w:topLinePunct w:val="0"/>
              <w:autoSpaceDE/>
              <w:autoSpaceDN/>
              <w:bidi w:val="0"/>
              <w:spacing w:line="360" w:lineRule="auto"/>
              <w:ind w:left="0" w:leftChars="0" w:right="0" w:rightChars="0" w:firstLine="0" w:firstLineChars="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color w:val="auto"/>
                <w:kern w:val="0"/>
                <w:sz w:val="21"/>
                <w:szCs w:val="21"/>
                <w:highlight w:val="none"/>
                <w:u w:val="none"/>
                <w:lang w:val="en-US" w:eastAsia="zh-CN" w:bidi="ar"/>
              </w:rPr>
              <w:t>客户经理</w:t>
            </w:r>
          </w:p>
        </w:tc>
        <w:tc>
          <w:tcPr>
            <w:tcW w:w="1537" w:type="dxa"/>
            <w:vAlign w:val="center"/>
          </w:tcPr>
          <w:p w14:paraId="1C596693">
            <w:pPr>
              <w:keepNext w:val="0"/>
              <w:keepLines w:val="0"/>
              <w:pageBreakBefore w:val="0"/>
              <w:widowControl/>
              <w:suppressLineNumbers w:val="0"/>
              <w:kinsoku/>
              <w:wordWrap/>
              <w:overflowPunct/>
              <w:topLinePunct w:val="0"/>
              <w:autoSpaceDE/>
              <w:autoSpaceDN/>
              <w:bidi w:val="0"/>
              <w:spacing w:line="360" w:lineRule="auto"/>
              <w:ind w:left="0" w:leftChars="0" w:right="0" w:rightChars="0" w:firstLine="0" w:firstLineChars="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color w:val="auto"/>
                <w:kern w:val="0"/>
                <w:sz w:val="21"/>
                <w:szCs w:val="21"/>
                <w:highlight w:val="none"/>
                <w:u w:val="none"/>
                <w:lang w:val="en-US" w:eastAsia="zh-CN" w:bidi="ar"/>
              </w:rPr>
              <w:t>18778943521</w:t>
            </w:r>
          </w:p>
        </w:tc>
        <w:tc>
          <w:tcPr>
            <w:tcW w:w="2625" w:type="dxa"/>
            <w:vAlign w:val="center"/>
          </w:tcPr>
          <w:p w14:paraId="17EDFCE9">
            <w:pPr>
              <w:keepNext w:val="0"/>
              <w:keepLines w:val="0"/>
              <w:pageBreakBefore w:val="0"/>
              <w:widowControl/>
              <w:suppressLineNumbers w:val="0"/>
              <w:kinsoku/>
              <w:wordWrap/>
              <w:overflowPunct/>
              <w:topLinePunct w:val="0"/>
              <w:autoSpaceDE/>
              <w:autoSpaceDN/>
              <w:bidi w:val="0"/>
              <w:spacing w:line="360" w:lineRule="auto"/>
              <w:ind w:left="0" w:leftChars="0" w:right="0" w:rightChars="0" w:firstLine="0" w:firstLineChars="0"/>
              <w:jc w:val="left"/>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贺州市八步区建设中路1号</w:t>
            </w:r>
          </w:p>
        </w:tc>
      </w:tr>
      <w:tr w14:paraId="4558E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8" w:hRule="atLeast"/>
        </w:trPr>
        <w:tc>
          <w:tcPr>
            <w:tcW w:w="390" w:type="dxa"/>
            <w:vAlign w:val="center"/>
          </w:tcPr>
          <w:p w14:paraId="1F1BD67C">
            <w:pPr>
              <w:keepNext w:val="0"/>
              <w:keepLines w:val="0"/>
              <w:pageBreakBefore w:val="0"/>
              <w:widowControl/>
              <w:suppressLineNumbers w:val="0"/>
              <w:kinsoku/>
              <w:wordWrap/>
              <w:overflowPunct/>
              <w:topLinePunct w:val="0"/>
              <w:autoSpaceDE/>
              <w:autoSpaceDN/>
              <w:bidi w:val="0"/>
              <w:spacing w:line="360" w:lineRule="auto"/>
              <w:ind w:left="0" w:leftChars="0" w:right="0" w:rightChars="0" w:firstLine="0" w:firstLineChars="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2</w:t>
            </w:r>
          </w:p>
        </w:tc>
        <w:tc>
          <w:tcPr>
            <w:tcW w:w="2969" w:type="dxa"/>
            <w:vAlign w:val="center"/>
          </w:tcPr>
          <w:p w14:paraId="18DF7DB9">
            <w:pPr>
              <w:keepNext w:val="0"/>
              <w:keepLines w:val="0"/>
              <w:pageBreakBefore w:val="0"/>
              <w:widowControl/>
              <w:suppressLineNumbers w:val="0"/>
              <w:kinsoku/>
              <w:wordWrap/>
              <w:overflowPunct/>
              <w:topLinePunct w:val="0"/>
              <w:autoSpaceDE/>
              <w:autoSpaceDN/>
              <w:bidi w:val="0"/>
              <w:spacing w:line="360" w:lineRule="auto"/>
              <w:ind w:left="0" w:leftChars="0" w:right="0" w:rightChars="0" w:firstLine="0" w:firstLineChars="0"/>
              <w:jc w:val="left"/>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中国建设银行贺州城东支行</w:t>
            </w:r>
          </w:p>
        </w:tc>
        <w:tc>
          <w:tcPr>
            <w:tcW w:w="954" w:type="dxa"/>
            <w:vAlign w:val="center"/>
          </w:tcPr>
          <w:p w14:paraId="0715C13A">
            <w:pPr>
              <w:keepNext w:val="0"/>
              <w:keepLines w:val="0"/>
              <w:pageBreakBefore w:val="0"/>
              <w:widowControl/>
              <w:suppressLineNumbers w:val="0"/>
              <w:kinsoku/>
              <w:wordWrap/>
              <w:overflowPunct/>
              <w:topLinePunct w:val="0"/>
              <w:autoSpaceDE/>
              <w:autoSpaceDN/>
              <w:bidi w:val="0"/>
              <w:spacing w:line="360" w:lineRule="auto"/>
              <w:ind w:left="0" w:leftChars="0" w:right="0" w:rightChars="0" w:firstLine="0" w:firstLineChars="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刘昭勇</w:t>
            </w:r>
          </w:p>
        </w:tc>
        <w:tc>
          <w:tcPr>
            <w:tcW w:w="1125" w:type="dxa"/>
            <w:vAlign w:val="center"/>
          </w:tcPr>
          <w:p w14:paraId="6CD7CF17">
            <w:pPr>
              <w:keepNext w:val="0"/>
              <w:keepLines w:val="0"/>
              <w:pageBreakBefore w:val="0"/>
              <w:widowControl/>
              <w:suppressLineNumbers w:val="0"/>
              <w:kinsoku/>
              <w:wordWrap/>
              <w:overflowPunct/>
              <w:topLinePunct w:val="0"/>
              <w:autoSpaceDE/>
              <w:autoSpaceDN/>
              <w:bidi w:val="0"/>
              <w:spacing w:line="360" w:lineRule="auto"/>
              <w:ind w:left="0" w:leftChars="0" w:right="0" w:rightChars="0" w:firstLine="0" w:firstLineChars="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客户经理</w:t>
            </w:r>
          </w:p>
        </w:tc>
        <w:tc>
          <w:tcPr>
            <w:tcW w:w="1537" w:type="dxa"/>
            <w:vAlign w:val="center"/>
          </w:tcPr>
          <w:p w14:paraId="7ABAAE12">
            <w:pPr>
              <w:keepNext w:val="0"/>
              <w:keepLines w:val="0"/>
              <w:pageBreakBefore w:val="0"/>
              <w:widowControl/>
              <w:suppressLineNumbers w:val="0"/>
              <w:kinsoku/>
              <w:wordWrap/>
              <w:overflowPunct/>
              <w:topLinePunct w:val="0"/>
              <w:autoSpaceDE/>
              <w:autoSpaceDN/>
              <w:bidi w:val="0"/>
              <w:spacing w:line="360" w:lineRule="auto"/>
              <w:ind w:left="0" w:leftChars="0" w:right="0" w:rightChars="0" w:firstLine="0" w:firstLineChars="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18877499257</w:t>
            </w:r>
          </w:p>
        </w:tc>
        <w:tc>
          <w:tcPr>
            <w:tcW w:w="2625" w:type="dxa"/>
            <w:vAlign w:val="center"/>
          </w:tcPr>
          <w:p w14:paraId="043CA6DB">
            <w:pPr>
              <w:keepNext w:val="0"/>
              <w:keepLines w:val="0"/>
              <w:pageBreakBefore w:val="0"/>
              <w:widowControl/>
              <w:suppressLineNumbers w:val="0"/>
              <w:kinsoku/>
              <w:wordWrap/>
              <w:overflowPunct/>
              <w:topLinePunct w:val="0"/>
              <w:autoSpaceDE/>
              <w:autoSpaceDN/>
              <w:bidi w:val="0"/>
              <w:spacing w:line="360" w:lineRule="auto"/>
              <w:ind w:left="0" w:leftChars="0" w:right="0" w:rightChars="0" w:firstLine="0" w:firstLineChars="0"/>
              <w:jc w:val="left"/>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贺州市八步区平安西路266号贺州广场购物中心1号楼一层东面</w:t>
            </w:r>
          </w:p>
        </w:tc>
      </w:tr>
      <w:tr w14:paraId="2849F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8" w:hRule="atLeast"/>
        </w:trPr>
        <w:tc>
          <w:tcPr>
            <w:tcW w:w="390" w:type="dxa"/>
            <w:vAlign w:val="center"/>
          </w:tcPr>
          <w:p w14:paraId="03FCB437">
            <w:pPr>
              <w:keepNext w:val="0"/>
              <w:keepLines w:val="0"/>
              <w:pageBreakBefore w:val="0"/>
              <w:widowControl/>
              <w:suppressLineNumbers w:val="0"/>
              <w:kinsoku/>
              <w:wordWrap/>
              <w:overflowPunct/>
              <w:topLinePunct w:val="0"/>
              <w:autoSpaceDE/>
              <w:autoSpaceDN/>
              <w:bidi w:val="0"/>
              <w:spacing w:line="360" w:lineRule="auto"/>
              <w:ind w:left="0" w:leftChars="0" w:right="0" w:rightChars="0" w:firstLine="0" w:firstLineChars="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3</w:t>
            </w:r>
          </w:p>
        </w:tc>
        <w:tc>
          <w:tcPr>
            <w:tcW w:w="2969" w:type="dxa"/>
            <w:vAlign w:val="center"/>
          </w:tcPr>
          <w:p w14:paraId="11389EB3">
            <w:pPr>
              <w:keepNext w:val="0"/>
              <w:keepLines w:val="0"/>
              <w:pageBreakBefore w:val="0"/>
              <w:widowControl/>
              <w:suppressLineNumbers w:val="0"/>
              <w:kinsoku/>
              <w:wordWrap/>
              <w:overflowPunct/>
              <w:topLinePunct w:val="0"/>
              <w:autoSpaceDE/>
              <w:autoSpaceDN/>
              <w:bidi w:val="0"/>
              <w:spacing w:line="360" w:lineRule="auto"/>
              <w:ind w:left="0" w:leftChars="0" w:right="0" w:rightChars="0" w:firstLine="0" w:firstLineChars="0"/>
              <w:jc w:val="left"/>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中国建设银行贺州城西支行</w:t>
            </w:r>
          </w:p>
        </w:tc>
        <w:tc>
          <w:tcPr>
            <w:tcW w:w="954" w:type="dxa"/>
            <w:vAlign w:val="center"/>
          </w:tcPr>
          <w:p w14:paraId="3F804B70">
            <w:pPr>
              <w:keepNext w:val="0"/>
              <w:keepLines w:val="0"/>
              <w:pageBreakBefore w:val="0"/>
              <w:widowControl/>
              <w:suppressLineNumbers w:val="0"/>
              <w:kinsoku/>
              <w:wordWrap/>
              <w:overflowPunct/>
              <w:topLinePunct w:val="0"/>
              <w:autoSpaceDE/>
              <w:autoSpaceDN/>
              <w:bidi w:val="0"/>
              <w:spacing w:line="360" w:lineRule="auto"/>
              <w:ind w:left="0" w:leftChars="0" w:right="0" w:rightChars="0" w:firstLine="0" w:firstLineChars="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于丛家</w:t>
            </w:r>
          </w:p>
        </w:tc>
        <w:tc>
          <w:tcPr>
            <w:tcW w:w="1125" w:type="dxa"/>
            <w:vAlign w:val="center"/>
          </w:tcPr>
          <w:p w14:paraId="5D9CEB03">
            <w:pPr>
              <w:keepNext w:val="0"/>
              <w:keepLines w:val="0"/>
              <w:pageBreakBefore w:val="0"/>
              <w:widowControl/>
              <w:suppressLineNumbers w:val="0"/>
              <w:kinsoku/>
              <w:wordWrap/>
              <w:overflowPunct/>
              <w:topLinePunct w:val="0"/>
              <w:autoSpaceDE/>
              <w:autoSpaceDN/>
              <w:bidi w:val="0"/>
              <w:spacing w:line="360" w:lineRule="auto"/>
              <w:ind w:left="0" w:leftChars="0" w:right="0" w:rightChars="0" w:firstLine="0" w:firstLineChars="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客户经理</w:t>
            </w:r>
          </w:p>
        </w:tc>
        <w:tc>
          <w:tcPr>
            <w:tcW w:w="1537" w:type="dxa"/>
            <w:vAlign w:val="center"/>
          </w:tcPr>
          <w:p w14:paraId="44648744">
            <w:pPr>
              <w:keepNext w:val="0"/>
              <w:keepLines w:val="0"/>
              <w:pageBreakBefore w:val="0"/>
              <w:widowControl/>
              <w:suppressLineNumbers w:val="0"/>
              <w:kinsoku/>
              <w:wordWrap/>
              <w:overflowPunct/>
              <w:topLinePunct w:val="0"/>
              <w:autoSpaceDE/>
              <w:autoSpaceDN/>
              <w:bidi w:val="0"/>
              <w:spacing w:line="360" w:lineRule="auto"/>
              <w:ind w:left="0" w:leftChars="0" w:right="0" w:rightChars="0" w:firstLine="0" w:firstLineChars="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15177666737</w:t>
            </w:r>
          </w:p>
        </w:tc>
        <w:tc>
          <w:tcPr>
            <w:tcW w:w="2625" w:type="dxa"/>
            <w:vAlign w:val="center"/>
          </w:tcPr>
          <w:p w14:paraId="702250E9">
            <w:pPr>
              <w:keepNext w:val="0"/>
              <w:keepLines w:val="0"/>
              <w:pageBreakBefore w:val="0"/>
              <w:widowControl/>
              <w:suppressLineNumbers w:val="0"/>
              <w:kinsoku/>
              <w:wordWrap/>
              <w:overflowPunct/>
              <w:topLinePunct w:val="0"/>
              <w:autoSpaceDE/>
              <w:autoSpaceDN/>
              <w:bidi w:val="0"/>
              <w:spacing w:line="360" w:lineRule="auto"/>
              <w:ind w:left="0" w:leftChars="0" w:right="0" w:rightChars="0" w:firstLine="0" w:firstLineChars="0"/>
              <w:jc w:val="left"/>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贺州市八步区八达西路689号1栋11号商铺</w:t>
            </w:r>
          </w:p>
        </w:tc>
      </w:tr>
      <w:tr w14:paraId="56DEC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8" w:hRule="atLeast"/>
        </w:trPr>
        <w:tc>
          <w:tcPr>
            <w:tcW w:w="390" w:type="dxa"/>
            <w:vAlign w:val="center"/>
          </w:tcPr>
          <w:p w14:paraId="0F8BB847">
            <w:pPr>
              <w:keepNext w:val="0"/>
              <w:keepLines w:val="0"/>
              <w:pageBreakBefore w:val="0"/>
              <w:widowControl/>
              <w:suppressLineNumbers w:val="0"/>
              <w:kinsoku/>
              <w:wordWrap/>
              <w:overflowPunct/>
              <w:topLinePunct w:val="0"/>
              <w:autoSpaceDE/>
              <w:autoSpaceDN/>
              <w:bidi w:val="0"/>
              <w:spacing w:line="360" w:lineRule="auto"/>
              <w:ind w:left="0" w:leftChars="0" w:right="0" w:rightChars="0" w:firstLine="0" w:firstLineChars="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4</w:t>
            </w:r>
          </w:p>
        </w:tc>
        <w:tc>
          <w:tcPr>
            <w:tcW w:w="2969" w:type="dxa"/>
            <w:vAlign w:val="center"/>
          </w:tcPr>
          <w:p w14:paraId="409C741F">
            <w:pPr>
              <w:keepNext w:val="0"/>
              <w:keepLines w:val="0"/>
              <w:pageBreakBefore w:val="0"/>
              <w:widowControl/>
              <w:suppressLineNumbers w:val="0"/>
              <w:kinsoku/>
              <w:wordWrap/>
              <w:overflowPunct/>
              <w:topLinePunct w:val="0"/>
              <w:autoSpaceDE/>
              <w:autoSpaceDN/>
              <w:bidi w:val="0"/>
              <w:spacing w:line="360" w:lineRule="auto"/>
              <w:ind w:left="0" w:leftChars="0" w:right="0" w:rightChars="0" w:firstLine="0" w:firstLineChars="0"/>
              <w:jc w:val="left"/>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中国建设银行贺州平桂支行</w:t>
            </w:r>
          </w:p>
        </w:tc>
        <w:tc>
          <w:tcPr>
            <w:tcW w:w="954" w:type="dxa"/>
            <w:vAlign w:val="center"/>
          </w:tcPr>
          <w:p w14:paraId="0BABAD91">
            <w:pPr>
              <w:keepNext w:val="0"/>
              <w:keepLines w:val="0"/>
              <w:pageBreakBefore w:val="0"/>
              <w:widowControl/>
              <w:suppressLineNumbers w:val="0"/>
              <w:kinsoku/>
              <w:wordWrap/>
              <w:overflowPunct/>
              <w:topLinePunct w:val="0"/>
              <w:autoSpaceDE/>
              <w:autoSpaceDN/>
              <w:bidi w:val="0"/>
              <w:spacing w:line="360" w:lineRule="auto"/>
              <w:ind w:left="0" w:leftChars="0" w:right="0" w:rightChars="0" w:firstLine="0" w:firstLineChars="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邱  伟</w:t>
            </w:r>
          </w:p>
        </w:tc>
        <w:tc>
          <w:tcPr>
            <w:tcW w:w="1125" w:type="dxa"/>
            <w:vAlign w:val="center"/>
          </w:tcPr>
          <w:p w14:paraId="290F1F89">
            <w:pPr>
              <w:keepNext w:val="0"/>
              <w:keepLines w:val="0"/>
              <w:pageBreakBefore w:val="0"/>
              <w:widowControl/>
              <w:suppressLineNumbers w:val="0"/>
              <w:kinsoku/>
              <w:wordWrap/>
              <w:overflowPunct/>
              <w:topLinePunct w:val="0"/>
              <w:autoSpaceDE/>
              <w:autoSpaceDN/>
              <w:bidi w:val="0"/>
              <w:spacing w:line="360" w:lineRule="auto"/>
              <w:ind w:left="0" w:leftChars="0" w:right="0" w:rightChars="0" w:firstLine="0" w:firstLineChars="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客户经理</w:t>
            </w:r>
          </w:p>
        </w:tc>
        <w:tc>
          <w:tcPr>
            <w:tcW w:w="1537" w:type="dxa"/>
            <w:vAlign w:val="center"/>
          </w:tcPr>
          <w:p w14:paraId="6C117DC7">
            <w:pPr>
              <w:keepNext w:val="0"/>
              <w:keepLines w:val="0"/>
              <w:pageBreakBefore w:val="0"/>
              <w:widowControl/>
              <w:suppressLineNumbers w:val="0"/>
              <w:kinsoku/>
              <w:wordWrap/>
              <w:overflowPunct/>
              <w:topLinePunct w:val="0"/>
              <w:autoSpaceDE/>
              <w:autoSpaceDN/>
              <w:bidi w:val="0"/>
              <w:spacing w:line="360" w:lineRule="auto"/>
              <w:ind w:left="0" w:leftChars="0" w:right="0" w:rightChars="0" w:firstLine="0" w:firstLineChars="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18007840720</w:t>
            </w:r>
          </w:p>
        </w:tc>
        <w:tc>
          <w:tcPr>
            <w:tcW w:w="2625" w:type="dxa"/>
            <w:vAlign w:val="center"/>
          </w:tcPr>
          <w:p w14:paraId="707C73D9">
            <w:pPr>
              <w:keepNext w:val="0"/>
              <w:keepLines w:val="0"/>
              <w:pageBreakBefore w:val="0"/>
              <w:widowControl/>
              <w:suppressLineNumbers w:val="0"/>
              <w:kinsoku/>
              <w:wordWrap/>
              <w:overflowPunct/>
              <w:topLinePunct w:val="0"/>
              <w:autoSpaceDE/>
              <w:autoSpaceDN/>
              <w:bidi w:val="0"/>
              <w:spacing w:line="360" w:lineRule="auto"/>
              <w:ind w:left="0" w:leftChars="0" w:right="0" w:rightChars="0" w:firstLine="0" w:firstLineChars="0"/>
              <w:jc w:val="left"/>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贺州市平桂区平桂大道15号富旺小区1号楼105号商铺</w:t>
            </w:r>
          </w:p>
        </w:tc>
      </w:tr>
      <w:tr w14:paraId="46501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8" w:hRule="atLeast"/>
        </w:trPr>
        <w:tc>
          <w:tcPr>
            <w:tcW w:w="390" w:type="dxa"/>
            <w:vAlign w:val="center"/>
          </w:tcPr>
          <w:p w14:paraId="7FA7B591">
            <w:pPr>
              <w:keepNext w:val="0"/>
              <w:keepLines w:val="0"/>
              <w:pageBreakBefore w:val="0"/>
              <w:widowControl/>
              <w:suppressLineNumbers w:val="0"/>
              <w:kinsoku/>
              <w:wordWrap/>
              <w:overflowPunct/>
              <w:topLinePunct w:val="0"/>
              <w:autoSpaceDE/>
              <w:autoSpaceDN/>
              <w:bidi w:val="0"/>
              <w:spacing w:line="360" w:lineRule="auto"/>
              <w:ind w:left="0" w:leftChars="0" w:right="0" w:rightChars="0" w:firstLine="0" w:firstLineChars="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5</w:t>
            </w:r>
          </w:p>
        </w:tc>
        <w:tc>
          <w:tcPr>
            <w:tcW w:w="2969" w:type="dxa"/>
            <w:vAlign w:val="center"/>
          </w:tcPr>
          <w:p w14:paraId="7017A778">
            <w:pPr>
              <w:keepNext w:val="0"/>
              <w:keepLines w:val="0"/>
              <w:pageBreakBefore w:val="0"/>
              <w:widowControl/>
              <w:suppressLineNumbers w:val="0"/>
              <w:kinsoku/>
              <w:wordWrap/>
              <w:overflowPunct/>
              <w:topLinePunct w:val="0"/>
              <w:autoSpaceDE/>
              <w:autoSpaceDN/>
              <w:bidi w:val="0"/>
              <w:spacing w:line="360" w:lineRule="auto"/>
              <w:ind w:left="0" w:leftChars="0" w:right="0" w:rightChars="0" w:firstLine="0" w:firstLineChars="0"/>
              <w:jc w:val="left"/>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中国建设银行钟山支行</w:t>
            </w:r>
          </w:p>
        </w:tc>
        <w:tc>
          <w:tcPr>
            <w:tcW w:w="954" w:type="dxa"/>
            <w:vAlign w:val="center"/>
          </w:tcPr>
          <w:p w14:paraId="016AF348">
            <w:pPr>
              <w:keepNext w:val="0"/>
              <w:keepLines w:val="0"/>
              <w:pageBreakBefore w:val="0"/>
              <w:widowControl/>
              <w:suppressLineNumbers w:val="0"/>
              <w:kinsoku/>
              <w:wordWrap/>
              <w:overflowPunct/>
              <w:topLinePunct w:val="0"/>
              <w:autoSpaceDE/>
              <w:autoSpaceDN/>
              <w:bidi w:val="0"/>
              <w:spacing w:line="360" w:lineRule="auto"/>
              <w:ind w:left="0" w:leftChars="0" w:right="0" w:rightChars="0" w:firstLine="0" w:firstLineChars="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张文韬</w:t>
            </w:r>
          </w:p>
        </w:tc>
        <w:tc>
          <w:tcPr>
            <w:tcW w:w="1125" w:type="dxa"/>
            <w:vAlign w:val="center"/>
          </w:tcPr>
          <w:p w14:paraId="6E3E1FB6">
            <w:pPr>
              <w:keepNext w:val="0"/>
              <w:keepLines w:val="0"/>
              <w:pageBreakBefore w:val="0"/>
              <w:widowControl/>
              <w:suppressLineNumbers w:val="0"/>
              <w:kinsoku/>
              <w:wordWrap/>
              <w:overflowPunct/>
              <w:topLinePunct w:val="0"/>
              <w:autoSpaceDE/>
              <w:autoSpaceDN/>
              <w:bidi w:val="0"/>
              <w:spacing w:line="360" w:lineRule="auto"/>
              <w:ind w:left="0" w:leftChars="0" w:right="0" w:rightChars="0" w:firstLine="0" w:firstLineChars="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客户经理</w:t>
            </w:r>
          </w:p>
        </w:tc>
        <w:tc>
          <w:tcPr>
            <w:tcW w:w="1537" w:type="dxa"/>
            <w:vAlign w:val="center"/>
          </w:tcPr>
          <w:p w14:paraId="0CA61E11">
            <w:pPr>
              <w:keepNext w:val="0"/>
              <w:keepLines w:val="0"/>
              <w:pageBreakBefore w:val="0"/>
              <w:widowControl/>
              <w:suppressLineNumbers w:val="0"/>
              <w:kinsoku/>
              <w:wordWrap/>
              <w:overflowPunct/>
              <w:topLinePunct w:val="0"/>
              <w:autoSpaceDE/>
              <w:autoSpaceDN/>
              <w:bidi w:val="0"/>
              <w:spacing w:line="360" w:lineRule="auto"/>
              <w:ind w:left="0" w:leftChars="0" w:right="0" w:rightChars="0" w:firstLine="0" w:firstLineChars="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13047836009</w:t>
            </w:r>
          </w:p>
        </w:tc>
        <w:tc>
          <w:tcPr>
            <w:tcW w:w="2625" w:type="dxa"/>
            <w:vAlign w:val="center"/>
          </w:tcPr>
          <w:p w14:paraId="14083FD4">
            <w:pPr>
              <w:keepNext w:val="0"/>
              <w:keepLines w:val="0"/>
              <w:pageBreakBefore w:val="0"/>
              <w:widowControl/>
              <w:suppressLineNumbers w:val="0"/>
              <w:kinsoku/>
              <w:wordWrap/>
              <w:overflowPunct/>
              <w:topLinePunct w:val="0"/>
              <w:autoSpaceDE/>
              <w:autoSpaceDN/>
              <w:bidi w:val="0"/>
              <w:spacing w:line="360" w:lineRule="auto"/>
              <w:ind w:left="0" w:leftChars="0" w:right="0" w:rightChars="0" w:firstLine="0" w:firstLineChars="0"/>
              <w:jc w:val="left"/>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贺州市钟山县城书香西路南侧</w:t>
            </w:r>
          </w:p>
        </w:tc>
      </w:tr>
      <w:tr w14:paraId="5491C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8" w:hRule="atLeast"/>
        </w:trPr>
        <w:tc>
          <w:tcPr>
            <w:tcW w:w="390" w:type="dxa"/>
            <w:vAlign w:val="center"/>
          </w:tcPr>
          <w:p w14:paraId="3FF88FAE">
            <w:pPr>
              <w:keepNext w:val="0"/>
              <w:keepLines w:val="0"/>
              <w:pageBreakBefore w:val="0"/>
              <w:widowControl/>
              <w:suppressLineNumbers w:val="0"/>
              <w:kinsoku/>
              <w:wordWrap/>
              <w:overflowPunct/>
              <w:topLinePunct w:val="0"/>
              <w:autoSpaceDE/>
              <w:autoSpaceDN/>
              <w:bidi w:val="0"/>
              <w:spacing w:line="360" w:lineRule="auto"/>
              <w:ind w:left="0" w:leftChars="0" w:right="0" w:rightChars="0" w:firstLine="0" w:firstLineChars="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6</w:t>
            </w:r>
          </w:p>
        </w:tc>
        <w:tc>
          <w:tcPr>
            <w:tcW w:w="2969" w:type="dxa"/>
            <w:vAlign w:val="center"/>
          </w:tcPr>
          <w:p w14:paraId="0489B881">
            <w:pPr>
              <w:keepNext w:val="0"/>
              <w:keepLines w:val="0"/>
              <w:pageBreakBefore w:val="0"/>
              <w:widowControl/>
              <w:suppressLineNumbers w:val="0"/>
              <w:kinsoku/>
              <w:wordWrap/>
              <w:overflowPunct/>
              <w:topLinePunct w:val="0"/>
              <w:autoSpaceDE/>
              <w:autoSpaceDN/>
              <w:bidi w:val="0"/>
              <w:spacing w:line="360" w:lineRule="auto"/>
              <w:ind w:left="0" w:leftChars="0" w:right="0" w:rightChars="0" w:firstLine="0" w:firstLineChars="0"/>
              <w:jc w:val="left"/>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中国建设银行富川支行</w:t>
            </w:r>
          </w:p>
        </w:tc>
        <w:tc>
          <w:tcPr>
            <w:tcW w:w="954" w:type="dxa"/>
            <w:vAlign w:val="center"/>
          </w:tcPr>
          <w:p w14:paraId="5F491755">
            <w:pPr>
              <w:keepNext w:val="0"/>
              <w:keepLines w:val="0"/>
              <w:pageBreakBefore w:val="0"/>
              <w:widowControl/>
              <w:suppressLineNumbers w:val="0"/>
              <w:kinsoku/>
              <w:wordWrap/>
              <w:overflowPunct/>
              <w:topLinePunct w:val="0"/>
              <w:autoSpaceDE/>
              <w:autoSpaceDN/>
              <w:bidi w:val="0"/>
              <w:spacing w:line="360" w:lineRule="auto"/>
              <w:ind w:left="0" w:leftChars="0" w:right="0" w:rightChars="0" w:firstLine="0" w:firstLineChars="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邓李杰</w:t>
            </w:r>
          </w:p>
        </w:tc>
        <w:tc>
          <w:tcPr>
            <w:tcW w:w="1125" w:type="dxa"/>
            <w:vAlign w:val="center"/>
          </w:tcPr>
          <w:p w14:paraId="30297172">
            <w:pPr>
              <w:keepNext w:val="0"/>
              <w:keepLines w:val="0"/>
              <w:pageBreakBefore w:val="0"/>
              <w:widowControl/>
              <w:suppressLineNumbers w:val="0"/>
              <w:kinsoku/>
              <w:wordWrap/>
              <w:overflowPunct/>
              <w:topLinePunct w:val="0"/>
              <w:autoSpaceDE/>
              <w:autoSpaceDN/>
              <w:bidi w:val="0"/>
              <w:spacing w:line="360" w:lineRule="auto"/>
              <w:ind w:left="0" w:leftChars="0" w:right="0" w:rightChars="0" w:firstLine="0" w:firstLineChars="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营业室总经理</w:t>
            </w:r>
          </w:p>
        </w:tc>
        <w:tc>
          <w:tcPr>
            <w:tcW w:w="1537" w:type="dxa"/>
            <w:vAlign w:val="center"/>
          </w:tcPr>
          <w:p w14:paraId="6E522940">
            <w:pPr>
              <w:keepNext w:val="0"/>
              <w:keepLines w:val="0"/>
              <w:pageBreakBefore w:val="0"/>
              <w:widowControl/>
              <w:suppressLineNumbers w:val="0"/>
              <w:kinsoku/>
              <w:wordWrap/>
              <w:overflowPunct/>
              <w:topLinePunct w:val="0"/>
              <w:autoSpaceDE/>
              <w:autoSpaceDN/>
              <w:bidi w:val="0"/>
              <w:spacing w:line="360" w:lineRule="auto"/>
              <w:ind w:left="0" w:leftChars="0" w:right="0" w:rightChars="0" w:firstLine="0" w:firstLineChars="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18276498401</w:t>
            </w:r>
          </w:p>
        </w:tc>
        <w:tc>
          <w:tcPr>
            <w:tcW w:w="2625" w:type="dxa"/>
            <w:vAlign w:val="center"/>
          </w:tcPr>
          <w:p w14:paraId="0A7F0906">
            <w:pPr>
              <w:keepNext w:val="0"/>
              <w:keepLines w:val="0"/>
              <w:pageBreakBefore w:val="0"/>
              <w:widowControl/>
              <w:suppressLineNumbers w:val="0"/>
              <w:kinsoku/>
              <w:wordWrap/>
              <w:overflowPunct/>
              <w:topLinePunct w:val="0"/>
              <w:autoSpaceDE/>
              <w:autoSpaceDN/>
              <w:bidi w:val="0"/>
              <w:spacing w:line="360" w:lineRule="auto"/>
              <w:ind w:left="0" w:leftChars="0" w:right="0" w:rightChars="0" w:firstLine="0" w:firstLineChars="0"/>
              <w:jc w:val="left"/>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贺州市富川瑶族自治县富阳镇凤凰路汇龙华府第13号楼</w:t>
            </w:r>
          </w:p>
        </w:tc>
      </w:tr>
      <w:tr w14:paraId="56321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8" w:hRule="atLeast"/>
        </w:trPr>
        <w:tc>
          <w:tcPr>
            <w:tcW w:w="390" w:type="dxa"/>
            <w:vAlign w:val="center"/>
          </w:tcPr>
          <w:p w14:paraId="30A739C9">
            <w:pPr>
              <w:keepNext w:val="0"/>
              <w:keepLines w:val="0"/>
              <w:pageBreakBefore w:val="0"/>
              <w:widowControl/>
              <w:suppressLineNumbers w:val="0"/>
              <w:kinsoku/>
              <w:wordWrap/>
              <w:overflowPunct/>
              <w:topLinePunct w:val="0"/>
              <w:autoSpaceDE/>
              <w:autoSpaceDN/>
              <w:bidi w:val="0"/>
              <w:spacing w:line="360" w:lineRule="auto"/>
              <w:ind w:left="0" w:leftChars="0" w:right="0" w:rightChars="0" w:firstLine="0" w:firstLineChars="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7</w:t>
            </w:r>
          </w:p>
        </w:tc>
        <w:tc>
          <w:tcPr>
            <w:tcW w:w="2969" w:type="dxa"/>
            <w:vAlign w:val="center"/>
          </w:tcPr>
          <w:p w14:paraId="6167107D">
            <w:pPr>
              <w:keepNext w:val="0"/>
              <w:keepLines w:val="0"/>
              <w:pageBreakBefore w:val="0"/>
              <w:widowControl/>
              <w:suppressLineNumbers w:val="0"/>
              <w:kinsoku/>
              <w:wordWrap/>
              <w:overflowPunct/>
              <w:topLinePunct w:val="0"/>
              <w:autoSpaceDE/>
              <w:autoSpaceDN/>
              <w:bidi w:val="0"/>
              <w:spacing w:line="360" w:lineRule="auto"/>
              <w:ind w:left="0" w:leftChars="0" w:right="0" w:rightChars="0" w:firstLine="0" w:firstLineChars="0"/>
              <w:jc w:val="left"/>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中国建设银行昭平支行</w:t>
            </w:r>
          </w:p>
        </w:tc>
        <w:tc>
          <w:tcPr>
            <w:tcW w:w="954" w:type="dxa"/>
            <w:vAlign w:val="center"/>
          </w:tcPr>
          <w:p w14:paraId="46506053">
            <w:pPr>
              <w:keepNext w:val="0"/>
              <w:keepLines w:val="0"/>
              <w:pageBreakBefore w:val="0"/>
              <w:widowControl/>
              <w:suppressLineNumbers w:val="0"/>
              <w:kinsoku/>
              <w:wordWrap/>
              <w:overflowPunct/>
              <w:topLinePunct w:val="0"/>
              <w:autoSpaceDE/>
              <w:autoSpaceDN/>
              <w:bidi w:val="0"/>
              <w:spacing w:line="360" w:lineRule="auto"/>
              <w:ind w:left="0" w:leftChars="0" w:right="0" w:rightChars="0" w:firstLine="0" w:firstLineChars="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贝晟延</w:t>
            </w:r>
          </w:p>
        </w:tc>
        <w:tc>
          <w:tcPr>
            <w:tcW w:w="1125" w:type="dxa"/>
            <w:vAlign w:val="center"/>
          </w:tcPr>
          <w:p w14:paraId="179A27F1">
            <w:pPr>
              <w:keepNext w:val="0"/>
              <w:keepLines w:val="0"/>
              <w:pageBreakBefore w:val="0"/>
              <w:widowControl/>
              <w:suppressLineNumbers w:val="0"/>
              <w:kinsoku/>
              <w:wordWrap/>
              <w:overflowPunct/>
              <w:topLinePunct w:val="0"/>
              <w:autoSpaceDE/>
              <w:autoSpaceDN/>
              <w:bidi w:val="0"/>
              <w:spacing w:line="360" w:lineRule="auto"/>
              <w:ind w:left="0" w:leftChars="0" w:right="0" w:rightChars="0" w:firstLine="0" w:firstLineChars="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客户经理</w:t>
            </w:r>
          </w:p>
        </w:tc>
        <w:tc>
          <w:tcPr>
            <w:tcW w:w="1537" w:type="dxa"/>
            <w:vAlign w:val="center"/>
          </w:tcPr>
          <w:p w14:paraId="7C5DB69B">
            <w:pPr>
              <w:keepNext w:val="0"/>
              <w:keepLines w:val="0"/>
              <w:pageBreakBefore w:val="0"/>
              <w:widowControl/>
              <w:suppressLineNumbers w:val="0"/>
              <w:kinsoku/>
              <w:wordWrap/>
              <w:overflowPunct/>
              <w:topLinePunct w:val="0"/>
              <w:autoSpaceDE/>
              <w:autoSpaceDN/>
              <w:bidi w:val="0"/>
              <w:spacing w:line="360" w:lineRule="auto"/>
              <w:ind w:left="0" w:leftChars="0" w:right="0" w:rightChars="0" w:firstLine="0" w:firstLineChars="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15676427374</w:t>
            </w:r>
          </w:p>
        </w:tc>
        <w:tc>
          <w:tcPr>
            <w:tcW w:w="2625" w:type="dxa"/>
            <w:vAlign w:val="center"/>
          </w:tcPr>
          <w:p w14:paraId="47A37A5C">
            <w:pPr>
              <w:keepNext w:val="0"/>
              <w:keepLines w:val="0"/>
              <w:pageBreakBefore w:val="0"/>
              <w:widowControl/>
              <w:suppressLineNumbers w:val="0"/>
              <w:kinsoku/>
              <w:wordWrap/>
              <w:overflowPunct/>
              <w:topLinePunct w:val="0"/>
              <w:autoSpaceDE/>
              <w:autoSpaceDN/>
              <w:bidi w:val="0"/>
              <w:spacing w:line="360" w:lineRule="auto"/>
              <w:ind w:left="0" w:leftChars="0" w:right="0" w:rightChars="0" w:firstLine="0" w:firstLineChars="0"/>
              <w:jc w:val="left"/>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贺州市昭平县昭平镇东宁中路19号</w:t>
            </w:r>
          </w:p>
        </w:tc>
      </w:tr>
    </w:tbl>
    <w:p w14:paraId="18AE966A">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jc w:val="both"/>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2.广西北部湾银行</w:t>
      </w:r>
    </w:p>
    <w:tbl>
      <w:tblPr>
        <w:tblStyle w:val="34"/>
        <w:tblpPr w:leftFromText="180" w:rightFromText="180" w:vertAnchor="text" w:horzAnchor="page" w:tblpX="1362" w:tblpY="142"/>
        <w:tblOverlap w:val="never"/>
        <w:tblW w:w="942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5"/>
        <w:gridCol w:w="3004"/>
        <w:gridCol w:w="943"/>
        <w:gridCol w:w="1136"/>
        <w:gridCol w:w="1534"/>
        <w:gridCol w:w="2449"/>
      </w:tblGrid>
      <w:tr w14:paraId="7A6AC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trPr>
        <w:tc>
          <w:tcPr>
            <w:tcW w:w="9421" w:type="dxa"/>
            <w:gridSpan w:val="6"/>
            <w:vAlign w:val="center"/>
          </w:tcPr>
          <w:p w14:paraId="3CB7F61B">
            <w:pPr>
              <w:keepNext w:val="0"/>
              <w:keepLines w:val="0"/>
              <w:pageBreakBefore w:val="0"/>
              <w:widowControl/>
              <w:suppressLineNumbers w:val="0"/>
              <w:kinsoku/>
              <w:wordWrap/>
              <w:overflowPunct/>
              <w:topLinePunct w:val="0"/>
              <w:autoSpaceDE/>
              <w:autoSpaceDN/>
              <w:bidi w:val="0"/>
              <w:adjustRightInd/>
              <w:snapToGrid w:val="0"/>
              <w:spacing w:line="360" w:lineRule="auto"/>
              <w:ind w:left="0" w:leftChars="0" w:right="0" w:rightChars="0" w:firstLine="0" w:firstLineChars="0"/>
              <w:jc w:val="both"/>
              <w:textAlignment w:val="center"/>
              <w:outlineLvl w:val="9"/>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color w:val="auto"/>
                <w:kern w:val="0"/>
                <w:sz w:val="21"/>
                <w:szCs w:val="21"/>
                <w:highlight w:val="none"/>
                <w:u w:val="none"/>
                <w:lang w:val="en-US" w:eastAsia="zh-CN" w:bidi="ar"/>
              </w:rPr>
              <w:t>广西北部湾银行贺州分行 总协调人：杨政  职务：普惠金融部总经理  手机号码：18978413000</w:t>
            </w:r>
          </w:p>
        </w:tc>
      </w:tr>
      <w:tr w14:paraId="4FF21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5" w:type="dxa"/>
            <w:vAlign w:val="center"/>
          </w:tcPr>
          <w:p w14:paraId="5E3CA495">
            <w:pPr>
              <w:keepNext w:val="0"/>
              <w:keepLines w:val="0"/>
              <w:pageBreakBefore w:val="0"/>
              <w:widowControl/>
              <w:suppressLineNumbers w:val="0"/>
              <w:kinsoku/>
              <w:wordWrap/>
              <w:overflowPunct/>
              <w:topLinePunct w:val="0"/>
              <w:autoSpaceDE/>
              <w:autoSpaceDN/>
              <w:bidi w:val="0"/>
              <w:adjustRightInd/>
              <w:snapToGrid w:val="0"/>
              <w:spacing w:line="360" w:lineRule="auto"/>
              <w:ind w:left="0" w:leftChars="0" w:right="0" w:rightChars="0" w:firstLine="0" w:firstLineChars="0"/>
              <w:jc w:val="both"/>
              <w:textAlignment w:val="center"/>
              <w:outlineLvl w:val="9"/>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b/>
                <w:i w:val="0"/>
                <w:color w:val="auto"/>
                <w:kern w:val="0"/>
                <w:sz w:val="21"/>
                <w:szCs w:val="21"/>
                <w:highlight w:val="none"/>
                <w:u w:val="none"/>
                <w:lang w:val="en-US" w:eastAsia="zh-CN" w:bidi="ar"/>
              </w:rPr>
              <w:t>序号</w:t>
            </w:r>
          </w:p>
        </w:tc>
        <w:tc>
          <w:tcPr>
            <w:tcW w:w="3004" w:type="dxa"/>
            <w:vAlign w:val="center"/>
          </w:tcPr>
          <w:p w14:paraId="339DD948">
            <w:pPr>
              <w:keepNext w:val="0"/>
              <w:keepLines w:val="0"/>
              <w:pageBreakBefore w:val="0"/>
              <w:widowControl/>
              <w:suppressLineNumbers w:val="0"/>
              <w:kinsoku/>
              <w:wordWrap/>
              <w:overflowPunct/>
              <w:topLinePunct w:val="0"/>
              <w:autoSpaceDE/>
              <w:autoSpaceDN/>
              <w:bidi w:val="0"/>
              <w:adjustRightInd/>
              <w:snapToGrid w:val="0"/>
              <w:spacing w:line="360" w:lineRule="auto"/>
              <w:ind w:left="0" w:leftChars="0" w:right="0" w:rightChars="0" w:firstLine="0" w:firstLineChars="0"/>
              <w:jc w:val="both"/>
              <w:textAlignment w:val="center"/>
              <w:outlineLvl w:val="9"/>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b/>
                <w:i w:val="0"/>
                <w:color w:val="auto"/>
                <w:kern w:val="0"/>
                <w:sz w:val="21"/>
                <w:szCs w:val="21"/>
                <w:highlight w:val="none"/>
                <w:u w:val="none"/>
                <w:lang w:val="en-US" w:eastAsia="zh-CN" w:bidi="ar"/>
              </w:rPr>
              <w:t>金融机构</w:t>
            </w:r>
          </w:p>
        </w:tc>
        <w:tc>
          <w:tcPr>
            <w:tcW w:w="943" w:type="dxa"/>
            <w:vAlign w:val="center"/>
          </w:tcPr>
          <w:p w14:paraId="15D3DB2C">
            <w:pPr>
              <w:keepNext w:val="0"/>
              <w:keepLines w:val="0"/>
              <w:pageBreakBefore w:val="0"/>
              <w:widowControl/>
              <w:suppressLineNumbers w:val="0"/>
              <w:kinsoku/>
              <w:wordWrap/>
              <w:overflowPunct/>
              <w:topLinePunct w:val="0"/>
              <w:autoSpaceDE/>
              <w:autoSpaceDN/>
              <w:bidi w:val="0"/>
              <w:adjustRightInd/>
              <w:snapToGrid w:val="0"/>
              <w:spacing w:line="360" w:lineRule="auto"/>
              <w:ind w:left="0" w:leftChars="0" w:right="0" w:rightChars="0" w:firstLine="0" w:firstLineChars="0"/>
              <w:jc w:val="both"/>
              <w:textAlignment w:val="center"/>
              <w:outlineLvl w:val="9"/>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b/>
                <w:i w:val="0"/>
                <w:color w:val="auto"/>
                <w:kern w:val="0"/>
                <w:sz w:val="21"/>
                <w:szCs w:val="21"/>
                <w:highlight w:val="none"/>
                <w:u w:val="none"/>
                <w:lang w:val="en-US" w:eastAsia="zh-CN" w:bidi="ar"/>
              </w:rPr>
              <w:t>联系人</w:t>
            </w:r>
          </w:p>
        </w:tc>
        <w:tc>
          <w:tcPr>
            <w:tcW w:w="1136" w:type="dxa"/>
            <w:vAlign w:val="center"/>
          </w:tcPr>
          <w:p w14:paraId="60D132FA">
            <w:pPr>
              <w:keepNext w:val="0"/>
              <w:keepLines w:val="0"/>
              <w:pageBreakBefore w:val="0"/>
              <w:widowControl/>
              <w:suppressLineNumbers w:val="0"/>
              <w:kinsoku/>
              <w:wordWrap/>
              <w:overflowPunct/>
              <w:topLinePunct w:val="0"/>
              <w:autoSpaceDE/>
              <w:autoSpaceDN/>
              <w:bidi w:val="0"/>
              <w:adjustRightInd/>
              <w:snapToGrid w:val="0"/>
              <w:spacing w:line="360" w:lineRule="auto"/>
              <w:ind w:left="0" w:leftChars="0" w:right="0" w:rightChars="0" w:firstLine="0" w:firstLineChars="0"/>
              <w:jc w:val="both"/>
              <w:textAlignment w:val="center"/>
              <w:outlineLvl w:val="9"/>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b/>
                <w:i w:val="0"/>
                <w:color w:val="auto"/>
                <w:kern w:val="0"/>
                <w:sz w:val="21"/>
                <w:szCs w:val="21"/>
                <w:highlight w:val="none"/>
                <w:u w:val="none"/>
                <w:lang w:val="en-US" w:eastAsia="zh-CN" w:bidi="ar"/>
              </w:rPr>
              <w:t>职务</w:t>
            </w:r>
          </w:p>
        </w:tc>
        <w:tc>
          <w:tcPr>
            <w:tcW w:w="1534" w:type="dxa"/>
            <w:vAlign w:val="center"/>
          </w:tcPr>
          <w:p w14:paraId="1DA52C0F">
            <w:pPr>
              <w:keepNext w:val="0"/>
              <w:keepLines w:val="0"/>
              <w:pageBreakBefore w:val="0"/>
              <w:widowControl/>
              <w:suppressLineNumbers w:val="0"/>
              <w:kinsoku/>
              <w:wordWrap/>
              <w:overflowPunct/>
              <w:topLinePunct w:val="0"/>
              <w:autoSpaceDE/>
              <w:autoSpaceDN/>
              <w:bidi w:val="0"/>
              <w:adjustRightInd/>
              <w:snapToGrid w:val="0"/>
              <w:spacing w:line="360" w:lineRule="auto"/>
              <w:ind w:left="0" w:leftChars="0" w:right="0" w:rightChars="0" w:firstLine="0" w:firstLineChars="0"/>
              <w:jc w:val="both"/>
              <w:textAlignment w:val="center"/>
              <w:outlineLvl w:val="9"/>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b/>
                <w:i w:val="0"/>
                <w:color w:val="auto"/>
                <w:kern w:val="0"/>
                <w:sz w:val="21"/>
                <w:szCs w:val="21"/>
                <w:highlight w:val="none"/>
                <w:u w:val="none"/>
                <w:lang w:val="en-US" w:eastAsia="zh-CN" w:bidi="ar"/>
              </w:rPr>
              <w:t>手机号码</w:t>
            </w:r>
          </w:p>
        </w:tc>
        <w:tc>
          <w:tcPr>
            <w:tcW w:w="2449" w:type="dxa"/>
            <w:vAlign w:val="center"/>
          </w:tcPr>
          <w:p w14:paraId="614D2A87">
            <w:pPr>
              <w:keepNext w:val="0"/>
              <w:keepLines w:val="0"/>
              <w:pageBreakBefore w:val="0"/>
              <w:widowControl/>
              <w:suppressLineNumbers w:val="0"/>
              <w:kinsoku/>
              <w:wordWrap/>
              <w:overflowPunct/>
              <w:topLinePunct w:val="0"/>
              <w:autoSpaceDE/>
              <w:autoSpaceDN/>
              <w:bidi w:val="0"/>
              <w:adjustRightInd/>
              <w:snapToGrid w:val="0"/>
              <w:spacing w:line="360" w:lineRule="auto"/>
              <w:ind w:left="0" w:leftChars="0" w:right="0" w:rightChars="0" w:firstLine="0" w:firstLineChars="0"/>
              <w:jc w:val="both"/>
              <w:textAlignment w:val="center"/>
              <w:outlineLvl w:val="9"/>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b/>
                <w:i w:val="0"/>
                <w:color w:val="auto"/>
                <w:kern w:val="0"/>
                <w:sz w:val="21"/>
                <w:szCs w:val="21"/>
                <w:highlight w:val="none"/>
                <w:u w:val="none"/>
                <w:lang w:val="en-US" w:eastAsia="zh-CN" w:bidi="ar"/>
              </w:rPr>
              <w:t>银行地址</w:t>
            </w:r>
          </w:p>
        </w:tc>
      </w:tr>
      <w:tr w14:paraId="190A2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8" w:hRule="atLeast"/>
        </w:trPr>
        <w:tc>
          <w:tcPr>
            <w:tcW w:w="355" w:type="dxa"/>
            <w:vAlign w:val="center"/>
          </w:tcPr>
          <w:p w14:paraId="55DB7CE9">
            <w:pPr>
              <w:keepNext w:val="0"/>
              <w:keepLines w:val="0"/>
              <w:pageBreakBefore w:val="0"/>
              <w:widowControl/>
              <w:suppressLineNumbers w:val="0"/>
              <w:kinsoku/>
              <w:wordWrap/>
              <w:overflowPunct/>
              <w:topLinePunct w:val="0"/>
              <w:autoSpaceDE/>
              <w:autoSpaceDN/>
              <w:bidi w:val="0"/>
              <w:adjustRightInd/>
              <w:snapToGrid w:val="0"/>
              <w:spacing w:line="360" w:lineRule="auto"/>
              <w:ind w:left="0" w:leftChars="0" w:right="0" w:rightChars="0" w:firstLine="0" w:firstLineChars="0"/>
              <w:jc w:val="both"/>
              <w:textAlignment w:val="center"/>
              <w:outlineLvl w:val="9"/>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color w:val="auto"/>
                <w:kern w:val="0"/>
                <w:sz w:val="21"/>
                <w:szCs w:val="21"/>
                <w:highlight w:val="none"/>
                <w:u w:val="none"/>
                <w:lang w:val="en-US" w:eastAsia="zh-CN" w:bidi="ar"/>
              </w:rPr>
              <w:t>1</w:t>
            </w:r>
          </w:p>
        </w:tc>
        <w:tc>
          <w:tcPr>
            <w:tcW w:w="3004" w:type="dxa"/>
            <w:vAlign w:val="center"/>
          </w:tcPr>
          <w:p w14:paraId="7BFEC238">
            <w:pPr>
              <w:keepNext w:val="0"/>
              <w:keepLines w:val="0"/>
              <w:pageBreakBefore w:val="0"/>
              <w:widowControl/>
              <w:suppressLineNumbers w:val="0"/>
              <w:kinsoku/>
              <w:wordWrap/>
              <w:overflowPunct/>
              <w:topLinePunct w:val="0"/>
              <w:autoSpaceDE/>
              <w:autoSpaceDN/>
              <w:bidi w:val="0"/>
              <w:adjustRightInd/>
              <w:snapToGrid w:val="0"/>
              <w:spacing w:line="360" w:lineRule="auto"/>
              <w:ind w:left="0" w:leftChars="0" w:right="0" w:rightChars="0" w:firstLine="0" w:firstLineChars="0"/>
              <w:jc w:val="both"/>
              <w:textAlignment w:val="center"/>
              <w:outlineLvl w:val="9"/>
              <w:rPr>
                <w:rFonts w:hint="eastAsia" w:ascii="宋体" w:hAnsi="宋体" w:eastAsia="宋体" w:cs="宋体"/>
                <w:i w:val="0"/>
                <w:iCs w:val="0"/>
                <w:color w:val="auto"/>
                <w:sz w:val="21"/>
                <w:szCs w:val="21"/>
                <w:highlight w:val="none"/>
                <w:u w:val="none"/>
                <w:lang w:val="en-US" w:eastAsia="zh-CN" w:bidi="ar-SA"/>
              </w:rPr>
            </w:pPr>
            <w:r>
              <w:rPr>
                <w:rFonts w:hint="eastAsia" w:ascii="宋体" w:hAnsi="宋体" w:eastAsia="宋体" w:cs="宋体"/>
                <w:i w:val="0"/>
                <w:color w:val="auto"/>
                <w:kern w:val="0"/>
                <w:sz w:val="21"/>
                <w:szCs w:val="21"/>
                <w:highlight w:val="none"/>
                <w:u w:val="none"/>
                <w:lang w:val="en-US" w:eastAsia="zh-CN" w:bidi="ar"/>
              </w:rPr>
              <w:t>广西北部湾银行贺州分行</w:t>
            </w:r>
          </w:p>
        </w:tc>
        <w:tc>
          <w:tcPr>
            <w:tcW w:w="943" w:type="dxa"/>
            <w:vAlign w:val="center"/>
          </w:tcPr>
          <w:p w14:paraId="293FB6DE">
            <w:pPr>
              <w:keepNext w:val="0"/>
              <w:keepLines w:val="0"/>
              <w:pageBreakBefore w:val="0"/>
              <w:widowControl/>
              <w:suppressLineNumbers w:val="0"/>
              <w:kinsoku/>
              <w:wordWrap/>
              <w:overflowPunct/>
              <w:topLinePunct w:val="0"/>
              <w:autoSpaceDE/>
              <w:autoSpaceDN/>
              <w:bidi w:val="0"/>
              <w:adjustRightInd/>
              <w:snapToGrid w:val="0"/>
              <w:spacing w:line="360" w:lineRule="auto"/>
              <w:ind w:left="0" w:leftChars="0" w:right="0" w:rightChars="0" w:firstLine="0" w:firstLineChars="0"/>
              <w:jc w:val="both"/>
              <w:textAlignment w:val="center"/>
              <w:outlineLvl w:val="9"/>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color w:val="auto"/>
                <w:kern w:val="0"/>
                <w:sz w:val="21"/>
                <w:szCs w:val="21"/>
                <w:highlight w:val="none"/>
                <w:u w:val="none"/>
                <w:lang w:val="en-US" w:eastAsia="zh-CN" w:bidi="ar"/>
              </w:rPr>
              <w:t>黄剑锐</w:t>
            </w:r>
          </w:p>
        </w:tc>
        <w:tc>
          <w:tcPr>
            <w:tcW w:w="1136" w:type="dxa"/>
            <w:vAlign w:val="center"/>
          </w:tcPr>
          <w:p w14:paraId="65FF8E08">
            <w:pPr>
              <w:keepNext w:val="0"/>
              <w:keepLines w:val="0"/>
              <w:pageBreakBefore w:val="0"/>
              <w:widowControl/>
              <w:suppressLineNumbers w:val="0"/>
              <w:kinsoku/>
              <w:wordWrap/>
              <w:overflowPunct/>
              <w:topLinePunct w:val="0"/>
              <w:autoSpaceDE/>
              <w:autoSpaceDN/>
              <w:bidi w:val="0"/>
              <w:adjustRightInd/>
              <w:snapToGrid w:val="0"/>
              <w:spacing w:line="360" w:lineRule="auto"/>
              <w:ind w:left="0" w:leftChars="0" w:right="0" w:rightChars="0" w:firstLine="0" w:firstLineChars="0"/>
              <w:jc w:val="both"/>
              <w:textAlignment w:val="center"/>
              <w:outlineLvl w:val="9"/>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color w:val="auto"/>
                <w:kern w:val="0"/>
                <w:sz w:val="21"/>
                <w:szCs w:val="21"/>
                <w:highlight w:val="none"/>
                <w:u w:val="none"/>
                <w:lang w:val="en-US" w:eastAsia="zh-CN" w:bidi="ar"/>
              </w:rPr>
              <w:t>个人金融部副经理</w:t>
            </w:r>
          </w:p>
        </w:tc>
        <w:tc>
          <w:tcPr>
            <w:tcW w:w="1534" w:type="dxa"/>
            <w:vAlign w:val="center"/>
          </w:tcPr>
          <w:p w14:paraId="7B03EA5A">
            <w:pPr>
              <w:keepNext w:val="0"/>
              <w:keepLines w:val="0"/>
              <w:pageBreakBefore w:val="0"/>
              <w:widowControl/>
              <w:suppressLineNumbers w:val="0"/>
              <w:kinsoku/>
              <w:wordWrap/>
              <w:overflowPunct/>
              <w:topLinePunct w:val="0"/>
              <w:autoSpaceDE/>
              <w:autoSpaceDN/>
              <w:bidi w:val="0"/>
              <w:adjustRightInd/>
              <w:snapToGrid w:val="0"/>
              <w:spacing w:line="360" w:lineRule="auto"/>
              <w:ind w:left="0" w:leftChars="0" w:right="0" w:rightChars="0" w:firstLine="0" w:firstLineChars="0"/>
              <w:jc w:val="both"/>
              <w:textAlignment w:val="center"/>
              <w:outlineLvl w:val="9"/>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color w:val="auto"/>
                <w:kern w:val="0"/>
                <w:sz w:val="21"/>
                <w:szCs w:val="21"/>
                <w:highlight w:val="none"/>
                <w:u w:val="none"/>
                <w:lang w:val="en-US" w:eastAsia="zh-CN" w:bidi="ar"/>
              </w:rPr>
              <w:t>15507848190</w:t>
            </w:r>
          </w:p>
        </w:tc>
        <w:tc>
          <w:tcPr>
            <w:tcW w:w="2449" w:type="dxa"/>
            <w:vAlign w:val="center"/>
          </w:tcPr>
          <w:p w14:paraId="04E91272">
            <w:pPr>
              <w:keepNext w:val="0"/>
              <w:keepLines w:val="0"/>
              <w:pageBreakBefore w:val="0"/>
              <w:widowControl/>
              <w:suppressLineNumbers w:val="0"/>
              <w:kinsoku/>
              <w:wordWrap/>
              <w:overflowPunct/>
              <w:topLinePunct w:val="0"/>
              <w:autoSpaceDE/>
              <w:autoSpaceDN/>
              <w:bidi w:val="0"/>
              <w:adjustRightInd/>
              <w:snapToGrid w:val="0"/>
              <w:spacing w:line="360" w:lineRule="auto"/>
              <w:ind w:left="0" w:leftChars="0" w:right="0" w:rightChars="0" w:firstLine="0" w:firstLineChars="0"/>
              <w:jc w:val="both"/>
              <w:textAlignment w:val="center"/>
              <w:outlineLvl w:val="9"/>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贺州市八步区太白西路153号8号楼</w:t>
            </w:r>
          </w:p>
        </w:tc>
      </w:tr>
      <w:tr w14:paraId="51036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8" w:hRule="atLeast"/>
        </w:trPr>
        <w:tc>
          <w:tcPr>
            <w:tcW w:w="355" w:type="dxa"/>
            <w:vAlign w:val="center"/>
          </w:tcPr>
          <w:p w14:paraId="2824603F">
            <w:pPr>
              <w:keepNext w:val="0"/>
              <w:keepLines w:val="0"/>
              <w:pageBreakBefore w:val="0"/>
              <w:widowControl/>
              <w:suppressLineNumbers w:val="0"/>
              <w:kinsoku/>
              <w:wordWrap/>
              <w:overflowPunct/>
              <w:topLinePunct w:val="0"/>
              <w:autoSpaceDE/>
              <w:autoSpaceDN/>
              <w:bidi w:val="0"/>
              <w:adjustRightInd/>
              <w:snapToGrid w:val="0"/>
              <w:spacing w:line="360" w:lineRule="auto"/>
              <w:ind w:left="0" w:leftChars="0" w:right="0" w:rightChars="0" w:firstLine="0" w:firstLineChars="0"/>
              <w:jc w:val="both"/>
              <w:textAlignment w:val="center"/>
              <w:outlineLvl w:val="9"/>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2</w:t>
            </w:r>
          </w:p>
        </w:tc>
        <w:tc>
          <w:tcPr>
            <w:tcW w:w="3004" w:type="dxa"/>
            <w:vAlign w:val="center"/>
          </w:tcPr>
          <w:p w14:paraId="7BA58BF2">
            <w:pPr>
              <w:keepNext w:val="0"/>
              <w:keepLines w:val="0"/>
              <w:pageBreakBefore w:val="0"/>
              <w:widowControl/>
              <w:suppressLineNumbers w:val="0"/>
              <w:kinsoku/>
              <w:wordWrap/>
              <w:overflowPunct/>
              <w:topLinePunct w:val="0"/>
              <w:autoSpaceDE/>
              <w:autoSpaceDN/>
              <w:bidi w:val="0"/>
              <w:adjustRightInd/>
              <w:snapToGrid w:val="0"/>
              <w:spacing w:line="360" w:lineRule="auto"/>
              <w:ind w:left="0" w:leftChars="0" w:right="0" w:rightChars="0" w:firstLine="0" w:firstLineChars="0"/>
              <w:jc w:val="both"/>
              <w:textAlignment w:val="center"/>
              <w:outlineLvl w:val="9"/>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广西北部湾银行贺州市平桂支行</w:t>
            </w:r>
          </w:p>
        </w:tc>
        <w:tc>
          <w:tcPr>
            <w:tcW w:w="943" w:type="dxa"/>
            <w:vAlign w:val="center"/>
          </w:tcPr>
          <w:p w14:paraId="7FE64FAA">
            <w:pPr>
              <w:keepNext w:val="0"/>
              <w:keepLines w:val="0"/>
              <w:pageBreakBefore w:val="0"/>
              <w:widowControl/>
              <w:suppressLineNumbers w:val="0"/>
              <w:kinsoku/>
              <w:wordWrap/>
              <w:overflowPunct/>
              <w:topLinePunct w:val="0"/>
              <w:autoSpaceDE/>
              <w:autoSpaceDN/>
              <w:bidi w:val="0"/>
              <w:adjustRightInd/>
              <w:snapToGrid w:val="0"/>
              <w:spacing w:line="360" w:lineRule="auto"/>
              <w:ind w:left="0" w:leftChars="0" w:right="0" w:rightChars="0" w:firstLine="0" w:firstLineChars="0"/>
              <w:jc w:val="both"/>
              <w:textAlignment w:val="center"/>
              <w:outlineLvl w:val="9"/>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刘  乐</w:t>
            </w:r>
          </w:p>
        </w:tc>
        <w:tc>
          <w:tcPr>
            <w:tcW w:w="1136" w:type="dxa"/>
            <w:vAlign w:val="center"/>
          </w:tcPr>
          <w:p w14:paraId="7B47E07D">
            <w:pPr>
              <w:keepNext w:val="0"/>
              <w:keepLines w:val="0"/>
              <w:pageBreakBefore w:val="0"/>
              <w:widowControl/>
              <w:suppressLineNumbers w:val="0"/>
              <w:kinsoku/>
              <w:wordWrap/>
              <w:overflowPunct/>
              <w:topLinePunct w:val="0"/>
              <w:autoSpaceDE/>
              <w:autoSpaceDN/>
              <w:bidi w:val="0"/>
              <w:adjustRightInd/>
              <w:snapToGrid w:val="0"/>
              <w:spacing w:line="360" w:lineRule="auto"/>
              <w:ind w:left="0" w:leftChars="0" w:right="0" w:rightChars="0" w:firstLine="0" w:firstLineChars="0"/>
              <w:jc w:val="both"/>
              <w:textAlignment w:val="center"/>
              <w:outlineLvl w:val="9"/>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公司客户经理</w:t>
            </w:r>
          </w:p>
        </w:tc>
        <w:tc>
          <w:tcPr>
            <w:tcW w:w="1534" w:type="dxa"/>
            <w:vAlign w:val="center"/>
          </w:tcPr>
          <w:p w14:paraId="48A20F3E">
            <w:pPr>
              <w:keepNext w:val="0"/>
              <w:keepLines w:val="0"/>
              <w:pageBreakBefore w:val="0"/>
              <w:widowControl/>
              <w:suppressLineNumbers w:val="0"/>
              <w:kinsoku/>
              <w:wordWrap/>
              <w:overflowPunct/>
              <w:topLinePunct w:val="0"/>
              <w:autoSpaceDE/>
              <w:autoSpaceDN/>
              <w:bidi w:val="0"/>
              <w:adjustRightInd/>
              <w:snapToGrid w:val="0"/>
              <w:spacing w:line="360" w:lineRule="auto"/>
              <w:ind w:left="0" w:leftChars="0" w:right="0" w:rightChars="0" w:firstLine="0" w:firstLineChars="0"/>
              <w:jc w:val="both"/>
              <w:textAlignment w:val="center"/>
              <w:outlineLvl w:val="9"/>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13036871008</w:t>
            </w:r>
          </w:p>
        </w:tc>
        <w:tc>
          <w:tcPr>
            <w:tcW w:w="2449" w:type="dxa"/>
            <w:vAlign w:val="center"/>
          </w:tcPr>
          <w:p w14:paraId="347D1B80">
            <w:pPr>
              <w:keepNext w:val="0"/>
              <w:keepLines w:val="0"/>
              <w:pageBreakBefore w:val="0"/>
              <w:widowControl/>
              <w:suppressLineNumbers w:val="0"/>
              <w:kinsoku/>
              <w:wordWrap/>
              <w:overflowPunct/>
              <w:topLinePunct w:val="0"/>
              <w:autoSpaceDE/>
              <w:autoSpaceDN/>
              <w:bidi w:val="0"/>
              <w:adjustRightInd/>
              <w:snapToGrid w:val="0"/>
              <w:spacing w:line="360" w:lineRule="auto"/>
              <w:ind w:left="0" w:leftChars="0" w:right="0" w:rightChars="0" w:firstLine="0" w:firstLineChars="0"/>
              <w:jc w:val="both"/>
              <w:textAlignment w:val="center"/>
              <w:outlineLvl w:val="9"/>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贺州市平桂区平桂大道4号3号楼103号商铺</w:t>
            </w:r>
          </w:p>
        </w:tc>
      </w:tr>
      <w:tr w14:paraId="6A8BE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8" w:hRule="atLeast"/>
        </w:trPr>
        <w:tc>
          <w:tcPr>
            <w:tcW w:w="355" w:type="dxa"/>
            <w:vAlign w:val="center"/>
          </w:tcPr>
          <w:p w14:paraId="162B201F">
            <w:pPr>
              <w:keepNext w:val="0"/>
              <w:keepLines w:val="0"/>
              <w:pageBreakBefore w:val="0"/>
              <w:widowControl/>
              <w:suppressLineNumbers w:val="0"/>
              <w:kinsoku/>
              <w:wordWrap/>
              <w:overflowPunct/>
              <w:topLinePunct w:val="0"/>
              <w:autoSpaceDE/>
              <w:autoSpaceDN/>
              <w:bidi w:val="0"/>
              <w:adjustRightInd/>
              <w:snapToGrid w:val="0"/>
              <w:spacing w:line="360" w:lineRule="auto"/>
              <w:ind w:left="0" w:leftChars="0" w:right="0" w:rightChars="0" w:firstLine="0" w:firstLineChars="0"/>
              <w:jc w:val="both"/>
              <w:textAlignment w:val="center"/>
              <w:outlineLvl w:val="9"/>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3</w:t>
            </w:r>
          </w:p>
        </w:tc>
        <w:tc>
          <w:tcPr>
            <w:tcW w:w="3004" w:type="dxa"/>
            <w:vAlign w:val="center"/>
          </w:tcPr>
          <w:p w14:paraId="32002EB5">
            <w:pPr>
              <w:keepNext w:val="0"/>
              <w:keepLines w:val="0"/>
              <w:pageBreakBefore w:val="0"/>
              <w:widowControl/>
              <w:suppressLineNumbers w:val="0"/>
              <w:kinsoku/>
              <w:wordWrap/>
              <w:overflowPunct/>
              <w:topLinePunct w:val="0"/>
              <w:autoSpaceDE/>
              <w:autoSpaceDN/>
              <w:bidi w:val="0"/>
              <w:adjustRightInd/>
              <w:snapToGrid w:val="0"/>
              <w:spacing w:line="360" w:lineRule="auto"/>
              <w:ind w:left="0" w:leftChars="0" w:right="0" w:rightChars="0" w:firstLine="0" w:firstLineChars="0"/>
              <w:jc w:val="both"/>
              <w:textAlignment w:val="center"/>
              <w:outlineLvl w:val="9"/>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广西北部湾银行钟山支行</w:t>
            </w:r>
          </w:p>
        </w:tc>
        <w:tc>
          <w:tcPr>
            <w:tcW w:w="943" w:type="dxa"/>
            <w:vAlign w:val="center"/>
          </w:tcPr>
          <w:p w14:paraId="2EBA52DA">
            <w:pPr>
              <w:keepNext w:val="0"/>
              <w:keepLines w:val="0"/>
              <w:pageBreakBefore w:val="0"/>
              <w:widowControl/>
              <w:suppressLineNumbers w:val="0"/>
              <w:kinsoku/>
              <w:wordWrap/>
              <w:overflowPunct/>
              <w:topLinePunct w:val="0"/>
              <w:autoSpaceDE/>
              <w:autoSpaceDN/>
              <w:bidi w:val="0"/>
              <w:adjustRightInd/>
              <w:snapToGrid w:val="0"/>
              <w:spacing w:line="360" w:lineRule="auto"/>
              <w:ind w:left="0" w:leftChars="0" w:right="0" w:rightChars="0" w:firstLine="0" w:firstLineChars="0"/>
              <w:jc w:val="both"/>
              <w:textAlignment w:val="center"/>
              <w:outlineLvl w:val="9"/>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唐振豪</w:t>
            </w:r>
          </w:p>
        </w:tc>
        <w:tc>
          <w:tcPr>
            <w:tcW w:w="1136" w:type="dxa"/>
            <w:vAlign w:val="center"/>
          </w:tcPr>
          <w:p w14:paraId="14902F60">
            <w:pPr>
              <w:keepNext w:val="0"/>
              <w:keepLines w:val="0"/>
              <w:pageBreakBefore w:val="0"/>
              <w:widowControl/>
              <w:suppressLineNumbers w:val="0"/>
              <w:kinsoku/>
              <w:wordWrap/>
              <w:overflowPunct/>
              <w:topLinePunct w:val="0"/>
              <w:autoSpaceDE/>
              <w:autoSpaceDN/>
              <w:bidi w:val="0"/>
              <w:adjustRightInd/>
              <w:snapToGrid w:val="0"/>
              <w:spacing w:line="360" w:lineRule="auto"/>
              <w:ind w:left="0" w:leftChars="0" w:right="0" w:rightChars="0" w:firstLine="0" w:firstLineChars="0"/>
              <w:jc w:val="both"/>
              <w:textAlignment w:val="center"/>
              <w:outlineLvl w:val="9"/>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公司客户经理</w:t>
            </w:r>
          </w:p>
        </w:tc>
        <w:tc>
          <w:tcPr>
            <w:tcW w:w="1534" w:type="dxa"/>
            <w:vAlign w:val="center"/>
          </w:tcPr>
          <w:p w14:paraId="7A76F0A3">
            <w:pPr>
              <w:keepNext w:val="0"/>
              <w:keepLines w:val="0"/>
              <w:pageBreakBefore w:val="0"/>
              <w:widowControl/>
              <w:suppressLineNumbers w:val="0"/>
              <w:kinsoku/>
              <w:wordWrap/>
              <w:overflowPunct/>
              <w:topLinePunct w:val="0"/>
              <w:autoSpaceDE/>
              <w:autoSpaceDN/>
              <w:bidi w:val="0"/>
              <w:adjustRightInd/>
              <w:snapToGrid w:val="0"/>
              <w:spacing w:line="360" w:lineRule="auto"/>
              <w:ind w:left="0" w:leftChars="0" w:right="0" w:rightChars="0" w:firstLine="0" w:firstLineChars="0"/>
              <w:jc w:val="both"/>
              <w:textAlignment w:val="center"/>
              <w:outlineLvl w:val="9"/>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18878480702</w:t>
            </w:r>
          </w:p>
        </w:tc>
        <w:tc>
          <w:tcPr>
            <w:tcW w:w="2449" w:type="dxa"/>
            <w:vAlign w:val="center"/>
          </w:tcPr>
          <w:p w14:paraId="1296CE3E">
            <w:pPr>
              <w:keepNext w:val="0"/>
              <w:keepLines w:val="0"/>
              <w:pageBreakBefore w:val="0"/>
              <w:widowControl/>
              <w:suppressLineNumbers w:val="0"/>
              <w:kinsoku/>
              <w:wordWrap/>
              <w:overflowPunct/>
              <w:topLinePunct w:val="0"/>
              <w:autoSpaceDE/>
              <w:autoSpaceDN/>
              <w:bidi w:val="0"/>
              <w:adjustRightInd/>
              <w:snapToGrid w:val="0"/>
              <w:spacing w:line="360" w:lineRule="auto"/>
              <w:ind w:left="0" w:leftChars="0" w:right="0" w:rightChars="0" w:firstLine="0" w:firstLineChars="0"/>
              <w:jc w:val="both"/>
              <w:textAlignment w:val="center"/>
              <w:outlineLvl w:val="9"/>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贺州市钟山县广场西路南侧悦城壹号院B区1#楼B09-13号商铺</w:t>
            </w:r>
          </w:p>
        </w:tc>
      </w:tr>
      <w:tr w14:paraId="3FC57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8" w:hRule="atLeast"/>
        </w:trPr>
        <w:tc>
          <w:tcPr>
            <w:tcW w:w="355" w:type="dxa"/>
            <w:vAlign w:val="center"/>
          </w:tcPr>
          <w:p w14:paraId="70F4B333">
            <w:pPr>
              <w:keepNext w:val="0"/>
              <w:keepLines w:val="0"/>
              <w:pageBreakBefore w:val="0"/>
              <w:widowControl/>
              <w:suppressLineNumbers w:val="0"/>
              <w:kinsoku/>
              <w:wordWrap/>
              <w:overflowPunct/>
              <w:topLinePunct w:val="0"/>
              <w:autoSpaceDE/>
              <w:autoSpaceDN/>
              <w:bidi w:val="0"/>
              <w:adjustRightInd/>
              <w:snapToGrid w:val="0"/>
              <w:spacing w:line="360" w:lineRule="auto"/>
              <w:ind w:left="0" w:leftChars="0" w:right="0" w:rightChars="0" w:firstLine="0" w:firstLineChars="0"/>
              <w:jc w:val="both"/>
              <w:textAlignment w:val="center"/>
              <w:outlineLvl w:val="9"/>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4</w:t>
            </w:r>
          </w:p>
        </w:tc>
        <w:tc>
          <w:tcPr>
            <w:tcW w:w="3004" w:type="dxa"/>
            <w:vAlign w:val="center"/>
          </w:tcPr>
          <w:p w14:paraId="65123B43">
            <w:pPr>
              <w:keepNext w:val="0"/>
              <w:keepLines w:val="0"/>
              <w:pageBreakBefore w:val="0"/>
              <w:widowControl/>
              <w:suppressLineNumbers w:val="0"/>
              <w:kinsoku/>
              <w:wordWrap/>
              <w:overflowPunct/>
              <w:topLinePunct w:val="0"/>
              <w:autoSpaceDE/>
              <w:autoSpaceDN/>
              <w:bidi w:val="0"/>
              <w:adjustRightInd/>
              <w:snapToGrid w:val="0"/>
              <w:spacing w:line="360" w:lineRule="auto"/>
              <w:ind w:left="0" w:leftChars="0" w:right="0" w:rightChars="0" w:firstLine="0" w:firstLineChars="0"/>
              <w:jc w:val="both"/>
              <w:textAlignment w:val="center"/>
              <w:outlineLvl w:val="9"/>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广西北部湾银行富川支行</w:t>
            </w:r>
          </w:p>
        </w:tc>
        <w:tc>
          <w:tcPr>
            <w:tcW w:w="943" w:type="dxa"/>
            <w:vAlign w:val="center"/>
          </w:tcPr>
          <w:p w14:paraId="7B28AB95">
            <w:pPr>
              <w:keepNext w:val="0"/>
              <w:keepLines w:val="0"/>
              <w:pageBreakBefore w:val="0"/>
              <w:widowControl/>
              <w:suppressLineNumbers w:val="0"/>
              <w:kinsoku/>
              <w:wordWrap/>
              <w:overflowPunct/>
              <w:topLinePunct w:val="0"/>
              <w:autoSpaceDE/>
              <w:autoSpaceDN/>
              <w:bidi w:val="0"/>
              <w:adjustRightInd/>
              <w:snapToGrid w:val="0"/>
              <w:spacing w:line="360" w:lineRule="auto"/>
              <w:ind w:left="0" w:leftChars="0" w:right="0" w:rightChars="0" w:firstLine="0" w:firstLineChars="0"/>
              <w:jc w:val="both"/>
              <w:textAlignment w:val="center"/>
              <w:outlineLvl w:val="9"/>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秦明龙</w:t>
            </w:r>
          </w:p>
        </w:tc>
        <w:tc>
          <w:tcPr>
            <w:tcW w:w="1136" w:type="dxa"/>
            <w:vAlign w:val="center"/>
          </w:tcPr>
          <w:p w14:paraId="2C657685">
            <w:pPr>
              <w:keepNext w:val="0"/>
              <w:keepLines w:val="0"/>
              <w:pageBreakBefore w:val="0"/>
              <w:widowControl/>
              <w:suppressLineNumbers w:val="0"/>
              <w:kinsoku/>
              <w:wordWrap/>
              <w:overflowPunct/>
              <w:topLinePunct w:val="0"/>
              <w:autoSpaceDE/>
              <w:autoSpaceDN/>
              <w:bidi w:val="0"/>
              <w:adjustRightInd/>
              <w:snapToGrid w:val="0"/>
              <w:spacing w:line="360" w:lineRule="auto"/>
              <w:ind w:left="0" w:leftChars="0" w:right="0" w:rightChars="0" w:firstLine="0" w:firstLineChars="0"/>
              <w:jc w:val="both"/>
              <w:textAlignment w:val="center"/>
              <w:outlineLvl w:val="9"/>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业务发展部经理</w:t>
            </w:r>
          </w:p>
        </w:tc>
        <w:tc>
          <w:tcPr>
            <w:tcW w:w="1534" w:type="dxa"/>
            <w:vAlign w:val="center"/>
          </w:tcPr>
          <w:p w14:paraId="24E541F6">
            <w:pPr>
              <w:keepNext w:val="0"/>
              <w:keepLines w:val="0"/>
              <w:pageBreakBefore w:val="0"/>
              <w:widowControl/>
              <w:suppressLineNumbers w:val="0"/>
              <w:kinsoku/>
              <w:wordWrap/>
              <w:overflowPunct/>
              <w:topLinePunct w:val="0"/>
              <w:autoSpaceDE/>
              <w:autoSpaceDN/>
              <w:bidi w:val="0"/>
              <w:adjustRightInd/>
              <w:snapToGrid w:val="0"/>
              <w:spacing w:line="360" w:lineRule="auto"/>
              <w:ind w:left="0" w:leftChars="0" w:right="0" w:rightChars="0" w:firstLine="0" w:firstLineChars="0"/>
              <w:jc w:val="both"/>
              <w:textAlignment w:val="center"/>
              <w:outlineLvl w:val="9"/>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17776119667</w:t>
            </w:r>
          </w:p>
        </w:tc>
        <w:tc>
          <w:tcPr>
            <w:tcW w:w="2449" w:type="dxa"/>
            <w:vAlign w:val="center"/>
          </w:tcPr>
          <w:p w14:paraId="12833736">
            <w:pPr>
              <w:keepNext w:val="0"/>
              <w:keepLines w:val="0"/>
              <w:pageBreakBefore w:val="0"/>
              <w:widowControl/>
              <w:suppressLineNumbers w:val="0"/>
              <w:kinsoku/>
              <w:wordWrap/>
              <w:overflowPunct/>
              <w:topLinePunct w:val="0"/>
              <w:autoSpaceDE/>
              <w:autoSpaceDN/>
              <w:bidi w:val="0"/>
              <w:adjustRightInd/>
              <w:snapToGrid w:val="0"/>
              <w:spacing w:line="360" w:lineRule="auto"/>
              <w:ind w:left="0" w:leftChars="0" w:right="0" w:rightChars="0" w:firstLine="0" w:firstLineChars="0"/>
              <w:jc w:val="both"/>
              <w:textAlignment w:val="center"/>
              <w:outlineLvl w:val="9"/>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贺州市富川瑶族自治县富阳镇凤凰路121号</w:t>
            </w:r>
          </w:p>
        </w:tc>
      </w:tr>
      <w:tr w14:paraId="71B16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8" w:hRule="atLeast"/>
        </w:trPr>
        <w:tc>
          <w:tcPr>
            <w:tcW w:w="355" w:type="dxa"/>
            <w:vAlign w:val="center"/>
          </w:tcPr>
          <w:p w14:paraId="7AA1E01D">
            <w:pPr>
              <w:keepNext w:val="0"/>
              <w:keepLines w:val="0"/>
              <w:pageBreakBefore w:val="0"/>
              <w:widowControl/>
              <w:suppressLineNumbers w:val="0"/>
              <w:kinsoku/>
              <w:wordWrap/>
              <w:overflowPunct/>
              <w:topLinePunct w:val="0"/>
              <w:autoSpaceDE/>
              <w:autoSpaceDN/>
              <w:bidi w:val="0"/>
              <w:adjustRightInd/>
              <w:snapToGrid w:val="0"/>
              <w:spacing w:line="360" w:lineRule="auto"/>
              <w:ind w:left="0" w:leftChars="0" w:right="0" w:rightChars="0" w:firstLine="0" w:firstLineChars="0"/>
              <w:jc w:val="both"/>
              <w:textAlignment w:val="center"/>
              <w:outlineLvl w:val="9"/>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5</w:t>
            </w:r>
          </w:p>
        </w:tc>
        <w:tc>
          <w:tcPr>
            <w:tcW w:w="3004" w:type="dxa"/>
            <w:vAlign w:val="center"/>
          </w:tcPr>
          <w:p w14:paraId="48BA4311">
            <w:pPr>
              <w:keepNext w:val="0"/>
              <w:keepLines w:val="0"/>
              <w:pageBreakBefore w:val="0"/>
              <w:widowControl/>
              <w:suppressLineNumbers w:val="0"/>
              <w:kinsoku/>
              <w:wordWrap/>
              <w:overflowPunct/>
              <w:topLinePunct w:val="0"/>
              <w:autoSpaceDE/>
              <w:autoSpaceDN/>
              <w:bidi w:val="0"/>
              <w:adjustRightInd/>
              <w:snapToGrid w:val="0"/>
              <w:spacing w:line="360" w:lineRule="auto"/>
              <w:ind w:left="0" w:leftChars="0" w:right="0" w:rightChars="0" w:firstLine="0" w:firstLineChars="0"/>
              <w:jc w:val="both"/>
              <w:textAlignment w:val="center"/>
              <w:outlineLvl w:val="9"/>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广西北部湾银行昭平支行</w:t>
            </w:r>
          </w:p>
        </w:tc>
        <w:tc>
          <w:tcPr>
            <w:tcW w:w="943" w:type="dxa"/>
            <w:vAlign w:val="center"/>
          </w:tcPr>
          <w:p w14:paraId="3AB229A7">
            <w:pPr>
              <w:keepNext w:val="0"/>
              <w:keepLines w:val="0"/>
              <w:pageBreakBefore w:val="0"/>
              <w:widowControl/>
              <w:suppressLineNumbers w:val="0"/>
              <w:kinsoku/>
              <w:wordWrap/>
              <w:overflowPunct/>
              <w:topLinePunct w:val="0"/>
              <w:autoSpaceDE/>
              <w:autoSpaceDN/>
              <w:bidi w:val="0"/>
              <w:adjustRightInd/>
              <w:snapToGrid w:val="0"/>
              <w:spacing w:line="360" w:lineRule="auto"/>
              <w:ind w:left="0" w:leftChars="0" w:right="0" w:rightChars="0" w:firstLine="0" w:firstLineChars="0"/>
              <w:jc w:val="both"/>
              <w:textAlignment w:val="center"/>
              <w:outlineLvl w:val="9"/>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邱俊豪</w:t>
            </w:r>
          </w:p>
        </w:tc>
        <w:tc>
          <w:tcPr>
            <w:tcW w:w="1136" w:type="dxa"/>
            <w:vAlign w:val="center"/>
          </w:tcPr>
          <w:p w14:paraId="1660AE33">
            <w:pPr>
              <w:keepNext w:val="0"/>
              <w:keepLines w:val="0"/>
              <w:pageBreakBefore w:val="0"/>
              <w:widowControl/>
              <w:suppressLineNumbers w:val="0"/>
              <w:kinsoku/>
              <w:wordWrap/>
              <w:overflowPunct/>
              <w:topLinePunct w:val="0"/>
              <w:autoSpaceDE/>
              <w:autoSpaceDN/>
              <w:bidi w:val="0"/>
              <w:adjustRightInd/>
              <w:snapToGrid w:val="0"/>
              <w:spacing w:line="360" w:lineRule="auto"/>
              <w:ind w:left="0" w:leftChars="0" w:right="0" w:rightChars="0" w:firstLine="0" w:firstLineChars="0"/>
              <w:jc w:val="both"/>
              <w:textAlignment w:val="center"/>
              <w:outlineLvl w:val="9"/>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综合客户经理</w:t>
            </w:r>
          </w:p>
        </w:tc>
        <w:tc>
          <w:tcPr>
            <w:tcW w:w="1534" w:type="dxa"/>
            <w:vAlign w:val="center"/>
          </w:tcPr>
          <w:p w14:paraId="34E57F7B">
            <w:pPr>
              <w:keepNext w:val="0"/>
              <w:keepLines w:val="0"/>
              <w:pageBreakBefore w:val="0"/>
              <w:widowControl/>
              <w:suppressLineNumbers w:val="0"/>
              <w:kinsoku/>
              <w:wordWrap/>
              <w:overflowPunct/>
              <w:topLinePunct w:val="0"/>
              <w:autoSpaceDE/>
              <w:autoSpaceDN/>
              <w:bidi w:val="0"/>
              <w:adjustRightInd/>
              <w:snapToGrid w:val="0"/>
              <w:spacing w:line="360" w:lineRule="auto"/>
              <w:ind w:left="0" w:leftChars="0" w:right="0" w:rightChars="0" w:firstLine="0" w:firstLineChars="0"/>
              <w:jc w:val="both"/>
              <w:textAlignment w:val="center"/>
              <w:outlineLvl w:val="9"/>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18107842696</w:t>
            </w:r>
          </w:p>
        </w:tc>
        <w:tc>
          <w:tcPr>
            <w:tcW w:w="2449" w:type="dxa"/>
            <w:vAlign w:val="center"/>
          </w:tcPr>
          <w:p w14:paraId="155A16B3">
            <w:pPr>
              <w:keepNext w:val="0"/>
              <w:keepLines w:val="0"/>
              <w:pageBreakBefore w:val="0"/>
              <w:widowControl/>
              <w:suppressLineNumbers w:val="0"/>
              <w:kinsoku/>
              <w:wordWrap/>
              <w:overflowPunct/>
              <w:topLinePunct w:val="0"/>
              <w:autoSpaceDE/>
              <w:autoSpaceDN/>
              <w:bidi w:val="0"/>
              <w:adjustRightInd/>
              <w:snapToGrid w:val="0"/>
              <w:spacing w:line="360" w:lineRule="auto"/>
              <w:ind w:left="0" w:leftChars="0" w:right="0" w:rightChars="0" w:firstLine="0" w:firstLineChars="0"/>
              <w:jc w:val="both"/>
              <w:textAlignment w:val="center"/>
              <w:outlineLvl w:val="9"/>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贺州市昭平县昭平镇河西东路（江湾一号）101-103铺面</w:t>
            </w:r>
          </w:p>
        </w:tc>
      </w:tr>
    </w:tbl>
    <w:p w14:paraId="7AC54149">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jc w:val="both"/>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3.广西贺州桂东农村合作银行</w:t>
      </w:r>
    </w:p>
    <w:tbl>
      <w:tblPr>
        <w:tblStyle w:val="34"/>
        <w:tblpPr w:leftFromText="180" w:rightFromText="180" w:vertAnchor="text" w:horzAnchor="page" w:tblpX="1362" w:tblpY="142"/>
        <w:tblOverlap w:val="never"/>
        <w:tblW w:w="942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5"/>
        <w:gridCol w:w="2992"/>
        <w:gridCol w:w="944"/>
        <w:gridCol w:w="1159"/>
        <w:gridCol w:w="1545"/>
        <w:gridCol w:w="2426"/>
      </w:tblGrid>
      <w:tr w14:paraId="004E6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trPr>
        <w:tc>
          <w:tcPr>
            <w:tcW w:w="9421" w:type="dxa"/>
            <w:gridSpan w:val="6"/>
            <w:vAlign w:val="center"/>
          </w:tcPr>
          <w:p w14:paraId="254D232E">
            <w:pPr>
              <w:keepNext w:val="0"/>
              <w:keepLines w:val="0"/>
              <w:pageBreakBefore w:val="0"/>
              <w:widowControl/>
              <w:suppressLineNumbers w:val="0"/>
              <w:kinsoku/>
              <w:wordWrap/>
              <w:overflowPunct/>
              <w:topLinePunct w:val="0"/>
              <w:autoSpaceDE/>
              <w:autoSpaceDN/>
              <w:bidi w:val="0"/>
              <w:spacing w:line="360" w:lineRule="auto"/>
              <w:jc w:val="left"/>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color w:val="auto"/>
                <w:kern w:val="0"/>
                <w:sz w:val="21"/>
                <w:szCs w:val="21"/>
                <w:highlight w:val="none"/>
                <w:u w:val="none"/>
                <w:lang w:val="en-US" w:eastAsia="zh-CN" w:bidi="ar"/>
              </w:rPr>
              <w:t>广西贺州桂东农村合作银行 总协调人：卢士强  职务：授信审批部总经理  手机号码：18077409115</w:t>
            </w:r>
          </w:p>
        </w:tc>
      </w:tr>
      <w:tr w14:paraId="44941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5" w:type="dxa"/>
            <w:vAlign w:val="center"/>
          </w:tcPr>
          <w:p w14:paraId="392E2F0B">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b/>
                <w:i w:val="0"/>
                <w:color w:val="auto"/>
                <w:kern w:val="0"/>
                <w:sz w:val="21"/>
                <w:szCs w:val="21"/>
                <w:highlight w:val="none"/>
                <w:u w:val="none"/>
                <w:lang w:val="en-US" w:eastAsia="zh-CN" w:bidi="ar"/>
              </w:rPr>
              <w:t>序号</w:t>
            </w:r>
          </w:p>
        </w:tc>
        <w:tc>
          <w:tcPr>
            <w:tcW w:w="2992" w:type="dxa"/>
            <w:vAlign w:val="center"/>
          </w:tcPr>
          <w:p w14:paraId="0E4B3008">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b/>
                <w:i w:val="0"/>
                <w:color w:val="auto"/>
                <w:kern w:val="0"/>
                <w:sz w:val="21"/>
                <w:szCs w:val="21"/>
                <w:highlight w:val="none"/>
                <w:u w:val="none"/>
                <w:lang w:val="en-US" w:eastAsia="zh-CN" w:bidi="ar"/>
              </w:rPr>
              <w:t>金融机构</w:t>
            </w:r>
          </w:p>
        </w:tc>
        <w:tc>
          <w:tcPr>
            <w:tcW w:w="944" w:type="dxa"/>
            <w:vAlign w:val="center"/>
          </w:tcPr>
          <w:p w14:paraId="786BB560">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b/>
                <w:i w:val="0"/>
                <w:color w:val="auto"/>
                <w:kern w:val="0"/>
                <w:sz w:val="21"/>
                <w:szCs w:val="21"/>
                <w:highlight w:val="none"/>
                <w:u w:val="none"/>
                <w:lang w:val="en-US" w:eastAsia="zh-CN" w:bidi="ar"/>
              </w:rPr>
              <w:t>联系人</w:t>
            </w:r>
          </w:p>
        </w:tc>
        <w:tc>
          <w:tcPr>
            <w:tcW w:w="1159" w:type="dxa"/>
            <w:vAlign w:val="center"/>
          </w:tcPr>
          <w:p w14:paraId="6A833DDF">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b/>
                <w:i w:val="0"/>
                <w:color w:val="auto"/>
                <w:kern w:val="0"/>
                <w:sz w:val="21"/>
                <w:szCs w:val="21"/>
                <w:highlight w:val="none"/>
                <w:u w:val="none"/>
                <w:lang w:val="en-US" w:eastAsia="zh-CN" w:bidi="ar"/>
              </w:rPr>
              <w:t>职务</w:t>
            </w:r>
          </w:p>
        </w:tc>
        <w:tc>
          <w:tcPr>
            <w:tcW w:w="1545" w:type="dxa"/>
            <w:vAlign w:val="center"/>
          </w:tcPr>
          <w:p w14:paraId="7AD17E54">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b/>
                <w:i w:val="0"/>
                <w:color w:val="auto"/>
                <w:kern w:val="0"/>
                <w:sz w:val="21"/>
                <w:szCs w:val="21"/>
                <w:highlight w:val="none"/>
                <w:u w:val="none"/>
                <w:lang w:val="en-US" w:eastAsia="zh-CN" w:bidi="ar"/>
              </w:rPr>
              <w:t>手机号码</w:t>
            </w:r>
          </w:p>
        </w:tc>
        <w:tc>
          <w:tcPr>
            <w:tcW w:w="2426" w:type="dxa"/>
            <w:vAlign w:val="center"/>
          </w:tcPr>
          <w:p w14:paraId="1CE8783F">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b/>
                <w:i w:val="0"/>
                <w:color w:val="auto"/>
                <w:kern w:val="0"/>
                <w:sz w:val="21"/>
                <w:szCs w:val="21"/>
                <w:highlight w:val="none"/>
                <w:u w:val="none"/>
                <w:lang w:val="en-US" w:eastAsia="zh-CN" w:bidi="ar"/>
              </w:rPr>
              <w:t>银行地址</w:t>
            </w:r>
          </w:p>
        </w:tc>
      </w:tr>
      <w:tr w14:paraId="6B6BB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8" w:hRule="atLeast"/>
        </w:trPr>
        <w:tc>
          <w:tcPr>
            <w:tcW w:w="355" w:type="dxa"/>
            <w:vAlign w:val="center"/>
          </w:tcPr>
          <w:p w14:paraId="4CD370BD">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color w:val="auto"/>
                <w:kern w:val="0"/>
                <w:sz w:val="21"/>
                <w:szCs w:val="21"/>
                <w:highlight w:val="none"/>
                <w:u w:val="none"/>
                <w:lang w:val="en-US" w:eastAsia="zh-CN" w:bidi="ar"/>
              </w:rPr>
              <w:t>1</w:t>
            </w:r>
          </w:p>
        </w:tc>
        <w:tc>
          <w:tcPr>
            <w:tcW w:w="2992" w:type="dxa"/>
            <w:vAlign w:val="center"/>
          </w:tcPr>
          <w:p w14:paraId="3F2CE242">
            <w:pPr>
              <w:keepNext w:val="0"/>
              <w:keepLines w:val="0"/>
              <w:pageBreakBefore w:val="0"/>
              <w:widowControl/>
              <w:suppressLineNumbers w:val="0"/>
              <w:kinsoku/>
              <w:wordWrap/>
              <w:overflowPunct/>
              <w:topLinePunct w:val="0"/>
              <w:autoSpaceDE/>
              <w:autoSpaceDN/>
              <w:bidi w:val="0"/>
              <w:spacing w:line="360" w:lineRule="auto"/>
              <w:jc w:val="left"/>
              <w:textAlignment w:val="center"/>
              <w:rPr>
                <w:rFonts w:hint="eastAsia" w:ascii="宋体" w:hAnsi="宋体" w:eastAsia="宋体" w:cs="宋体"/>
                <w:i w:val="0"/>
                <w:iCs w:val="0"/>
                <w:color w:val="auto"/>
                <w:sz w:val="21"/>
                <w:szCs w:val="21"/>
                <w:highlight w:val="none"/>
                <w:u w:val="none"/>
                <w:lang w:val="en-US" w:eastAsia="zh-CN" w:bidi="ar-SA"/>
              </w:rPr>
            </w:pPr>
            <w:r>
              <w:rPr>
                <w:rFonts w:hint="eastAsia" w:ascii="宋体" w:hAnsi="宋体" w:eastAsia="宋体" w:cs="宋体"/>
                <w:i w:val="0"/>
                <w:color w:val="auto"/>
                <w:kern w:val="0"/>
                <w:sz w:val="21"/>
                <w:szCs w:val="21"/>
                <w:highlight w:val="none"/>
                <w:u w:val="none"/>
                <w:lang w:val="en-US" w:eastAsia="zh-CN" w:bidi="ar"/>
              </w:rPr>
              <w:t>广西贺州桂东农村合作银行</w:t>
            </w:r>
          </w:p>
        </w:tc>
        <w:tc>
          <w:tcPr>
            <w:tcW w:w="944" w:type="dxa"/>
            <w:vAlign w:val="center"/>
          </w:tcPr>
          <w:p w14:paraId="5B02504F">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color w:val="auto"/>
                <w:kern w:val="0"/>
                <w:sz w:val="21"/>
                <w:szCs w:val="21"/>
                <w:highlight w:val="none"/>
                <w:u w:val="none"/>
                <w:lang w:val="en-US" w:eastAsia="zh-CN" w:bidi="ar"/>
              </w:rPr>
              <w:t>黄  腾</w:t>
            </w:r>
          </w:p>
        </w:tc>
        <w:tc>
          <w:tcPr>
            <w:tcW w:w="1159" w:type="dxa"/>
            <w:vAlign w:val="center"/>
          </w:tcPr>
          <w:p w14:paraId="62E51CE5">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color w:val="auto"/>
                <w:kern w:val="0"/>
                <w:sz w:val="21"/>
                <w:szCs w:val="21"/>
                <w:highlight w:val="none"/>
                <w:u w:val="none"/>
                <w:lang w:val="en-US" w:eastAsia="zh-CN" w:bidi="ar"/>
              </w:rPr>
              <w:t>授信审批部审查员</w:t>
            </w:r>
          </w:p>
        </w:tc>
        <w:tc>
          <w:tcPr>
            <w:tcW w:w="1545" w:type="dxa"/>
            <w:vAlign w:val="center"/>
          </w:tcPr>
          <w:p w14:paraId="023D1D78">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color w:val="auto"/>
                <w:kern w:val="0"/>
                <w:sz w:val="21"/>
                <w:szCs w:val="21"/>
                <w:highlight w:val="none"/>
                <w:u w:val="none"/>
                <w:lang w:val="en-US" w:eastAsia="zh-CN" w:bidi="ar"/>
              </w:rPr>
              <w:t>15078333887</w:t>
            </w:r>
          </w:p>
        </w:tc>
        <w:tc>
          <w:tcPr>
            <w:tcW w:w="2426" w:type="dxa"/>
            <w:vAlign w:val="center"/>
          </w:tcPr>
          <w:p w14:paraId="35FF7512">
            <w:pPr>
              <w:keepNext w:val="0"/>
              <w:keepLines w:val="0"/>
              <w:pageBreakBefore w:val="0"/>
              <w:widowControl/>
              <w:suppressLineNumbers w:val="0"/>
              <w:kinsoku/>
              <w:wordWrap/>
              <w:overflowPunct/>
              <w:topLinePunct w:val="0"/>
              <w:autoSpaceDE/>
              <w:autoSpaceDN/>
              <w:bidi w:val="0"/>
              <w:spacing w:line="360" w:lineRule="auto"/>
              <w:jc w:val="left"/>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贺州市八步区建设东路6号</w:t>
            </w:r>
          </w:p>
        </w:tc>
      </w:tr>
      <w:tr w14:paraId="569DD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8" w:hRule="atLeast"/>
        </w:trPr>
        <w:tc>
          <w:tcPr>
            <w:tcW w:w="355" w:type="dxa"/>
            <w:vAlign w:val="center"/>
          </w:tcPr>
          <w:p w14:paraId="6E788215">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2</w:t>
            </w:r>
          </w:p>
        </w:tc>
        <w:tc>
          <w:tcPr>
            <w:tcW w:w="2992" w:type="dxa"/>
            <w:vAlign w:val="center"/>
          </w:tcPr>
          <w:p w14:paraId="5E3B18BF">
            <w:pPr>
              <w:keepNext w:val="0"/>
              <w:keepLines w:val="0"/>
              <w:pageBreakBefore w:val="0"/>
              <w:widowControl/>
              <w:suppressLineNumbers w:val="0"/>
              <w:kinsoku/>
              <w:wordWrap/>
              <w:overflowPunct/>
              <w:topLinePunct w:val="0"/>
              <w:autoSpaceDE/>
              <w:autoSpaceDN/>
              <w:bidi w:val="0"/>
              <w:spacing w:line="360" w:lineRule="auto"/>
              <w:jc w:val="left"/>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广西贺州桂东农村合作银行营业部</w:t>
            </w:r>
          </w:p>
        </w:tc>
        <w:tc>
          <w:tcPr>
            <w:tcW w:w="944" w:type="dxa"/>
            <w:vAlign w:val="center"/>
          </w:tcPr>
          <w:p w14:paraId="6DD50D0B">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刘  瑜</w:t>
            </w:r>
          </w:p>
        </w:tc>
        <w:tc>
          <w:tcPr>
            <w:tcW w:w="1159" w:type="dxa"/>
            <w:vAlign w:val="center"/>
          </w:tcPr>
          <w:p w14:paraId="6E82093F">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营业部副总经理</w:t>
            </w:r>
          </w:p>
        </w:tc>
        <w:tc>
          <w:tcPr>
            <w:tcW w:w="1545" w:type="dxa"/>
            <w:vAlign w:val="center"/>
          </w:tcPr>
          <w:p w14:paraId="5671FB91">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18007843000</w:t>
            </w:r>
          </w:p>
        </w:tc>
        <w:tc>
          <w:tcPr>
            <w:tcW w:w="2426" w:type="dxa"/>
            <w:vAlign w:val="center"/>
          </w:tcPr>
          <w:p w14:paraId="39F0FDAD">
            <w:pPr>
              <w:keepNext w:val="0"/>
              <w:keepLines w:val="0"/>
              <w:pageBreakBefore w:val="0"/>
              <w:widowControl/>
              <w:suppressLineNumbers w:val="0"/>
              <w:kinsoku/>
              <w:wordWrap/>
              <w:overflowPunct/>
              <w:topLinePunct w:val="0"/>
              <w:autoSpaceDE/>
              <w:autoSpaceDN/>
              <w:bidi w:val="0"/>
              <w:spacing w:line="360" w:lineRule="auto"/>
              <w:jc w:val="left"/>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贺州市八步区建设东路6号</w:t>
            </w:r>
          </w:p>
        </w:tc>
      </w:tr>
      <w:tr w14:paraId="42DFD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8" w:hRule="atLeast"/>
        </w:trPr>
        <w:tc>
          <w:tcPr>
            <w:tcW w:w="355" w:type="dxa"/>
            <w:vAlign w:val="center"/>
          </w:tcPr>
          <w:p w14:paraId="2D2CC434">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3</w:t>
            </w:r>
          </w:p>
        </w:tc>
        <w:tc>
          <w:tcPr>
            <w:tcW w:w="2992" w:type="dxa"/>
            <w:vAlign w:val="center"/>
          </w:tcPr>
          <w:p w14:paraId="4F754371">
            <w:pPr>
              <w:keepNext w:val="0"/>
              <w:keepLines w:val="0"/>
              <w:pageBreakBefore w:val="0"/>
              <w:widowControl/>
              <w:suppressLineNumbers w:val="0"/>
              <w:kinsoku/>
              <w:wordWrap/>
              <w:overflowPunct/>
              <w:topLinePunct w:val="0"/>
              <w:autoSpaceDE/>
              <w:autoSpaceDN/>
              <w:bidi w:val="0"/>
              <w:spacing w:line="360" w:lineRule="auto"/>
              <w:jc w:val="left"/>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广西贺州桂东农村合作银行八步支行</w:t>
            </w:r>
          </w:p>
        </w:tc>
        <w:tc>
          <w:tcPr>
            <w:tcW w:w="944" w:type="dxa"/>
            <w:vAlign w:val="center"/>
          </w:tcPr>
          <w:p w14:paraId="108D0483">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谢地恩</w:t>
            </w:r>
          </w:p>
        </w:tc>
        <w:tc>
          <w:tcPr>
            <w:tcW w:w="1159" w:type="dxa"/>
            <w:vAlign w:val="center"/>
          </w:tcPr>
          <w:p w14:paraId="1F2718F4">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信贷副行长</w:t>
            </w:r>
          </w:p>
        </w:tc>
        <w:tc>
          <w:tcPr>
            <w:tcW w:w="1545" w:type="dxa"/>
            <w:vAlign w:val="center"/>
          </w:tcPr>
          <w:p w14:paraId="3226ECE3">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18007840168</w:t>
            </w:r>
          </w:p>
        </w:tc>
        <w:tc>
          <w:tcPr>
            <w:tcW w:w="2426" w:type="dxa"/>
            <w:vAlign w:val="center"/>
          </w:tcPr>
          <w:p w14:paraId="58D57392">
            <w:pPr>
              <w:keepNext w:val="0"/>
              <w:keepLines w:val="0"/>
              <w:pageBreakBefore w:val="0"/>
              <w:widowControl/>
              <w:suppressLineNumbers w:val="0"/>
              <w:kinsoku/>
              <w:wordWrap/>
              <w:overflowPunct/>
              <w:topLinePunct w:val="0"/>
              <w:autoSpaceDE/>
              <w:autoSpaceDN/>
              <w:bidi w:val="0"/>
              <w:spacing w:line="360" w:lineRule="auto"/>
              <w:jc w:val="left"/>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贺州市八步区八达西路652-1号</w:t>
            </w:r>
          </w:p>
        </w:tc>
      </w:tr>
      <w:tr w14:paraId="24736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8" w:hRule="atLeast"/>
        </w:trPr>
        <w:tc>
          <w:tcPr>
            <w:tcW w:w="355" w:type="dxa"/>
            <w:vAlign w:val="center"/>
          </w:tcPr>
          <w:p w14:paraId="553C16C0">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4</w:t>
            </w:r>
          </w:p>
        </w:tc>
        <w:tc>
          <w:tcPr>
            <w:tcW w:w="2992" w:type="dxa"/>
            <w:vAlign w:val="center"/>
          </w:tcPr>
          <w:p w14:paraId="4C4495FE">
            <w:pPr>
              <w:keepNext w:val="0"/>
              <w:keepLines w:val="0"/>
              <w:pageBreakBefore w:val="0"/>
              <w:widowControl/>
              <w:suppressLineNumbers w:val="0"/>
              <w:kinsoku/>
              <w:wordWrap/>
              <w:overflowPunct/>
              <w:topLinePunct w:val="0"/>
              <w:autoSpaceDE/>
              <w:autoSpaceDN/>
              <w:bidi w:val="0"/>
              <w:spacing w:line="360" w:lineRule="auto"/>
              <w:jc w:val="left"/>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广西贺州桂东农村合作银行平桂支行</w:t>
            </w:r>
          </w:p>
        </w:tc>
        <w:tc>
          <w:tcPr>
            <w:tcW w:w="944" w:type="dxa"/>
            <w:vAlign w:val="center"/>
          </w:tcPr>
          <w:p w14:paraId="35F2FB45">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古  睿</w:t>
            </w:r>
          </w:p>
        </w:tc>
        <w:tc>
          <w:tcPr>
            <w:tcW w:w="1159" w:type="dxa"/>
            <w:vAlign w:val="center"/>
          </w:tcPr>
          <w:p w14:paraId="69BE6B98">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信贷副行长</w:t>
            </w:r>
          </w:p>
        </w:tc>
        <w:tc>
          <w:tcPr>
            <w:tcW w:w="1545" w:type="dxa"/>
            <w:vAlign w:val="center"/>
          </w:tcPr>
          <w:p w14:paraId="6370529E">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18007840375</w:t>
            </w:r>
          </w:p>
        </w:tc>
        <w:tc>
          <w:tcPr>
            <w:tcW w:w="2426" w:type="dxa"/>
            <w:vAlign w:val="center"/>
          </w:tcPr>
          <w:p w14:paraId="206A7203">
            <w:pPr>
              <w:keepNext w:val="0"/>
              <w:keepLines w:val="0"/>
              <w:pageBreakBefore w:val="0"/>
              <w:widowControl/>
              <w:suppressLineNumbers w:val="0"/>
              <w:kinsoku/>
              <w:wordWrap/>
              <w:overflowPunct/>
              <w:topLinePunct w:val="0"/>
              <w:autoSpaceDE/>
              <w:autoSpaceDN/>
              <w:bidi w:val="0"/>
              <w:spacing w:line="360" w:lineRule="auto"/>
              <w:jc w:val="left"/>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贺州市平桂区平桂大道财政局一楼</w:t>
            </w:r>
          </w:p>
        </w:tc>
      </w:tr>
    </w:tbl>
    <w:p w14:paraId="45B431A1">
      <w:pPr>
        <w:pStyle w:val="134"/>
        <w:spacing w:line="360" w:lineRule="auto"/>
        <w:outlineLvl w:val="9"/>
        <w:rPr>
          <w:rFonts w:hint="eastAsia" w:ascii="宋体" w:hAnsi="宋体" w:eastAsia="宋体" w:cs="宋体"/>
          <w:b/>
          <w:color w:val="auto"/>
          <w:highlight w:val="none"/>
        </w:rPr>
      </w:pPr>
    </w:p>
    <w:p w14:paraId="7941EA8C">
      <w:pPr>
        <w:pStyle w:val="20"/>
        <w:spacing w:line="360" w:lineRule="auto"/>
        <w:rPr>
          <w:rFonts w:hint="eastAsia" w:ascii="宋体" w:hAnsi="宋体" w:eastAsia="宋体" w:cs="宋体"/>
          <w:b/>
          <w:color w:val="auto"/>
          <w:highlight w:val="none"/>
        </w:rPr>
      </w:pPr>
    </w:p>
    <w:p w14:paraId="653F50F0">
      <w:pPr>
        <w:pStyle w:val="20"/>
        <w:spacing w:line="360" w:lineRule="auto"/>
        <w:jc w:val="left"/>
        <w:outlineLvl w:val="0"/>
        <w:rPr>
          <w:rFonts w:hint="eastAsia" w:ascii="宋体" w:hAnsi="宋体" w:eastAsia="宋体" w:cs="宋体"/>
          <w:color w:val="auto"/>
          <w:sz w:val="32"/>
          <w:szCs w:val="32"/>
          <w:highlight w:val="none"/>
        </w:rPr>
      </w:pPr>
      <w:bookmarkStart w:id="287" w:name="_Toc25804"/>
      <w:bookmarkStart w:id="288" w:name="_Toc14113"/>
    </w:p>
    <w:p w14:paraId="33F94067">
      <w:pPr>
        <w:pStyle w:val="20"/>
        <w:spacing w:line="360" w:lineRule="auto"/>
        <w:jc w:val="left"/>
        <w:outlineLvl w:val="0"/>
        <w:rPr>
          <w:rFonts w:hint="eastAsia" w:ascii="宋体" w:hAnsi="宋体" w:eastAsia="宋体" w:cs="宋体"/>
          <w:color w:val="auto"/>
          <w:sz w:val="32"/>
          <w:szCs w:val="32"/>
          <w:highlight w:val="none"/>
        </w:rPr>
        <w:sectPr>
          <w:footerReference r:id="rId9" w:type="default"/>
          <w:pgSz w:w="11906" w:h="16838"/>
          <w:pgMar w:top="1134" w:right="1134" w:bottom="1134" w:left="1134" w:header="720" w:footer="720" w:gutter="0"/>
          <w:pgNumType w:fmt="decimal" w:start="1"/>
          <w:cols w:space="720" w:num="1"/>
          <w:docGrid w:type="lines" w:linePitch="331" w:charSpace="0"/>
        </w:sectPr>
      </w:pPr>
      <w:bookmarkStart w:id="289" w:name="_Toc1861"/>
    </w:p>
    <w:p w14:paraId="50CD60FE">
      <w:pPr>
        <w:pStyle w:val="20"/>
        <w:spacing w:line="360" w:lineRule="auto"/>
        <w:jc w:val="left"/>
        <w:outlineLvl w:val="0"/>
        <w:rPr>
          <w:rFonts w:hint="eastAsia" w:ascii="宋体" w:hAnsi="宋体" w:eastAsia="宋体" w:cs="宋体"/>
          <w:color w:val="auto"/>
          <w:sz w:val="32"/>
          <w:szCs w:val="32"/>
          <w:highlight w:val="none"/>
        </w:rPr>
      </w:pPr>
      <w:r>
        <w:rPr>
          <w:rFonts w:hint="eastAsia" w:ascii="宋体" w:hAnsi="宋体" w:eastAsia="宋体" w:cs="宋体"/>
          <w:color w:val="auto"/>
          <w:highlight w:val="none"/>
        </w:rPr>
        <w:drawing>
          <wp:anchor distT="0" distB="0" distL="114300" distR="114300" simplePos="0" relativeHeight="251659264" behindDoc="1" locked="0" layoutInCell="1" allowOverlap="1">
            <wp:simplePos x="0" y="0"/>
            <wp:positionH relativeFrom="column">
              <wp:posOffset>19050</wp:posOffset>
            </wp:positionH>
            <wp:positionV relativeFrom="paragraph">
              <wp:posOffset>12065</wp:posOffset>
            </wp:positionV>
            <wp:extent cx="5888990" cy="8324215"/>
            <wp:effectExtent l="0" t="0" r="16510" b="635"/>
            <wp:wrapNone/>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16"/>
                    <a:stretch>
                      <a:fillRect/>
                    </a:stretch>
                  </pic:blipFill>
                  <pic:spPr>
                    <a:xfrm>
                      <a:off x="0" y="0"/>
                      <a:ext cx="5888990" cy="8324215"/>
                    </a:xfrm>
                    <a:prstGeom prst="rect">
                      <a:avLst/>
                    </a:prstGeom>
                    <a:noFill/>
                    <a:ln>
                      <a:noFill/>
                    </a:ln>
                  </pic:spPr>
                </pic:pic>
              </a:graphicData>
            </a:graphic>
          </wp:anchor>
        </w:drawing>
      </w:r>
      <w:r>
        <w:rPr>
          <w:rFonts w:hint="eastAsia" w:ascii="宋体" w:hAnsi="宋体" w:eastAsia="宋体" w:cs="宋体"/>
          <w:color w:val="auto"/>
          <w:sz w:val="32"/>
          <w:szCs w:val="32"/>
          <w:highlight w:val="none"/>
        </w:rPr>
        <w:t>附件</w:t>
      </w:r>
      <w:r>
        <w:rPr>
          <w:rFonts w:hint="eastAsia" w:ascii="宋体" w:hAnsi="宋体" w:eastAsia="宋体" w:cs="宋体"/>
          <w:color w:val="auto"/>
          <w:sz w:val="32"/>
          <w:szCs w:val="32"/>
          <w:highlight w:val="none"/>
          <w:lang w:val="en-US" w:eastAsia="zh-CN"/>
        </w:rPr>
        <w:t>2</w:t>
      </w:r>
      <w:r>
        <w:rPr>
          <w:rFonts w:hint="eastAsia" w:ascii="宋体" w:hAnsi="宋体" w:eastAsia="宋体" w:cs="宋体"/>
          <w:color w:val="auto"/>
          <w:sz w:val="32"/>
          <w:szCs w:val="32"/>
          <w:highlight w:val="none"/>
        </w:rPr>
        <w:t>：</w:t>
      </w:r>
      <w:bookmarkEnd w:id="287"/>
      <w:bookmarkEnd w:id="288"/>
      <w:bookmarkEnd w:id="289"/>
    </w:p>
    <w:p w14:paraId="3847578A">
      <w:pPr>
        <w:pStyle w:val="21"/>
        <w:spacing w:line="360" w:lineRule="auto"/>
        <w:ind w:left="0" w:leftChars="0" w:firstLine="0" w:firstLineChars="0"/>
        <w:jc w:val="center"/>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贺州市财政局关于在政府采购活动中推广使用电子保函的通知</w:t>
      </w:r>
    </w:p>
    <w:p w14:paraId="4D61AB24">
      <w:pPr>
        <w:pStyle w:val="21"/>
        <w:spacing w:line="360" w:lineRule="auto"/>
        <w:rPr>
          <w:rFonts w:hint="eastAsia" w:ascii="宋体" w:hAnsi="宋体" w:eastAsia="宋体" w:cs="宋体"/>
          <w:color w:val="auto"/>
          <w:sz w:val="21"/>
          <w:szCs w:val="21"/>
          <w:highlight w:val="none"/>
        </w:rPr>
      </w:pPr>
    </w:p>
    <w:p w14:paraId="6AB7B976">
      <w:pPr>
        <w:spacing w:line="360" w:lineRule="auto"/>
        <w:rPr>
          <w:rFonts w:hint="eastAsia" w:ascii="宋体" w:hAnsi="宋体" w:eastAsia="宋体" w:cs="宋体"/>
          <w:color w:val="auto"/>
          <w:sz w:val="21"/>
          <w:szCs w:val="21"/>
          <w:highlight w:val="none"/>
        </w:rPr>
        <w:sectPr>
          <w:pgSz w:w="11906" w:h="16838"/>
          <w:pgMar w:top="1134" w:right="1134" w:bottom="1134" w:left="1134" w:header="720" w:footer="720" w:gutter="0"/>
          <w:pgNumType w:fmt="decimal"/>
          <w:cols w:space="720" w:num="1"/>
          <w:docGrid w:type="lines" w:linePitch="331" w:charSpace="0"/>
        </w:sectPr>
      </w:pPr>
    </w:p>
    <w:p w14:paraId="2C1E1E2F">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center"/>
        <w:rPr>
          <w:rFonts w:hint="eastAsia" w:ascii="宋体" w:hAnsi="宋体" w:eastAsia="宋体" w:cs="宋体"/>
          <w:b/>
          <w:bCs/>
          <w:color w:val="auto"/>
          <w:sz w:val="21"/>
          <w:szCs w:val="21"/>
          <w:highlight w:val="none"/>
        </w:rPr>
      </w:pPr>
      <w:r>
        <w:rPr>
          <w:rFonts w:hint="eastAsia" w:ascii="宋体" w:hAnsi="宋体" w:eastAsia="宋体" w:cs="宋体"/>
          <w:color w:val="auto"/>
          <w:highlight w:val="none"/>
        </w:rPr>
        <w:drawing>
          <wp:inline distT="0" distB="0" distL="114300" distR="114300">
            <wp:extent cx="6185535" cy="8742680"/>
            <wp:effectExtent l="0" t="0" r="5715" b="1270"/>
            <wp:docPr id="1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
                    <pic:cNvPicPr>
                      <a:picLocks noChangeAspect="1"/>
                    </pic:cNvPicPr>
                  </pic:nvPicPr>
                  <pic:blipFill>
                    <a:blip r:embed="rId17"/>
                    <a:stretch>
                      <a:fillRect/>
                    </a:stretch>
                  </pic:blipFill>
                  <pic:spPr>
                    <a:xfrm>
                      <a:off x="0" y="0"/>
                      <a:ext cx="6185535" cy="8742680"/>
                    </a:xfrm>
                    <a:prstGeom prst="rect">
                      <a:avLst/>
                    </a:prstGeom>
                    <a:noFill/>
                    <a:ln>
                      <a:noFill/>
                    </a:ln>
                  </pic:spPr>
                </pic:pic>
              </a:graphicData>
            </a:graphic>
          </wp:inline>
        </w:drawing>
      </w:r>
      <w:r>
        <w:rPr>
          <w:rFonts w:hint="eastAsia" w:ascii="宋体" w:hAnsi="宋体" w:eastAsia="宋体" w:cs="宋体"/>
          <w:color w:val="auto"/>
          <w:highlight w:val="none"/>
        </w:rPr>
        <w:drawing>
          <wp:inline distT="0" distB="0" distL="114300" distR="114300">
            <wp:extent cx="6185535" cy="8797290"/>
            <wp:effectExtent l="0" t="0" r="5715" b="381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8"/>
                    <a:stretch>
                      <a:fillRect/>
                    </a:stretch>
                  </pic:blipFill>
                  <pic:spPr>
                    <a:xfrm>
                      <a:off x="0" y="0"/>
                      <a:ext cx="6185535" cy="8797290"/>
                    </a:xfrm>
                    <a:prstGeom prst="rect">
                      <a:avLst/>
                    </a:prstGeom>
                    <a:noFill/>
                    <a:ln>
                      <a:noFill/>
                    </a:ln>
                  </pic:spPr>
                </pic:pic>
              </a:graphicData>
            </a:graphic>
          </wp:inline>
        </w:drawing>
      </w:r>
      <w:r>
        <w:rPr>
          <w:rFonts w:hint="eastAsia" w:ascii="宋体" w:hAnsi="宋体" w:eastAsia="宋体" w:cs="宋体"/>
          <w:color w:val="auto"/>
          <w:highlight w:val="none"/>
        </w:rPr>
        <w:drawing>
          <wp:inline distT="0" distB="0" distL="114300" distR="114300">
            <wp:extent cx="6184900" cy="8798560"/>
            <wp:effectExtent l="0" t="0" r="6350" b="2540"/>
            <wp:docPr id="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
                    <pic:cNvPicPr>
                      <a:picLocks noChangeAspect="1"/>
                    </pic:cNvPicPr>
                  </pic:nvPicPr>
                  <pic:blipFill>
                    <a:blip r:embed="rId19"/>
                    <a:stretch>
                      <a:fillRect/>
                    </a:stretch>
                  </pic:blipFill>
                  <pic:spPr>
                    <a:xfrm>
                      <a:off x="0" y="0"/>
                      <a:ext cx="6184900" cy="8798560"/>
                    </a:xfrm>
                    <a:prstGeom prst="rect">
                      <a:avLst/>
                    </a:prstGeom>
                    <a:noFill/>
                    <a:ln>
                      <a:noFill/>
                    </a:ln>
                  </pic:spPr>
                </pic:pic>
              </a:graphicData>
            </a:graphic>
          </wp:inline>
        </w:drawing>
      </w:r>
    </w:p>
    <w:p w14:paraId="7C92B5AE">
      <w:pPr>
        <w:pStyle w:val="3"/>
        <w:spacing w:line="360" w:lineRule="auto"/>
        <w:jc w:val="center"/>
        <w:outlineLvl w:val="0"/>
        <w:rPr>
          <w:rFonts w:hint="eastAsia" w:ascii="宋体" w:hAnsi="宋体" w:eastAsia="宋体" w:cs="宋体"/>
          <w:b/>
          <w:bCs/>
          <w:color w:val="auto"/>
          <w:sz w:val="36"/>
          <w:szCs w:val="36"/>
          <w:highlight w:val="none"/>
          <w:lang w:val="en-US" w:eastAsia="zh-CN"/>
        </w:rPr>
      </w:pPr>
      <w:bookmarkStart w:id="290" w:name="_Toc8285"/>
      <w:r>
        <w:rPr>
          <w:rFonts w:hint="eastAsia" w:ascii="宋体" w:hAnsi="宋体" w:eastAsia="宋体" w:cs="宋体"/>
          <w:b/>
          <w:bCs/>
          <w:color w:val="auto"/>
          <w:sz w:val="36"/>
          <w:szCs w:val="36"/>
          <w:highlight w:val="none"/>
          <w:lang w:val="en-US" w:eastAsia="zh-CN"/>
        </w:rPr>
        <w:t>第三章</w:t>
      </w:r>
      <w:bookmarkStart w:id="291" w:name="_Toc240"/>
      <w:r>
        <w:rPr>
          <w:rFonts w:hint="eastAsia" w:ascii="宋体" w:hAnsi="宋体" w:eastAsia="宋体" w:cs="宋体"/>
          <w:b/>
          <w:bCs/>
          <w:color w:val="auto"/>
          <w:sz w:val="36"/>
          <w:szCs w:val="36"/>
          <w:highlight w:val="none"/>
          <w:lang w:val="en-US" w:eastAsia="zh-CN"/>
        </w:rPr>
        <w:t xml:space="preserve"> 采购需求和说明</w:t>
      </w:r>
      <w:bookmarkEnd w:id="286"/>
      <w:bookmarkEnd w:id="290"/>
      <w:bookmarkEnd w:id="291"/>
    </w:p>
    <w:p w14:paraId="097EBA7E">
      <w:pPr>
        <w:pStyle w:val="2"/>
        <w:spacing w:line="360" w:lineRule="auto"/>
        <w:rPr>
          <w:rFonts w:hint="eastAsia" w:ascii="宋体" w:hAnsi="宋体" w:eastAsia="宋体" w:cs="宋体"/>
          <w:color w:val="auto"/>
          <w:highlight w:val="none"/>
          <w:lang w:val="en-US" w:eastAsia="zh-CN"/>
        </w:rPr>
      </w:pPr>
      <w:bookmarkStart w:id="292" w:name="OLE_LINK4"/>
      <w:bookmarkEnd w:id="292"/>
      <w:bookmarkStart w:id="293" w:name="_Toc30364"/>
      <w:bookmarkEnd w:id="293"/>
    </w:p>
    <w:p w14:paraId="4EA85212">
      <w:pPr>
        <w:shd w:val="clear" w:color="auto" w:fill="auto"/>
        <w:spacing w:line="360" w:lineRule="auto"/>
        <w:jc w:val="cente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采购项目技术规格、参数及要求</w:t>
      </w:r>
    </w:p>
    <w:p w14:paraId="38C0E39C">
      <w:pPr>
        <w:keepNext w:val="0"/>
        <w:keepLines w:val="0"/>
        <w:pageBreakBefore w:val="0"/>
        <w:widowControl w:val="0"/>
        <w:numPr>
          <w:ilvl w:val="0"/>
          <w:numId w:val="1"/>
        </w:numPr>
        <w:shd w:val="clear" w:color="auto" w:fill="auto"/>
        <w:tabs>
          <w:tab w:val="left" w:pos="180"/>
          <w:tab w:val="left" w:pos="1620"/>
        </w:tabs>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采购项目编号：</w:t>
      </w:r>
      <w:r>
        <w:rPr>
          <w:rFonts w:hint="eastAsia" w:ascii="宋体" w:hAnsi="宋体" w:cs="宋体"/>
          <w:color w:val="auto"/>
          <w:szCs w:val="21"/>
          <w:highlight w:val="none"/>
          <w:lang w:eastAsia="zh-CN"/>
        </w:rPr>
        <w:t>HZZC2026-C2-230104-ZFZX</w:t>
      </w:r>
      <w:r>
        <w:rPr>
          <w:rFonts w:hint="eastAsia" w:ascii="宋体" w:hAnsi="宋体" w:eastAsia="宋体" w:cs="宋体"/>
          <w:color w:val="auto"/>
          <w:szCs w:val="21"/>
          <w:highlight w:val="none"/>
          <w:lang w:val="en-US" w:eastAsia="zh-CN"/>
        </w:rPr>
        <w:t xml:space="preserve">   </w:t>
      </w:r>
    </w:p>
    <w:p w14:paraId="77592FC6">
      <w:pPr>
        <w:keepNext w:val="0"/>
        <w:keepLines w:val="0"/>
        <w:pageBreakBefore w:val="0"/>
        <w:widowControl w:val="0"/>
        <w:numPr>
          <w:ilvl w:val="0"/>
          <w:numId w:val="0"/>
        </w:numPr>
        <w:shd w:val="clear" w:color="auto" w:fill="auto"/>
        <w:tabs>
          <w:tab w:val="left" w:pos="180"/>
          <w:tab w:val="left" w:pos="1620"/>
        </w:tabs>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二、采购项目类别：</w:t>
      </w:r>
      <w:r>
        <w:rPr>
          <w:rFonts w:hint="eastAsia" w:ascii="宋体" w:hAnsi="宋体" w:eastAsia="宋体" w:cs="宋体"/>
          <w:color w:val="auto"/>
          <w:szCs w:val="21"/>
          <w:highlight w:val="none"/>
          <w:u w:val="single"/>
        </w:rPr>
        <w:t xml:space="preserve">  工程类  </w:t>
      </w:r>
    </w:p>
    <w:p w14:paraId="1908F591">
      <w:pPr>
        <w:keepNext w:val="0"/>
        <w:keepLines w:val="0"/>
        <w:pageBreakBefore w:val="0"/>
        <w:widowControl w:val="0"/>
        <w:shd w:val="clear" w:color="auto" w:fill="auto"/>
        <w:tabs>
          <w:tab w:val="left" w:pos="180"/>
          <w:tab w:val="left" w:pos="1620"/>
        </w:tabs>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三、采购需求一览表</w:t>
      </w:r>
    </w:p>
    <w:p w14:paraId="63CD2136">
      <w:pPr>
        <w:keepNext w:val="0"/>
        <w:keepLines w:val="0"/>
        <w:pageBreakBefore w:val="0"/>
        <w:widowControl w:val="0"/>
        <w:shd w:val="clear" w:color="auto" w:fill="auto"/>
        <w:kinsoku/>
        <w:wordWrap/>
        <w:overflowPunct/>
        <w:topLinePunct w:val="0"/>
        <w:autoSpaceDE/>
        <w:autoSpaceDN/>
        <w:bidi w:val="0"/>
        <w:adjustRightInd/>
        <w:snapToGrid/>
        <w:spacing w:line="360" w:lineRule="auto"/>
        <w:ind w:firstLine="437"/>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说明：</w:t>
      </w:r>
    </w:p>
    <w:p w14:paraId="363E045E">
      <w:pPr>
        <w:keepNext w:val="0"/>
        <w:keepLines w:val="0"/>
        <w:pageBreakBefore w:val="0"/>
        <w:widowControl w:val="0"/>
        <w:shd w:val="clear" w:color="auto" w:fill="auto"/>
        <w:kinsoku/>
        <w:wordWrap/>
        <w:overflowPunct/>
        <w:topLinePunct w:val="0"/>
        <w:autoSpaceDE/>
        <w:autoSpaceDN/>
        <w:bidi w:val="0"/>
        <w:adjustRightInd/>
        <w:snapToGrid/>
        <w:spacing w:line="360" w:lineRule="auto"/>
        <w:ind w:firstLine="437"/>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r>
        <w:rPr>
          <w:rFonts w:hint="eastAsia" w:ascii="宋体" w:hAnsi="宋体" w:eastAsia="宋体" w:cs="宋体"/>
          <w:b w:val="0"/>
          <w:bCs w:val="0"/>
          <w:color w:val="auto"/>
          <w:szCs w:val="21"/>
          <w:highlight w:val="none"/>
        </w:rPr>
        <w:t>本项目需求表中带有“▲”的技术参数或要求为实质性要求，必须满足，竞标响应不得低于该技术指标或要求</w:t>
      </w:r>
      <w:r>
        <w:rPr>
          <w:rFonts w:hint="eastAsia" w:ascii="宋体" w:hAnsi="宋体" w:eastAsia="宋体" w:cs="宋体"/>
          <w:color w:val="auto"/>
          <w:szCs w:val="21"/>
          <w:highlight w:val="none"/>
        </w:rPr>
        <w:t>。</w:t>
      </w:r>
    </w:p>
    <w:p w14:paraId="3C217FEB">
      <w:pPr>
        <w:keepNext w:val="0"/>
        <w:keepLines w:val="0"/>
        <w:pageBreakBefore w:val="0"/>
        <w:widowControl w:val="0"/>
        <w:shd w:val="clear" w:color="auto" w:fill="auto"/>
        <w:kinsoku/>
        <w:wordWrap/>
        <w:overflowPunct/>
        <w:topLinePunct w:val="0"/>
        <w:autoSpaceDE/>
        <w:autoSpaceDN/>
        <w:bidi w:val="0"/>
        <w:adjustRightInd/>
        <w:snapToGrid/>
        <w:spacing w:line="360" w:lineRule="auto"/>
        <w:ind w:firstLine="437"/>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rPr>
        <w:t>、采购标的对应的中小企业划分标准所属行业：根据《关于印发中小企业划型标准规定的通知》（工信部联企业〔2011〕300号），本次采购标的属于</w:t>
      </w:r>
      <w:r>
        <w:rPr>
          <w:rFonts w:hint="eastAsia" w:ascii="宋体" w:hAnsi="宋体" w:eastAsia="宋体" w:cs="宋体"/>
          <w:color w:val="auto"/>
          <w:szCs w:val="21"/>
          <w:highlight w:val="none"/>
          <w:u w:val="single"/>
        </w:rPr>
        <w:t xml:space="preserve"> </w:t>
      </w:r>
      <w:r>
        <w:rPr>
          <w:rFonts w:hint="eastAsia" w:ascii="宋体" w:hAnsi="宋体" w:eastAsia="宋体" w:cs="宋体"/>
          <w:b/>
          <w:bCs/>
          <w:color w:val="auto"/>
          <w:szCs w:val="21"/>
          <w:highlight w:val="none"/>
          <w:u w:val="single"/>
        </w:rPr>
        <w:t>建筑业</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w:t>
      </w:r>
    </w:p>
    <w:p w14:paraId="23FA5517">
      <w:pPr>
        <w:keepNext w:val="0"/>
        <w:keepLines w:val="0"/>
        <w:pageBreakBefore w:val="0"/>
        <w:widowControl w:val="0"/>
        <w:shd w:val="clear" w:color="auto" w:fill="auto"/>
        <w:kinsoku/>
        <w:wordWrap/>
        <w:overflowPunct/>
        <w:topLinePunct w:val="0"/>
        <w:autoSpaceDE/>
        <w:autoSpaceDN/>
        <w:bidi w:val="0"/>
        <w:adjustRightInd/>
        <w:snapToGrid/>
        <w:spacing w:line="360" w:lineRule="auto"/>
        <w:ind w:firstLine="437"/>
        <w:textAlignment w:val="auto"/>
        <w:rPr>
          <w:rFonts w:hint="eastAsia" w:ascii="宋体" w:hAnsi="宋体" w:eastAsia="宋体" w:cs="宋体"/>
          <w:b/>
          <w:bCs/>
          <w:color w:val="auto"/>
          <w:szCs w:val="21"/>
          <w:highlight w:val="none"/>
          <w:lang w:val="en-US" w:eastAsia="zh-CN"/>
        </w:rPr>
      </w:pPr>
    </w:p>
    <w:tbl>
      <w:tblPr>
        <w:tblStyle w:val="33"/>
        <w:tblpPr w:leftFromText="180" w:rightFromText="180" w:vertAnchor="text" w:horzAnchor="page" w:tblpX="1120" w:tblpY="354"/>
        <w:tblOverlap w:val="never"/>
        <w:tblW w:w="986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4"/>
        <w:gridCol w:w="756"/>
        <w:gridCol w:w="400"/>
        <w:gridCol w:w="733"/>
        <w:gridCol w:w="667"/>
        <w:gridCol w:w="6722"/>
      </w:tblGrid>
      <w:tr w14:paraId="6C5DC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584" w:type="dxa"/>
            <w:tcBorders>
              <w:top w:val="single" w:color="auto" w:sz="4" w:space="0"/>
              <w:left w:val="single" w:color="auto" w:sz="4" w:space="0"/>
              <w:bottom w:val="single" w:color="auto" w:sz="4" w:space="0"/>
              <w:right w:val="single" w:color="auto" w:sz="4" w:space="0"/>
            </w:tcBorders>
            <w:vAlign w:val="center"/>
          </w:tcPr>
          <w:p w14:paraId="25D3FEC5">
            <w:pPr>
              <w:keepNext w:val="0"/>
              <w:keepLines w:val="0"/>
              <w:pageBreakBefore w:val="0"/>
              <w:shd w:val="clear" w:color="auto" w:fill="auto"/>
              <w:kinsoku/>
              <w:wordWrap/>
              <w:overflowPunct/>
              <w:topLinePunct w:val="0"/>
              <w:autoSpaceDE/>
              <w:autoSpaceDN/>
              <w:bidi w:val="0"/>
              <w:adjustRightInd/>
              <w:snapToGrid/>
              <w:spacing w:line="360" w:lineRule="auto"/>
              <w:jc w:val="center"/>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项号</w:t>
            </w:r>
          </w:p>
        </w:tc>
        <w:tc>
          <w:tcPr>
            <w:tcW w:w="1156" w:type="dxa"/>
            <w:gridSpan w:val="2"/>
            <w:tcBorders>
              <w:top w:val="single" w:color="auto" w:sz="4" w:space="0"/>
              <w:left w:val="single" w:color="auto" w:sz="4" w:space="0"/>
              <w:bottom w:val="single" w:color="auto" w:sz="4" w:space="0"/>
              <w:right w:val="single" w:color="auto" w:sz="4" w:space="0"/>
            </w:tcBorders>
            <w:vAlign w:val="center"/>
          </w:tcPr>
          <w:p w14:paraId="120D9377">
            <w:pPr>
              <w:keepNext w:val="0"/>
              <w:keepLines w:val="0"/>
              <w:pageBreakBefore w:val="0"/>
              <w:shd w:val="clear" w:color="auto" w:fill="auto"/>
              <w:kinsoku/>
              <w:wordWrap/>
              <w:overflowPunct/>
              <w:topLinePunct w:val="0"/>
              <w:autoSpaceDE/>
              <w:autoSpaceDN/>
              <w:bidi w:val="0"/>
              <w:adjustRightInd/>
              <w:snapToGrid/>
              <w:spacing w:line="360" w:lineRule="auto"/>
              <w:jc w:val="center"/>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项目名称</w:t>
            </w:r>
          </w:p>
        </w:tc>
        <w:tc>
          <w:tcPr>
            <w:tcW w:w="733" w:type="dxa"/>
            <w:tcBorders>
              <w:top w:val="single" w:color="auto" w:sz="4" w:space="0"/>
              <w:left w:val="single" w:color="auto" w:sz="4" w:space="0"/>
              <w:bottom w:val="single" w:color="auto" w:sz="4" w:space="0"/>
              <w:right w:val="single" w:color="auto" w:sz="4" w:space="0"/>
            </w:tcBorders>
            <w:vAlign w:val="center"/>
          </w:tcPr>
          <w:p w14:paraId="6D2DC98D">
            <w:pPr>
              <w:keepNext w:val="0"/>
              <w:keepLines w:val="0"/>
              <w:pageBreakBefore w:val="0"/>
              <w:shd w:val="clear" w:color="auto" w:fill="auto"/>
              <w:kinsoku/>
              <w:wordWrap/>
              <w:overflowPunct/>
              <w:topLinePunct w:val="0"/>
              <w:autoSpaceDE/>
              <w:autoSpaceDN/>
              <w:bidi w:val="0"/>
              <w:adjustRightInd/>
              <w:snapToGrid/>
              <w:spacing w:line="360" w:lineRule="auto"/>
              <w:jc w:val="center"/>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数量</w:t>
            </w:r>
          </w:p>
        </w:tc>
        <w:tc>
          <w:tcPr>
            <w:tcW w:w="667" w:type="dxa"/>
            <w:tcBorders>
              <w:top w:val="single" w:color="auto" w:sz="4" w:space="0"/>
              <w:left w:val="single" w:color="auto" w:sz="4" w:space="0"/>
              <w:bottom w:val="single" w:color="auto" w:sz="4" w:space="0"/>
              <w:right w:val="single" w:color="auto" w:sz="4" w:space="0"/>
            </w:tcBorders>
            <w:vAlign w:val="center"/>
          </w:tcPr>
          <w:p w14:paraId="6E71AD82">
            <w:pPr>
              <w:keepNext w:val="0"/>
              <w:keepLines w:val="0"/>
              <w:pageBreakBefore w:val="0"/>
              <w:shd w:val="clear" w:color="auto" w:fill="auto"/>
              <w:kinsoku/>
              <w:wordWrap/>
              <w:overflowPunct/>
              <w:topLinePunct w:val="0"/>
              <w:autoSpaceDE/>
              <w:autoSpaceDN/>
              <w:bidi w:val="0"/>
              <w:adjustRightInd/>
              <w:snapToGrid/>
              <w:spacing w:line="360" w:lineRule="auto"/>
              <w:jc w:val="center"/>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单位</w:t>
            </w:r>
          </w:p>
        </w:tc>
        <w:tc>
          <w:tcPr>
            <w:tcW w:w="6722" w:type="dxa"/>
            <w:tcBorders>
              <w:top w:val="single" w:color="auto" w:sz="4" w:space="0"/>
              <w:left w:val="single" w:color="auto" w:sz="4" w:space="0"/>
              <w:bottom w:val="single" w:color="auto" w:sz="4" w:space="0"/>
              <w:right w:val="single" w:color="auto" w:sz="4" w:space="0"/>
            </w:tcBorders>
            <w:vAlign w:val="center"/>
          </w:tcPr>
          <w:p w14:paraId="219B071A">
            <w:pPr>
              <w:keepNext w:val="0"/>
              <w:keepLines w:val="0"/>
              <w:pageBreakBefore w:val="0"/>
              <w:shd w:val="clear" w:color="auto" w:fill="auto"/>
              <w:kinsoku/>
              <w:wordWrap/>
              <w:overflowPunct/>
              <w:topLinePunct w:val="0"/>
              <w:autoSpaceDE/>
              <w:autoSpaceDN/>
              <w:bidi w:val="0"/>
              <w:adjustRightInd/>
              <w:snapToGrid/>
              <w:spacing w:line="360" w:lineRule="auto"/>
              <w:jc w:val="center"/>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内容和要求</w:t>
            </w:r>
          </w:p>
        </w:tc>
      </w:tr>
      <w:tr w14:paraId="5D431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584" w:type="dxa"/>
            <w:tcBorders>
              <w:top w:val="single" w:color="auto" w:sz="4" w:space="0"/>
              <w:left w:val="single" w:color="auto" w:sz="4" w:space="0"/>
              <w:bottom w:val="single" w:color="auto" w:sz="4" w:space="0"/>
              <w:right w:val="single" w:color="auto" w:sz="4" w:space="0"/>
            </w:tcBorders>
            <w:vAlign w:val="center"/>
          </w:tcPr>
          <w:p w14:paraId="52B98534">
            <w:pPr>
              <w:keepNext w:val="0"/>
              <w:keepLines w:val="0"/>
              <w:pageBreakBefore w:val="0"/>
              <w:shd w:val="clear" w:color="auto" w:fill="auto"/>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1156" w:type="dxa"/>
            <w:gridSpan w:val="2"/>
            <w:tcBorders>
              <w:top w:val="single" w:color="auto" w:sz="4" w:space="0"/>
              <w:left w:val="single" w:color="auto" w:sz="4" w:space="0"/>
              <w:bottom w:val="single" w:color="auto" w:sz="4" w:space="0"/>
              <w:right w:val="single" w:color="auto" w:sz="4" w:space="0"/>
            </w:tcBorders>
            <w:vAlign w:val="center"/>
          </w:tcPr>
          <w:p w14:paraId="36ED7354">
            <w:pPr>
              <w:keepNext w:val="0"/>
              <w:keepLines w:val="0"/>
              <w:pageBreakBefore w:val="0"/>
              <w:shd w:val="clear" w:color="auto" w:fill="auto"/>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富川瑶族自治县稳粮食生产供水保障项目</w:t>
            </w:r>
          </w:p>
        </w:tc>
        <w:tc>
          <w:tcPr>
            <w:tcW w:w="733" w:type="dxa"/>
            <w:tcBorders>
              <w:top w:val="single" w:color="auto" w:sz="4" w:space="0"/>
              <w:left w:val="single" w:color="auto" w:sz="4" w:space="0"/>
              <w:bottom w:val="single" w:color="auto" w:sz="4" w:space="0"/>
              <w:right w:val="single" w:color="auto" w:sz="4" w:space="0"/>
            </w:tcBorders>
            <w:vAlign w:val="center"/>
          </w:tcPr>
          <w:p w14:paraId="401319DE">
            <w:pPr>
              <w:keepNext w:val="0"/>
              <w:keepLines w:val="0"/>
              <w:pageBreakBefore w:val="0"/>
              <w:shd w:val="clear" w:color="auto" w:fill="auto"/>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667" w:type="dxa"/>
            <w:tcBorders>
              <w:top w:val="single" w:color="auto" w:sz="4" w:space="0"/>
              <w:left w:val="single" w:color="auto" w:sz="4" w:space="0"/>
              <w:bottom w:val="single" w:color="auto" w:sz="4" w:space="0"/>
              <w:right w:val="single" w:color="auto" w:sz="4" w:space="0"/>
            </w:tcBorders>
            <w:vAlign w:val="center"/>
          </w:tcPr>
          <w:p w14:paraId="64E9B863">
            <w:pPr>
              <w:keepNext w:val="0"/>
              <w:keepLines w:val="0"/>
              <w:pageBreakBefore w:val="0"/>
              <w:shd w:val="clear" w:color="auto" w:fill="auto"/>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w:t>
            </w:r>
          </w:p>
        </w:tc>
        <w:tc>
          <w:tcPr>
            <w:tcW w:w="6722" w:type="dxa"/>
            <w:tcBorders>
              <w:top w:val="single" w:color="auto" w:sz="4" w:space="0"/>
              <w:left w:val="single" w:color="auto" w:sz="4" w:space="0"/>
              <w:bottom w:val="single" w:color="auto" w:sz="4" w:space="0"/>
              <w:right w:val="single" w:color="auto" w:sz="4" w:space="0"/>
            </w:tcBorders>
            <w:vAlign w:val="center"/>
          </w:tcPr>
          <w:p w14:paraId="326C5C72">
            <w:pPr>
              <w:keepNext w:val="0"/>
              <w:keepLines w:val="0"/>
              <w:pageBreakBefore w:val="0"/>
              <w:widowControl w:val="0"/>
              <w:kinsoku/>
              <w:wordWrap/>
              <w:overflowPunct/>
              <w:topLinePunct w:val="0"/>
              <w:autoSpaceDE/>
              <w:autoSpaceDN/>
              <w:bidi w:val="0"/>
              <w:adjustRightInd/>
              <w:snapToGrid/>
              <w:spacing w:line="360" w:lineRule="auto"/>
              <w:ind w:left="421" w:leftChars="100" w:hanging="211" w:hangingChars="100"/>
              <w:jc w:val="left"/>
              <w:textAlignment w:val="auto"/>
              <w:rPr>
                <w:rFonts w:hint="eastAsia"/>
                <w:color w:val="auto"/>
                <w:sz w:val="21"/>
                <w:szCs w:val="21"/>
                <w:highlight w:val="none"/>
                <w:lang w:val="en-US" w:eastAsia="zh-CN"/>
              </w:rPr>
            </w:pPr>
            <w:r>
              <w:rPr>
                <w:rFonts w:hint="eastAsia"/>
                <w:b/>
                <w:bCs/>
                <w:color w:val="auto"/>
                <w:sz w:val="21"/>
                <w:szCs w:val="21"/>
                <w:highlight w:val="none"/>
                <w:lang w:val="en-US" w:eastAsia="zh-CN"/>
              </w:rPr>
              <w:t>一、</w:t>
            </w:r>
            <w:r>
              <w:rPr>
                <w:rFonts w:hint="eastAsia"/>
                <w:b/>
                <w:bCs/>
                <w:color w:val="auto"/>
                <w:sz w:val="21"/>
                <w:szCs w:val="21"/>
                <w:highlight w:val="none"/>
              </w:rPr>
              <w:t>工程概况</w:t>
            </w:r>
            <w:r>
              <w:rPr>
                <w:rFonts w:hint="eastAsia"/>
                <w:color w:val="auto"/>
                <w:sz w:val="21"/>
                <w:szCs w:val="21"/>
                <w:highlight w:val="none"/>
              </w:rPr>
              <w:t>：</w:t>
            </w:r>
            <w:r>
              <w:rPr>
                <w:rFonts w:hint="eastAsia"/>
                <w:color w:val="auto"/>
                <w:sz w:val="21"/>
                <w:szCs w:val="21"/>
                <w:highlight w:val="none"/>
              </w:rPr>
              <w:br w:type="textWrapping"/>
            </w:r>
            <w:r>
              <w:rPr>
                <w:rFonts w:hint="eastAsia"/>
                <w:color w:val="auto"/>
                <w:sz w:val="21"/>
                <w:szCs w:val="21"/>
                <w:highlight w:val="none"/>
              </w:rPr>
              <w:t>1</w:t>
            </w:r>
            <w:r>
              <w:rPr>
                <w:rFonts w:hint="eastAsia"/>
                <w:color w:val="auto"/>
                <w:sz w:val="21"/>
                <w:szCs w:val="21"/>
                <w:highlight w:val="none"/>
                <w:lang w:val="en-US" w:eastAsia="zh-CN"/>
              </w:rPr>
              <w:t>、</w:t>
            </w:r>
            <w:r>
              <w:rPr>
                <w:rFonts w:hint="eastAsia"/>
                <w:color w:val="auto"/>
                <w:sz w:val="21"/>
                <w:szCs w:val="21"/>
                <w:highlight w:val="none"/>
              </w:rPr>
              <w:t>建设地点：</w:t>
            </w:r>
            <w:r>
              <w:rPr>
                <w:rFonts w:hint="eastAsia"/>
                <w:color w:val="auto"/>
                <w:sz w:val="21"/>
                <w:szCs w:val="21"/>
                <w:highlight w:val="none"/>
                <w:lang w:val="en-US" w:eastAsia="zh-CN"/>
              </w:rPr>
              <w:t>富川瑶族自治</w:t>
            </w:r>
          </w:p>
          <w:p w14:paraId="6BC63429">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color w:val="auto"/>
                <w:sz w:val="21"/>
                <w:szCs w:val="21"/>
                <w:highlight w:val="none"/>
                <w:lang w:val="en-US" w:eastAsia="zh-CN"/>
              </w:rPr>
            </w:pPr>
            <w:r>
              <w:rPr>
                <w:rFonts w:hint="eastAsia"/>
                <w:color w:val="auto"/>
                <w:sz w:val="21"/>
                <w:szCs w:val="21"/>
                <w:highlight w:val="none"/>
                <w:lang w:val="en-US" w:eastAsia="zh-CN"/>
              </w:rPr>
              <w:t>2、采购需</w:t>
            </w:r>
            <w:r>
              <w:rPr>
                <w:rFonts w:hint="eastAsia" w:eastAsia="宋体"/>
                <w:color w:val="auto"/>
                <w:sz w:val="21"/>
                <w:szCs w:val="21"/>
                <w:highlight w:val="none"/>
                <w:lang w:val="en-US" w:eastAsia="zh-CN"/>
              </w:rPr>
              <w:t>求：富川瑶族自治县稳粮食生产供水保障项目，具体详见施工图纸及经财政投资评审</w:t>
            </w:r>
            <w:r>
              <w:rPr>
                <w:rFonts w:hint="eastAsia"/>
                <w:color w:val="auto"/>
                <w:sz w:val="21"/>
                <w:szCs w:val="21"/>
                <w:highlight w:val="none"/>
                <w:lang w:val="en-US" w:eastAsia="zh-CN"/>
              </w:rPr>
              <w:t>的《工程量清单》。</w:t>
            </w:r>
          </w:p>
          <w:p w14:paraId="3E2AEE74">
            <w:pPr>
              <w:pStyle w:val="2"/>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sz w:val="21"/>
                <w:szCs w:val="21"/>
                <w:highlight w:val="none"/>
                <w:lang w:val="en-US" w:eastAsia="zh-CN"/>
              </w:rPr>
            </w:pPr>
            <w:r>
              <w:rPr>
                <w:rFonts w:hint="eastAsia"/>
                <w:color w:val="auto"/>
                <w:sz w:val="21"/>
                <w:szCs w:val="21"/>
                <w:highlight w:val="none"/>
                <w:lang w:val="en-US" w:eastAsia="zh-CN"/>
              </w:rPr>
              <w:t>3、主要建设内容为</w:t>
            </w:r>
            <w:r>
              <w:rPr>
                <w:rFonts w:hint="eastAsia" w:ascii="宋体" w:hAnsi="宋体" w:eastAsia="宋体" w:cs="宋体"/>
                <w:color w:val="auto"/>
                <w:sz w:val="21"/>
                <w:szCs w:val="21"/>
                <w:highlight w:val="none"/>
                <w:lang w:val="en-US" w:eastAsia="zh-CN"/>
              </w:rPr>
              <w:t>抗旱深水井工程、供水管道工程、供电配套工程、配套构筑物等。具体内容详设计图纸和预算清单</w:t>
            </w:r>
            <w:r>
              <w:rPr>
                <w:rFonts w:hint="eastAsia"/>
                <w:color w:val="auto"/>
                <w:sz w:val="21"/>
                <w:szCs w:val="21"/>
                <w:highlight w:val="none"/>
                <w:lang w:val="en-US" w:eastAsia="zh-CN"/>
              </w:rPr>
              <w:t>。</w:t>
            </w:r>
          </w:p>
          <w:p w14:paraId="1F8B011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left"/>
              <w:textAlignment w:val="auto"/>
              <w:rPr>
                <w:rFonts w:hint="eastAsia"/>
                <w:color w:val="auto"/>
                <w:sz w:val="21"/>
                <w:szCs w:val="21"/>
                <w:highlight w:val="none"/>
                <w:lang w:val="en-US" w:eastAsia="zh-CN"/>
              </w:rPr>
            </w:pPr>
            <w:r>
              <w:rPr>
                <w:rFonts w:hint="eastAsia"/>
                <w:color w:val="auto"/>
                <w:sz w:val="21"/>
                <w:szCs w:val="21"/>
                <w:highlight w:val="none"/>
                <w:lang w:val="en-US" w:eastAsia="zh-CN"/>
              </w:rPr>
              <w:t>4、预算金额（上限控制价）：</w:t>
            </w:r>
            <w:bookmarkStart w:id="294" w:name="OLE_LINK6"/>
            <w:r>
              <w:rPr>
                <w:rFonts w:hint="eastAsia" w:ascii="宋体" w:hAnsi="宋体" w:eastAsia="宋体" w:cs="宋体"/>
                <w:color w:val="auto"/>
                <w:sz w:val="21"/>
                <w:szCs w:val="21"/>
                <w:highlight w:val="none"/>
                <w:lang w:val="en-US" w:eastAsia="zh-CN"/>
              </w:rPr>
              <w:t>人民币(大写)贰佰玖拾伍万玖仟贰佰捌拾捌元捌角陆分（¥2959288.86）</w:t>
            </w:r>
          </w:p>
          <w:p w14:paraId="60D5C62D">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color w:val="auto"/>
                <w:sz w:val="21"/>
                <w:szCs w:val="21"/>
                <w:highlight w:val="none"/>
                <w:lang w:val="en-US" w:eastAsia="zh-CN"/>
              </w:rPr>
            </w:pPr>
            <w:r>
              <w:rPr>
                <w:rFonts w:hint="eastAsia"/>
                <w:color w:val="auto"/>
                <w:sz w:val="21"/>
                <w:szCs w:val="21"/>
                <w:highlight w:val="none"/>
                <w:lang w:val="en-US" w:eastAsia="zh-CN"/>
              </w:rPr>
              <w:t>5、工程量清单：另附。</w:t>
            </w:r>
          </w:p>
          <w:p w14:paraId="4898B6DD">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color w:val="auto"/>
                <w:sz w:val="21"/>
                <w:szCs w:val="21"/>
                <w:highlight w:val="none"/>
                <w:lang w:val="en-US" w:eastAsia="zh-CN"/>
              </w:rPr>
            </w:pPr>
            <w:r>
              <w:rPr>
                <w:rFonts w:hint="eastAsia"/>
                <w:color w:val="auto"/>
                <w:sz w:val="21"/>
                <w:szCs w:val="21"/>
                <w:highlight w:val="none"/>
                <w:lang w:val="en-US" w:eastAsia="zh-CN"/>
              </w:rPr>
              <w:t>6、图纸：另附。</w:t>
            </w:r>
          </w:p>
          <w:bookmarkEnd w:id="294"/>
          <w:p w14:paraId="32B3042A">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outlineLvl w:val="9"/>
              <w:rPr>
                <w:rFonts w:hint="eastAsia"/>
                <w:b/>
                <w:bCs/>
                <w:color w:val="auto"/>
                <w:sz w:val="21"/>
                <w:szCs w:val="21"/>
                <w:highlight w:val="none"/>
              </w:rPr>
            </w:pPr>
            <w:r>
              <w:rPr>
                <w:rFonts w:hint="eastAsia"/>
                <w:b/>
                <w:bCs/>
                <w:color w:val="auto"/>
                <w:sz w:val="21"/>
                <w:szCs w:val="21"/>
                <w:highlight w:val="none"/>
                <w:lang w:val="en-US" w:eastAsia="zh-CN"/>
              </w:rPr>
              <w:t>二</w:t>
            </w:r>
            <w:r>
              <w:rPr>
                <w:rFonts w:hint="eastAsia"/>
                <w:b/>
                <w:bCs/>
                <w:color w:val="auto"/>
                <w:sz w:val="21"/>
                <w:szCs w:val="21"/>
                <w:highlight w:val="none"/>
              </w:rPr>
              <w:t>、编制依据：</w:t>
            </w:r>
          </w:p>
          <w:p w14:paraId="7934AA4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left"/>
              <w:textAlignment w:val="auto"/>
              <w:outlineLvl w:val="9"/>
              <w:rPr>
                <w:rFonts w:hint="eastAsia"/>
                <w:color w:val="auto"/>
                <w:sz w:val="21"/>
                <w:szCs w:val="21"/>
                <w:highlight w:val="none"/>
                <w:lang w:val="en-US" w:eastAsia="zh-CN"/>
              </w:rPr>
            </w:pPr>
            <w:r>
              <w:rPr>
                <w:rFonts w:hint="eastAsia"/>
                <w:color w:val="auto"/>
                <w:sz w:val="21"/>
                <w:szCs w:val="21"/>
                <w:highlight w:val="none"/>
                <w:lang w:val="en-US" w:eastAsia="zh-CN"/>
              </w:rPr>
              <w:t>（一）依据资料</w:t>
            </w:r>
          </w:p>
          <w:p w14:paraId="70457A4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left"/>
              <w:textAlignment w:val="auto"/>
              <w:outlineLvl w:val="9"/>
              <w:rPr>
                <w:rFonts w:hint="eastAsia" w:ascii="宋体" w:hAnsi="宋体" w:eastAsia="宋体" w:cs="宋体"/>
                <w:color w:val="auto"/>
                <w:sz w:val="21"/>
                <w:szCs w:val="21"/>
                <w:highlight w:val="none"/>
                <w:lang w:val="en-US" w:eastAsia="zh-CN"/>
              </w:rPr>
            </w:pPr>
            <w:r>
              <w:rPr>
                <w:rFonts w:hint="eastAsia"/>
                <w:color w:val="auto"/>
                <w:sz w:val="21"/>
                <w:szCs w:val="21"/>
                <w:highlight w:val="none"/>
                <w:lang w:val="en-US" w:eastAsia="zh-CN"/>
              </w:rPr>
              <w:t xml:space="preserve"> </w:t>
            </w:r>
            <w:r>
              <w:rPr>
                <w:rFonts w:hint="eastAsia" w:ascii="宋体" w:hAnsi="宋体" w:eastAsia="宋体" w:cs="宋体"/>
                <w:color w:val="auto"/>
                <w:sz w:val="21"/>
                <w:szCs w:val="21"/>
                <w:highlight w:val="none"/>
                <w:lang w:val="en-US" w:eastAsia="zh-CN"/>
              </w:rPr>
              <w:t>1.《建设工程工程量清单计价标准》（GB/T50500-2024）；</w:t>
            </w:r>
          </w:p>
          <w:p w14:paraId="7B4699B0">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     2.《关于颁布广西建设工程全过程计价规范和多层级工程量清单计算规范的通知》（桂建价〔2025〕1号），执行2026年7月1日实施的广西多层级工程量清单计价体系，包含《广西壮族自治区建设工程预算清单综合单价组价表（市政工程）》《广西壮族自治区建设工程预算清单综合单价组价表（通用安装工程）》《广西壮族自治区建设工程预算清单综合单价组价表（房屋建筑与装饰工程）》，为本项目清单编制、工程量计量、综合单价组价的唯一核心依据；</w:t>
            </w:r>
          </w:p>
          <w:p w14:paraId="337F436C">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outlineLvl w:val="9"/>
              <w:rPr>
                <w:rFonts w:hint="eastAsia"/>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    3.项目建设单位提供的基础资料</w:t>
            </w:r>
            <w:r>
              <w:rPr>
                <w:rFonts w:hint="eastAsia"/>
                <w:color w:val="auto"/>
                <w:sz w:val="21"/>
                <w:szCs w:val="21"/>
                <w:highlight w:val="none"/>
                <w:lang w:val="en-US" w:eastAsia="zh-CN"/>
              </w:rPr>
              <w:t>。</w:t>
            </w:r>
          </w:p>
          <w:p w14:paraId="679322B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left"/>
              <w:textAlignment w:val="auto"/>
              <w:outlineLvl w:val="9"/>
              <w:rPr>
                <w:rFonts w:hint="eastAsia"/>
                <w:color w:val="auto"/>
                <w:sz w:val="21"/>
                <w:szCs w:val="21"/>
                <w:highlight w:val="none"/>
                <w:lang w:val="en-US" w:eastAsia="zh-CN"/>
              </w:rPr>
            </w:pPr>
            <w:r>
              <w:rPr>
                <w:rFonts w:hint="eastAsia"/>
                <w:color w:val="auto"/>
                <w:sz w:val="21"/>
                <w:szCs w:val="21"/>
                <w:highlight w:val="none"/>
                <w:lang w:val="en-US" w:eastAsia="zh-CN"/>
              </w:rPr>
              <w:t>（二）本项目设计预算采用的材料费用的依据或来源有：</w:t>
            </w:r>
          </w:p>
          <w:p w14:paraId="12F3933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left"/>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1.材料价格按2026年《贺州市建设工程造价信息》第06期信息价计取，以上信息价没有刊登的材料价格采取市场询价；</w:t>
            </w:r>
          </w:p>
          <w:p w14:paraId="342DE4C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left"/>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 2.自治区住房城乡建设厅关于调整建设工程定额人工费及有关费率的通知（桂建标〔2023〕7 号）；</w:t>
            </w:r>
          </w:p>
          <w:p w14:paraId="528E0EE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left"/>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 3.财政部关于印发《基本建设项目建设成本管理规定》的通知（财建〔2016〕504号）；</w:t>
            </w:r>
          </w:p>
          <w:p w14:paraId="56AD825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left"/>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 4.自治区住房城乡建设厅关于调整建设工程计价增值税税率的通知(桂建标[2019]12号)。</w:t>
            </w:r>
          </w:p>
          <w:p w14:paraId="7595315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2" w:firstLineChars="200"/>
              <w:jc w:val="left"/>
              <w:textAlignment w:val="auto"/>
              <w:outlineLvl w:val="9"/>
              <w:rPr>
                <w:rFonts w:hint="eastAsia"/>
                <w:b/>
                <w:bCs/>
                <w:color w:val="auto"/>
                <w:sz w:val="21"/>
                <w:szCs w:val="21"/>
                <w:highlight w:val="none"/>
                <w:lang w:val="en-US" w:eastAsia="zh-CN"/>
              </w:rPr>
            </w:pPr>
            <w:r>
              <w:rPr>
                <w:rFonts w:hint="eastAsia"/>
                <w:b/>
                <w:bCs/>
                <w:color w:val="auto"/>
                <w:sz w:val="21"/>
                <w:szCs w:val="21"/>
                <w:highlight w:val="none"/>
                <w:lang w:val="en-US" w:eastAsia="zh-CN"/>
              </w:rPr>
              <w:t>三、其他说明</w:t>
            </w:r>
          </w:p>
          <w:p w14:paraId="20BDA97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left"/>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 1.本工程预算软件采用广龙计价2026专业版；</w:t>
            </w:r>
          </w:p>
          <w:p w14:paraId="5C89AC5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left"/>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 2.本预算价格各项取费费率按相关规定计取；</w:t>
            </w:r>
          </w:p>
          <w:p w14:paraId="533945D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left"/>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 3.本预算用砂均按机制砂考虑，如实际施工时采用天然砂，请按规定办理签证；</w:t>
            </w:r>
          </w:p>
          <w:p w14:paraId="158AA59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left"/>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 4.土方外运按3km计，由投标人按所能承受能力自行考虑，结算时不对运距进行费用签证。</w:t>
            </w:r>
          </w:p>
          <w:p w14:paraId="4C4F61B5">
            <w:pPr>
              <w:keepNext w:val="0"/>
              <w:keepLines w:val="0"/>
              <w:pageBreakBefore w:val="0"/>
              <w:kinsoku/>
              <w:wordWrap/>
              <w:overflowPunct/>
              <w:topLinePunct w:val="0"/>
              <w:autoSpaceDE/>
              <w:autoSpaceDN/>
              <w:bidi w:val="0"/>
              <w:adjustRightInd/>
              <w:snapToGrid/>
              <w:spacing w:line="360" w:lineRule="auto"/>
              <w:ind w:firstLine="422" w:firstLineChars="200"/>
              <w:jc w:val="left"/>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四、人员要求：</w:t>
            </w:r>
          </w:p>
          <w:p w14:paraId="02C4D88A">
            <w:pPr>
              <w:pStyle w:val="2"/>
              <w:spacing w:line="360" w:lineRule="auto"/>
              <w:rPr>
                <w:rFonts w:hint="eastAsia"/>
                <w:color w:val="auto"/>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拟投入的项目管理人员须符合国家及广西壮族自治区的规定，且为供应商的在职人员，并持有相应的执业资格（岗位）证书。</w:t>
            </w:r>
          </w:p>
        </w:tc>
      </w:tr>
      <w:tr w14:paraId="5D2E2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340" w:type="dxa"/>
            <w:gridSpan w:val="2"/>
            <w:tcBorders>
              <w:top w:val="single" w:color="auto" w:sz="4" w:space="0"/>
              <w:left w:val="single" w:color="auto" w:sz="4" w:space="0"/>
              <w:bottom w:val="single" w:color="auto" w:sz="4" w:space="0"/>
              <w:right w:val="single" w:color="auto" w:sz="4" w:space="0"/>
            </w:tcBorders>
            <w:vAlign w:val="center"/>
          </w:tcPr>
          <w:p w14:paraId="3913D98E">
            <w:pPr>
              <w:keepNext w:val="0"/>
              <w:keepLines w:val="0"/>
              <w:pageBreakBefore w:val="0"/>
              <w:shd w:val="clear" w:color="auto" w:fill="auto"/>
              <w:tabs>
                <w:tab w:val="left" w:pos="180"/>
                <w:tab w:val="left" w:pos="1620"/>
              </w:tabs>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Cs w:val="21"/>
                <w:highlight w:val="none"/>
              </w:rPr>
              <w:t>▲</w:t>
            </w:r>
            <w:r>
              <w:rPr>
                <w:rFonts w:hint="eastAsia" w:ascii="宋体" w:hAnsi="宋体" w:eastAsia="宋体" w:cs="宋体"/>
                <w:color w:val="auto"/>
                <w:highlight w:val="none"/>
              </w:rPr>
              <w:t>商务条款</w:t>
            </w:r>
          </w:p>
        </w:tc>
        <w:tc>
          <w:tcPr>
            <w:tcW w:w="8522" w:type="dxa"/>
            <w:gridSpan w:val="4"/>
            <w:tcBorders>
              <w:top w:val="single" w:color="auto" w:sz="4" w:space="0"/>
              <w:left w:val="single" w:color="auto" w:sz="4" w:space="0"/>
              <w:bottom w:val="single" w:color="auto" w:sz="4" w:space="0"/>
              <w:right w:val="single" w:color="auto" w:sz="4" w:space="0"/>
            </w:tcBorders>
            <w:vAlign w:val="center"/>
          </w:tcPr>
          <w:p w14:paraId="510C6693">
            <w:pPr>
              <w:pStyle w:val="25"/>
              <w:keepNext w:val="0"/>
              <w:keepLines w:val="0"/>
              <w:pageBreakBefore w:val="0"/>
              <w:tabs>
                <w:tab w:val="left" w:pos="0"/>
                <w:tab w:val="right" w:leader="dot" w:pos="9435"/>
              </w:tabs>
              <w:kinsoku/>
              <w:wordWrap/>
              <w:overflowPunct/>
              <w:topLinePunct w:val="0"/>
              <w:bidi w:val="0"/>
              <w:adjustRightInd/>
              <w:snapToGrid/>
              <w:spacing w:line="360" w:lineRule="auto"/>
              <w:ind w:firstLine="420" w:firstLineChars="200"/>
              <w:textAlignment w:val="auto"/>
              <w:rPr>
                <w:rFonts w:hint="eastAsia" w:ascii="Times New Roman" w:hAnsi="Times New Roman" w:eastAsia="宋体" w:cs="Times New Roman"/>
                <w:color w:val="auto"/>
                <w:highlight w:val="none"/>
                <w:lang w:val="zh-CN" w:eastAsia="zh-CN"/>
              </w:rPr>
            </w:pPr>
            <w:r>
              <w:rPr>
                <w:rFonts w:hint="eastAsia" w:ascii="Times New Roman" w:hAnsi="Times New Roman" w:eastAsia="宋体" w:cs="Times New Roman"/>
                <w:color w:val="auto"/>
                <w:highlight w:val="none"/>
                <w:lang w:val="zh-CN" w:eastAsia="zh-CN"/>
              </w:rPr>
              <w:t>▲一、合同签订期：</w:t>
            </w:r>
            <w:bookmarkStart w:id="295" w:name="OLE_LINK1"/>
            <w:r>
              <w:rPr>
                <w:rFonts w:hint="eastAsia" w:ascii="Times New Roman" w:hAnsi="Times New Roman" w:eastAsia="宋体" w:cs="Times New Roman"/>
                <w:color w:val="auto"/>
                <w:highlight w:val="none"/>
                <w:lang w:val="zh-CN" w:eastAsia="zh-CN"/>
              </w:rPr>
              <w:t>成交人领取成交通知书后，按成交通知书中规定的时间（成交通知书发出之日起</w:t>
            </w:r>
            <w:r>
              <w:rPr>
                <w:rFonts w:hint="eastAsia" w:ascii="Times New Roman" w:hAnsi="Times New Roman" w:eastAsia="宋体" w:cs="Times New Roman"/>
                <w:color w:val="auto"/>
                <w:highlight w:val="none"/>
                <w:lang w:val="en-US" w:eastAsia="zh-CN"/>
              </w:rPr>
              <w:t>25</w:t>
            </w:r>
            <w:r>
              <w:rPr>
                <w:rFonts w:hint="eastAsia" w:ascii="Times New Roman" w:hAnsi="Times New Roman" w:eastAsia="宋体" w:cs="Times New Roman"/>
                <w:color w:val="auto"/>
                <w:highlight w:val="none"/>
                <w:lang w:val="zh-CN" w:eastAsia="zh-CN"/>
              </w:rPr>
              <w:t>日）、地点与采购人签订合同</w:t>
            </w:r>
            <w:bookmarkEnd w:id="295"/>
            <w:r>
              <w:rPr>
                <w:rFonts w:hint="eastAsia" w:ascii="Times New Roman" w:hAnsi="Times New Roman" w:eastAsia="宋体" w:cs="Times New Roman"/>
                <w:color w:val="auto"/>
                <w:highlight w:val="none"/>
                <w:lang w:val="zh-CN" w:eastAsia="zh-CN"/>
              </w:rPr>
              <w:t>。</w:t>
            </w:r>
          </w:p>
          <w:p w14:paraId="47248B5B">
            <w:pPr>
              <w:pStyle w:val="25"/>
              <w:keepNext w:val="0"/>
              <w:keepLines w:val="0"/>
              <w:pageBreakBefore w:val="0"/>
              <w:tabs>
                <w:tab w:val="left" w:pos="0"/>
                <w:tab w:val="right" w:leader="dot" w:pos="9435"/>
              </w:tabs>
              <w:kinsoku/>
              <w:wordWrap/>
              <w:overflowPunct/>
              <w:topLinePunct w:val="0"/>
              <w:bidi w:val="0"/>
              <w:adjustRightInd/>
              <w:snapToGrid/>
              <w:spacing w:line="360" w:lineRule="auto"/>
              <w:ind w:firstLine="420" w:firstLineChars="200"/>
              <w:textAlignment w:val="auto"/>
              <w:rPr>
                <w:rFonts w:hint="eastAsia" w:ascii="Times New Roman" w:hAnsi="Times New Roman" w:eastAsia="宋体" w:cs="Times New Roman"/>
                <w:color w:val="auto"/>
                <w:highlight w:val="none"/>
                <w:lang w:val="zh-CN" w:eastAsia="zh-CN"/>
              </w:rPr>
            </w:pPr>
            <w:r>
              <w:rPr>
                <w:rFonts w:hint="eastAsia" w:ascii="Times New Roman" w:hAnsi="Times New Roman" w:eastAsia="宋体" w:cs="Times New Roman"/>
                <w:color w:val="auto"/>
                <w:highlight w:val="none"/>
                <w:lang w:val="zh-CN" w:eastAsia="zh-CN"/>
              </w:rPr>
              <w:t>▲二、合同履行期限（工期）：</w:t>
            </w:r>
            <w:r>
              <w:rPr>
                <w:rFonts w:hint="eastAsia" w:ascii="Times New Roman" w:hAnsi="Times New Roman" w:eastAsia="宋体" w:cs="Times New Roman"/>
                <w:color w:val="auto"/>
                <w:highlight w:val="none"/>
                <w:lang w:val="en-US" w:eastAsia="zh-CN"/>
              </w:rPr>
              <w:t>以开工令为准，工期为</w:t>
            </w:r>
            <w:r>
              <w:rPr>
                <w:rFonts w:hint="eastAsia" w:cs="Times New Roman"/>
                <w:color w:val="auto"/>
                <w:highlight w:val="none"/>
                <w:lang w:val="en-US" w:eastAsia="zh-CN"/>
              </w:rPr>
              <w:t>90</w:t>
            </w:r>
            <w:r>
              <w:rPr>
                <w:rFonts w:hint="eastAsia" w:ascii="Times New Roman" w:hAnsi="Times New Roman" w:eastAsia="宋体" w:cs="Times New Roman"/>
                <w:color w:val="auto"/>
                <w:highlight w:val="none"/>
                <w:lang w:val="en-US" w:eastAsia="zh-CN"/>
              </w:rPr>
              <w:t>日历天。</w:t>
            </w:r>
          </w:p>
          <w:p w14:paraId="5E5EC27C">
            <w:pPr>
              <w:pStyle w:val="25"/>
              <w:keepNext w:val="0"/>
              <w:keepLines w:val="0"/>
              <w:pageBreakBefore w:val="0"/>
              <w:tabs>
                <w:tab w:val="left" w:pos="0"/>
                <w:tab w:val="right" w:leader="dot" w:pos="9435"/>
              </w:tabs>
              <w:kinsoku/>
              <w:wordWrap/>
              <w:overflowPunct/>
              <w:topLinePunct w:val="0"/>
              <w:bidi w:val="0"/>
              <w:adjustRightInd/>
              <w:snapToGrid/>
              <w:spacing w:line="360" w:lineRule="auto"/>
              <w:ind w:firstLine="420" w:firstLineChars="200"/>
              <w:textAlignment w:val="auto"/>
              <w:rPr>
                <w:rFonts w:hint="eastAsia" w:ascii="Times New Roman" w:hAnsi="Times New Roman" w:eastAsia="宋体" w:cs="Times New Roman"/>
                <w:color w:val="auto"/>
                <w:highlight w:val="none"/>
                <w:lang w:val="zh-CN" w:eastAsia="zh-CN"/>
              </w:rPr>
            </w:pPr>
            <w:r>
              <w:rPr>
                <w:rFonts w:hint="eastAsia" w:ascii="Times New Roman" w:hAnsi="Times New Roman" w:eastAsia="宋体" w:cs="Times New Roman"/>
                <w:color w:val="auto"/>
                <w:highlight w:val="none"/>
                <w:lang w:val="zh-CN" w:eastAsia="zh-CN"/>
              </w:rPr>
              <w:t>▲三、质量标准：达到现行国家竣工验收规范合格标准。</w:t>
            </w:r>
          </w:p>
          <w:p w14:paraId="0041F14B">
            <w:pPr>
              <w:pStyle w:val="25"/>
              <w:keepNext w:val="0"/>
              <w:keepLines w:val="0"/>
              <w:pageBreakBefore w:val="0"/>
              <w:tabs>
                <w:tab w:val="left" w:pos="0"/>
                <w:tab w:val="right" w:leader="dot" w:pos="9435"/>
              </w:tabs>
              <w:kinsoku/>
              <w:wordWrap/>
              <w:overflowPunct/>
              <w:topLinePunct w:val="0"/>
              <w:bidi w:val="0"/>
              <w:adjustRightInd/>
              <w:snapToGrid/>
              <w:spacing w:line="360" w:lineRule="auto"/>
              <w:ind w:firstLine="420" w:firstLineChars="200"/>
              <w:textAlignment w:val="auto"/>
              <w:rPr>
                <w:rFonts w:hint="eastAsia" w:ascii="Times New Roman" w:hAnsi="Times New Roman" w:eastAsia="宋体" w:cs="Times New Roman"/>
                <w:color w:val="auto"/>
                <w:highlight w:val="none"/>
                <w:lang w:val="zh-CN" w:eastAsia="zh-CN"/>
              </w:rPr>
            </w:pPr>
            <w:r>
              <w:rPr>
                <w:rFonts w:hint="eastAsia" w:ascii="Times New Roman" w:hAnsi="Times New Roman" w:eastAsia="宋体" w:cs="Times New Roman"/>
                <w:color w:val="auto"/>
                <w:highlight w:val="none"/>
                <w:lang w:val="zh-CN" w:eastAsia="zh-CN"/>
              </w:rPr>
              <w:t>▲四、验收标准、规范：符合相关行业及国家标准。</w:t>
            </w:r>
          </w:p>
          <w:p w14:paraId="4D26582C">
            <w:pPr>
              <w:pStyle w:val="25"/>
              <w:keepNext w:val="0"/>
              <w:keepLines w:val="0"/>
              <w:pageBreakBefore w:val="0"/>
              <w:tabs>
                <w:tab w:val="left" w:pos="0"/>
                <w:tab w:val="right" w:leader="dot" w:pos="9435"/>
              </w:tabs>
              <w:kinsoku/>
              <w:wordWrap/>
              <w:overflowPunct/>
              <w:topLinePunct w:val="0"/>
              <w:bidi w:val="0"/>
              <w:adjustRightInd/>
              <w:snapToGrid/>
              <w:spacing w:line="360" w:lineRule="auto"/>
              <w:ind w:firstLine="420" w:firstLineChars="200"/>
              <w:textAlignment w:val="auto"/>
              <w:rPr>
                <w:rFonts w:hint="eastAsia" w:ascii="Times New Roman" w:hAnsi="Times New Roman" w:eastAsia="宋体" w:cs="Times New Roman"/>
                <w:color w:val="auto"/>
                <w:highlight w:val="none"/>
                <w:lang w:val="zh-CN" w:eastAsia="zh-CN"/>
              </w:rPr>
            </w:pPr>
            <w:r>
              <w:rPr>
                <w:rFonts w:hint="eastAsia" w:ascii="Times New Roman" w:hAnsi="Times New Roman" w:eastAsia="宋体" w:cs="Times New Roman"/>
                <w:color w:val="auto"/>
                <w:highlight w:val="none"/>
                <w:lang w:val="zh-CN" w:eastAsia="zh-CN"/>
              </w:rPr>
              <w:t>▲五、缺陷责任期的具体期限：工程缺陷责任期为12个月，缺陷责任期自工程竣工验收合格之日起计算。单位工程先于全部工程进行验收，单位工程缺陷责任期自单位工程验收合格之日起算。</w:t>
            </w:r>
          </w:p>
          <w:p w14:paraId="76D871F9">
            <w:pPr>
              <w:pStyle w:val="25"/>
              <w:keepNext w:val="0"/>
              <w:keepLines w:val="0"/>
              <w:pageBreakBefore w:val="0"/>
              <w:tabs>
                <w:tab w:val="left" w:pos="0"/>
                <w:tab w:val="right" w:leader="dot" w:pos="9435"/>
              </w:tabs>
              <w:kinsoku/>
              <w:wordWrap/>
              <w:overflowPunct/>
              <w:topLinePunct w:val="0"/>
              <w:bidi w:val="0"/>
              <w:adjustRightInd/>
              <w:snapToGrid/>
              <w:spacing w:line="360" w:lineRule="auto"/>
              <w:ind w:firstLine="420" w:firstLineChars="200"/>
              <w:textAlignment w:val="auto"/>
              <w:rPr>
                <w:rFonts w:hint="eastAsia" w:ascii="Times New Roman" w:hAnsi="Times New Roman" w:eastAsia="宋体" w:cs="Times New Roman"/>
                <w:color w:val="auto"/>
                <w:highlight w:val="none"/>
                <w:lang w:val="zh-CN" w:eastAsia="zh-CN"/>
              </w:rPr>
            </w:pPr>
            <w:r>
              <w:rPr>
                <w:rFonts w:hint="eastAsia" w:ascii="Times New Roman" w:hAnsi="Times New Roman" w:eastAsia="宋体" w:cs="Times New Roman"/>
                <w:color w:val="auto"/>
                <w:highlight w:val="none"/>
                <w:lang w:val="zh-CN" w:eastAsia="zh-CN"/>
              </w:rPr>
              <w:t>▲</w:t>
            </w:r>
            <w:r>
              <w:rPr>
                <w:rFonts w:hint="eastAsia" w:ascii="Times New Roman" w:hAnsi="Times New Roman" w:eastAsia="宋体" w:cs="Times New Roman"/>
                <w:color w:val="auto"/>
                <w:highlight w:val="none"/>
                <w:lang w:val="en-US" w:eastAsia="zh-CN"/>
              </w:rPr>
              <w:t>六</w:t>
            </w:r>
            <w:r>
              <w:rPr>
                <w:rFonts w:hint="eastAsia" w:ascii="Times New Roman" w:hAnsi="Times New Roman" w:eastAsia="宋体" w:cs="Times New Roman"/>
                <w:color w:val="auto"/>
                <w:highlight w:val="none"/>
                <w:lang w:val="zh-CN" w:eastAsia="zh-CN"/>
              </w:rPr>
              <w:t>、</w:t>
            </w:r>
            <w:r>
              <w:rPr>
                <w:rFonts w:hint="eastAsia" w:ascii="Times New Roman" w:hAnsi="Times New Roman" w:eastAsia="宋体" w:cs="Times New Roman"/>
                <w:color w:val="auto"/>
                <w:highlight w:val="none"/>
                <w:lang w:val="en-US" w:eastAsia="zh-CN"/>
              </w:rPr>
              <w:t>履约</w:t>
            </w:r>
            <w:r>
              <w:rPr>
                <w:rFonts w:hint="eastAsia" w:ascii="Times New Roman" w:hAnsi="Times New Roman" w:eastAsia="宋体" w:cs="Times New Roman"/>
                <w:color w:val="auto"/>
                <w:highlight w:val="none"/>
                <w:lang w:val="zh-CN" w:eastAsia="zh-CN"/>
              </w:rPr>
              <w:t>验收：在项目完成且收到供应商验收申请后5个工作日内组织开展履约验收。</w:t>
            </w:r>
          </w:p>
          <w:p w14:paraId="13B2E118">
            <w:pPr>
              <w:pStyle w:val="25"/>
              <w:keepNext w:val="0"/>
              <w:keepLines w:val="0"/>
              <w:pageBreakBefore w:val="0"/>
              <w:tabs>
                <w:tab w:val="left" w:pos="0"/>
                <w:tab w:val="right" w:leader="dot" w:pos="9435"/>
              </w:tabs>
              <w:kinsoku/>
              <w:wordWrap/>
              <w:overflowPunct/>
              <w:topLinePunct w:val="0"/>
              <w:bidi w:val="0"/>
              <w:adjustRightInd/>
              <w:snapToGrid/>
              <w:spacing w:line="360" w:lineRule="auto"/>
              <w:ind w:firstLine="420" w:firstLineChars="200"/>
              <w:textAlignment w:val="auto"/>
              <w:rPr>
                <w:rFonts w:hint="eastAsia" w:ascii="Times New Roman" w:hAnsi="Times New Roman" w:eastAsia="宋体" w:cs="Times New Roman"/>
                <w:color w:val="auto"/>
                <w:highlight w:val="none"/>
                <w:lang w:val="zh-CN" w:eastAsia="zh-CN"/>
              </w:rPr>
            </w:pPr>
            <w:r>
              <w:rPr>
                <w:rFonts w:hint="eastAsia" w:ascii="Times New Roman" w:hAnsi="Times New Roman" w:eastAsia="宋体" w:cs="Times New Roman"/>
                <w:color w:val="auto"/>
                <w:highlight w:val="none"/>
                <w:lang w:val="zh-CN" w:eastAsia="zh-CN"/>
              </w:rPr>
              <w:t>▲</w:t>
            </w:r>
            <w:r>
              <w:rPr>
                <w:rFonts w:hint="eastAsia" w:ascii="Times New Roman" w:hAnsi="Times New Roman" w:eastAsia="宋体" w:cs="Times New Roman"/>
                <w:color w:val="auto"/>
                <w:highlight w:val="none"/>
                <w:lang w:val="en-US" w:eastAsia="zh-CN"/>
              </w:rPr>
              <w:t>七</w:t>
            </w:r>
            <w:r>
              <w:rPr>
                <w:rFonts w:hint="eastAsia" w:ascii="Times New Roman" w:hAnsi="Times New Roman" w:eastAsia="宋体" w:cs="Times New Roman"/>
                <w:color w:val="auto"/>
                <w:highlight w:val="none"/>
                <w:lang w:val="zh-CN" w:eastAsia="zh-CN"/>
              </w:rPr>
              <w:t>、工程</w:t>
            </w:r>
            <w:r>
              <w:rPr>
                <w:rFonts w:hint="eastAsia" w:ascii="Times New Roman" w:hAnsi="Times New Roman" w:eastAsia="宋体" w:cs="Times New Roman"/>
                <w:color w:val="auto"/>
                <w:highlight w:val="none"/>
                <w:lang w:val="en-US" w:eastAsia="zh-CN"/>
              </w:rPr>
              <w:t>预付款及</w:t>
            </w:r>
            <w:r>
              <w:rPr>
                <w:rFonts w:hint="eastAsia" w:ascii="Times New Roman" w:hAnsi="Times New Roman" w:eastAsia="宋体" w:cs="Times New Roman"/>
                <w:color w:val="auto"/>
                <w:highlight w:val="none"/>
                <w:lang w:val="zh-CN" w:eastAsia="zh-CN"/>
              </w:rPr>
              <w:t>进度款支付</w:t>
            </w:r>
          </w:p>
          <w:p w14:paraId="3D73A1F4">
            <w:pPr>
              <w:pStyle w:val="25"/>
              <w:keepNext w:val="0"/>
              <w:keepLines w:val="0"/>
              <w:pageBreakBefore w:val="0"/>
              <w:tabs>
                <w:tab w:val="left" w:pos="0"/>
                <w:tab w:val="right" w:leader="dot" w:pos="9435"/>
              </w:tabs>
              <w:kinsoku/>
              <w:wordWrap/>
              <w:overflowPunct/>
              <w:topLinePunct w:val="0"/>
              <w:bidi w:val="0"/>
              <w:adjustRightInd/>
              <w:snapToGrid/>
              <w:spacing w:line="360" w:lineRule="auto"/>
              <w:ind w:firstLine="420" w:firstLineChars="200"/>
              <w:textAlignment w:val="auto"/>
              <w:rPr>
                <w:rFonts w:hint="default"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1、预付款</w:t>
            </w:r>
          </w:p>
          <w:p w14:paraId="399963C7">
            <w:pPr>
              <w:pStyle w:val="25"/>
              <w:keepNext w:val="0"/>
              <w:keepLines w:val="0"/>
              <w:pageBreakBefore w:val="0"/>
              <w:tabs>
                <w:tab w:val="left" w:pos="0"/>
                <w:tab w:val="right" w:leader="dot" w:pos="9435"/>
              </w:tabs>
              <w:kinsoku/>
              <w:wordWrap/>
              <w:overflowPunct/>
              <w:topLinePunct w:val="0"/>
              <w:bidi w:val="0"/>
              <w:adjustRightInd/>
              <w:snapToGrid/>
              <w:spacing w:line="360" w:lineRule="auto"/>
              <w:ind w:firstLine="420" w:firstLineChars="200"/>
              <w:textAlignment w:val="auto"/>
              <w:rPr>
                <w:rFonts w:hint="eastAsia" w:ascii="宋体" w:hAnsi="宋体" w:eastAsia="宋体" w:cs="宋体"/>
                <w:color w:val="auto"/>
                <w:highlight w:val="none"/>
                <w:lang w:val="zh-CN" w:eastAsia="zh-CN"/>
              </w:rPr>
            </w:pPr>
            <w:r>
              <w:rPr>
                <w:rFonts w:hint="eastAsia" w:ascii="宋体" w:hAnsi="宋体" w:eastAsia="宋体" w:cs="宋体"/>
                <w:color w:val="auto"/>
                <w:highlight w:val="none"/>
                <w:lang w:val="zh-CN" w:eastAsia="zh-CN"/>
              </w:rPr>
              <w:t>（</w:t>
            </w:r>
            <w:r>
              <w:rPr>
                <w:rFonts w:hint="eastAsia" w:ascii="宋体" w:hAnsi="宋体" w:eastAsia="宋体" w:cs="宋体"/>
                <w:color w:val="auto"/>
                <w:highlight w:val="none"/>
                <w:lang w:val="en-US" w:eastAsia="zh-CN"/>
              </w:rPr>
              <w:t>1</w:t>
            </w:r>
            <w:r>
              <w:rPr>
                <w:rFonts w:hint="eastAsia" w:ascii="宋体" w:hAnsi="宋体" w:eastAsia="宋体" w:cs="宋体"/>
                <w:color w:val="auto"/>
                <w:highlight w:val="none"/>
                <w:lang w:val="zh-CN" w:eastAsia="zh-CN"/>
              </w:rPr>
              <w:t>）预付款支付比例或金额：按合同价款金额的</w:t>
            </w:r>
            <w:r>
              <w:rPr>
                <w:rFonts w:hint="eastAsia" w:ascii="宋体" w:hAnsi="宋体" w:eastAsia="宋体" w:cs="宋体"/>
                <w:color w:val="auto"/>
                <w:highlight w:val="none"/>
                <w:lang w:val="en-US" w:eastAsia="zh-CN"/>
              </w:rPr>
              <w:t>3</w:t>
            </w:r>
            <w:r>
              <w:rPr>
                <w:rFonts w:hint="eastAsia" w:ascii="宋体" w:hAnsi="宋体" w:eastAsia="宋体" w:cs="宋体"/>
                <w:color w:val="auto"/>
                <w:highlight w:val="none"/>
                <w:lang w:val="zh-CN" w:eastAsia="zh-CN"/>
              </w:rPr>
              <w:t>0%支付。</w:t>
            </w:r>
          </w:p>
          <w:p w14:paraId="47679CC3">
            <w:pPr>
              <w:pStyle w:val="25"/>
              <w:keepNext w:val="0"/>
              <w:keepLines w:val="0"/>
              <w:pageBreakBefore w:val="0"/>
              <w:tabs>
                <w:tab w:val="left" w:pos="0"/>
                <w:tab w:val="right" w:leader="dot" w:pos="9435"/>
              </w:tabs>
              <w:kinsoku/>
              <w:wordWrap/>
              <w:overflowPunct/>
              <w:topLinePunct w:val="0"/>
              <w:bidi w:val="0"/>
              <w:adjustRightInd/>
              <w:snapToGrid/>
              <w:spacing w:line="360" w:lineRule="auto"/>
              <w:ind w:firstLine="420" w:firstLineChars="200"/>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zh-CN" w:eastAsia="zh-CN"/>
              </w:rPr>
              <w:t>（</w:t>
            </w:r>
            <w:r>
              <w:rPr>
                <w:rFonts w:hint="eastAsia" w:ascii="宋体" w:hAnsi="宋体" w:eastAsia="宋体" w:cs="宋体"/>
                <w:color w:val="auto"/>
                <w:highlight w:val="none"/>
                <w:lang w:val="en-US" w:eastAsia="zh-CN"/>
              </w:rPr>
              <w:t>2</w:t>
            </w:r>
            <w:r>
              <w:rPr>
                <w:rFonts w:hint="eastAsia" w:ascii="宋体" w:hAnsi="宋体" w:eastAsia="宋体" w:cs="宋体"/>
                <w:color w:val="auto"/>
                <w:highlight w:val="none"/>
                <w:lang w:val="zh-CN" w:eastAsia="zh-CN"/>
              </w:rPr>
              <w:t>）预付款支付期限：</w:t>
            </w:r>
            <w:r>
              <w:rPr>
                <w:rFonts w:hint="eastAsia" w:ascii="宋体" w:hAnsi="宋体" w:cs="宋体"/>
                <w:color w:val="auto"/>
                <w:highlight w:val="none"/>
                <w:lang w:val="zh-CN" w:eastAsia="zh-CN"/>
              </w:rPr>
              <w:t>合同签订后并在接收到承包方提交的付款申请后10个工作日内一次性支付给承包人</w:t>
            </w:r>
            <w:r>
              <w:rPr>
                <w:rFonts w:hint="eastAsia" w:ascii="宋体" w:hAnsi="宋体" w:eastAsia="宋体" w:cs="宋体"/>
                <w:color w:val="auto"/>
                <w:highlight w:val="none"/>
                <w:lang w:val="zh-CN" w:eastAsia="zh-CN"/>
              </w:rPr>
              <w:t>。</w:t>
            </w:r>
          </w:p>
          <w:p w14:paraId="3EDB0329">
            <w:pPr>
              <w:pStyle w:val="25"/>
              <w:keepNext w:val="0"/>
              <w:keepLines w:val="0"/>
              <w:pageBreakBefore w:val="0"/>
              <w:tabs>
                <w:tab w:val="left" w:pos="0"/>
                <w:tab w:val="right" w:leader="dot" w:pos="9435"/>
              </w:tabs>
              <w:kinsoku/>
              <w:wordWrap/>
              <w:overflowPunct/>
              <w:topLinePunct w:val="0"/>
              <w:bidi w:val="0"/>
              <w:adjustRightInd/>
              <w:snapToGrid/>
              <w:spacing w:line="360" w:lineRule="auto"/>
              <w:ind w:firstLine="420" w:firstLineChars="200"/>
              <w:textAlignment w:val="auto"/>
              <w:rPr>
                <w:rFonts w:hint="eastAsia" w:ascii="宋体" w:hAnsi="宋体" w:eastAsia="宋体" w:cs="宋体"/>
                <w:color w:val="auto"/>
                <w:highlight w:val="none"/>
                <w:lang w:val="zh-CN" w:eastAsia="zh-CN"/>
              </w:rPr>
            </w:pPr>
            <w:r>
              <w:rPr>
                <w:rFonts w:hint="eastAsia" w:ascii="宋体" w:hAnsi="宋体" w:eastAsia="宋体" w:cs="宋体"/>
                <w:color w:val="auto"/>
                <w:highlight w:val="none"/>
                <w:lang w:val="zh-CN" w:eastAsia="zh-CN"/>
              </w:rPr>
              <w:t>（</w:t>
            </w:r>
            <w:r>
              <w:rPr>
                <w:rFonts w:hint="eastAsia" w:ascii="宋体" w:hAnsi="宋体" w:eastAsia="宋体" w:cs="宋体"/>
                <w:color w:val="auto"/>
                <w:highlight w:val="none"/>
                <w:lang w:val="en-US" w:eastAsia="zh-CN"/>
              </w:rPr>
              <w:t>3</w:t>
            </w:r>
            <w:r>
              <w:rPr>
                <w:rFonts w:hint="eastAsia" w:ascii="宋体" w:hAnsi="宋体" w:eastAsia="宋体" w:cs="宋体"/>
                <w:color w:val="auto"/>
                <w:highlight w:val="none"/>
                <w:lang w:val="zh-CN" w:eastAsia="zh-CN"/>
              </w:rPr>
              <w:t>）预付款扣回的方式：开工预付款在进度付款证书的累计金额未达到合同价的30％之前不予扣回，在达到签约合同价30％之后，从进度付款证书中一次性扣回。</w:t>
            </w:r>
          </w:p>
          <w:p w14:paraId="63EE46AE">
            <w:pPr>
              <w:pStyle w:val="25"/>
              <w:keepNext w:val="0"/>
              <w:keepLines w:val="0"/>
              <w:pageBreakBefore w:val="0"/>
              <w:tabs>
                <w:tab w:val="left" w:pos="0"/>
                <w:tab w:val="right" w:leader="dot" w:pos="9435"/>
              </w:tabs>
              <w:kinsoku/>
              <w:wordWrap/>
              <w:overflowPunct/>
              <w:topLinePunct w:val="0"/>
              <w:bidi w:val="0"/>
              <w:adjustRightInd/>
              <w:snapToGrid/>
              <w:spacing w:line="360" w:lineRule="auto"/>
              <w:ind w:firstLine="420" w:firstLineChars="200"/>
              <w:textAlignment w:val="auto"/>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2、</w:t>
            </w:r>
            <w:r>
              <w:rPr>
                <w:rFonts w:hint="eastAsia" w:ascii="Times New Roman" w:hAnsi="Times New Roman" w:eastAsia="宋体" w:cs="Times New Roman"/>
                <w:color w:val="auto"/>
                <w:highlight w:val="none"/>
                <w:lang w:val="zh-CN" w:eastAsia="zh-CN"/>
              </w:rPr>
              <w:t>进度款支付方式</w:t>
            </w:r>
          </w:p>
          <w:p w14:paraId="649318FE">
            <w:pPr>
              <w:pStyle w:val="25"/>
              <w:keepNext w:val="0"/>
              <w:keepLines w:val="0"/>
              <w:pageBreakBefore w:val="0"/>
              <w:tabs>
                <w:tab w:val="left" w:pos="0"/>
                <w:tab w:val="right" w:leader="dot" w:pos="9435"/>
              </w:tabs>
              <w:kinsoku/>
              <w:wordWrap/>
              <w:overflowPunct/>
              <w:topLinePunct w:val="0"/>
              <w:bidi w:val="0"/>
              <w:adjustRightInd/>
              <w:snapToGrid/>
              <w:spacing w:line="360" w:lineRule="auto"/>
              <w:ind w:firstLine="420" w:firstLineChars="200"/>
              <w:textAlignment w:val="auto"/>
              <w:rPr>
                <w:rFonts w:hint="eastAsia" w:ascii="宋体" w:hAnsi="宋体" w:eastAsia="宋体" w:cs="宋体"/>
                <w:b w:val="0"/>
                <w:color w:val="auto"/>
                <w:kern w:val="2"/>
                <w:sz w:val="21"/>
                <w:szCs w:val="21"/>
                <w:highlight w:val="none"/>
                <w:lang w:val="en-US" w:eastAsia="zh-CN" w:bidi="ar-SA"/>
              </w:rPr>
            </w:pPr>
            <w:r>
              <w:rPr>
                <w:rFonts w:hint="eastAsia" w:ascii="Times New Roman" w:hAnsi="Times New Roman" w:eastAsia="宋体" w:cs="Times New Roman"/>
                <w:color w:val="auto"/>
                <w:highlight w:val="none"/>
                <w:lang w:val="zh-CN" w:eastAsia="zh-CN"/>
              </w:rPr>
              <w:t>工程进度款按月支付，付款周期与计量周期保持一致，合同内进度款支付额为已完成工程量的80%，工程变更部分进度款支付额为已完成工程量的80%</w:t>
            </w:r>
            <w:r>
              <w:rPr>
                <w:rFonts w:hint="eastAsia" w:cs="Times New Roman"/>
                <w:color w:val="auto"/>
                <w:highlight w:val="none"/>
                <w:lang w:val="zh-CN" w:eastAsia="zh-CN"/>
              </w:rPr>
              <w:t>；</w:t>
            </w:r>
            <w:r>
              <w:rPr>
                <w:rFonts w:hint="eastAsia" w:ascii="Times New Roman" w:hAnsi="Times New Roman" w:eastAsia="宋体" w:cs="Times New Roman"/>
                <w:color w:val="auto"/>
                <w:highlight w:val="none"/>
                <w:lang w:val="zh-CN" w:eastAsia="zh-CN"/>
              </w:rPr>
              <w:t>经验收合格后支付合同内及工程变更部分工程量金额的90%，结算经有关部门审定后，发包人在收到承包人付款申请之日起1个月内，工程款支付至结算总价的97%</w:t>
            </w:r>
            <w:r>
              <w:rPr>
                <w:rFonts w:hint="eastAsia" w:cs="Times New Roman"/>
                <w:color w:val="auto"/>
                <w:highlight w:val="none"/>
                <w:lang w:val="zh-CN" w:eastAsia="zh-CN"/>
              </w:rPr>
              <w:t>；</w:t>
            </w:r>
            <w:r>
              <w:rPr>
                <w:rFonts w:hint="eastAsia" w:ascii="Times New Roman" w:hAnsi="Times New Roman" w:eastAsia="宋体" w:cs="Times New Roman"/>
                <w:color w:val="auto"/>
                <w:highlight w:val="none"/>
                <w:lang w:val="zh-CN" w:eastAsia="zh-CN"/>
              </w:rPr>
              <w:t>发包人按工程价款结算总额的3%预留工程质量保修金，待工程缺陷责任期满后无息返还。</w:t>
            </w:r>
          </w:p>
        </w:tc>
      </w:tr>
      <w:tr w14:paraId="4C4C4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trPr>
        <w:tc>
          <w:tcPr>
            <w:tcW w:w="134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6107B530">
            <w:pPr>
              <w:spacing w:line="360" w:lineRule="auto"/>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highlight w:val="none"/>
              </w:rPr>
              <w:t>其他说明</w:t>
            </w:r>
          </w:p>
        </w:tc>
        <w:tc>
          <w:tcPr>
            <w:tcW w:w="8522"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41F32A83">
            <w:pPr>
              <w:widowControl/>
              <w:shd w:val="clear" w:color="auto" w:fill="FFFFFF"/>
              <w:spacing w:line="360" w:lineRule="auto"/>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highlight w:val="none"/>
              </w:rPr>
              <w:t>一、进口产品说明：本项目不涉及进口产品。</w:t>
            </w:r>
          </w:p>
        </w:tc>
      </w:tr>
    </w:tbl>
    <w:p w14:paraId="0263869C">
      <w:pPr>
        <w:keepNext w:val="0"/>
        <w:keepLines w:val="0"/>
        <w:pageBreakBefore w:val="0"/>
        <w:widowControl w:val="0"/>
        <w:shd w:val="clear" w:color="auto" w:fill="auto"/>
        <w:kinsoku/>
        <w:wordWrap/>
        <w:overflowPunct/>
        <w:topLinePunct w:val="0"/>
        <w:autoSpaceDE/>
        <w:autoSpaceDN/>
        <w:bidi w:val="0"/>
        <w:adjustRightInd/>
        <w:snapToGrid/>
        <w:spacing w:line="360" w:lineRule="auto"/>
        <w:ind w:firstLine="316" w:firstLineChars="150"/>
        <w:jc w:val="left"/>
        <w:textAlignment w:val="auto"/>
        <w:rPr>
          <w:rFonts w:hint="eastAsia" w:ascii="宋体" w:hAnsi="宋体" w:eastAsia="宋体" w:cs="宋体"/>
          <w:b/>
          <w:color w:val="auto"/>
          <w:szCs w:val="21"/>
          <w:highlight w:val="none"/>
          <w:lang w:eastAsia="zh-CN"/>
        </w:rPr>
      </w:pPr>
      <w:r>
        <w:rPr>
          <w:rFonts w:hint="eastAsia" w:ascii="宋体" w:hAnsi="宋体" w:eastAsia="宋体" w:cs="宋体"/>
          <w:b/>
          <w:color w:val="auto"/>
          <w:szCs w:val="21"/>
          <w:highlight w:val="none"/>
          <w:lang w:val="en-US" w:eastAsia="zh-CN"/>
        </w:rPr>
        <w:t xml:space="preserve"> </w:t>
      </w:r>
    </w:p>
    <w:p w14:paraId="7987423E">
      <w:pPr>
        <w:spacing w:line="360" w:lineRule="auto"/>
        <w:jc w:val="cente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br w:type="page"/>
      </w:r>
    </w:p>
    <w:p w14:paraId="6A71C9C5">
      <w:pPr>
        <w:widowControl/>
        <w:spacing w:line="360" w:lineRule="auto"/>
        <w:jc w:val="left"/>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附表：</w:t>
      </w:r>
    </w:p>
    <w:p w14:paraId="796DE7D5">
      <w:pPr>
        <w:widowControl/>
        <w:spacing w:before="165" w:beforeLines="50" w:after="165" w:afterLines="50" w:line="360" w:lineRule="auto"/>
        <w:jc w:val="center"/>
        <w:rPr>
          <w:rFonts w:hint="eastAsia" w:ascii="宋体" w:hAnsi="宋体" w:eastAsia="宋体" w:cs="宋体"/>
          <w:color w:val="auto"/>
          <w:kern w:val="0"/>
          <w:sz w:val="28"/>
          <w:szCs w:val="28"/>
          <w:highlight w:val="none"/>
        </w:rPr>
      </w:pPr>
      <w:r>
        <w:rPr>
          <w:rFonts w:hint="eastAsia" w:ascii="宋体" w:hAnsi="宋体" w:eastAsia="宋体" w:cs="宋体"/>
          <w:b/>
          <w:color w:val="auto"/>
          <w:szCs w:val="20"/>
          <w:highlight w:val="none"/>
        </w:rPr>
        <w:t>大中小微型企业划分标准</w:t>
      </w:r>
    </w:p>
    <w:tbl>
      <w:tblPr>
        <w:tblStyle w:val="33"/>
        <w:tblW w:w="97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51"/>
        <w:gridCol w:w="1531"/>
        <w:gridCol w:w="993"/>
        <w:gridCol w:w="1118"/>
        <w:gridCol w:w="1676"/>
        <w:gridCol w:w="1618"/>
        <w:gridCol w:w="852"/>
      </w:tblGrid>
      <w:tr w14:paraId="158CA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blHeader/>
          <w:jc w:val="center"/>
        </w:trPr>
        <w:tc>
          <w:tcPr>
            <w:tcW w:w="1951" w:type="dxa"/>
            <w:shd w:val="clear" w:color="auto" w:fill="D7D7D7"/>
            <w:vAlign w:val="center"/>
          </w:tcPr>
          <w:p w14:paraId="0F60EF39">
            <w:pPr>
              <w:widowControl/>
              <w:spacing w:line="360" w:lineRule="auto"/>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行业名称</w:t>
            </w:r>
          </w:p>
        </w:tc>
        <w:tc>
          <w:tcPr>
            <w:tcW w:w="1531" w:type="dxa"/>
            <w:shd w:val="clear" w:color="auto" w:fill="D7D7D7"/>
            <w:vAlign w:val="center"/>
          </w:tcPr>
          <w:p w14:paraId="5C3BE492">
            <w:pPr>
              <w:widowControl/>
              <w:spacing w:line="360" w:lineRule="auto"/>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指标名称</w:t>
            </w:r>
          </w:p>
        </w:tc>
        <w:tc>
          <w:tcPr>
            <w:tcW w:w="993" w:type="dxa"/>
            <w:shd w:val="clear" w:color="auto" w:fill="D7D7D7"/>
            <w:vAlign w:val="center"/>
          </w:tcPr>
          <w:p w14:paraId="00D8297A">
            <w:pPr>
              <w:widowControl/>
              <w:spacing w:line="360" w:lineRule="auto"/>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计量单位</w:t>
            </w:r>
          </w:p>
        </w:tc>
        <w:tc>
          <w:tcPr>
            <w:tcW w:w="1118" w:type="dxa"/>
            <w:shd w:val="clear" w:color="auto" w:fill="D7D7D7"/>
            <w:vAlign w:val="center"/>
          </w:tcPr>
          <w:p w14:paraId="767B1510">
            <w:pPr>
              <w:widowControl/>
              <w:spacing w:line="360" w:lineRule="auto"/>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大型</w:t>
            </w:r>
          </w:p>
        </w:tc>
        <w:tc>
          <w:tcPr>
            <w:tcW w:w="1676" w:type="dxa"/>
            <w:shd w:val="clear" w:color="auto" w:fill="D7D7D7"/>
            <w:vAlign w:val="center"/>
          </w:tcPr>
          <w:p w14:paraId="16EDB312">
            <w:pPr>
              <w:widowControl/>
              <w:spacing w:line="360" w:lineRule="auto"/>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中型</w:t>
            </w:r>
          </w:p>
        </w:tc>
        <w:tc>
          <w:tcPr>
            <w:tcW w:w="1618" w:type="dxa"/>
            <w:shd w:val="clear" w:color="auto" w:fill="D7D7D7"/>
            <w:vAlign w:val="center"/>
          </w:tcPr>
          <w:p w14:paraId="27152071">
            <w:pPr>
              <w:widowControl/>
              <w:spacing w:line="360" w:lineRule="auto"/>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小型</w:t>
            </w:r>
          </w:p>
        </w:tc>
        <w:tc>
          <w:tcPr>
            <w:tcW w:w="852" w:type="dxa"/>
            <w:shd w:val="clear" w:color="auto" w:fill="D7D7D7"/>
            <w:vAlign w:val="center"/>
          </w:tcPr>
          <w:p w14:paraId="7C2FA641">
            <w:pPr>
              <w:widowControl/>
              <w:spacing w:line="360" w:lineRule="auto"/>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微型</w:t>
            </w:r>
          </w:p>
        </w:tc>
      </w:tr>
      <w:tr w14:paraId="2F1D8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951" w:type="dxa"/>
            <w:vAlign w:val="center"/>
          </w:tcPr>
          <w:p w14:paraId="1621A9E0">
            <w:pPr>
              <w:widowControl/>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农、林、牧、渔业</w:t>
            </w:r>
          </w:p>
        </w:tc>
        <w:tc>
          <w:tcPr>
            <w:tcW w:w="1531" w:type="dxa"/>
            <w:vAlign w:val="center"/>
          </w:tcPr>
          <w:p w14:paraId="1D0E0862">
            <w:pPr>
              <w:widowControl/>
              <w:spacing w:line="360" w:lineRule="auto"/>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993" w:type="dxa"/>
            <w:vAlign w:val="center"/>
          </w:tcPr>
          <w:p w14:paraId="15EDF298">
            <w:pPr>
              <w:widowControl/>
              <w:spacing w:line="360" w:lineRule="auto"/>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118" w:type="dxa"/>
            <w:vAlign w:val="center"/>
          </w:tcPr>
          <w:p w14:paraId="076E37D6">
            <w:pPr>
              <w:widowControl/>
              <w:spacing w:line="360" w:lineRule="auto"/>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Y≥20000</w:t>
            </w:r>
          </w:p>
        </w:tc>
        <w:tc>
          <w:tcPr>
            <w:tcW w:w="1676" w:type="dxa"/>
            <w:vAlign w:val="center"/>
          </w:tcPr>
          <w:p w14:paraId="11A50BF1">
            <w:pPr>
              <w:widowControl/>
              <w:spacing w:line="360" w:lineRule="auto"/>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500≤Y＜20000</w:t>
            </w:r>
          </w:p>
        </w:tc>
        <w:tc>
          <w:tcPr>
            <w:tcW w:w="1618" w:type="dxa"/>
            <w:vAlign w:val="center"/>
          </w:tcPr>
          <w:p w14:paraId="0EB50A02">
            <w:pPr>
              <w:widowControl/>
              <w:spacing w:line="360" w:lineRule="auto"/>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50≤Y＜500</w:t>
            </w:r>
          </w:p>
        </w:tc>
        <w:tc>
          <w:tcPr>
            <w:tcW w:w="852" w:type="dxa"/>
            <w:vAlign w:val="center"/>
          </w:tcPr>
          <w:p w14:paraId="3640C70C">
            <w:pPr>
              <w:widowControl/>
              <w:spacing w:line="360" w:lineRule="auto"/>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Y＜50</w:t>
            </w:r>
          </w:p>
        </w:tc>
      </w:tr>
      <w:tr w14:paraId="07C99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951" w:type="dxa"/>
            <w:vMerge w:val="restart"/>
            <w:vAlign w:val="center"/>
          </w:tcPr>
          <w:p w14:paraId="61526D2A">
            <w:pPr>
              <w:widowControl/>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工业 *</w:t>
            </w:r>
          </w:p>
        </w:tc>
        <w:tc>
          <w:tcPr>
            <w:tcW w:w="1531" w:type="dxa"/>
            <w:vAlign w:val="center"/>
          </w:tcPr>
          <w:p w14:paraId="302ADD0E">
            <w:pPr>
              <w:widowControl/>
              <w:spacing w:line="360" w:lineRule="auto"/>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993" w:type="dxa"/>
            <w:vAlign w:val="center"/>
          </w:tcPr>
          <w:p w14:paraId="0E88D0D2">
            <w:pPr>
              <w:widowControl/>
              <w:spacing w:line="360" w:lineRule="auto"/>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118" w:type="dxa"/>
            <w:vAlign w:val="center"/>
          </w:tcPr>
          <w:p w14:paraId="66DAEA8D">
            <w:pPr>
              <w:widowControl/>
              <w:spacing w:line="360" w:lineRule="auto"/>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X≥1000</w:t>
            </w:r>
          </w:p>
        </w:tc>
        <w:tc>
          <w:tcPr>
            <w:tcW w:w="1676" w:type="dxa"/>
            <w:vAlign w:val="center"/>
          </w:tcPr>
          <w:p w14:paraId="2A4EA3AC">
            <w:pPr>
              <w:widowControl/>
              <w:spacing w:line="360" w:lineRule="auto"/>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300≤X＜1000</w:t>
            </w:r>
          </w:p>
        </w:tc>
        <w:tc>
          <w:tcPr>
            <w:tcW w:w="1618" w:type="dxa"/>
            <w:vAlign w:val="center"/>
          </w:tcPr>
          <w:p w14:paraId="2C8AD63C">
            <w:pPr>
              <w:widowControl/>
              <w:spacing w:line="360" w:lineRule="auto"/>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20≤X＜300</w:t>
            </w:r>
          </w:p>
        </w:tc>
        <w:tc>
          <w:tcPr>
            <w:tcW w:w="852" w:type="dxa"/>
            <w:vAlign w:val="center"/>
          </w:tcPr>
          <w:p w14:paraId="71106F72">
            <w:pPr>
              <w:widowControl/>
              <w:spacing w:line="360" w:lineRule="auto"/>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X＜20</w:t>
            </w:r>
          </w:p>
        </w:tc>
      </w:tr>
      <w:tr w14:paraId="24949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951" w:type="dxa"/>
            <w:vMerge w:val="continue"/>
            <w:vAlign w:val="center"/>
          </w:tcPr>
          <w:p w14:paraId="04A03BC7">
            <w:pPr>
              <w:widowControl/>
              <w:spacing w:line="360" w:lineRule="auto"/>
              <w:jc w:val="left"/>
              <w:rPr>
                <w:rFonts w:hint="eastAsia" w:ascii="宋体" w:hAnsi="宋体" w:eastAsia="宋体" w:cs="宋体"/>
                <w:color w:val="auto"/>
                <w:kern w:val="0"/>
                <w:sz w:val="18"/>
                <w:szCs w:val="18"/>
                <w:highlight w:val="none"/>
              </w:rPr>
            </w:pPr>
          </w:p>
        </w:tc>
        <w:tc>
          <w:tcPr>
            <w:tcW w:w="1531" w:type="dxa"/>
            <w:vAlign w:val="center"/>
          </w:tcPr>
          <w:p w14:paraId="33585E81">
            <w:pPr>
              <w:widowControl/>
              <w:spacing w:line="360" w:lineRule="auto"/>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993" w:type="dxa"/>
            <w:vAlign w:val="center"/>
          </w:tcPr>
          <w:p w14:paraId="7D406C36">
            <w:pPr>
              <w:widowControl/>
              <w:spacing w:line="360" w:lineRule="auto"/>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118" w:type="dxa"/>
            <w:vAlign w:val="center"/>
          </w:tcPr>
          <w:p w14:paraId="21EE725B">
            <w:pPr>
              <w:widowControl/>
              <w:spacing w:line="360" w:lineRule="auto"/>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Y≥40000</w:t>
            </w:r>
          </w:p>
        </w:tc>
        <w:tc>
          <w:tcPr>
            <w:tcW w:w="1676" w:type="dxa"/>
            <w:vAlign w:val="center"/>
          </w:tcPr>
          <w:p w14:paraId="199AEF33">
            <w:pPr>
              <w:widowControl/>
              <w:spacing w:line="360" w:lineRule="auto"/>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2000≤Y＜40000</w:t>
            </w:r>
          </w:p>
        </w:tc>
        <w:tc>
          <w:tcPr>
            <w:tcW w:w="1618" w:type="dxa"/>
            <w:vAlign w:val="center"/>
          </w:tcPr>
          <w:p w14:paraId="1E97C102">
            <w:pPr>
              <w:widowControl/>
              <w:spacing w:line="360" w:lineRule="auto"/>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300≤Y＜2000</w:t>
            </w:r>
          </w:p>
        </w:tc>
        <w:tc>
          <w:tcPr>
            <w:tcW w:w="852" w:type="dxa"/>
            <w:vAlign w:val="center"/>
          </w:tcPr>
          <w:p w14:paraId="53B1C14B">
            <w:pPr>
              <w:widowControl/>
              <w:spacing w:line="360" w:lineRule="auto"/>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Y＜300</w:t>
            </w:r>
          </w:p>
        </w:tc>
      </w:tr>
      <w:tr w14:paraId="5F556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951" w:type="dxa"/>
            <w:vMerge w:val="restart"/>
            <w:vAlign w:val="center"/>
          </w:tcPr>
          <w:p w14:paraId="2B6F0E9D">
            <w:pPr>
              <w:widowControl/>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建筑业</w:t>
            </w:r>
          </w:p>
        </w:tc>
        <w:tc>
          <w:tcPr>
            <w:tcW w:w="1531" w:type="dxa"/>
            <w:vAlign w:val="center"/>
          </w:tcPr>
          <w:p w14:paraId="00A3FFAE">
            <w:pPr>
              <w:widowControl/>
              <w:spacing w:line="360" w:lineRule="auto"/>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993" w:type="dxa"/>
            <w:vAlign w:val="center"/>
          </w:tcPr>
          <w:p w14:paraId="3DEDD2B5">
            <w:pPr>
              <w:widowControl/>
              <w:spacing w:line="360" w:lineRule="auto"/>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118" w:type="dxa"/>
            <w:vAlign w:val="center"/>
          </w:tcPr>
          <w:p w14:paraId="24A299ED">
            <w:pPr>
              <w:widowControl/>
              <w:spacing w:line="360" w:lineRule="auto"/>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Y≥80000</w:t>
            </w:r>
          </w:p>
        </w:tc>
        <w:tc>
          <w:tcPr>
            <w:tcW w:w="1676" w:type="dxa"/>
            <w:vAlign w:val="center"/>
          </w:tcPr>
          <w:p w14:paraId="7A95861D">
            <w:pPr>
              <w:widowControl/>
              <w:spacing w:line="360" w:lineRule="auto"/>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6000≤Y＜80000</w:t>
            </w:r>
          </w:p>
        </w:tc>
        <w:tc>
          <w:tcPr>
            <w:tcW w:w="1618" w:type="dxa"/>
            <w:vAlign w:val="center"/>
          </w:tcPr>
          <w:p w14:paraId="646F50AE">
            <w:pPr>
              <w:widowControl/>
              <w:spacing w:line="360" w:lineRule="auto"/>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300≤Y＜6000</w:t>
            </w:r>
          </w:p>
        </w:tc>
        <w:tc>
          <w:tcPr>
            <w:tcW w:w="852" w:type="dxa"/>
            <w:vAlign w:val="center"/>
          </w:tcPr>
          <w:p w14:paraId="65BB903E">
            <w:pPr>
              <w:widowControl/>
              <w:spacing w:line="360" w:lineRule="auto"/>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Y＜300</w:t>
            </w:r>
          </w:p>
        </w:tc>
      </w:tr>
      <w:tr w14:paraId="43458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951" w:type="dxa"/>
            <w:vMerge w:val="continue"/>
            <w:vAlign w:val="center"/>
          </w:tcPr>
          <w:p w14:paraId="5D2ED8B2">
            <w:pPr>
              <w:widowControl/>
              <w:spacing w:line="360" w:lineRule="auto"/>
              <w:jc w:val="left"/>
              <w:rPr>
                <w:rFonts w:hint="eastAsia" w:ascii="宋体" w:hAnsi="宋体" w:eastAsia="宋体" w:cs="宋体"/>
                <w:color w:val="auto"/>
                <w:kern w:val="0"/>
                <w:sz w:val="18"/>
                <w:szCs w:val="18"/>
                <w:highlight w:val="none"/>
              </w:rPr>
            </w:pPr>
          </w:p>
        </w:tc>
        <w:tc>
          <w:tcPr>
            <w:tcW w:w="1531" w:type="dxa"/>
            <w:vAlign w:val="center"/>
          </w:tcPr>
          <w:p w14:paraId="58FF327C">
            <w:pPr>
              <w:widowControl/>
              <w:spacing w:line="360" w:lineRule="auto"/>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资产总额(Z)</w:t>
            </w:r>
          </w:p>
        </w:tc>
        <w:tc>
          <w:tcPr>
            <w:tcW w:w="993" w:type="dxa"/>
            <w:vAlign w:val="center"/>
          </w:tcPr>
          <w:p w14:paraId="3FB9C579">
            <w:pPr>
              <w:widowControl/>
              <w:spacing w:line="360" w:lineRule="auto"/>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118" w:type="dxa"/>
            <w:vAlign w:val="center"/>
          </w:tcPr>
          <w:p w14:paraId="65BD43DB">
            <w:pPr>
              <w:widowControl/>
              <w:spacing w:line="360" w:lineRule="auto"/>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Z≥80000</w:t>
            </w:r>
          </w:p>
        </w:tc>
        <w:tc>
          <w:tcPr>
            <w:tcW w:w="1676" w:type="dxa"/>
            <w:vAlign w:val="center"/>
          </w:tcPr>
          <w:p w14:paraId="28CCE7B0">
            <w:pPr>
              <w:widowControl/>
              <w:spacing w:line="360" w:lineRule="auto"/>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5000≤Z＜80000</w:t>
            </w:r>
          </w:p>
        </w:tc>
        <w:tc>
          <w:tcPr>
            <w:tcW w:w="1618" w:type="dxa"/>
            <w:vAlign w:val="center"/>
          </w:tcPr>
          <w:p w14:paraId="226CC4C0">
            <w:pPr>
              <w:widowControl/>
              <w:spacing w:line="360" w:lineRule="auto"/>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300≤Z＜5000</w:t>
            </w:r>
          </w:p>
        </w:tc>
        <w:tc>
          <w:tcPr>
            <w:tcW w:w="852" w:type="dxa"/>
            <w:vAlign w:val="center"/>
          </w:tcPr>
          <w:p w14:paraId="6811975C">
            <w:pPr>
              <w:widowControl/>
              <w:spacing w:line="360" w:lineRule="auto"/>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Z＜300</w:t>
            </w:r>
          </w:p>
        </w:tc>
      </w:tr>
      <w:tr w14:paraId="2D896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951" w:type="dxa"/>
            <w:vMerge w:val="restart"/>
            <w:vAlign w:val="center"/>
          </w:tcPr>
          <w:p w14:paraId="3E95DCF0">
            <w:pPr>
              <w:widowControl/>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批发业</w:t>
            </w:r>
          </w:p>
        </w:tc>
        <w:tc>
          <w:tcPr>
            <w:tcW w:w="1531" w:type="dxa"/>
            <w:vAlign w:val="center"/>
          </w:tcPr>
          <w:p w14:paraId="2FE21745">
            <w:pPr>
              <w:widowControl/>
              <w:spacing w:line="360" w:lineRule="auto"/>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993" w:type="dxa"/>
            <w:vAlign w:val="center"/>
          </w:tcPr>
          <w:p w14:paraId="05FD284B">
            <w:pPr>
              <w:widowControl/>
              <w:spacing w:line="360" w:lineRule="auto"/>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118" w:type="dxa"/>
            <w:vAlign w:val="center"/>
          </w:tcPr>
          <w:p w14:paraId="5A0AE68E">
            <w:pPr>
              <w:widowControl/>
              <w:spacing w:line="360" w:lineRule="auto"/>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X≥200</w:t>
            </w:r>
          </w:p>
        </w:tc>
        <w:tc>
          <w:tcPr>
            <w:tcW w:w="1676" w:type="dxa"/>
            <w:vAlign w:val="center"/>
          </w:tcPr>
          <w:p w14:paraId="422B69D9">
            <w:pPr>
              <w:widowControl/>
              <w:spacing w:line="360" w:lineRule="auto"/>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20≤X＜200</w:t>
            </w:r>
          </w:p>
        </w:tc>
        <w:tc>
          <w:tcPr>
            <w:tcW w:w="1618" w:type="dxa"/>
            <w:vAlign w:val="center"/>
          </w:tcPr>
          <w:p w14:paraId="51B981F2">
            <w:pPr>
              <w:widowControl/>
              <w:spacing w:line="360" w:lineRule="auto"/>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5≤X＜20</w:t>
            </w:r>
          </w:p>
        </w:tc>
        <w:tc>
          <w:tcPr>
            <w:tcW w:w="852" w:type="dxa"/>
            <w:vAlign w:val="center"/>
          </w:tcPr>
          <w:p w14:paraId="5A0950AF">
            <w:pPr>
              <w:widowControl/>
              <w:spacing w:line="360" w:lineRule="auto"/>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X＜5</w:t>
            </w:r>
          </w:p>
        </w:tc>
      </w:tr>
      <w:tr w14:paraId="14104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951" w:type="dxa"/>
            <w:vMerge w:val="continue"/>
            <w:vAlign w:val="center"/>
          </w:tcPr>
          <w:p w14:paraId="3D8B1FC4">
            <w:pPr>
              <w:widowControl/>
              <w:spacing w:line="360" w:lineRule="auto"/>
              <w:jc w:val="left"/>
              <w:rPr>
                <w:rFonts w:hint="eastAsia" w:ascii="宋体" w:hAnsi="宋体" w:eastAsia="宋体" w:cs="宋体"/>
                <w:color w:val="auto"/>
                <w:kern w:val="0"/>
                <w:sz w:val="18"/>
                <w:szCs w:val="18"/>
                <w:highlight w:val="none"/>
              </w:rPr>
            </w:pPr>
          </w:p>
        </w:tc>
        <w:tc>
          <w:tcPr>
            <w:tcW w:w="1531" w:type="dxa"/>
            <w:vAlign w:val="center"/>
          </w:tcPr>
          <w:p w14:paraId="0CBF11B2">
            <w:pPr>
              <w:widowControl/>
              <w:spacing w:line="360" w:lineRule="auto"/>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993" w:type="dxa"/>
            <w:vAlign w:val="center"/>
          </w:tcPr>
          <w:p w14:paraId="215232BC">
            <w:pPr>
              <w:widowControl/>
              <w:spacing w:line="360" w:lineRule="auto"/>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118" w:type="dxa"/>
            <w:vAlign w:val="center"/>
          </w:tcPr>
          <w:p w14:paraId="2EF4C3B4">
            <w:pPr>
              <w:widowControl/>
              <w:spacing w:line="360" w:lineRule="auto"/>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Y≥40000</w:t>
            </w:r>
          </w:p>
        </w:tc>
        <w:tc>
          <w:tcPr>
            <w:tcW w:w="1676" w:type="dxa"/>
            <w:vAlign w:val="center"/>
          </w:tcPr>
          <w:p w14:paraId="4A8DEBC9">
            <w:pPr>
              <w:widowControl/>
              <w:spacing w:line="360" w:lineRule="auto"/>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5000≤Y＜40000</w:t>
            </w:r>
          </w:p>
        </w:tc>
        <w:tc>
          <w:tcPr>
            <w:tcW w:w="1618" w:type="dxa"/>
            <w:vAlign w:val="center"/>
          </w:tcPr>
          <w:p w14:paraId="536FCA57">
            <w:pPr>
              <w:widowControl/>
              <w:spacing w:line="360" w:lineRule="auto"/>
              <w:ind w:left="-1" w:leftChars="-1" w:hanging="1"/>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1000≤Y＜5000</w:t>
            </w:r>
          </w:p>
        </w:tc>
        <w:tc>
          <w:tcPr>
            <w:tcW w:w="852" w:type="dxa"/>
            <w:vAlign w:val="center"/>
          </w:tcPr>
          <w:p w14:paraId="11325044">
            <w:pPr>
              <w:widowControl/>
              <w:spacing w:line="360" w:lineRule="auto"/>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Y＜1000</w:t>
            </w:r>
          </w:p>
        </w:tc>
      </w:tr>
      <w:tr w14:paraId="7B189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951" w:type="dxa"/>
            <w:vMerge w:val="restart"/>
            <w:vAlign w:val="center"/>
          </w:tcPr>
          <w:p w14:paraId="0451DD49">
            <w:pPr>
              <w:widowControl/>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零售业</w:t>
            </w:r>
          </w:p>
        </w:tc>
        <w:tc>
          <w:tcPr>
            <w:tcW w:w="1531" w:type="dxa"/>
            <w:vAlign w:val="center"/>
          </w:tcPr>
          <w:p w14:paraId="226992B8">
            <w:pPr>
              <w:widowControl/>
              <w:spacing w:line="360" w:lineRule="auto"/>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993" w:type="dxa"/>
            <w:vAlign w:val="center"/>
          </w:tcPr>
          <w:p w14:paraId="2616B0B7">
            <w:pPr>
              <w:widowControl/>
              <w:spacing w:line="360" w:lineRule="auto"/>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118" w:type="dxa"/>
            <w:vAlign w:val="center"/>
          </w:tcPr>
          <w:p w14:paraId="29750EE1">
            <w:pPr>
              <w:widowControl/>
              <w:spacing w:line="360" w:lineRule="auto"/>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X≥300</w:t>
            </w:r>
          </w:p>
        </w:tc>
        <w:tc>
          <w:tcPr>
            <w:tcW w:w="1676" w:type="dxa"/>
            <w:vAlign w:val="center"/>
          </w:tcPr>
          <w:p w14:paraId="2BF63247">
            <w:pPr>
              <w:widowControl/>
              <w:spacing w:line="360" w:lineRule="auto"/>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50≤X＜300</w:t>
            </w:r>
          </w:p>
        </w:tc>
        <w:tc>
          <w:tcPr>
            <w:tcW w:w="1618" w:type="dxa"/>
            <w:vAlign w:val="center"/>
          </w:tcPr>
          <w:p w14:paraId="49ED8C04">
            <w:pPr>
              <w:widowControl/>
              <w:spacing w:line="360" w:lineRule="auto"/>
              <w:ind w:left="-1" w:leftChars="-1" w:hanging="1"/>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xml:space="preserve">10≤X＜50 </w:t>
            </w:r>
          </w:p>
        </w:tc>
        <w:tc>
          <w:tcPr>
            <w:tcW w:w="852" w:type="dxa"/>
            <w:vAlign w:val="center"/>
          </w:tcPr>
          <w:p w14:paraId="4552EF8E">
            <w:pPr>
              <w:widowControl/>
              <w:spacing w:line="360" w:lineRule="auto"/>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w:t>
            </w:r>
          </w:p>
        </w:tc>
      </w:tr>
      <w:tr w14:paraId="247A1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951" w:type="dxa"/>
            <w:vMerge w:val="continue"/>
            <w:vAlign w:val="center"/>
          </w:tcPr>
          <w:p w14:paraId="065F5D91">
            <w:pPr>
              <w:widowControl/>
              <w:spacing w:line="360" w:lineRule="auto"/>
              <w:jc w:val="left"/>
              <w:rPr>
                <w:rFonts w:hint="eastAsia" w:ascii="宋体" w:hAnsi="宋体" w:eastAsia="宋体" w:cs="宋体"/>
                <w:color w:val="auto"/>
                <w:kern w:val="0"/>
                <w:sz w:val="18"/>
                <w:szCs w:val="18"/>
                <w:highlight w:val="none"/>
              </w:rPr>
            </w:pPr>
          </w:p>
        </w:tc>
        <w:tc>
          <w:tcPr>
            <w:tcW w:w="1531" w:type="dxa"/>
            <w:vAlign w:val="center"/>
          </w:tcPr>
          <w:p w14:paraId="48E9C37B">
            <w:pPr>
              <w:widowControl/>
              <w:spacing w:line="360" w:lineRule="auto"/>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993" w:type="dxa"/>
            <w:vAlign w:val="center"/>
          </w:tcPr>
          <w:p w14:paraId="75234895">
            <w:pPr>
              <w:widowControl/>
              <w:spacing w:line="360" w:lineRule="auto"/>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118" w:type="dxa"/>
            <w:vAlign w:val="center"/>
          </w:tcPr>
          <w:p w14:paraId="3B7595DB">
            <w:pPr>
              <w:widowControl/>
              <w:spacing w:line="360" w:lineRule="auto"/>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Y≥20000</w:t>
            </w:r>
          </w:p>
        </w:tc>
        <w:tc>
          <w:tcPr>
            <w:tcW w:w="1676" w:type="dxa"/>
            <w:vAlign w:val="center"/>
          </w:tcPr>
          <w:p w14:paraId="2641CA5D">
            <w:pPr>
              <w:widowControl/>
              <w:spacing w:line="360" w:lineRule="auto"/>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500≤Y＜20000</w:t>
            </w:r>
          </w:p>
        </w:tc>
        <w:tc>
          <w:tcPr>
            <w:tcW w:w="1618" w:type="dxa"/>
            <w:vAlign w:val="center"/>
          </w:tcPr>
          <w:p w14:paraId="518E2A27">
            <w:pPr>
              <w:widowControl/>
              <w:spacing w:line="360" w:lineRule="auto"/>
              <w:ind w:left="-1" w:leftChars="-1" w:hanging="1"/>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100≤Y＜500</w:t>
            </w:r>
          </w:p>
        </w:tc>
        <w:tc>
          <w:tcPr>
            <w:tcW w:w="852" w:type="dxa"/>
            <w:vAlign w:val="center"/>
          </w:tcPr>
          <w:p w14:paraId="42B2FE50">
            <w:pPr>
              <w:widowControl/>
              <w:spacing w:line="360" w:lineRule="auto"/>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w:t>
            </w:r>
          </w:p>
        </w:tc>
      </w:tr>
      <w:tr w14:paraId="43E3D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951" w:type="dxa"/>
            <w:vMerge w:val="restart"/>
            <w:vAlign w:val="center"/>
          </w:tcPr>
          <w:p w14:paraId="4ECB0E9B">
            <w:pPr>
              <w:widowControl/>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交通运输业 *</w:t>
            </w:r>
          </w:p>
        </w:tc>
        <w:tc>
          <w:tcPr>
            <w:tcW w:w="1531" w:type="dxa"/>
            <w:vAlign w:val="center"/>
          </w:tcPr>
          <w:p w14:paraId="4E17ABB0">
            <w:pPr>
              <w:widowControl/>
              <w:spacing w:line="360" w:lineRule="auto"/>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993" w:type="dxa"/>
            <w:vAlign w:val="center"/>
          </w:tcPr>
          <w:p w14:paraId="48BCFA4E">
            <w:pPr>
              <w:widowControl/>
              <w:spacing w:line="360" w:lineRule="auto"/>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118" w:type="dxa"/>
            <w:vAlign w:val="center"/>
          </w:tcPr>
          <w:p w14:paraId="7AB8861A">
            <w:pPr>
              <w:widowControl/>
              <w:spacing w:line="360" w:lineRule="auto"/>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X≥1000</w:t>
            </w:r>
          </w:p>
        </w:tc>
        <w:tc>
          <w:tcPr>
            <w:tcW w:w="1676" w:type="dxa"/>
            <w:vAlign w:val="center"/>
          </w:tcPr>
          <w:p w14:paraId="6FE7FAD1">
            <w:pPr>
              <w:widowControl/>
              <w:spacing w:line="360" w:lineRule="auto"/>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300≤X＜1000</w:t>
            </w:r>
          </w:p>
        </w:tc>
        <w:tc>
          <w:tcPr>
            <w:tcW w:w="1618" w:type="dxa"/>
            <w:vAlign w:val="center"/>
          </w:tcPr>
          <w:p w14:paraId="4994746D">
            <w:pPr>
              <w:widowControl/>
              <w:spacing w:line="360" w:lineRule="auto"/>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20≤X＜300</w:t>
            </w:r>
          </w:p>
        </w:tc>
        <w:tc>
          <w:tcPr>
            <w:tcW w:w="852" w:type="dxa"/>
            <w:vAlign w:val="center"/>
          </w:tcPr>
          <w:p w14:paraId="1902292A">
            <w:pPr>
              <w:widowControl/>
              <w:spacing w:line="360" w:lineRule="auto"/>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X＜20</w:t>
            </w:r>
          </w:p>
        </w:tc>
      </w:tr>
      <w:tr w14:paraId="56ABF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951" w:type="dxa"/>
            <w:vMerge w:val="continue"/>
            <w:vAlign w:val="center"/>
          </w:tcPr>
          <w:p w14:paraId="3D0B8596">
            <w:pPr>
              <w:widowControl/>
              <w:spacing w:line="360" w:lineRule="auto"/>
              <w:jc w:val="left"/>
              <w:rPr>
                <w:rFonts w:hint="eastAsia" w:ascii="宋体" w:hAnsi="宋体" w:eastAsia="宋体" w:cs="宋体"/>
                <w:color w:val="auto"/>
                <w:kern w:val="0"/>
                <w:sz w:val="18"/>
                <w:szCs w:val="18"/>
                <w:highlight w:val="none"/>
              </w:rPr>
            </w:pPr>
          </w:p>
        </w:tc>
        <w:tc>
          <w:tcPr>
            <w:tcW w:w="1531" w:type="dxa"/>
            <w:vAlign w:val="center"/>
          </w:tcPr>
          <w:p w14:paraId="582FF9EC">
            <w:pPr>
              <w:widowControl/>
              <w:spacing w:line="360" w:lineRule="auto"/>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993" w:type="dxa"/>
            <w:vAlign w:val="center"/>
          </w:tcPr>
          <w:p w14:paraId="5EBD194F">
            <w:pPr>
              <w:widowControl/>
              <w:spacing w:line="360" w:lineRule="auto"/>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118" w:type="dxa"/>
            <w:vAlign w:val="center"/>
          </w:tcPr>
          <w:p w14:paraId="26A1E1D4">
            <w:pPr>
              <w:widowControl/>
              <w:spacing w:line="360" w:lineRule="auto"/>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Y≥30000</w:t>
            </w:r>
          </w:p>
        </w:tc>
        <w:tc>
          <w:tcPr>
            <w:tcW w:w="1676" w:type="dxa"/>
            <w:vAlign w:val="center"/>
          </w:tcPr>
          <w:p w14:paraId="4F0093E8">
            <w:pPr>
              <w:widowControl/>
              <w:spacing w:line="360" w:lineRule="auto"/>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3000≤Y＜30000</w:t>
            </w:r>
          </w:p>
        </w:tc>
        <w:tc>
          <w:tcPr>
            <w:tcW w:w="1618" w:type="dxa"/>
            <w:vAlign w:val="center"/>
          </w:tcPr>
          <w:p w14:paraId="2C7EE445">
            <w:pPr>
              <w:widowControl/>
              <w:spacing w:line="360" w:lineRule="auto"/>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200≤Y＜3000</w:t>
            </w:r>
          </w:p>
        </w:tc>
        <w:tc>
          <w:tcPr>
            <w:tcW w:w="852" w:type="dxa"/>
            <w:vAlign w:val="center"/>
          </w:tcPr>
          <w:p w14:paraId="4F04F6C2">
            <w:pPr>
              <w:widowControl/>
              <w:spacing w:line="360" w:lineRule="auto"/>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Y＜200</w:t>
            </w:r>
          </w:p>
        </w:tc>
      </w:tr>
      <w:tr w14:paraId="43DB7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951" w:type="dxa"/>
            <w:vMerge w:val="restart"/>
            <w:vAlign w:val="center"/>
          </w:tcPr>
          <w:p w14:paraId="1824B940">
            <w:pPr>
              <w:widowControl/>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仓储业*</w:t>
            </w:r>
          </w:p>
        </w:tc>
        <w:tc>
          <w:tcPr>
            <w:tcW w:w="1531" w:type="dxa"/>
            <w:vAlign w:val="center"/>
          </w:tcPr>
          <w:p w14:paraId="42B65790">
            <w:pPr>
              <w:widowControl/>
              <w:spacing w:line="360" w:lineRule="auto"/>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993" w:type="dxa"/>
            <w:vAlign w:val="center"/>
          </w:tcPr>
          <w:p w14:paraId="20653E58">
            <w:pPr>
              <w:widowControl/>
              <w:spacing w:line="360" w:lineRule="auto"/>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118" w:type="dxa"/>
            <w:vAlign w:val="center"/>
          </w:tcPr>
          <w:p w14:paraId="2697E7F5">
            <w:pPr>
              <w:widowControl/>
              <w:spacing w:line="360" w:lineRule="auto"/>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X≥200</w:t>
            </w:r>
          </w:p>
        </w:tc>
        <w:tc>
          <w:tcPr>
            <w:tcW w:w="1676" w:type="dxa"/>
            <w:vAlign w:val="center"/>
          </w:tcPr>
          <w:p w14:paraId="20E9897C">
            <w:pPr>
              <w:widowControl/>
              <w:spacing w:line="360" w:lineRule="auto"/>
              <w:ind w:left="1" w:leftChars="-51" w:hanging="108" w:hangingChars="60"/>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100≤X＜200</w:t>
            </w:r>
          </w:p>
        </w:tc>
        <w:tc>
          <w:tcPr>
            <w:tcW w:w="1618" w:type="dxa"/>
            <w:vAlign w:val="center"/>
          </w:tcPr>
          <w:p w14:paraId="3FEEC3CC">
            <w:pPr>
              <w:widowControl/>
              <w:spacing w:line="360" w:lineRule="auto"/>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20≤X＜100</w:t>
            </w:r>
          </w:p>
        </w:tc>
        <w:tc>
          <w:tcPr>
            <w:tcW w:w="852" w:type="dxa"/>
            <w:vAlign w:val="center"/>
          </w:tcPr>
          <w:p w14:paraId="231D7DA8">
            <w:pPr>
              <w:widowControl/>
              <w:spacing w:line="360" w:lineRule="auto"/>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X＜20</w:t>
            </w:r>
          </w:p>
        </w:tc>
      </w:tr>
      <w:tr w14:paraId="39D36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951" w:type="dxa"/>
            <w:vMerge w:val="continue"/>
            <w:vAlign w:val="center"/>
          </w:tcPr>
          <w:p w14:paraId="77D0A3CE">
            <w:pPr>
              <w:widowControl/>
              <w:spacing w:line="360" w:lineRule="auto"/>
              <w:jc w:val="left"/>
              <w:rPr>
                <w:rFonts w:hint="eastAsia" w:ascii="宋体" w:hAnsi="宋体" w:eastAsia="宋体" w:cs="宋体"/>
                <w:color w:val="auto"/>
                <w:kern w:val="0"/>
                <w:sz w:val="18"/>
                <w:szCs w:val="18"/>
                <w:highlight w:val="none"/>
              </w:rPr>
            </w:pPr>
          </w:p>
        </w:tc>
        <w:tc>
          <w:tcPr>
            <w:tcW w:w="1531" w:type="dxa"/>
            <w:vAlign w:val="center"/>
          </w:tcPr>
          <w:p w14:paraId="083F123E">
            <w:pPr>
              <w:widowControl/>
              <w:spacing w:line="360" w:lineRule="auto"/>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993" w:type="dxa"/>
            <w:vAlign w:val="center"/>
          </w:tcPr>
          <w:p w14:paraId="57BBC091">
            <w:pPr>
              <w:widowControl/>
              <w:spacing w:line="360" w:lineRule="auto"/>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118" w:type="dxa"/>
            <w:vAlign w:val="center"/>
          </w:tcPr>
          <w:p w14:paraId="7DFACF9B">
            <w:pPr>
              <w:widowControl/>
              <w:spacing w:line="360" w:lineRule="auto"/>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Y≥30000</w:t>
            </w:r>
          </w:p>
        </w:tc>
        <w:tc>
          <w:tcPr>
            <w:tcW w:w="1676" w:type="dxa"/>
            <w:vAlign w:val="center"/>
          </w:tcPr>
          <w:p w14:paraId="2BFE1692">
            <w:pPr>
              <w:widowControl/>
              <w:spacing w:line="360" w:lineRule="auto"/>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1000≤Y＜30000</w:t>
            </w:r>
          </w:p>
        </w:tc>
        <w:tc>
          <w:tcPr>
            <w:tcW w:w="1618" w:type="dxa"/>
            <w:vAlign w:val="center"/>
          </w:tcPr>
          <w:p w14:paraId="2281303B">
            <w:pPr>
              <w:widowControl/>
              <w:spacing w:line="360" w:lineRule="auto"/>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100≤Y＜1000</w:t>
            </w:r>
          </w:p>
        </w:tc>
        <w:tc>
          <w:tcPr>
            <w:tcW w:w="852" w:type="dxa"/>
            <w:vAlign w:val="center"/>
          </w:tcPr>
          <w:p w14:paraId="0BEEA3D6">
            <w:pPr>
              <w:widowControl/>
              <w:spacing w:line="360" w:lineRule="auto"/>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w:t>
            </w:r>
          </w:p>
        </w:tc>
      </w:tr>
      <w:tr w14:paraId="44F70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951" w:type="dxa"/>
            <w:vMerge w:val="restart"/>
            <w:vAlign w:val="center"/>
          </w:tcPr>
          <w:p w14:paraId="701FC07D">
            <w:pPr>
              <w:widowControl/>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邮政业</w:t>
            </w:r>
          </w:p>
        </w:tc>
        <w:tc>
          <w:tcPr>
            <w:tcW w:w="1531" w:type="dxa"/>
            <w:vAlign w:val="center"/>
          </w:tcPr>
          <w:p w14:paraId="41DD4E1B">
            <w:pPr>
              <w:widowControl/>
              <w:spacing w:line="360" w:lineRule="auto"/>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993" w:type="dxa"/>
            <w:vAlign w:val="center"/>
          </w:tcPr>
          <w:p w14:paraId="7A607FBA">
            <w:pPr>
              <w:widowControl/>
              <w:spacing w:line="360" w:lineRule="auto"/>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118" w:type="dxa"/>
            <w:vAlign w:val="center"/>
          </w:tcPr>
          <w:p w14:paraId="258FF227">
            <w:pPr>
              <w:widowControl/>
              <w:spacing w:line="360" w:lineRule="auto"/>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X≥1000</w:t>
            </w:r>
          </w:p>
        </w:tc>
        <w:tc>
          <w:tcPr>
            <w:tcW w:w="1676" w:type="dxa"/>
            <w:vAlign w:val="center"/>
          </w:tcPr>
          <w:p w14:paraId="488F34D1">
            <w:pPr>
              <w:widowControl/>
              <w:spacing w:line="360" w:lineRule="auto"/>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300≤X＜1000</w:t>
            </w:r>
          </w:p>
        </w:tc>
        <w:tc>
          <w:tcPr>
            <w:tcW w:w="1618" w:type="dxa"/>
            <w:vAlign w:val="center"/>
          </w:tcPr>
          <w:p w14:paraId="1E21FB36">
            <w:pPr>
              <w:widowControl/>
              <w:spacing w:line="360" w:lineRule="auto"/>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20≤X＜300</w:t>
            </w:r>
          </w:p>
        </w:tc>
        <w:tc>
          <w:tcPr>
            <w:tcW w:w="852" w:type="dxa"/>
            <w:vAlign w:val="center"/>
          </w:tcPr>
          <w:p w14:paraId="00D46F00">
            <w:pPr>
              <w:widowControl/>
              <w:spacing w:line="360" w:lineRule="auto"/>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X＜20</w:t>
            </w:r>
          </w:p>
        </w:tc>
      </w:tr>
      <w:tr w14:paraId="3B112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951" w:type="dxa"/>
            <w:vMerge w:val="continue"/>
            <w:vAlign w:val="center"/>
          </w:tcPr>
          <w:p w14:paraId="093390ED">
            <w:pPr>
              <w:widowControl/>
              <w:spacing w:line="360" w:lineRule="auto"/>
              <w:jc w:val="left"/>
              <w:rPr>
                <w:rFonts w:hint="eastAsia" w:ascii="宋体" w:hAnsi="宋体" w:eastAsia="宋体" w:cs="宋体"/>
                <w:color w:val="auto"/>
                <w:kern w:val="0"/>
                <w:sz w:val="18"/>
                <w:szCs w:val="18"/>
                <w:highlight w:val="none"/>
              </w:rPr>
            </w:pPr>
          </w:p>
        </w:tc>
        <w:tc>
          <w:tcPr>
            <w:tcW w:w="1531" w:type="dxa"/>
            <w:vAlign w:val="center"/>
          </w:tcPr>
          <w:p w14:paraId="14A02B06">
            <w:pPr>
              <w:widowControl/>
              <w:spacing w:line="360" w:lineRule="auto"/>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993" w:type="dxa"/>
            <w:vAlign w:val="center"/>
          </w:tcPr>
          <w:p w14:paraId="54E8FFDB">
            <w:pPr>
              <w:widowControl/>
              <w:spacing w:line="360" w:lineRule="auto"/>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118" w:type="dxa"/>
            <w:vAlign w:val="center"/>
          </w:tcPr>
          <w:p w14:paraId="5773839B">
            <w:pPr>
              <w:widowControl/>
              <w:spacing w:line="360" w:lineRule="auto"/>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Y≥30000</w:t>
            </w:r>
          </w:p>
        </w:tc>
        <w:tc>
          <w:tcPr>
            <w:tcW w:w="1676" w:type="dxa"/>
            <w:vAlign w:val="center"/>
          </w:tcPr>
          <w:p w14:paraId="7F2AE630">
            <w:pPr>
              <w:widowControl/>
              <w:spacing w:line="360" w:lineRule="auto"/>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2000≤Y＜30000</w:t>
            </w:r>
          </w:p>
        </w:tc>
        <w:tc>
          <w:tcPr>
            <w:tcW w:w="1618" w:type="dxa"/>
            <w:vAlign w:val="center"/>
          </w:tcPr>
          <w:p w14:paraId="26A6EF8C">
            <w:pPr>
              <w:widowControl/>
              <w:spacing w:line="360" w:lineRule="auto"/>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100≤Y＜2000</w:t>
            </w:r>
          </w:p>
        </w:tc>
        <w:tc>
          <w:tcPr>
            <w:tcW w:w="852" w:type="dxa"/>
            <w:vAlign w:val="center"/>
          </w:tcPr>
          <w:p w14:paraId="1ABD2A62">
            <w:pPr>
              <w:widowControl/>
              <w:spacing w:line="360" w:lineRule="auto"/>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w:t>
            </w:r>
          </w:p>
        </w:tc>
      </w:tr>
      <w:tr w14:paraId="156B5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951" w:type="dxa"/>
            <w:vMerge w:val="restart"/>
            <w:vAlign w:val="center"/>
          </w:tcPr>
          <w:p w14:paraId="4469C4E0">
            <w:pPr>
              <w:widowControl/>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住宿业</w:t>
            </w:r>
          </w:p>
        </w:tc>
        <w:tc>
          <w:tcPr>
            <w:tcW w:w="1531" w:type="dxa"/>
            <w:vAlign w:val="center"/>
          </w:tcPr>
          <w:p w14:paraId="70E56A72">
            <w:pPr>
              <w:widowControl/>
              <w:spacing w:line="360" w:lineRule="auto"/>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993" w:type="dxa"/>
            <w:vAlign w:val="center"/>
          </w:tcPr>
          <w:p w14:paraId="2054EAFA">
            <w:pPr>
              <w:widowControl/>
              <w:spacing w:line="360" w:lineRule="auto"/>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118" w:type="dxa"/>
            <w:vAlign w:val="center"/>
          </w:tcPr>
          <w:p w14:paraId="269B1D03">
            <w:pPr>
              <w:widowControl/>
              <w:spacing w:line="360" w:lineRule="auto"/>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X≥300</w:t>
            </w:r>
          </w:p>
        </w:tc>
        <w:tc>
          <w:tcPr>
            <w:tcW w:w="1676" w:type="dxa"/>
            <w:vAlign w:val="center"/>
          </w:tcPr>
          <w:p w14:paraId="03DD3220">
            <w:pPr>
              <w:widowControl/>
              <w:spacing w:line="360" w:lineRule="auto"/>
              <w:ind w:left="1" w:leftChars="-51" w:hanging="108" w:hangingChars="60"/>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100≤X＜300</w:t>
            </w:r>
          </w:p>
        </w:tc>
        <w:tc>
          <w:tcPr>
            <w:tcW w:w="1618" w:type="dxa"/>
            <w:vAlign w:val="center"/>
          </w:tcPr>
          <w:p w14:paraId="6628AF8B">
            <w:pPr>
              <w:widowControl/>
              <w:spacing w:line="360" w:lineRule="auto"/>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10≤X＜100</w:t>
            </w:r>
          </w:p>
        </w:tc>
        <w:tc>
          <w:tcPr>
            <w:tcW w:w="852" w:type="dxa"/>
            <w:vAlign w:val="center"/>
          </w:tcPr>
          <w:p w14:paraId="4A6A0EEE">
            <w:pPr>
              <w:widowControl/>
              <w:spacing w:line="360" w:lineRule="auto"/>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w:t>
            </w:r>
          </w:p>
        </w:tc>
      </w:tr>
      <w:tr w14:paraId="2B8A2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951" w:type="dxa"/>
            <w:vMerge w:val="continue"/>
            <w:vAlign w:val="center"/>
          </w:tcPr>
          <w:p w14:paraId="41A6245F">
            <w:pPr>
              <w:widowControl/>
              <w:spacing w:line="360" w:lineRule="auto"/>
              <w:jc w:val="left"/>
              <w:rPr>
                <w:rFonts w:hint="eastAsia" w:ascii="宋体" w:hAnsi="宋体" w:eastAsia="宋体" w:cs="宋体"/>
                <w:color w:val="auto"/>
                <w:kern w:val="0"/>
                <w:sz w:val="18"/>
                <w:szCs w:val="18"/>
                <w:highlight w:val="none"/>
              </w:rPr>
            </w:pPr>
          </w:p>
        </w:tc>
        <w:tc>
          <w:tcPr>
            <w:tcW w:w="1531" w:type="dxa"/>
            <w:vAlign w:val="center"/>
          </w:tcPr>
          <w:p w14:paraId="3037E2D4">
            <w:pPr>
              <w:widowControl/>
              <w:spacing w:line="360" w:lineRule="auto"/>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993" w:type="dxa"/>
            <w:vAlign w:val="center"/>
          </w:tcPr>
          <w:p w14:paraId="4B975946">
            <w:pPr>
              <w:widowControl/>
              <w:spacing w:line="360" w:lineRule="auto"/>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118" w:type="dxa"/>
            <w:vAlign w:val="center"/>
          </w:tcPr>
          <w:p w14:paraId="4D411DF9">
            <w:pPr>
              <w:widowControl/>
              <w:spacing w:line="360" w:lineRule="auto"/>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Y≥10000</w:t>
            </w:r>
          </w:p>
        </w:tc>
        <w:tc>
          <w:tcPr>
            <w:tcW w:w="1676" w:type="dxa"/>
            <w:vAlign w:val="center"/>
          </w:tcPr>
          <w:p w14:paraId="0EE7D27E">
            <w:pPr>
              <w:widowControl/>
              <w:spacing w:line="360" w:lineRule="auto"/>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2000≤Y＜10000</w:t>
            </w:r>
          </w:p>
        </w:tc>
        <w:tc>
          <w:tcPr>
            <w:tcW w:w="1618" w:type="dxa"/>
            <w:vAlign w:val="center"/>
          </w:tcPr>
          <w:p w14:paraId="67B58EF3">
            <w:pPr>
              <w:widowControl/>
              <w:spacing w:line="360" w:lineRule="auto"/>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100≤Y＜2000</w:t>
            </w:r>
          </w:p>
        </w:tc>
        <w:tc>
          <w:tcPr>
            <w:tcW w:w="852" w:type="dxa"/>
            <w:vAlign w:val="center"/>
          </w:tcPr>
          <w:p w14:paraId="2B3D4A84">
            <w:pPr>
              <w:widowControl/>
              <w:spacing w:line="360" w:lineRule="auto"/>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w:t>
            </w:r>
          </w:p>
        </w:tc>
      </w:tr>
      <w:tr w14:paraId="2F77E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951" w:type="dxa"/>
            <w:vMerge w:val="restart"/>
            <w:vAlign w:val="center"/>
          </w:tcPr>
          <w:p w14:paraId="57C5498A">
            <w:pPr>
              <w:widowControl/>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餐饮业</w:t>
            </w:r>
          </w:p>
        </w:tc>
        <w:tc>
          <w:tcPr>
            <w:tcW w:w="1531" w:type="dxa"/>
            <w:vAlign w:val="center"/>
          </w:tcPr>
          <w:p w14:paraId="5D2D1C18">
            <w:pPr>
              <w:widowControl/>
              <w:spacing w:line="360" w:lineRule="auto"/>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993" w:type="dxa"/>
            <w:vAlign w:val="center"/>
          </w:tcPr>
          <w:p w14:paraId="1EC94937">
            <w:pPr>
              <w:widowControl/>
              <w:spacing w:line="360" w:lineRule="auto"/>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118" w:type="dxa"/>
            <w:vAlign w:val="center"/>
          </w:tcPr>
          <w:p w14:paraId="0F1F63BC">
            <w:pPr>
              <w:widowControl/>
              <w:spacing w:line="360" w:lineRule="auto"/>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X≥300</w:t>
            </w:r>
          </w:p>
        </w:tc>
        <w:tc>
          <w:tcPr>
            <w:tcW w:w="1676" w:type="dxa"/>
            <w:vAlign w:val="center"/>
          </w:tcPr>
          <w:p w14:paraId="44D68E30">
            <w:pPr>
              <w:widowControl/>
              <w:spacing w:line="360" w:lineRule="auto"/>
              <w:ind w:left="1" w:leftChars="-51" w:hanging="108" w:hangingChars="60"/>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xml:space="preserve">100≤X＜300 </w:t>
            </w:r>
          </w:p>
        </w:tc>
        <w:tc>
          <w:tcPr>
            <w:tcW w:w="1618" w:type="dxa"/>
            <w:vAlign w:val="center"/>
          </w:tcPr>
          <w:p w14:paraId="11016349">
            <w:pPr>
              <w:widowControl/>
              <w:spacing w:line="360" w:lineRule="auto"/>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10≤X＜100</w:t>
            </w:r>
          </w:p>
        </w:tc>
        <w:tc>
          <w:tcPr>
            <w:tcW w:w="852" w:type="dxa"/>
            <w:vAlign w:val="center"/>
          </w:tcPr>
          <w:p w14:paraId="33603C76">
            <w:pPr>
              <w:widowControl/>
              <w:spacing w:line="360" w:lineRule="auto"/>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w:t>
            </w:r>
          </w:p>
        </w:tc>
      </w:tr>
      <w:tr w14:paraId="2F17E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951" w:type="dxa"/>
            <w:vMerge w:val="continue"/>
            <w:vAlign w:val="center"/>
          </w:tcPr>
          <w:p w14:paraId="17A31B72">
            <w:pPr>
              <w:widowControl/>
              <w:spacing w:line="360" w:lineRule="auto"/>
              <w:jc w:val="left"/>
              <w:rPr>
                <w:rFonts w:hint="eastAsia" w:ascii="宋体" w:hAnsi="宋体" w:eastAsia="宋体" w:cs="宋体"/>
                <w:color w:val="auto"/>
                <w:kern w:val="0"/>
                <w:sz w:val="18"/>
                <w:szCs w:val="18"/>
                <w:highlight w:val="none"/>
              </w:rPr>
            </w:pPr>
          </w:p>
        </w:tc>
        <w:tc>
          <w:tcPr>
            <w:tcW w:w="1531" w:type="dxa"/>
            <w:vAlign w:val="center"/>
          </w:tcPr>
          <w:p w14:paraId="34992EA9">
            <w:pPr>
              <w:widowControl/>
              <w:spacing w:line="360" w:lineRule="auto"/>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993" w:type="dxa"/>
            <w:vAlign w:val="center"/>
          </w:tcPr>
          <w:p w14:paraId="79CEA7B2">
            <w:pPr>
              <w:widowControl/>
              <w:spacing w:line="360" w:lineRule="auto"/>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118" w:type="dxa"/>
            <w:vAlign w:val="center"/>
          </w:tcPr>
          <w:p w14:paraId="18A1883E">
            <w:pPr>
              <w:widowControl/>
              <w:spacing w:line="360" w:lineRule="auto"/>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Y≥10000</w:t>
            </w:r>
          </w:p>
        </w:tc>
        <w:tc>
          <w:tcPr>
            <w:tcW w:w="1676" w:type="dxa"/>
            <w:vAlign w:val="center"/>
          </w:tcPr>
          <w:p w14:paraId="42D0460C">
            <w:pPr>
              <w:widowControl/>
              <w:spacing w:line="360" w:lineRule="auto"/>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2000≤Y＜10000</w:t>
            </w:r>
          </w:p>
        </w:tc>
        <w:tc>
          <w:tcPr>
            <w:tcW w:w="1618" w:type="dxa"/>
            <w:vAlign w:val="center"/>
          </w:tcPr>
          <w:p w14:paraId="3AFEAFA8">
            <w:pPr>
              <w:widowControl/>
              <w:spacing w:line="360" w:lineRule="auto"/>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100≤Y＜2000</w:t>
            </w:r>
          </w:p>
        </w:tc>
        <w:tc>
          <w:tcPr>
            <w:tcW w:w="852" w:type="dxa"/>
            <w:vAlign w:val="center"/>
          </w:tcPr>
          <w:p w14:paraId="3E29BD5C">
            <w:pPr>
              <w:widowControl/>
              <w:spacing w:line="360" w:lineRule="auto"/>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w:t>
            </w:r>
          </w:p>
        </w:tc>
      </w:tr>
      <w:tr w14:paraId="414EE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951" w:type="dxa"/>
            <w:vMerge w:val="restart"/>
            <w:vAlign w:val="center"/>
          </w:tcPr>
          <w:p w14:paraId="1D52312D">
            <w:pPr>
              <w:widowControl/>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信息传输业 *</w:t>
            </w:r>
          </w:p>
        </w:tc>
        <w:tc>
          <w:tcPr>
            <w:tcW w:w="1531" w:type="dxa"/>
            <w:vAlign w:val="center"/>
          </w:tcPr>
          <w:p w14:paraId="6DC3DF51">
            <w:pPr>
              <w:widowControl/>
              <w:spacing w:line="360" w:lineRule="auto"/>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993" w:type="dxa"/>
            <w:vAlign w:val="center"/>
          </w:tcPr>
          <w:p w14:paraId="2319CE4E">
            <w:pPr>
              <w:widowControl/>
              <w:spacing w:line="360" w:lineRule="auto"/>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118" w:type="dxa"/>
            <w:vAlign w:val="center"/>
          </w:tcPr>
          <w:p w14:paraId="44AD5357">
            <w:pPr>
              <w:widowControl/>
              <w:spacing w:line="360" w:lineRule="auto"/>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X≥2000</w:t>
            </w:r>
          </w:p>
        </w:tc>
        <w:tc>
          <w:tcPr>
            <w:tcW w:w="1676" w:type="dxa"/>
            <w:vAlign w:val="center"/>
          </w:tcPr>
          <w:p w14:paraId="1E93F776">
            <w:pPr>
              <w:widowControl/>
              <w:spacing w:line="360" w:lineRule="auto"/>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100≤X＜2000</w:t>
            </w:r>
          </w:p>
        </w:tc>
        <w:tc>
          <w:tcPr>
            <w:tcW w:w="1618" w:type="dxa"/>
            <w:vAlign w:val="center"/>
          </w:tcPr>
          <w:p w14:paraId="5E22F886">
            <w:pPr>
              <w:widowControl/>
              <w:spacing w:line="360" w:lineRule="auto"/>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10≤X＜100</w:t>
            </w:r>
          </w:p>
        </w:tc>
        <w:tc>
          <w:tcPr>
            <w:tcW w:w="852" w:type="dxa"/>
            <w:vAlign w:val="center"/>
          </w:tcPr>
          <w:p w14:paraId="5F5480B4">
            <w:pPr>
              <w:widowControl/>
              <w:spacing w:line="360" w:lineRule="auto"/>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w:t>
            </w:r>
          </w:p>
        </w:tc>
      </w:tr>
      <w:tr w14:paraId="22D53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951" w:type="dxa"/>
            <w:vMerge w:val="continue"/>
            <w:vAlign w:val="center"/>
          </w:tcPr>
          <w:p w14:paraId="3F122A84">
            <w:pPr>
              <w:widowControl/>
              <w:spacing w:line="360" w:lineRule="auto"/>
              <w:jc w:val="left"/>
              <w:rPr>
                <w:rFonts w:hint="eastAsia" w:ascii="宋体" w:hAnsi="宋体" w:eastAsia="宋体" w:cs="宋体"/>
                <w:color w:val="auto"/>
                <w:kern w:val="0"/>
                <w:sz w:val="18"/>
                <w:szCs w:val="18"/>
                <w:highlight w:val="none"/>
              </w:rPr>
            </w:pPr>
          </w:p>
        </w:tc>
        <w:tc>
          <w:tcPr>
            <w:tcW w:w="1531" w:type="dxa"/>
            <w:vAlign w:val="center"/>
          </w:tcPr>
          <w:p w14:paraId="6A6AAC49">
            <w:pPr>
              <w:widowControl/>
              <w:spacing w:line="360" w:lineRule="auto"/>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993" w:type="dxa"/>
            <w:vAlign w:val="center"/>
          </w:tcPr>
          <w:p w14:paraId="5EAE9F9E">
            <w:pPr>
              <w:widowControl/>
              <w:spacing w:line="360" w:lineRule="auto"/>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118" w:type="dxa"/>
            <w:vAlign w:val="center"/>
          </w:tcPr>
          <w:p w14:paraId="0C4DD2AD">
            <w:pPr>
              <w:widowControl/>
              <w:spacing w:line="360" w:lineRule="auto"/>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Y≥100000</w:t>
            </w:r>
          </w:p>
        </w:tc>
        <w:tc>
          <w:tcPr>
            <w:tcW w:w="1676" w:type="dxa"/>
            <w:vAlign w:val="center"/>
          </w:tcPr>
          <w:p w14:paraId="4C410665">
            <w:pPr>
              <w:widowControl/>
              <w:spacing w:line="360" w:lineRule="auto"/>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1000≤Y＜100000</w:t>
            </w:r>
          </w:p>
        </w:tc>
        <w:tc>
          <w:tcPr>
            <w:tcW w:w="1618" w:type="dxa"/>
            <w:vAlign w:val="center"/>
          </w:tcPr>
          <w:p w14:paraId="57FB68E4">
            <w:pPr>
              <w:widowControl/>
              <w:spacing w:line="360" w:lineRule="auto"/>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100≤Y＜1000</w:t>
            </w:r>
          </w:p>
        </w:tc>
        <w:tc>
          <w:tcPr>
            <w:tcW w:w="852" w:type="dxa"/>
            <w:vAlign w:val="center"/>
          </w:tcPr>
          <w:p w14:paraId="11837DEC">
            <w:pPr>
              <w:widowControl/>
              <w:spacing w:line="360" w:lineRule="auto"/>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w:t>
            </w:r>
          </w:p>
        </w:tc>
      </w:tr>
      <w:tr w14:paraId="4DF33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951" w:type="dxa"/>
            <w:vMerge w:val="restart"/>
            <w:vAlign w:val="center"/>
          </w:tcPr>
          <w:p w14:paraId="5004FE47">
            <w:pPr>
              <w:widowControl/>
              <w:spacing w:line="360" w:lineRule="auto"/>
              <w:jc w:val="left"/>
              <w:rPr>
                <w:rFonts w:hint="eastAsia" w:ascii="宋体" w:hAnsi="宋体" w:eastAsia="宋体" w:cs="宋体"/>
                <w:color w:val="auto"/>
                <w:spacing w:val="-12"/>
                <w:kern w:val="0"/>
                <w:sz w:val="18"/>
                <w:szCs w:val="18"/>
                <w:highlight w:val="none"/>
              </w:rPr>
            </w:pPr>
            <w:r>
              <w:rPr>
                <w:rFonts w:hint="eastAsia" w:ascii="宋体" w:hAnsi="宋体" w:eastAsia="宋体" w:cs="宋体"/>
                <w:color w:val="auto"/>
                <w:spacing w:val="-12"/>
                <w:kern w:val="0"/>
                <w:sz w:val="18"/>
                <w:szCs w:val="18"/>
                <w:highlight w:val="none"/>
              </w:rPr>
              <w:t>软件和信息技术服</w:t>
            </w:r>
            <w:r>
              <w:rPr>
                <w:rFonts w:hint="eastAsia" w:ascii="宋体" w:hAnsi="宋体" w:eastAsia="宋体" w:cs="宋体"/>
                <w:color w:val="auto"/>
                <w:kern w:val="0"/>
                <w:sz w:val="18"/>
                <w:szCs w:val="18"/>
                <w:highlight w:val="none"/>
              </w:rPr>
              <w:t>务业</w:t>
            </w:r>
          </w:p>
        </w:tc>
        <w:tc>
          <w:tcPr>
            <w:tcW w:w="1531" w:type="dxa"/>
            <w:vAlign w:val="center"/>
          </w:tcPr>
          <w:p w14:paraId="5126C454">
            <w:pPr>
              <w:widowControl/>
              <w:spacing w:line="360" w:lineRule="auto"/>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993" w:type="dxa"/>
            <w:vAlign w:val="center"/>
          </w:tcPr>
          <w:p w14:paraId="10709118">
            <w:pPr>
              <w:widowControl/>
              <w:spacing w:line="360" w:lineRule="auto"/>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118" w:type="dxa"/>
            <w:vAlign w:val="center"/>
          </w:tcPr>
          <w:p w14:paraId="5977D1CF">
            <w:pPr>
              <w:widowControl/>
              <w:spacing w:line="360" w:lineRule="auto"/>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X≥300</w:t>
            </w:r>
          </w:p>
        </w:tc>
        <w:tc>
          <w:tcPr>
            <w:tcW w:w="1676" w:type="dxa"/>
            <w:vAlign w:val="center"/>
          </w:tcPr>
          <w:p w14:paraId="01D9F25A">
            <w:pPr>
              <w:widowControl/>
              <w:spacing w:line="360" w:lineRule="auto"/>
              <w:ind w:left="1" w:leftChars="-51" w:hanging="108" w:hangingChars="60"/>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xml:space="preserve">100≤X＜300 </w:t>
            </w:r>
          </w:p>
        </w:tc>
        <w:tc>
          <w:tcPr>
            <w:tcW w:w="1618" w:type="dxa"/>
            <w:vAlign w:val="center"/>
          </w:tcPr>
          <w:p w14:paraId="77D1E36F">
            <w:pPr>
              <w:widowControl/>
              <w:spacing w:line="360" w:lineRule="auto"/>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10≤X＜100</w:t>
            </w:r>
          </w:p>
        </w:tc>
        <w:tc>
          <w:tcPr>
            <w:tcW w:w="852" w:type="dxa"/>
            <w:vAlign w:val="center"/>
          </w:tcPr>
          <w:p w14:paraId="60C49F8A">
            <w:pPr>
              <w:widowControl/>
              <w:spacing w:line="360" w:lineRule="auto"/>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w:t>
            </w:r>
          </w:p>
        </w:tc>
      </w:tr>
      <w:tr w14:paraId="186EB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951" w:type="dxa"/>
            <w:vMerge w:val="continue"/>
            <w:vAlign w:val="center"/>
          </w:tcPr>
          <w:p w14:paraId="5F7E2030">
            <w:pPr>
              <w:widowControl/>
              <w:spacing w:line="360" w:lineRule="auto"/>
              <w:jc w:val="left"/>
              <w:rPr>
                <w:rFonts w:hint="eastAsia" w:ascii="宋体" w:hAnsi="宋体" w:eastAsia="宋体" w:cs="宋体"/>
                <w:color w:val="auto"/>
                <w:spacing w:val="-12"/>
                <w:kern w:val="0"/>
                <w:sz w:val="18"/>
                <w:szCs w:val="18"/>
                <w:highlight w:val="none"/>
              </w:rPr>
            </w:pPr>
          </w:p>
        </w:tc>
        <w:tc>
          <w:tcPr>
            <w:tcW w:w="1531" w:type="dxa"/>
            <w:vAlign w:val="center"/>
          </w:tcPr>
          <w:p w14:paraId="447821A2">
            <w:pPr>
              <w:widowControl/>
              <w:spacing w:line="360" w:lineRule="auto"/>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993" w:type="dxa"/>
            <w:vAlign w:val="center"/>
          </w:tcPr>
          <w:p w14:paraId="0A04187F">
            <w:pPr>
              <w:widowControl/>
              <w:spacing w:line="360" w:lineRule="auto"/>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118" w:type="dxa"/>
            <w:vAlign w:val="center"/>
          </w:tcPr>
          <w:p w14:paraId="1B4DDE94">
            <w:pPr>
              <w:widowControl/>
              <w:spacing w:line="360" w:lineRule="auto"/>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Y≥10000</w:t>
            </w:r>
          </w:p>
        </w:tc>
        <w:tc>
          <w:tcPr>
            <w:tcW w:w="1676" w:type="dxa"/>
            <w:vAlign w:val="center"/>
          </w:tcPr>
          <w:p w14:paraId="45AB6281">
            <w:pPr>
              <w:widowControl/>
              <w:spacing w:line="360" w:lineRule="auto"/>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1000≤Y＜10000</w:t>
            </w:r>
          </w:p>
        </w:tc>
        <w:tc>
          <w:tcPr>
            <w:tcW w:w="1618" w:type="dxa"/>
            <w:vAlign w:val="center"/>
          </w:tcPr>
          <w:p w14:paraId="64F4843C">
            <w:pPr>
              <w:widowControl/>
              <w:spacing w:line="360" w:lineRule="auto"/>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50≤Y＜1000</w:t>
            </w:r>
          </w:p>
        </w:tc>
        <w:tc>
          <w:tcPr>
            <w:tcW w:w="852" w:type="dxa"/>
            <w:vAlign w:val="center"/>
          </w:tcPr>
          <w:p w14:paraId="210F6B58">
            <w:pPr>
              <w:widowControl/>
              <w:spacing w:line="360" w:lineRule="auto"/>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Y＜50</w:t>
            </w:r>
          </w:p>
        </w:tc>
      </w:tr>
      <w:tr w14:paraId="37E9C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951" w:type="dxa"/>
            <w:vMerge w:val="restart"/>
            <w:vAlign w:val="center"/>
          </w:tcPr>
          <w:p w14:paraId="373FC859">
            <w:pPr>
              <w:widowControl/>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房地产开发经营</w:t>
            </w:r>
          </w:p>
        </w:tc>
        <w:tc>
          <w:tcPr>
            <w:tcW w:w="1531" w:type="dxa"/>
            <w:vAlign w:val="center"/>
          </w:tcPr>
          <w:p w14:paraId="32BBD7DE">
            <w:pPr>
              <w:widowControl/>
              <w:spacing w:line="360" w:lineRule="auto"/>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993" w:type="dxa"/>
            <w:vAlign w:val="center"/>
          </w:tcPr>
          <w:p w14:paraId="0601339F">
            <w:pPr>
              <w:widowControl/>
              <w:spacing w:line="360" w:lineRule="auto"/>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118" w:type="dxa"/>
            <w:vAlign w:val="center"/>
          </w:tcPr>
          <w:p w14:paraId="63608DE7">
            <w:pPr>
              <w:widowControl/>
              <w:spacing w:line="360" w:lineRule="auto"/>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Y≥200000</w:t>
            </w:r>
          </w:p>
        </w:tc>
        <w:tc>
          <w:tcPr>
            <w:tcW w:w="1676" w:type="dxa"/>
            <w:vAlign w:val="center"/>
          </w:tcPr>
          <w:p w14:paraId="52ADBBFE">
            <w:pPr>
              <w:widowControl/>
              <w:spacing w:line="360" w:lineRule="auto"/>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1000≤Y＜200000</w:t>
            </w:r>
          </w:p>
        </w:tc>
        <w:tc>
          <w:tcPr>
            <w:tcW w:w="1618" w:type="dxa"/>
            <w:vAlign w:val="center"/>
          </w:tcPr>
          <w:p w14:paraId="7F6EC750">
            <w:pPr>
              <w:widowControl/>
              <w:spacing w:line="360" w:lineRule="auto"/>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100≤Y＜1000</w:t>
            </w:r>
          </w:p>
        </w:tc>
        <w:tc>
          <w:tcPr>
            <w:tcW w:w="852" w:type="dxa"/>
            <w:vAlign w:val="center"/>
          </w:tcPr>
          <w:p w14:paraId="50FB8602">
            <w:pPr>
              <w:widowControl/>
              <w:spacing w:line="360" w:lineRule="auto"/>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w:t>
            </w:r>
          </w:p>
        </w:tc>
      </w:tr>
      <w:tr w14:paraId="57F80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951" w:type="dxa"/>
            <w:vMerge w:val="continue"/>
            <w:vAlign w:val="center"/>
          </w:tcPr>
          <w:p w14:paraId="136C4487">
            <w:pPr>
              <w:widowControl/>
              <w:spacing w:line="360" w:lineRule="auto"/>
              <w:jc w:val="left"/>
              <w:rPr>
                <w:rFonts w:hint="eastAsia" w:ascii="宋体" w:hAnsi="宋体" w:eastAsia="宋体" w:cs="宋体"/>
                <w:color w:val="auto"/>
                <w:kern w:val="0"/>
                <w:sz w:val="18"/>
                <w:szCs w:val="18"/>
                <w:highlight w:val="none"/>
              </w:rPr>
            </w:pPr>
          </w:p>
        </w:tc>
        <w:tc>
          <w:tcPr>
            <w:tcW w:w="1531" w:type="dxa"/>
            <w:vAlign w:val="center"/>
          </w:tcPr>
          <w:p w14:paraId="2390DF77">
            <w:pPr>
              <w:widowControl/>
              <w:spacing w:line="360" w:lineRule="auto"/>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资产总额(Z)</w:t>
            </w:r>
          </w:p>
        </w:tc>
        <w:tc>
          <w:tcPr>
            <w:tcW w:w="993" w:type="dxa"/>
            <w:vAlign w:val="center"/>
          </w:tcPr>
          <w:p w14:paraId="3E075E32">
            <w:pPr>
              <w:widowControl/>
              <w:spacing w:line="360" w:lineRule="auto"/>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118" w:type="dxa"/>
            <w:vAlign w:val="center"/>
          </w:tcPr>
          <w:p w14:paraId="647FE518">
            <w:pPr>
              <w:widowControl/>
              <w:spacing w:line="360" w:lineRule="auto"/>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Z≥10000</w:t>
            </w:r>
          </w:p>
        </w:tc>
        <w:tc>
          <w:tcPr>
            <w:tcW w:w="1676" w:type="dxa"/>
            <w:vAlign w:val="center"/>
          </w:tcPr>
          <w:p w14:paraId="4BA6CDDF">
            <w:pPr>
              <w:widowControl/>
              <w:spacing w:line="360" w:lineRule="auto"/>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5000≤Z＜10000</w:t>
            </w:r>
          </w:p>
        </w:tc>
        <w:tc>
          <w:tcPr>
            <w:tcW w:w="1618" w:type="dxa"/>
            <w:vAlign w:val="center"/>
          </w:tcPr>
          <w:p w14:paraId="5C9EE089">
            <w:pPr>
              <w:widowControl/>
              <w:spacing w:line="360" w:lineRule="auto"/>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2000≤Z＜5000</w:t>
            </w:r>
          </w:p>
        </w:tc>
        <w:tc>
          <w:tcPr>
            <w:tcW w:w="852" w:type="dxa"/>
            <w:vAlign w:val="center"/>
          </w:tcPr>
          <w:p w14:paraId="525FBF7B">
            <w:pPr>
              <w:widowControl/>
              <w:spacing w:line="360" w:lineRule="auto"/>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Z＜2000</w:t>
            </w:r>
          </w:p>
        </w:tc>
      </w:tr>
      <w:tr w14:paraId="06C00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951" w:type="dxa"/>
            <w:vMerge w:val="restart"/>
            <w:vAlign w:val="center"/>
          </w:tcPr>
          <w:p w14:paraId="6E408FE5">
            <w:pPr>
              <w:widowControl/>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物业管理</w:t>
            </w:r>
          </w:p>
        </w:tc>
        <w:tc>
          <w:tcPr>
            <w:tcW w:w="1531" w:type="dxa"/>
            <w:vAlign w:val="center"/>
          </w:tcPr>
          <w:p w14:paraId="01CB7252">
            <w:pPr>
              <w:widowControl/>
              <w:spacing w:line="360" w:lineRule="auto"/>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993" w:type="dxa"/>
            <w:vAlign w:val="center"/>
          </w:tcPr>
          <w:p w14:paraId="118CBD2E">
            <w:pPr>
              <w:widowControl/>
              <w:spacing w:line="360" w:lineRule="auto"/>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118" w:type="dxa"/>
            <w:vAlign w:val="center"/>
          </w:tcPr>
          <w:p w14:paraId="73AC042B">
            <w:pPr>
              <w:widowControl/>
              <w:spacing w:line="360" w:lineRule="auto"/>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X≥1000</w:t>
            </w:r>
          </w:p>
        </w:tc>
        <w:tc>
          <w:tcPr>
            <w:tcW w:w="1676" w:type="dxa"/>
            <w:vAlign w:val="center"/>
          </w:tcPr>
          <w:p w14:paraId="21C19F7B">
            <w:pPr>
              <w:widowControl/>
              <w:spacing w:line="360" w:lineRule="auto"/>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300≤X＜1000</w:t>
            </w:r>
          </w:p>
        </w:tc>
        <w:tc>
          <w:tcPr>
            <w:tcW w:w="1618" w:type="dxa"/>
            <w:vAlign w:val="center"/>
          </w:tcPr>
          <w:p w14:paraId="60597081">
            <w:pPr>
              <w:widowControl/>
              <w:spacing w:line="360" w:lineRule="auto"/>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100≤X＜300</w:t>
            </w:r>
          </w:p>
        </w:tc>
        <w:tc>
          <w:tcPr>
            <w:tcW w:w="852" w:type="dxa"/>
            <w:vAlign w:val="center"/>
          </w:tcPr>
          <w:p w14:paraId="0DF03196">
            <w:pPr>
              <w:widowControl/>
              <w:spacing w:line="360" w:lineRule="auto"/>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X＜100</w:t>
            </w:r>
          </w:p>
        </w:tc>
      </w:tr>
      <w:tr w14:paraId="6F10B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951" w:type="dxa"/>
            <w:vMerge w:val="continue"/>
            <w:vAlign w:val="center"/>
          </w:tcPr>
          <w:p w14:paraId="073F8C69">
            <w:pPr>
              <w:widowControl/>
              <w:spacing w:line="360" w:lineRule="auto"/>
              <w:jc w:val="left"/>
              <w:rPr>
                <w:rFonts w:hint="eastAsia" w:ascii="宋体" w:hAnsi="宋体" w:eastAsia="宋体" w:cs="宋体"/>
                <w:color w:val="auto"/>
                <w:kern w:val="0"/>
                <w:sz w:val="18"/>
                <w:szCs w:val="18"/>
                <w:highlight w:val="none"/>
              </w:rPr>
            </w:pPr>
          </w:p>
        </w:tc>
        <w:tc>
          <w:tcPr>
            <w:tcW w:w="1531" w:type="dxa"/>
            <w:vAlign w:val="center"/>
          </w:tcPr>
          <w:p w14:paraId="48EAE455">
            <w:pPr>
              <w:widowControl/>
              <w:spacing w:line="360" w:lineRule="auto"/>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993" w:type="dxa"/>
            <w:vAlign w:val="center"/>
          </w:tcPr>
          <w:p w14:paraId="11FE0904">
            <w:pPr>
              <w:widowControl/>
              <w:spacing w:line="360" w:lineRule="auto"/>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118" w:type="dxa"/>
            <w:vAlign w:val="center"/>
          </w:tcPr>
          <w:p w14:paraId="42C02FA6">
            <w:pPr>
              <w:widowControl/>
              <w:spacing w:line="360" w:lineRule="auto"/>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Y≥5000</w:t>
            </w:r>
          </w:p>
        </w:tc>
        <w:tc>
          <w:tcPr>
            <w:tcW w:w="1676" w:type="dxa"/>
            <w:vAlign w:val="center"/>
          </w:tcPr>
          <w:p w14:paraId="693D4A3E">
            <w:pPr>
              <w:widowControl/>
              <w:spacing w:line="360" w:lineRule="auto"/>
              <w:ind w:left="1" w:leftChars="-51" w:hanging="108" w:hangingChars="60"/>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1000≤Y＜5000</w:t>
            </w:r>
          </w:p>
        </w:tc>
        <w:tc>
          <w:tcPr>
            <w:tcW w:w="1618" w:type="dxa"/>
            <w:vAlign w:val="center"/>
          </w:tcPr>
          <w:p w14:paraId="0DFFF191">
            <w:pPr>
              <w:widowControl/>
              <w:spacing w:line="360" w:lineRule="auto"/>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500≤Y＜1000</w:t>
            </w:r>
          </w:p>
        </w:tc>
        <w:tc>
          <w:tcPr>
            <w:tcW w:w="852" w:type="dxa"/>
            <w:vAlign w:val="center"/>
          </w:tcPr>
          <w:p w14:paraId="76CB8987">
            <w:pPr>
              <w:widowControl/>
              <w:spacing w:line="360" w:lineRule="auto"/>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Y＜500</w:t>
            </w:r>
          </w:p>
        </w:tc>
      </w:tr>
      <w:tr w14:paraId="4A9C6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951" w:type="dxa"/>
            <w:vMerge w:val="restart"/>
            <w:vAlign w:val="center"/>
          </w:tcPr>
          <w:p w14:paraId="14F72716">
            <w:pPr>
              <w:widowControl/>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租赁和商务服务业</w:t>
            </w:r>
          </w:p>
        </w:tc>
        <w:tc>
          <w:tcPr>
            <w:tcW w:w="1531" w:type="dxa"/>
            <w:vAlign w:val="center"/>
          </w:tcPr>
          <w:p w14:paraId="4F814E28">
            <w:pPr>
              <w:widowControl/>
              <w:spacing w:line="360" w:lineRule="auto"/>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993" w:type="dxa"/>
            <w:vAlign w:val="center"/>
          </w:tcPr>
          <w:p w14:paraId="2C9093D8">
            <w:pPr>
              <w:widowControl/>
              <w:spacing w:line="360" w:lineRule="auto"/>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118" w:type="dxa"/>
            <w:vAlign w:val="center"/>
          </w:tcPr>
          <w:p w14:paraId="778CDB98">
            <w:pPr>
              <w:widowControl/>
              <w:spacing w:line="360" w:lineRule="auto"/>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X≥300</w:t>
            </w:r>
          </w:p>
        </w:tc>
        <w:tc>
          <w:tcPr>
            <w:tcW w:w="1676" w:type="dxa"/>
            <w:vAlign w:val="center"/>
          </w:tcPr>
          <w:p w14:paraId="4277C517">
            <w:pPr>
              <w:widowControl/>
              <w:spacing w:line="360" w:lineRule="auto"/>
              <w:ind w:left="1" w:leftChars="-51" w:hanging="108" w:hangingChars="60"/>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100≤X＜300</w:t>
            </w:r>
          </w:p>
        </w:tc>
        <w:tc>
          <w:tcPr>
            <w:tcW w:w="1618" w:type="dxa"/>
            <w:vAlign w:val="center"/>
          </w:tcPr>
          <w:p w14:paraId="4A78B098">
            <w:pPr>
              <w:widowControl/>
              <w:spacing w:line="360" w:lineRule="auto"/>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10≤X＜100</w:t>
            </w:r>
          </w:p>
        </w:tc>
        <w:tc>
          <w:tcPr>
            <w:tcW w:w="852" w:type="dxa"/>
            <w:vAlign w:val="center"/>
          </w:tcPr>
          <w:p w14:paraId="4F7F7B81">
            <w:pPr>
              <w:widowControl/>
              <w:spacing w:line="360" w:lineRule="auto"/>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w:t>
            </w:r>
          </w:p>
        </w:tc>
      </w:tr>
      <w:tr w14:paraId="79EB1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951" w:type="dxa"/>
            <w:vMerge w:val="continue"/>
            <w:vAlign w:val="center"/>
          </w:tcPr>
          <w:p w14:paraId="10D9EBC5">
            <w:pPr>
              <w:widowControl/>
              <w:spacing w:line="360" w:lineRule="auto"/>
              <w:jc w:val="left"/>
              <w:rPr>
                <w:rFonts w:hint="eastAsia" w:ascii="宋体" w:hAnsi="宋体" w:eastAsia="宋体" w:cs="宋体"/>
                <w:color w:val="auto"/>
                <w:kern w:val="0"/>
                <w:sz w:val="18"/>
                <w:szCs w:val="18"/>
                <w:highlight w:val="none"/>
              </w:rPr>
            </w:pPr>
          </w:p>
        </w:tc>
        <w:tc>
          <w:tcPr>
            <w:tcW w:w="1531" w:type="dxa"/>
            <w:vAlign w:val="center"/>
          </w:tcPr>
          <w:p w14:paraId="5D49701A">
            <w:pPr>
              <w:widowControl/>
              <w:spacing w:line="360" w:lineRule="auto"/>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资产总额(Z)</w:t>
            </w:r>
          </w:p>
        </w:tc>
        <w:tc>
          <w:tcPr>
            <w:tcW w:w="993" w:type="dxa"/>
            <w:vAlign w:val="center"/>
          </w:tcPr>
          <w:p w14:paraId="0609F01D">
            <w:pPr>
              <w:widowControl/>
              <w:spacing w:line="360" w:lineRule="auto"/>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118" w:type="dxa"/>
            <w:vAlign w:val="center"/>
          </w:tcPr>
          <w:p w14:paraId="12DA909D">
            <w:pPr>
              <w:widowControl/>
              <w:spacing w:line="360" w:lineRule="auto"/>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Z≥120000</w:t>
            </w:r>
          </w:p>
        </w:tc>
        <w:tc>
          <w:tcPr>
            <w:tcW w:w="1676" w:type="dxa"/>
            <w:vAlign w:val="center"/>
          </w:tcPr>
          <w:p w14:paraId="3A6F33BF">
            <w:pPr>
              <w:widowControl/>
              <w:spacing w:line="360" w:lineRule="auto"/>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8000≤Z＜120000</w:t>
            </w:r>
          </w:p>
        </w:tc>
        <w:tc>
          <w:tcPr>
            <w:tcW w:w="1618" w:type="dxa"/>
            <w:vAlign w:val="center"/>
          </w:tcPr>
          <w:p w14:paraId="5F104E6A">
            <w:pPr>
              <w:widowControl/>
              <w:spacing w:line="360" w:lineRule="auto"/>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100≤Z＜8000</w:t>
            </w:r>
          </w:p>
        </w:tc>
        <w:tc>
          <w:tcPr>
            <w:tcW w:w="852" w:type="dxa"/>
            <w:vAlign w:val="center"/>
          </w:tcPr>
          <w:p w14:paraId="28AB7270">
            <w:pPr>
              <w:widowControl/>
              <w:spacing w:line="360" w:lineRule="auto"/>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Z＜100</w:t>
            </w:r>
          </w:p>
        </w:tc>
      </w:tr>
      <w:tr w14:paraId="40107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951" w:type="dxa"/>
            <w:vAlign w:val="center"/>
          </w:tcPr>
          <w:p w14:paraId="62137657">
            <w:pPr>
              <w:widowControl/>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其他未列明行业 *</w:t>
            </w:r>
          </w:p>
        </w:tc>
        <w:tc>
          <w:tcPr>
            <w:tcW w:w="1531" w:type="dxa"/>
            <w:vAlign w:val="center"/>
          </w:tcPr>
          <w:p w14:paraId="4B2CB71A">
            <w:pPr>
              <w:widowControl/>
              <w:spacing w:line="360" w:lineRule="auto"/>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993" w:type="dxa"/>
            <w:vAlign w:val="center"/>
          </w:tcPr>
          <w:p w14:paraId="698C9B29">
            <w:pPr>
              <w:widowControl/>
              <w:spacing w:line="360" w:lineRule="auto"/>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118" w:type="dxa"/>
            <w:vAlign w:val="center"/>
          </w:tcPr>
          <w:p w14:paraId="790CBA77">
            <w:pPr>
              <w:widowControl/>
              <w:spacing w:line="360" w:lineRule="auto"/>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X≥300</w:t>
            </w:r>
          </w:p>
        </w:tc>
        <w:tc>
          <w:tcPr>
            <w:tcW w:w="1676" w:type="dxa"/>
            <w:vAlign w:val="center"/>
          </w:tcPr>
          <w:p w14:paraId="36DCD23C">
            <w:pPr>
              <w:widowControl/>
              <w:spacing w:line="360" w:lineRule="auto"/>
              <w:ind w:left="1" w:leftChars="-51" w:hanging="108" w:hangingChars="60"/>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100≤X＜300</w:t>
            </w:r>
          </w:p>
        </w:tc>
        <w:tc>
          <w:tcPr>
            <w:tcW w:w="1618" w:type="dxa"/>
            <w:vAlign w:val="center"/>
          </w:tcPr>
          <w:p w14:paraId="73EF0F91">
            <w:pPr>
              <w:widowControl/>
              <w:spacing w:line="360" w:lineRule="auto"/>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10≤X＜100</w:t>
            </w:r>
          </w:p>
        </w:tc>
        <w:tc>
          <w:tcPr>
            <w:tcW w:w="852" w:type="dxa"/>
            <w:vAlign w:val="center"/>
          </w:tcPr>
          <w:p w14:paraId="6F34A093">
            <w:pPr>
              <w:widowControl/>
              <w:spacing w:line="360" w:lineRule="auto"/>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w:t>
            </w:r>
          </w:p>
        </w:tc>
      </w:tr>
    </w:tbl>
    <w:p w14:paraId="345848E6">
      <w:pPr>
        <w:widowControl/>
        <w:spacing w:line="360" w:lineRule="auto"/>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rPr>
        <w:t>说明：</w:t>
      </w:r>
      <w:r>
        <w:rPr>
          <w:rFonts w:hint="eastAsia" w:ascii="宋体" w:hAnsi="宋体" w:eastAsia="宋体" w:cs="宋体"/>
          <w:color w:val="auto"/>
          <w:sz w:val="18"/>
          <w:szCs w:val="18"/>
          <w:highlight w:val="none"/>
        </w:rPr>
        <w:t>1.大型、中型和小型企业应同时满足所列指标的下限，否则下划一档；微型企业只需满足所列指标中的一项即可。</w:t>
      </w:r>
    </w:p>
    <w:p w14:paraId="78245254">
      <w:pPr>
        <w:pStyle w:val="20"/>
        <w:adjustRightInd w:val="0"/>
        <w:spacing w:line="360" w:lineRule="auto"/>
        <w:ind w:firstLine="360" w:firstLineChars="200"/>
        <w:contextualSpacing/>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14:paraId="60EE9A4C">
      <w:pPr>
        <w:pStyle w:val="20"/>
        <w:adjustRightInd w:val="0"/>
        <w:spacing w:line="360" w:lineRule="auto"/>
        <w:ind w:firstLine="360" w:firstLineChars="200"/>
        <w:contextualSpacing/>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3.企业划分指标以现行统计制度为准。（1）从业人员，是指期末从业人员数，没有期末从业人员数的，采用全年平均人员数代替。（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3）资产总额，采用资产总计代替。</w:t>
      </w:r>
    </w:p>
    <w:p w14:paraId="7384DCFF">
      <w:pPr>
        <w:spacing w:line="360" w:lineRule="auto"/>
        <w:rPr>
          <w:rFonts w:hint="eastAsia" w:ascii="宋体" w:hAnsi="宋体" w:eastAsia="宋体" w:cs="宋体"/>
          <w:color w:val="auto"/>
          <w:sz w:val="18"/>
          <w:szCs w:val="18"/>
          <w:highlight w:val="none"/>
        </w:rPr>
      </w:pPr>
    </w:p>
    <w:p w14:paraId="613E5761">
      <w:pPr>
        <w:spacing w:line="360" w:lineRule="auto"/>
        <w:rPr>
          <w:rFonts w:hint="eastAsia" w:ascii="宋体" w:hAnsi="宋体" w:eastAsia="宋体" w:cs="宋体"/>
          <w:color w:val="auto"/>
          <w:sz w:val="18"/>
          <w:szCs w:val="18"/>
          <w:highlight w:val="none"/>
        </w:rPr>
      </w:pPr>
    </w:p>
    <w:p w14:paraId="5F14041A">
      <w:pPr>
        <w:spacing w:line="360" w:lineRule="auto"/>
        <w:rPr>
          <w:rFonts w:hint="eastAsia" w:ascii="宋体" w:hAnsi="宋体" w:eastAsia="宋体" w:cs="宋体"/>
          <w:color w:val="auto"/>
          <w:sz w:val="18"/>
          <w:szCs w:val="18"/>
          <w:highlight w:val="none"/>
        </w:rPr>
      </w:pPr>
    </w:p>
    <w:p w14:paraId="0EA65CB0">
      <w:pPr>
        <w:spacing w:line="360" w:lineRule="auto"/>
        <w:rPr>
          <w:rFonts w:hint="eastAsia" w:ascii="宋体" w:hAnsi="宋体" w:eastAsia="宋体" w:cs="宋体"/>
          <w:color w:val="auto"/>
          <w:sz w:val="18"/>
          <w:szCs w:val="18"/>
          <w:highlight w:val="none"/>
        </w:rPr>
      </w:pPr>
    </w:p>
    <w:p w14:paraId="707BD1E5">
      <w:pPr>
        <w:spacing w:line="360" w:lineRule="auto"/>
        <w:rPr>
          <w:rFonts w:hint="eastAsia" w:ascii="宋体" w:hAnsi="宋体" w:eastAsia="宋体" w:cs="宋体"/>
          <w:color w:val="auto"/>
          <w:sz w:val="18"/>
          <w:szCs w:val="18"/>
          <w:highlight w:val="none"/>
        </w:rPr>
      </w:pPr>
    </w:p>
    <w:p w14:paraId="53C78F26">
      <w:pPr>
        <w:spacing w:line="360" w:lineRule="auto"/>
        <w:rPr>
          <w:rFonts w:hint="eastAsia" w:ascii="宋体" w:hAnsi="宋体" w:eastAsia="宋体" w:cs="宋体"/>
          <w:color w:val="auto"/>
          <w:sz w:val="18"/>
          <w:szCs w:val="18"/>
          <w:highlight w:val="none"/>
        </w:rPr>
      </w:pPr>
    </w:p>
    <w:p w14:paraId="6F1EA588">
      <w:pPr>
        <w:spacing w:line="360" w:lineRule="auto"/>
        <w:rPr>
          <w:rFonts w:hint="eastAsia" w:ascii="宋体" w:hAnsi="宋体" w:eastAsia="宋体" w:cs="宋体"/>
          <w:color w:val="auto"/>
          <w:sz w:val="18"/>
          <w:szCs w:val="18"/>
          <w:highlight w:val="none"/>
        </w:rPr>
      </w:pPr>
    </w:p>
    <w:p w14:paraId="1A73BE54">
      <w:pPr>
        <w:spacing w:line="360" w:lineRule="auto"/>
        <w:rPr>
          <w:rFonts w:hint="eastAsia" w:ascii="宋体" w:hAnsi="宋体" w:eastAsia="宋体" w:cs="宋体"/>
          <w:color w:val="auto"/>
          <w:sz w:val="18"/>
          <w:szCs w:val="18"/>
          <w:highlight w:val="none"/>
        </w:rPr>
      </w:pPr>
    </w:p>
    <w:p w14:paraId="2E6B8680">
      <w:pPr>
        <w:spacing w:line="360" w:lineRule="auto"/>
        <w:rPr>
          <w:rFonts w:hint="eastAsia" w:ascii="宋体" w:hAnsi="宋体" w:eastAsia="宋体" w:cs="宋体"/>
          <w:color w:val="auto"/>
          <w:sz w:val="18"/>
          <w:szCs w:val="18"/>
          <w:highlight w:val="none"/>
        </w:rPr>
      </w:pPr>
    </w:p>
    <w:p w14:paraId="56BB8EA0">
      <w:pPr>
        <w:spacing w:line="360" w:lineRule="auto"/>
        <w:rPr>
          <w:rFonts w:hint="eastAsia" w:ascii="宋体" w:hAnsi="宋体" w:eastAsia="宋体" w:cs="宋体"/>
          <w:color w:val="auto"/>
          <w:sz w:val="18"/>
          <w:szCs w:val="18"/>
          <w:highlight w:val="none"/>
        </w:rPr>
      </w:pPr>
    </w:p>
    <w:p w14:paraId="17A4E0D0">
      <w:pPr>
        <w:spacing w:line="360" w:lineRule="auto"/>
        <w:rPr>
          <w:rFonts w:hint="eastAsia" w:ascii="宋体" w:hAnsi="宋体" w:eastAsia="宋体" w:cs="宋体"/>
          <w:color w:val="auto"/>
          <w:sz w:val="18"/>
          <w:szCs w:val="18"/>
          <w:highlight w:val="none"/>
        </w:rPr>
      </w:pPr>
    </w:p>
    <w:p w14:paraId="7CBF4AD7">
      <w:pPr>
        <w:pStyle w:val="3"/>
        <w:spacing w:line="360" w:lineRule="auto"/>
        <w:jc w:val="center"/>
        <w:outlineLvl w:val="0"/>
        <w:rPr>
          <w:rFonts w:hint="eastAsia" w:ascii="宋体" w:hAnsi="宋体" w:eastAsia="宋体" w:cs="宋体"/>
          <w:b/>
          <w:bCs/>
          <w:color w:val="auto"/>
          <w:sz w:val="36"/>
          <w:szCs w:val="36"/>
          <w:highlight w:val="none"/>
          <w:lang w:val="en-US" w:eastAsia="zh-CN"/>
        </w:rPr>
      </w:pPr>
      <w:bookmarkStart w:id="296" w:name="_Toc7167"/>
      <w:r>
        <w:rPr>
          <w:rFonts w:hint="eastAsia" w:ascii="宋体" w:hAnsi="宋体" w:eastAsia="宋体" w:cs="宋体"/>
          <w:b/>
          <w:bCs/>
          <w:color w:val="auto"/>
          <w:sz w:val="36"/>
          <w:szCs w:val="36"/>
          <w:highlight w:val="none"/>
          <w:lang w:val="en-US" w:eastAsia="zh-CN"/>
        </w:rPr>
        <w:t>第四章 工程量清单</w:t>
      </w:r>
      <w:bookmarkEnd w:id="296"/>
    </w:p>
    <w:p w14:paraId="1CBEACB2">
      <w:pPr>
        <w:spacing w:line="360" w:lineRule="auto"/>
        <w:rPr>
          <w:rFonts w:hint="eastAsia" w:ascii="宋体" w:hAnsi="宋体" w:eastAsia="宋体" w:cs="宋体"/>
          <w:color w:val="auto"/>
          <w:sz w:val="18"/>
          <w:szCs w:val="18"/>
          <w:highlight w:val="none"/>
        </w:rPr>
      </w:pPr>
    </w:p>
    <w:p w14:paraId="2333BA53">
      <w:pPr>
        <w:spacing w:line="360" w:lineRule="auto"/>
        <w:rPr>
          <w:rFonts w:hint="eastAsia" w:ascii="宋体" w:hAnsi="宋体" w:eastAsia="宋体" w:cs="宋体"/>
          <w:color w:val="auto"/>
          <w:sz w:val="18"/>
          <w:szCs w:val="18"/>
          <w:highlight w:val="none"/>
        </w:rPr>
      </w:pPr>
    </w:p>
    <w:p w14:paraId="74DD64C9">
      <w:pPr>
        <w:spacing w:line="360" w:lineRule="auto"/>
        <w:rPr>
          <w:rFonts w:hint="eastAsia" w:ascii="宋体" w:hAnsi="宋体" w:eastAsia="宋体" w:cs="宋体"/>
          <w:color w:val="auto"/>
          <w:sz w:val="18"/>
          <w:szCs w:val="18"/>
          <w:highlight w:val="none"/>
        </w:rPr>
      </w:pPr>
    </w:p>
    <w:p w14:paraId="30215A08">
      <w:pPr>
        <w:spacing w:line="360" w:lineRule="auto"/>
        <w:rPr>
          <w:rFonts w:hint="eastAsia" w:ascii="宋体" w:hAnsi="宋体" w:eastAsia="宋体" w:cs="宋体"/>
          <w:color w:val="auto"/>
          <w:sz w:val="18"/>
          <w:szCs w:val="18"/>
          <w:highlight w:val="none"/>
        </w:rPr>
      </w:pPr>
    </w:p>
    <w:p w14:paraId="6025C4F7">
      <w:pPr>
        <w:spacing w:line="360" w:lineRule="auto"/>
        <w:rPr>
          <w:rFonts w:hint="eastAsia" w:ascii="宋体" w:hAnsi="宋体" w:eastAsia="宋体" w:cs="宋体"/>
          <w:color w:val="auto"/>
          <w:sz w:val="18"/>
          <w:szCs w:val="18"/>
          <w:highlight w:val="none"/>
        </w:rPr>
      </w:pPr>
    </w:p>
    <w:p w14:paraId="54FA7E05">
      <w:pPr>
        <w:pStyle w:val="20"/>
        <w:shd w:val="clear" w:color="auto" w:fill="auto"/>
        <w:spacing w:line="360" w:lineRule="auto"/>
        <w:jc w:val="center"/>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工程量清单（另册）</w:t>
      </w:r>
    </w:p>
    <w:p w14:paraId="4D8381A8">
      <w:pPr>
        <w:pStyle w:val="20"/>
        <w:shd w:val="clear" w:color="auto" w:fill="auto"/>
        <w:spacing w:line="360" w:lineRule="auto"/>
        <w:jc w:val="center"/>
        <w:rPr>
          <w:rFonts w:hint="eastAsia" w:ascii="宋体" w:hAnsi="宋体" w:eastAsia="宋体" w:cs="宋体"/>
          <w:b/>
          <w:bCs/>
          <w:color w:val="auto"/>
          <w:sz w:val="44"/>
          <w:highlight w:val="none"/>
        </w:rPr>
      </w:pPr>
    </w:p>
    <w:p w14:paraId="35E29D9E">
      <w:pPr>
        <w:spacing w:line="360" w:lineRule="auto"/>
        <w:rPr>
          <w:rFonts w:hint="eastAsia" w:ascii="宋体" w:hAnsi="宋体" w:eastAsia="宋体" w:cs="宋体"/>
          <w:b/>
          <w:bCs/>
          <w:color w:val="auto"/>
          <w:sz w:val="18"/>
          <w:szCs w:val="18"/>
          <w:highlight w:val="none"/>
        </w:rPr>
      </w:pPr>
    </w:p>
    <w:p w14:paraId="7D79D56E">
      <w:pPr>
        <w:spacing w:line="360" w:lineRule="auto"/>
        <w:rPr>
          <w:rFonts w:hint="eastAsia" w:ascii="宋体" w:hAnsi="宋体" w:eastAsia="宋体" w:cs="宋体"/>
          <w:color w:val="auto"/>
          <w:sz w:val="18"/>
          <w:szCs w:val="18"/>
          <w:highlight w:val="none"/>
        </w:rPr>
      </w:pPr>
    </w:p>
    <w:p w14:paraId="57C7F783">
      <w:pPr>
        <w:spacing w:line="360" w:lineRule="auto"/>
        <w:rPr>
          <w:rFonts w:hint="eastAsia" w:ascii="宋体" w:hAnsi="宋体" w:eastAsia="宋体" w:cs="宋体"/>
          <w:color w:val="auto"/>
          <w:sz w:val="18"/>
          <w:szCs w:val="18"/>
          <w:highlight w:val="none"/>
        </w:rPr>
      </w:pPr>
    </w:p>
    <w:p w14:paraId="0B3ACC2C">
      <w:pPr>
        <w:spacing w:line="360" w:lineRule="auto"/>
        <w:rPr>
          <w:rFonts w:hint="eastAsia" w:ascii="宋体" w:hAnsi="宋体" w:eastAsia="宋体" w:cs="宋体"/>
          <w:color w:val="auto"/>
          <w:sz w:val="18"/>
          <w:szCs w:val="18"/>
          <w:highlight w:val="none"/>
        </w:rPr>
      </w:pPr>
    </w:p>
    <w:p w14:paraId="5272F476">
      <w:pPr>
        <w:spacing w:line="360" w:lineRule="auto"/>
        <w:rPr>
          <w:rFonts w:hint="eastAsia" w:ascii="宋体" w:hAnsi="宋体" w:eastAsia="宋体" w:cs="宋体"/>
          <w:color w:val="auto"/>
          <w:sz w:val="18"/>
          <w:szCs w:val="18"/>
          <w:highlight w:val="none"/>
        </w:rPr>
      </w:pPr>
    </w:p>
    <w:p w14:paraId="1A8D6C55">
      <w:pPr>
        <w:spacing w:line="360" w:lineRule="auto"/>
        <w:rPr>
          <w:rFonts w:hint="eastAsia" w:ascii="宋体" w:hAnsi="宋体" w:eastAsia="宋体" w:cs="宋体"/>
          <w:color w:val="auto"/>
          <w:sz w:val="18"/>
          <w:szCs w:val="18"/>
          <w:highlight w:val="none"/>
        </w:rPr>
      </w:pPr>
    </w:p>
    <w:p w14:paraId="1EFFA25F">
      <w:pPr>
        <w:spacing w:line="360" w:lineRule="auto"/>
        <w:rPr>
          <w:rFonts w:hint="eastAsia" w:ascii="宋体" w:hAnsi="宋体" w:eastAsia="宋体" w:cs="宋体"/>
          <w:color w:val="auto"/>
          <w:sz w:val="18"/>
          <w:szCs w:val="18"/>
          <w:highlight w:val="none"/>
        </w:rPr>
      </w:pPr>
    </w:p>
    <w:p w14:paraId="04E41727">
      <w:pPr>
        <w:spacing w:line="360" w:lineRule="auto"/>
        <w:rPr>
          <w:rFonts w:hint="eastAsia" w:ascii="宋体" w:hAnsi="宋体" w:eastAsia="宋体" w:cs="宋体"/>
          <w:color w:val="auto"/>
          <w:sz w:val="18"/>
          <w:szCs w:val="18"/>
          <w:highlight w:val="none"/>
        </w:rPr>
      </w:pPr>
    </w:p>
    <w:p w14:paraId="163DBAE1">
      <w:pPr>
        <w:spacing w:line="360" w:lineRule="auto"/>
        <w:rPr>
          <w:rFonts w:hint="eastAsia" w:ascii="宋体" w:hAnsi="宋体" w:eastAsia="宋体" w:cs="宋体"/>
          <w:color w:val="auto"/>
          <w:sz w:val="18"/>
          <w:szCs w:val="18"/>
          <w:highlight w:val="none"/>
        </w:rPr>
      </w:pPr>
    </w:p>
    <w:p w14:paraId="2C29D111">
      <w:pPr>
        <w:spacing w:line="360" w:lineRule="auto"/>
        <w:rPr>
          <w:rFonts w:hint="eastAsia" w:ascii="宋体" w:hAnsi="宋体" w:eastAsia="宋体" w:cs="宋体"/>
          <w:color w:val="auto"/>
          <w:sz w:val="18"/>
          <w:szCs w:val="18"/>
          <w:highlight w:val="none"/>
        </w:rPr>
      </w:pPr>
    </w:p>
    <w:p w14:paraId="102C7DE3">
      <w:pPr>
        <w:spacing w:line="360" w:lineRule="auto"/>
        <w:rPr>
          <w:rFonts w:hint="eastAsia" w:ascii="宋体" w:hAnsi="宋体" w:eastAsia="宋体" w:cs="宋体"/>
          <w:color w:val="auto"/>
          <w:sz w:val="18"/>
          <w:szCs w:val="18"/>
          <w:highlight w:val="none"/>
        </w:rPr>
      </w:pPr>
    </w:p>
    <w:p w14:paraId="2E5D03A1">
      <w:pPr>
        <w:spacing w:line="360" w:lineRule="auto"/>
        <w:rPr>
          <w:rFonts w:hint="eastAsia" w:ascii="宋体" w:hAnsi="宋体" w:eastAsia="宋体" w:cs="宋体"/>
          <w:color w:val="auto"/>
          <w:sz w:val="18"/>
          <w:szCs w:val="18"/>
          <w:highlight w:val="none"/>
        </w:rPr>
      </w:pPr>
    </w:p>
    <w:p w14:paraId="58E64E3E">
      <w:pPr>
        <w:spacing w:line="360" w:lineRule="auto"/>
        <w:rPr>
          <w:rFonts w:hint="eastAsia" w:ascii="宋体" w:hAnsi="宋体" w:eastAsia="宋体" w:cs="宋体"/>
          <w:color w:val="auto"/>
          <w:sz w:val="18"/>
          <w:szCs w:val="18"/>
          <w:highlight w:val="none"/>
        </w:rPr>
      </w:pPr>
    </w:p>
    <w:p w14:paraId="05366AA0">
      <w:pPr>
        <w:spacing w:line="360" w:lineRule="auto"/>
        <w:rPr>
          <w:rFonts w:hint="eastAsia" w:ascii="宋体" w:hAnsi="宋体" w:eastAsia="宋体" w:cs="宋体"/>
          <w:color w:val="auto"/>
          <w:sz w:val="18"/>
          <w:szCs w:val="18"/>
          <w:highlight w:val="none"/>
        </w:rPr>
      </w:pPr>
    </w:p>
    <w:p w14:paraId="0F43E535">
      <w:pPr>
        <w:spacing w:line="360" w:lineRule="auto"/>
        <w:rPr>
          <w:rFonts w:hint="eastAsia" w:ascii="宋体" w:hAnsi="宋体" w:eastAsia="宋体" w:cs="宋体"/>
          <w:color w:val="auto"/>
          <w:sz w:val="18"/>
          <w:szCs w:val="18"/>
          <w:highlight w:val="none"/>
        </w:rPr>
      </w:pPr>
    </w:p>
    <w:p w14:paraId="68528081">
      <w:pPr>
        <w:spacing w:line="360" w:lineRule="auto"/>
        <w:rPr>
          <w:rFonts w:hint="eastAsia" w:ascii="宋体" w:hAnsi="宋体" w:eastAsia="宋体" w:cs="宋体"/>
          <w:color w:val="auto"/>
          <w:sz w:val="18"/>
          <w:szCs w:val="18"/>
          <w:highlight w:val="none"/>
        </w:rPr>
      </w:pPr>
    </w:p>
    <w:p w14:paraId="7CC912A3">
      <w:pPr>
        <w:spacing w:line="360" w:lineRule="auto"/>
        <w:rPr>
          <w:rFonts w:hint="eastAsia" w:ascii="宋体" w:hAnsi="宋体" w:eastAsia="宋体" w:cs="宋体"/>
          <w:color w:val="auto"/>
          <w:sz w:val="18"/>
          <w:szCs w:val="18"/>
          <w:highlight w:val="none"/>
        </w:rPr>
      </w:pPr>
    </w:p>
    <w:p w14:paraId="0D131B81">
      <w:pPr>
        <w:spacing w:line="360" w:lineRule="auto"/>
        <w:rPr>
          <w:rFonts w:hint="eastAsia" w:ascii="宋体" w:hAnsi="宋体" w:eastAsia="宋体" w:cs="宋体"/>
          <w:color w:val="auto"/>
          <w:sz w:val="18"/>
          <w:szCs w:val="18"/>
          <w:highlight w:val="none"/>
        </w:rPr>
      </w:pPr>
    </w:p>
    <w:p w14:paraId="4AFB137D">
      <w:pPr>
        <w:spacing w:line="360" w:lineRule="auto"/>
        <w:rPr>
          <w:rFonts w:hint="eastAsia" w:ascii="宋体" w:hAnsi="宋体" w:eastAsia="宋体" w:cs="宋体"/>
          <w:color w:val="auto"/>
          <w:sz w:val="18"/>
          <w:szCs w:val="18"/>
          <w:highlight w:val="none"/>
        </w:rPr>
      </w:pPr>
    </w:p>
    <w:p w14:paraId="5DCA7702">
      <w:pPr>
        <w:spacing w:line="360" w:lineRule="auto"/>
        <w:rPr>
          <w:rFonts w:hint="eastAsia" w:ascii="宋体" w:hAnsi="宋体" w:eastAsia="宋体" w:cs="宋体"/>
          <w:color w:val="auto"/>
          <w:sz w:val="18"/>
          <w:szCs w:val="18"/>
          <w:highlight w:val="none"/>
        </w:rPr>
      </w:pPr>
    </w:p>
    <w:p w14:paraId="39157954">
      <w:pPr>
        <w:pStyle w:val="3"/>
        <w:spacing w:line="360" w:lineRule="auto"/>
        <w:jc w:val="center"/>
        <w:outlineLvl w:val="0"/>
        <w:rPr>
          <w:rFonts w:hint="eastAsia" w:ascii="宋体" w:hAnsi="宋体" w:eastAsia="宋体" w:cs="宋体"/>
          <w:b/>
          <w:bCs/>
          <w:color w:val="auto"/>
          <w:sz w:val="36"/>
          <w:szCs w:val="36"/>
          <w:highlight w:val="none"/>
          <w:lang w:val="en-US" w:eastAsia="zh-CN"/>
        </w:rPr>
      </w:pPr>
      <w:bookmarkStart w:id="297" w:name="_Toc18798"/>
      <w:bookmarkStart w:id="298" w:name="_Toc31821"/>
      <w:r>
        <w:rPr>
          <w:rFonts w:hint="eastAsia" w:ascii="宋体" w:hAnsi="宋体" w:eastAsia="宋体" w:cs="宋体"/>
          <w:b/>
          <w:bCs/>
          <w:color w:val="auto"/>
          <w:sz w:val="36"/>
          <w:szCs w:val="36"/>
          <w:highlight w:val="none"/>
          <w:lang w:val="en-US" w:eastAsia="zh-CN"/>
        </w:rPr>
        <w:t>第五章  图纸</w:t>
      </w:r>
      <w:bookmarkEnd w:id="297"/>
      <w:bookmarkEnd w:id="298"/>
    </w:p>
    <w:p w14:paraId="0E45DAEE">
      <w:pPr>
        <w:spacing w:line="360" w:lineRule="auto"/>
        <w:jc w:val="center"/>
        <w:rPr>
          <w:rFonts w:hint="eastAsia" w:ascii="宋体" w:hAnsi="宋体" w:eastAsia="宋体" w:cs="宋体"/>
          <w:b/>
          <w:color w:val="auto"/>
          <w:sz w:val="32"/>
          <w:szCs w:val="32"/>
          <w:highlight w:val="none"/>
        </w:rPr>
      </w:pPr>
    </w:p>
    <w:p w14:paraId="5B61B65A">
      <w:pPr>
        <w:spacing w:line="360" w:lineRule="auto"/>
        <w:jc w:val="center"/>
        <w:rPr>
          <w:rFonts w:hint="eastAsia" w:ascii="宋体" w:hAnsi="宋体" w:eastAsia="宋体" w:cs="宋体"/>
          <w:color w:val="auto"/>
          <w:highlight w:val="none"/>
        </w:rPr>
      </w:pPr>
      <w:r>
        <w:rPr>
          <w:rFonts w:hint="eastAsia" w:ascii="宋体" w:hAnsi="宋体" w:eastAsia="宋体" w:cs="宋体"/>
          <w:b/>
          <w:color w:val="auto"/>
          <w:sz w:val="32"/>
          <w:szCs w:val="32"/>
          <w:highlight w:val="none"/>
        </w:rPr>
        <w:t>另附</w:t>
      </w:r>
    </w:p>
    <w:p w14:paraId="5024B48F">
      <w:pPr>
        <w:spacing w:line="360" w:lineRule="auto"/>
        <w:rPr>
          <w:rFonts w:hint="eastAsia" w:ascii="宋体" w:hAnsi="宋体" w:eastAsia="宋体" w:cs="宋体"/>
          <w:color w:val="auto"/>
          <w:sz w:val="18"/>
          <w:szCs w:val="18"/>
          <w:highlight w:val="none"/>
        </w:rPr>
      </w:pPr>
    </w:p>
    <w:p w14:paraId="14397880">
      <w:pPr>
        <w:spacing w:line="360" w:lineRule="auto"/>
        <w:rPr>
          <w:rFonts w:hint="eastAsia" w:ascii="宋体" w:hAnsi="宋体" w:eastAsia="宋体" w:cs="宋体"/>
          <w:color w:val="auto"/>
          <w:sz w:val="18"/>
          <w:szCs w:val="18"/>
          <w:highlight w:val="none"/>
        </w:rPr>
      </w:pPr>
    </w:p>
    <w:p w14:paraId="59040780">
      <w:pPr>
        <w:spacing w:line="360" w:lineRule="auto"/>
        <w:rPr>
          <w:rFonts w:hint="eastAsia" w:ascii="宋体" w:hAnsi="宋体" w:eastAsia="宋体" w:cs="宋体"/>
          <w:color w:val="auto"/>
          <w:sz w:val="18"/>
          <w:szCs w:val="18"/>
          <w:highlight w:val="none"/>
        </w:rPr>
      </w:pPr>
    </w:p>
    <w:p w14:paraId="0E734DE3">
      <w:pPr>
        <w:spacing w:line="360" w:lineRule="auto"/>
        <w:rPr>
          <w:rFonts w:hint="eastAsia" w:ascii="宋体" w:hAnsi="宋体" w:eastAsia="宋体" w:cs="宋体"/>
          <w:color w:val="auto"/>
          <w:sz w:val="18"/>
          <w:szCs w:val="18"/>
          <w:highlight w:val="none"/>
        </w:rPr>
      </w:pPr>
    </w:p>
    <w:p w14:paraId="590BFDEF">
      <w:pPr>
        <w:spacing w:line="360" w:lineRule="auto"/>
        <w:rPr>
          <w:rFonts w:hint="eastAsia" w:ascii="宋体" w:hAnsi="宋体" w:eastAsia="宋体" w:cs="宋体"/>
          <w:color w:val="auto"/>
          <w:sz w:val="18"/>
          <w:szCs w:val="18"/>
          <w:highlight w:val="none"/>
        </w:rPr>
      </w:pPr>
    </w:p>
    <w:p w14:paraId="0EE08692">
      <w:pPr>
        <w:spacing w:line="360" w:lineRule="auto"/>
        <w:rPr>
          <w:rFonts w:hint="eastAsia" w:ascii="宋体" w:hAnsi="宋体" w:eastAsia="宋体" w:cs="宋体"/>
          <w:color w:val="auto"/>
          <w:sz w:val="18"/>
          <w:szCs w:val="18"/>
          <w:highlight w:val="none"/>
        </w:rPr>
      </w:pPr>
    </w:p>
    <w:p w14:paraId="58BC9B62">
      <w:pPr>
        <w:spacing w:line="360" w:lineRule="auto"/>
        <w:rPr>
          <w:rFonts w:hint="eastAsia" w:ascii="宋体" w:hAnsi="宋体" w:eastAsia="宋体" w:cs="宋体"/>
          <w:color w:val="auto"/>
          <w:sz w:val="18"/>
          <w:szCs w:val="18"/>
          <w:highlight w:val="none"/>
        </w:rPr>
      </w:pPr>
    </w:p>
    <w:p w14:paraId="4B5FD29C">
      <w:pPr>
        <w:spacing w:line="360" w:lineRule="auto"/>
        <w:rPr>
          <w:rFonts w:hint="eastAsia" w:ascii="宋体" w:hAnsi="宋体" w:eastAsia="宋体" w:cs="宋体"/>
          <w:color w:val="auto"/>
          <w:sz w:val="18"/>
          <w:szCs w:val="18"/>
          <w:highlight w:val="none"/>
        </w:rPr>
      </w:pPr>
    </w:p>
    <w:p w14:paraId="3F05FDFE">
      <w:pPr>
        <w:spacing w:line="360" w:lineRule="auto"/>
        <w:rPr>
          <w:rFonts w:hint="eastAsia" w:ascii="宋体" w:hAnsi="宋体" w:eastAsia="宋体" w:cs="宋体"/>
          <w:color w:val="auto"/>
          <w:sz w:val="18"/>
          <w:szCs w:val="18"/>
          <w:highlight w:val="none"/>
        </w:rPr>
      </w:pPr>
    </w:p>
    <w:p w14:paraId="1DE9297C">
      <w:pPr>
        <w:spacing w:line="360" w:lineRule="auto"/>
        <w:rPr>
          <w:rFonts w:hint="eastAsia" w:ascii="宋体" w:hAnsi="宋体" w:eastAsia="宋体" w:cs="宋体"/>
          <w:color w:val="auto"/>
          <w:sz w:val="18"/>
          <w:szCs w:val="18"/>
          <w:highlight w:val="none"/>
        </w:rPr>
      </w:pPr>
    </w:p>
    <w:p w14:paraId="14BEB405">
      <w:pPr>
        <w:spacing w:line="360" w:lineRule="auto"/>
        <w:rPr>
          <w:rFonts w:hint="eastAsia" w:ascii="宋体" w:hAnsi="宋体" w:eastAsia="宋体" w:cs="宋体"/>
          <w:color w:val="auto"/>
          <w:sz w:val="18"/>
          <w:szCs w:val="18"/>
          <w:highlight w:val="none"/>
        </w:rPr>
      </w:pPr>
    </w:p>
    <w:p w14:paraId="0619DF43">
      <w:pPr>
        <w:spacing w:line="360" w:lineRule="auto"/>
        <w:rPr>
          <w:rFonts w:hint="eastAsia" w:ascii="宋体" w:hAnsi="宋体" w:eastAsia="宋体" w:cs="宋体"/>
          <w:color w:val="auto"/>
          <w:sz w:val="18"/>
          <w:szCs w:val="18"/>
          <w:highlight w:val="none"/>
        </w:rPr>
      </w:pPr>
    </w:p>
    <w:p w14:paraId="4216683F">
      <w:pPr>
        <w:spacing w:line="360" w:lineRule="auto"/>
        <w:rPr>
          <w:rFonts w:hint="eastAsia" w:ascii="宋体" w:hAnsi="宋体" w:eastAsia="宋体" w:cs="宋体"/>
          <w:color w:val="auto"/>
          <w:sz w:val="18"/>
          <w:szCs w:val="18"/>
          <w:highlight w:val="none"/>
        </w:rPr>
      </w:pPr>
    </w:p>
    <w:p w14:paraId="3D2EC15A">
      <w:pPr>
        <w:spacing w:line="360" w:lineRule="auto"/>
        <w:rPr>
          <w:rFonts w:hint="eastAsia" w:ascii="宋体" w:hAnsi="宋体" w:eastAsia="宋体" w:cs="宋体"/>
          <w:color w:val="auto"/>
          <w:sz w:val="18"/>
          <w:szCs w:val="18"/>
          <w:highlight w:val="none"/>
        </w:rPr>
      </w:pPr>
    </w:p>
    <w:p w14:paraId="6EAEA84C">
      <w:pPr>
        <w:spacing w:line="360" w:lineRule="auto"/>
        <w:rPr>
          <w:rFonts w:hint="eastAsia" w:ascii="宋体" w:hAnsi="宋体" w:eastAsia="宋体" w:cs="宋体"/>
          <w:color w:val="auto"/>
          <w:sz w:val="18"/>
          <w:szCs w:val="18"/>
          <w:highlight w:val="none"/>
        </w:rPr>
      </w:pPr>
    </w:p>
    <w:p w14:paraId="5D150423">
      <w:pPr>
        <w:spacing w:line="360" w:lineRule="auto"/>
        <w:rPr>
          <w:rFonts w:hint="eastAsia" w:ascii="宋体" w:hAnsi="宋体" w:eastAsia="宋体" w:cs="宋体"/>
          <w:color w:val="auto"/>
          <w:sz w:val="18"/>
          <w:szCs w:val="18"/>
          <w:highlight w:val="none"/>
        </w:rPr>
      </w:pPr>
    </w:p>
    <w:p w14:paraId="2CEF70F6">
      <w:pPr>
        <w:spacing w:line="360" w:lineRule="auto"/>
        <w:rPr>
          <w:rFonts w:hint="eastAsia" w:ascii="宋体" w:hAnsi="宋体" w:eastAsia="宋体" w:cs="宋体"/>
          <w:color w:val="auto"/>
          <w:sz w:val="18"/>
          <w:szCs w:val="18"/>
          <w:highlight w:val="none"/>
        </w:rPr>
      </w:pPr>
    </w:p>
    <w:p w14:paraId="4E9D5CD9">
      <w:pPr>
        <w:spacing w:line="360" w:lineRule="auto"/>
        <w:rPr>
          <w:rFonts w:hint="eastAsia" w:ascii="宋体" w:hAnsi="宋体" w:eastAsia="宋体" w:cs="宋体"/>
          <w:color w:val="auto"/>
          <w:sz w:val="18"/>
          <w:szCs w:val="18"/>
          <w:highlight w:val="none"/>
        </w:rPr>
      </w:pPr>
    </w:p>
    <w:p w14:paraId="7D77FD6A">
      <w:pPr>
        <w:spacing w:line="360" w:lineRule="auto"/>
        <w:rPr>
          <w:rFonts w:hint="eastAsia" w:ascii="宋体" w:hAnsi="宋体" w:eastAsia="宋体" w:cs="宋体"/>
          <w:color w:val="auto"/>
          <w:sz w:val="18"/>
          <w:szCs w:val="18"/>
          <w:highlight w:val="none"/>
        </w:rPr>
      </w:pPr>
    </w:p>
    <w:p w14:paraId="5CF32E77">
      <w:pPr>
        <w:spacing w:line="360" w:lineRule="auto"/>
        <w:rPr>
          <w:rFonts w:hint="eastAsia" w:ascii="宋体" w:hAnsi="宋体" w:eastAsia="宋体" w:cs="宋体"/>
          <w:color w:val="auto"/>
          <w:sz w:val="18"/>
          <w:szCs w:val="18"/>
          <w:highlight w:val="none"/>
        </w:rPr>
      </w:pPr>
    </w:p>
    <w:p w14:paraId="1A64A14E">
      <w:pPr>
        <w:spacing w:line="360" w:lineRule="auto"/>
        <w:rPr>
          <w:rFonts w:hint="eastAsia" w:ascii="宋体" w:hAnsi="宋体" w:eastAsia="宋体" w:cs="宋体"/>
          <w:color w:val="auto"/>
          <w:sz w:val="18"/>
          <w:szCs w:val="18"/>
          <w:highlight w:val="none"/>
        </w:rPr>
      </w:pPr>
    </w:p>
    <w:p w14:paraId="42027BA8">
      <w:pPr>
        <w:spacing w:line="360" w:lineRule="auto"/>
        <w:rPr>
          <w:rFonts w:hint="eastAsia" w:ascii="宋体" w:hAnsi="宋体" w:eastAsia="宋体" w:cs="宋体"/>
          <w:color w:val="auto"/>
          <w:sz w:val="18"/>
          <w:szCs w:val="18"/>
          <w:highlight w:val="none"/>
        </w:rPr>
      </w:pPr>
    </w:p>
    <w:p w14:paraId="318A2790">
      <w:pPr>
        <w:spacing w:line="360" w:lineRule="auto"/>
        <w:rPr>
          <w:rFonts w:hint="eastAsia" w:ascii="宋体" w:hAnsi="宋体" w:eastAsia="宋体" w:cs="宋体"/>
          <w:color w:val="auto"/>
          <w:sz w:val="18"/>
          <w:szCs w:val="18"/>
          <w:highlight w:val="none"/>
        </w:rPr>
      </w:pPr>
    </w:p>
    <w:p w14:paraId="7D268219">
      <w:pPr>
        <w:spacing w:line="360" w:lineRule="auto"/>
        <w:rPr>
          <w:rFonts w:hint="eastAsia" w:ascii="宋体" w:hAnsi="宋体" w:eastAsia="宋体" w:cs="宋体"/>
          <w:color w:val="auto"/>
          <w:sz w:val="18"/>
          <w:szCs w:val="18"/>
          <w:highlight w:val="none"/>
        </w:rPr>
      </w:pPr>
    </w:p>
    <w:p w14:paraId="5D485A7D">
      <w:pPr>
        <w:spacing w:line="360" w:lineRule="auto"/>
        <w:rPr>
          <w:rFonts w:hint="eastAsia" w:ascii="宋体" w:hAnsi="宋体" w:eastAsia="宋体" w:cs="宋体"/>
          <w:color w:val="auto"/>
          <w:sz w:val="18"/>
          <w:szCs w:val="18"/>
          <w:highlight w:val="none"/>
        </w:rPr>
      </w:pPr>
    </w:p>
    <w:p w14:paraId="2063A655">
      <w:pPr>
        <w:pStyle w:val="3"/>
        <w:spacing w:line="360" w:lineRule="auto"/>
        <w:jc w:val="center"/>
        <w:outlineLvl w:val="0"/>
        <w:rPr>
          <w:rFonts w:hint="eastAsia" w:ascii="宋体" w:hAnsi="宋体" w:eastAsia="宋体" w:cs="宋体"/>
          <w:b/>
          <w:bCs/>
          <w:color w:val="auto"/>
          <w:sz w:val="36"/>
          <w:szCs w:val="36"/>
          <w:highlight w:val="none"/>
          <w:lang w:val="en-US" w:eastAsia="zh-CN"/>
        </w:rPr>
      </w:pPr>
      <w:bookmarkStart w:id="299" w:name="_Toc10740"/>
      <w:bookmarkStart w:id="300" w:name="_Toc7910"/>
      <w:bookmarkStart w:id="301" w:name="_Toc8132"/>
      <w:r>
        <w:rPr>
          <w:rFonts w:hint="eastAsia" w:ascii="宋体" w:hAnsi="宋体" w:eastAsia="宋体" w:cs="宋体"/>
          <w:b/>
          <w:bCs/>
          <w:color w:val="auto"/>
          <w:sz w:val="36"/>
          <w:szCs w:val="36"/>
          <w:highlight w:val="none"/>
          <w:lang w:val="en-US" w:eastAsia="zh-CN"/>
        </w:rPr>
        <w:t>第六章 响应文件格式</w:t>
      </w:r>
      <w:bookmarkEnd w:id="299"/>
      <w:bookmarkEnd w:id="300"/>
      <w:bookmarkEnd w:id="301"/>
    </w:p>
    <w:p w14:paraId="2DBDA9F4">
      <w:pPr>
        <w:spacing w:line="360" w:lineRule="auto"/>
        <w:jc w:val="left"/>
        <w:rPr>
          <w:rFonts w:hint="eastAsia" w:ascii="宋体" w:hAnsi="宋体" w:eastAsia="宋体" w:cs="宋体"/>
          <w:b/>
          <w:color w:val="auto"/>
          <w:sz w:val="28"/>
          <w:szCs w:val="28"/>
          <w:highlight w:val="none"/>
        </w:rPr>
      </w:pPr>
      <w:r>
        <w:rPr>
          <w:rFonts w:hint="eastAsia" w:ascii="宋体" w:hAnsi="宋体" w:eastAsia="宋体" w:cs="宋体"/>
          <w:color w:val="auto"/>
          <w:sz w:val="28"/>
          <w:szCs w:val="28"/>
          <w:highlight w:val="none"/>
        </w:rPr>
        <w:t>(封面)</w:t>
      </w:r>
    </w:p>
    <w:p w14:paraId="481B6941">
      <w:pPr>
        <w:pStyle w:val="71"/>
        <w:spacing w:line="360" w:lineRule="auto"/>
        <w:rPr>
          <w:rStyle w:val="52"/>
          <w:rFonts w:hint="eastAsia" w:ascii="宋体" w:hAnsi="宋体" w:eastAsia="宋体" w:cs="宋体"/>
          <w:bCs/>
          <w:color w:val="auto"/>
          <w:szCs w:val="32"/>
          <w:highlight w:val="none"/>
        </w:rPr>
      </w:pPr>
    </w:p>
    <w:p w14:paraId="45E4CF2D">
      <w:pPr>
        <w:spacing w:line="360" w:lineRule="auto"/>
        <w:jc w:val="center"/>
        <w:rPr>
          <w:rFonts w:hint="eastAsia" w:ascii="宋体" w:hAnsi="宋体" w:eastAsia="宋体" w:cs="宋体"/>
          <w:b/>
          <w:color w:val="auto"/>
          <w:sz w:val="44"/>
          <w:szCs w:val="44"/>
          <w:highlight w:val="none"/>
        </w:rPr>
      </w:pPr>
      <w:r>
        <w:rPr>
          <w:rFonts w:hint="eastAsia" w:ascii="宋体" w:hAnsi="宋体" w:eastAsia="宋体" w:cs="宋体"/>
          <w:bCs/>
          <w:color w:val="auto"/>
          <w:sz w:val="44"/>
          <w:szCs w:val="44"/>
          <w:highlight w:val="none"/>
        </w:rPr>
        <w:t>响  应  文  件</w:t>
      </w:r>
      <w:r>
        <w:rPr>
          <w:rFonts w:hint="eastAsia" w:ascii="宋体" w:hAnsi="宋体" w:eastAsia="宋体" w:cs="宋体"/>
          <w:b/>
          <w:color w:val="auto"/>
          <w:sz w:val="44"/>
          <w:szCs w:val="44"/>
          <w:highlight w:val="none"/>
        </w:rPr>
        <w:t xml:space="preserve"> </w:t>
      </w:r>
    </w:p>
    <w:p w14:paraId="2D101743">
      <w:pPr>
        <w:spacing w:line="360" w:lineRule="auto"/>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（电子投标文件）</w:t>
      </w:r>
    </w:p>
    <w:p w14:paraId="5E1D5D27">
      <w:pPr>
        <w:spacing w:line="360" w:lineRule="auto"/>
        <w:jc w:val="center"/>
        <w:rPr>
          <w:rFonts w:hint="eastAsia" w:ascii="宋体" w:hAnsi="宋体" w:eastAsia="宋体" w:cs="宋体"/>
          <w:color w:val="auto"/>
          <w:szCs w:val="21"/>
          <w:highlight w:val="none"/>
        </w:rPr>
      </w:pPr>
    </w:p>
    <w:p w14:paraId="373637D8">
      <w:pPr>
        <w:spacing w:line="360" w:lineRule="auto"/>
        <w:jc w:val="center"/>
        <w:rPr>
          <w:rFonts w:hint="eastAsia" w:ascii="宋体" w:hAnsi="宋体" w:eastAsia="宋体" w:cs="宋体"/>
          <w:color w:val="auto"/>
          <w:szCs w:val="21"/>
          <w:highlight w:val="none"/>
        </w:rPr>
      </w:pPr>
    </w:p>
    <w:p w14:paraId="1AAEA8DF">
      <w:pPr>
        <w:spacing w:line="360" w:lineRule="auto"/>
        <w:jc w:val="center"/>
        <w:rPr>
          <w:rFonts w:hint="eastAsia" w:ascii="宋体" w:hAnsi="宋体" w:eastAsia="宋体" w:cs="宋体"/>
          <w:color w:val="auto"/>
          <w:szCs w:val="21"/>
          <w:highlight w:val="none"/>
        </w:rPr>
      </w:pPr>
    </w:p>
    <w:p w14:paraId="3066382E">
      <w:pPr>
        <w:spacing w:line="360" w:lineRule="auto"/>
        <w:jc w:val="left"/>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项目编号：</w:t>
      </w:r>
    </w:p>
    <w:p w14:paraId="0C4027E8">
      <w:pPr>
        <w:spacing w:line="360" w:lineRule="auto"/>
        <w:jc w:val="left"/>
        <w:rPr>
          <w:rFonts w:hint="eastAsia" w:ascii="宋体" w:hAnsi="宋体" w:eastAsia="宋体" w:cs="宋体"/>
          <w:color w:val="auto"/>
          <w:sz w:val="32"/>
          <w:szCs w:val="32"/>
          <w:highlight w:val="none"/>
          <w:lang w:val="en-US" w:eastAsia="zh-CN"/>
        </w:rPr>
      </w:pPr>
      <w:r>
        <w:rPr>
          <w:rFonts w:hint="eastAsia" w:ascii="宋体" w:hAnsi="宋体" w:eastAsia="宋体" w:cs="宋体"/>
          <w:color w:val="auto"/>
          <w:sz w:val="32"/>
          <w:szCs w:val="32"/>
          <w:highlight w:val="none"/>
        </w:rPr>
        <w:t>项目名称：</w:t>
      </w:r>
      <w:r>
        <w:rPr>
          <w:rFonts w:hint="eastAsia" w:ascii="宋体" w:hAnsi="宋体" w:eastAsia="宋体" w:cs="宋体"/>
          <w:color w:val="auto"/>
          <w:sz w:val="32"/>
          <w:szCs w:val="32"/>
          <w:highlight w:val="none"/>
          <w:lang w:val="en-US" w:eastAsia="zh-CN"/>
        </w:rPr>
        <w:t xml:space="preserve"> </w:t>
      </w:r>
    </w:p>
    <w:p w14:paraId="45E49CFB">
      <w:pPr>
        <w:spacing w:line="360" w:lineRule="auto"/>
        <w:jc w:val="left"/>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lang w:eastAsia="zh-CN"/>
        </w:rPr>
        <w:t>项目</w:t>
      </w:r>
      <w:r>
        <w:rPr>
          <w:rFonts w:hint="eastAsia" w:ascii="宋体" w:hAnsi="宋体" w:eastAsia="宋体" w:cs="宋体"/>
          <w:color w:val="auto"/>
          <w:sz w:val="32"/>
          <w:szCs w:val="32"/>
          <w:highlight w:val="none"/>
        </w:rPr>
        <w:t>所竞分标：（如有则填写，无分标时填写“无”或者留空）</w:t>
      </w:r>
    </w:p>
    <w:p w14:paraId="3DC9103B">
      <w:pPr>
        <w:spacing w:line="360" w:lineRule="auto"/>
        <w:jc w:val="left"/>
        <w:rPr>
          <w:rFonts w:hint="eastAsia" w:ascii="宋体" w:hAnsi="宋体" w:eastAsia="宋体" w:cs="宋体"/>
          <w:color w:val="auto"/>
          <w:sz w:val="32"/>
          <w:szCs w:val="32"/>
          <w:highlight w:val="none"/>
          <w:u w:val="single"/>
        </w:rPr>
      </w:pPr>
      <w:r>
        <w:rPr>
          <w:rFonts w:hint="eastAsia" w:ascii="宋体" w:hAnsi="宋体" w:eastAsia="宋体" w:cs="宋体"/>
          <w:color w:val="auto"/>
          <w:sz w:val="32"/>
          <w:szCs w:val="32"/>
          <w:highlight w:val="none"/>
        </w:rPr>
        <w:t>供应商名称：</w:t>
      </w:r>
    </w:p>
    <w:p w14:paraId="0B96A706">
      <w:pPr>
        <w:snapToGrid w:val="0"/>
        <w:spacing w:beforeLines="50" w:after="50" w:line="360" w:lineRule="auto"/>
        <w:rPr>
          <w:rFonts w:hint="eastAsia" w:ascii="宋体" w:hAnsi="宋体" w:eastAsia="宋体" w:cs="宋体"/>
          <w:color w:val="auto"/>
          <w:sz w:val="32"/>
          <w:szCs w:val="32"/>
          <w:highlight w:val="none"/>
        </w:rPr>
      </w:pPr>
    </w:p>
    <w:p w14:paraId="558E3BAE">
      <w:pPr>
        <w:snapToGrid w:val="0"/>
        <w:spacing w:beforeLines="50" w:after="50" w:line="360" w:lineRule="auto"/>
        <w:jc w:val="center"/>
        <w:rPr>
          <w:rFonts w:hint="eastAsia" w:ascii="宋体" w:hAnsi="宋体" w:eastAsia="宋体" w:cs="宋体"/>
          <w:color w:val="auto"/>
          <w:sz w:val="32"/>
          <w:szCs w:val="32"/>
          <w:highlight w:val="none"/>
        </w:rPr>
      </w:pPr>
      <w:r>
        <w:rPr>
          <w:rFonts w:hint="eastAsia" w:ascii="宋体" w:hAnsi="宋体" w:eastAsia="宋体" w:cs="宋体"/>
          <w:bCs/>
          <w:color w:val="auto"/>
          <w:sz w:val="32"/>
          <w:szCs w:val="32"/>
          <w:highlight w:val="none"/>
        </w:rPr>
        <w:t>首次响应文件提交截止时间前不得解密</w:t>
      </w:r>
    </w:p>
    <w:p w14:paraId="6D985571">
      <w:pPr>
        <w:snapToGrid w:val="0"/>
        <w:spacing w:beforeLines="50" w:after="50" w:line="360" w:lineRule="auto"/>
        <w:rPr>
          <w:rFonts w:hint="eastAsia" w:ascii="宋体" w:hAnsi="宋体" w:eastAsia="宋体" w:cs="宋体"/>
          <w:color w:val="auto"/>
          <w:sz w:val="32"/>
          <w:szCs w:val="32"/>
          <w:highlight w:val="none"/>
        </w:rPr>
      </w:pPr>
    </w:p>
    <w:p w14:paraId="6B134ECF">
      <w:pPr>
        <w:snapToGrid w:val="0"/>
        <w:spacing w:beforeLines="50" w:after="50" w:line="360" w:lineRule="auto"/>
        <w:jc w:val="center"/>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年    月    日</w:t>
      </w:r>
    </w:p>
    <w:p w14:paraId="0B01BF82">
      <w:pPr>
        <w:snapToGrid w:val="0"/>
        <w:spacing w:beforeLines="50" w:after="50" w:line="360" w:lineRule="auto"/>
        <w:jc w:val="center"/>
        <w:rPr>
          <w:rFonts w:hint="eastAsia" w:ascii="宋体" w:hAnsi="宋体" w:eastAsia="宋体" w:cs="宋体"/>
          <w:bCs/>
          <w:color w:val="auto"/>
          <w:sz w:val="32"/>
          <w:szCs w:val="32"/>
          <w:highlight w:val="none"/>
        </w:rPr>
      </w:pPr>
      <w:r>
        <w:rPr>
          <w:rFonts w:hint="eastAsia" w:ascii="宋体" w:hAnsi="宋体" w:eastAsia="宋体" w:cs="宋体"/>
          <w:color w:val="auto"/>
          <w:sz w:val="32"/>
          <w:szCs w:val="32"/>
          <w:highlight w:val="none"/>
        </w:rPr>
        <w:br w:type="page"/>
      </w:r>
    </w:p>
    <w:p w14:paraId="602EDD5F">
      <w:pPr>
        <w:snapToGrid w:val="0"/>
        <w:spacing w:beforeLines="50" w:after="50" w:line="360" w:lineRule="auto"/>
        <w:outlineLvl w:val="1"/>
        <w:rPr>
          <w:rFonts w:hint="eastAsia" w:ascii="宋体" w:hAnsi="宋体" w:eastAsia="宋体" w:cs="宋体"/>
          <w:b/>
          <w:bCs/>
          <w:color w:val="auto"/>
          <w:sz w:val="32"/>
          <w:szCs w:val="32"/>
          <w:highlight w:val="none"/>
        </w:rPr>
      </w:pPr>
      <w:bookmarkStart w:id="302" w:name="_Toc31723070"/>
      <w:bookmarkStart w:id="303" w:name="_Toc35611438"/>
      <w:bookmarkStart w:id="304" w:name="_Toc44229899"/>
      <w:bookmarkStart w:id="305" w:name="_Toc35611516"/>
      <w:bookmarkStart w:id="306" w:name="_Toc13850"/>
      <w:bookmarkStart w:id="307" w:name="_Toc26388"/>
      <w:bookmarkStart w:id="308" w:name="_Toc7352"/>
      <w:bookmarkStart w:id="309" w:name="_Toc31728084"/>
      <w:bookmarkStart w:id="310" w:name="_Toc19147"/>
      <w:bookmarkStart w:id="311" w:name="_Toc9495"/>
      <w:r>
        <w:rPr>
          <w:rFonts w:hint="eastAsia" w:ascii="宋体" w:hAnsi="宋体" w:eastAsia="宋体" w:cs="宋体"/>
          <w:b/>
          <w:bCs/>
          <w:color w:val="auto"/>
          <w:sz w:val="32"/>
          <w:szCs w:val="32"/>
          <w:highlight w:val="none"/>
        </w:rPr>
        <w:t>一、资格证明文件格式</w:t>
      </w:r>
      <w:bookmarkEnd w:id="302"/>
      <w:bookmarkEnd w:id="303"/>
      <w:bookmarkEnd w:id="304"/>
      <w:bookmarkEnd w:id="305"/>
      <w:bookmarkEnd w:id="306"/>
      <w:bookmarkEnd w:id="307"/>
      <w:bookmarkEnd w:id="308"/>
      <w:bookmarkEnd w:id="309"/>
      <w:bookmarkEnd w:id="310"/>
      <w:bookmarkEnd w:id="311"/>
    </w:p>
    <w:p w14:paraId="2112292B">
      <w:pPr>
        <w:snapToGrid w:val="0"/>
        <w:spacing w:beforeLines="50" w:after="50" w:line="360" w:lineRule="auto"/>
        <w:jc w:val="center"/>
        <w:outlineLvl w:val="2"/>
        <w:rPr>
          <w:rFonts w:hint="eastAsia" w:ascii="宋体" w:hAnsi="宋体" w:eastAsia="宋体" w:cs="宋体"/>
          <w:b/>
          <w:color w:val="auto"/>
          <w:sz w:val="24"/>
          <w:highlight w:val="none"/>
        </w:rPr>
      </w:pPr>
      <w:bookmarkStart w:id="312" w:name="_Toc24157"/>
      <w:bookmarkStart w:id="313" w:name="_Toc23288"/>
      <w:bookmarkStart w:id="314" w:name="_Toc6784"/>
      <w:bookmarkStart w:id="315" w:name="_Toc6344"/>
      <w:r>
        <w:rPr>
          <w:rFonts w:hint="eastAsia" w:ascii="宋体" w:hAnsi="宋体" w:eastAsia="宋体" w:cs="宋体"/>
          <w:b/>
          <w:color w:val="auto"/>
          <w:sz w:val="32"/>
          <w:szCs w:val="32"/>
          <w:highlight w:val="none"/>
        </w:rPr>
        <w:t>1、资格证明文件封面格式：</w:t>
      </w:r>
      <w:bookmarkEnd w:id="312"/>
      <w:bookmarkEnd w:id="313"/>
      <w:bookmarkEnd w:id="314"/>
      <w:bookmarkEnd w:id="315"/>
    </w:p>
    <w:p w14:paraId="797A3FC7">
      <w:pPr>
        <w:snapToGrid w:val="0"/>
        <w:spacing w:beforeLines="50" w:after="50" w:line="360" w:lineRule="auto"/>
        <w:rPr>
          <w:rFonts w:hint="eastAsia" w:ascii="宋体" w:hAnsi="宋体" w:eastAsia="宋体" w:cs="宋体"/>
          <w:bCs/>
          <w:color w:val="auto"/>
          <w:sz w:val="32"/>
          <w:szCs w:val="20"/>
          <w:highlight w:val="none"/>
        </w:rPr>
      </w:pPr>
      <w:r>
        <w:rPr>
          <w:rFonts w:hint="eastAsia" w:ascii="宋体" w:hAnsi="宋体" w:eastAsia="宋体" w:cs="宋体"/>
          <w:color w:val="auto"/>
          <w:sz w:val="24"/>
          <w:highlight w:val="none"/>
        </w:rPr>
        <w:t xml:space="preserve">                                                   </w:t>
      </w:r>
      <w:r>
        <w:rPr>
          <w:rFonts w:hint="eastAsia" w:ascii="宋体" w:hAnsi="宋体" w:eastAsia="宋体" w:cs="宋体"/>
          <w:color w:val="auto"/>
          <w:sz w:val="28"/>
          <w:szCs w:val="28"/>
          <w:highlight w:val="none"/>
        </w:rPr>
        <w:t xml:space="preserve"> 全流程电子文件</w:t>
      </w:r>
    </w:p>
    <w:p w14:paraId="58C53406">
      <w:pPr>
        <w:snapToGrid w:val="0"/>
        <w:spacing w:beforeLines="50" w:after="50" w:line="360" w:lineRule="auto"/>
        <w:rPr>
          <w:rFonts w:hint="eastAsia" w:ascii="宋体" w:hAnsi="宋体" w:eastAsia="宋体" w:cs="宋体"/>
          <w:color w:val="auto"/>
          <w:sz w:val="24"/>
          <w:szCs w:val="20"/>
          <w:highlight w:val="none"/>
        </w:rPr>
      </w:pPr>
    </w:p>
    <w:p w14:paraId="518B7F57">
      <w:pPr>
        <w:snapToGrid w:val="0"/>
        <w:spacing w:beforeLines="50" w:after="50" w:line="360" w:lineRule="auto"/>
        <w:rPr>
          <w:rFonts w:hint="eastAsia" w:ascii="宋体" w:hAnsi="宋体" w:eastAsia="宋体" w:cs="宋体"/>
          <w:color w:val="auto"/>
          <w:sz w:val="24"/>
          <w:szCs w:val="20"/>
          <w:highlight w:val="none"/>
        </w:rPr>
      </w:pPr>
    </w:p>
    <w:p w14:paraId="6B4CC96E">
      <w:pPr>
        <w:snapToGrid w:val="0"/>
        <w:spacing w:beforeLines="50" w:after="50" w:line="360" w:lineRule="auto"/>
        <w:jc w:val="center"/>
        <w:rPr>
          <w:rFonts w:hint="eastAsia" w:ascii="宋体" w:hAnsi="宋体" w:eastAsia="宋体" w:cs="宋体"/>
          <w:bCs/>
          <w:color w:val="auto"/>
          <w:sz w:val="48"/>
          <w:szCs w:val="48"/>
          <w:highlight w:val="none"/>
        </w:rPr>
      </w:pPr>
      <w:r>
        <w:rPr>
          <w:rFonts w:hint="eastAsia" w:ascii="宋体" w:hAnsi="宋体" w:eastAsia="宋体" w:cs="宋体"/>
          <w:bCs/>
          <w:color w:val="auto"/>
          <w:sz w:val="48"/>
          <w:szCs w:val="48"/>
          <w:highlight w:val="none"/>
        </w:rPr>
        <w:t>资  格  证  明  文  件</w:t>
      </w:r>
    </w:p>
    <w:p w14:paraId="3852FDCF">
      <w:pPr>
        <w:snapToGrid w:val="0"/>
        <w:spacing w:beforeLines="50" w:after="50" w:line="360" w:lineRule="auto"/>
        <w:rPr>
          <w:rFonts w:hint="eastAsia" w:ascii="宋体" w:hAnsi="宋体" w:eastAsia="宋体" w:cs="宋体"/>
          <w:bCs/>
          <w:color w:val="auto"/>
          <w:sz w:val="24"/>
          <w:szCs w:val="20"/>
          <w:highlight w:val="none"/>
        </w:rPr>
      </w:pPr>
    </w:p>
    <w:p w14:paraId="038223C7">
      <w:pPr>
        <w:snapToGrid w:val="0"/>
        <w:spacing w:beforeLines="50" w:after="50" w:line="360" w:lineRule="auto"/>
        <w:rPr>
          <w:rFonts w:hint="eastAsia" w:ascii="宋体" w:hAnsi="宋体" w:eastAsia="宋体" w:cs="宋体"/>
          <w:bCs/>
          <w:color w:val="auto"/>
          <w:sz w:val="24"/>
          <w:szCs w:val="20"/>
          <w:highlight w:val="none"/>
        </w:rPr>
      </w:pPr>
    </w:p>
    <w:p w14:paraId="58F78000">
      <w:pPr>
        <w:snapToGrid w:val="0"/>
        <w:spacing w:beforeLines="50" w:after="50" w:line="360" w:lineRule="auto"/>
        <w:rPr>
          <w:rFonts w:hint="eastAsia" w:ascii="宋体" w:hAnsi="宋体" w:eastAsia="宋体" w:cs="宋体"/>
          <w:bCs/>
          <w:color w:val="auto"/>
          <w:sz w:val="24"/>
          <w:szCs w:val="20"/>
          <w:highlight w:val="none"/>
        </w:rPr>
      </w:pPr>
    </w:p>
    <w:p w14:paraId="647BEA47">
      <w:pPr>
        <w:snapToGrid w:val="0"/>
        <w:spacing w:beforeLines="50" w:after="50" w:line="360" w:lineRule="auto"/>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项目名称：</w:t>
      </w:r>
    </w:p>
    <w:p w14:paraId="52D02706">
      <w:pPr>
        <w:snapToGrid w:val="0"/>
        <w:spacing w:beforeLines="50" w:after="50" w:line="360" w:lineRule="auto"/>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项目编号：</w:t>
      </w:r>
    </w:p>
    <w:p w14:paraId="527CBF91">
      <w:pPr>
        <w:snapToGrid w:val="0"/>
        <w:spacing w:beforeLines="50" w:after="50" w:line="360" w:lineRule="auto"/>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所竞分标：（如有则填写，无分标时填写“无”或者留空）</w:t>
      </w:r>
    </w:p>
    <w:p w14:paraId="52E38BA3">
      <w:pPr>
        <w:pStyle w:val="11"/>
        <w:snapToGrid w:val="0"/>
        <w:spacing w:before="50" w:after="50" w:line="360" w:lineRule="auto"/>
        <w:ind w:firstLine="0"/>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供应商名称：</w:t>
      </w:r>
    </w:p>
    <w:p w14:paraId="672C3B2F">
      <w:pPr>
        <w:pStyle w:val="11"/>
        <w:snapToGrid w:val="0"/>
        <w:spacing w:before="50" w:after="50" w:line="360" w:lineRule="auto"/>
        <w:ind w:firstLine="720" w:firstLineChars="225"/>
        <w:rPr>
          <w:rFonts w:hint="eastAsia" w:ascii="宋体" w:hAnsi="宋体" w:eastAsia="宋体" w:cs="宋体"/>
          <w:bCs/>
          <w:color w:val="auto"/>
          <w:sz w:val="32"/>
          <w:szCs w:val="32"/>
          <w:highlight w:val="none"/>
        </w:rPr>
      </w:pPr>
    </w:p>
    <w:p w14:paraId="2FE89A06">
      <w:pPr>
        <w:pStyle w:val="11"/>
        <w:snapToGrid w:val="0"/>
        <w:spacing w:before="50" w:after="50" w:line="360" w:lineRule="auto"/>
        <w:ind w:firstLine="720" w:firstLineChars="225"/>
        <w:rPr>
          <w:rFonts w:hint="eastAsia" w:ascii="宋体" w:hAnsi="宋体" w:eastAsia="宋体" w:cs="宋体"/>
          <w:bCs/>
          <w:color w:val="auto"/>
          <w:sz w:val="32"/>
          <w:szCs w:val="32"/>
          <w:highlight w:val="none"/>
        </w:rPr>
      </w:pPr>
    </w:p>
    <w:p w14:paraId="79AC0D02">
      <w:pPr>
        <w:pStyle w:val="11"/>
        <w:snapToGrid w:val="0"/>
        <w:spacing w:before="50" w:after="50" w:line="360" w:lineRule="auto"/>
        <w:ind w:firstLine="1280" w:firstLineChars="400"/>
        <w:rPr>
          <w:rFonts w:hint="eastAsia" w:ascii="宋体" w:hAnsi="宋体" w:eastAsia="宋体" w:cs="宋体"/>
          <w:bCs/>
          <w:color w:val="auto"/>
          <w:sz w:val="32"/>
          <w:szCs w:val="32"/>
          <w:highlight w:val="none"/>
        </w:rPr>
      </w:pPr>
    </w:p>
    <w:p w14:paraId="3C8577C1">
      <w:pPr>
        <w:snapToGrid w:val="0"/>
        <w:spacing w:beforeLines="50" w:after="50" w:line="360" w:lineRule="auto"/>
        <w:jc w:val="center"/>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年    月    日</w:t>
      </w:r>
    </w:p>
    <w:p w14:paraId="35D1E0F8">
      <w:pPr>
        <w:snapToGrid w:val="0"/>
        <w:spacing w:beforeLines="50" w:after="50" w:line="360" w:lineRule="auto"/>
        <w:ind w:left="142"/>
        <w:jc w:val="center"/>
        <w:outlineLvl w:val="2"/>
        <w:rPr>
          <w:rFonts w:hint="eastAsia" w:ascii="宋体" w:hAnsi="宋体" w:eastAsia="宋体" w:cs="宋体"/>
          <w:b/>
          <w:bCs/>
          <w:color w:val="auto"/>
          <w:sz w:val="32"/>
          <w:szCs w:val="32"/>
          <w:highlight w:val="none"/>
        </w:rPr>
      </w:pPr>
      <w:r>
        <w:rPr>
          <w:rFonts w:hint="eastAsia" w:ascii="宋体" w:hAnsi="宋体" w:eastAsia="宋体" w:cs="宋体"/>
          <w:color w:val="auto"/>
          <w:sz w:val="24"/>
          <w:highlight w:val="none"/>
        </w:rPr>
        <w:br w:type="page"/>
      </w:r>
      <w:bookmarkStart w:id="316" w:name="_Toc18899"/>
      <w:bookmarkStart w:id="317" w:name="_Toc32643"/>
      <w:bookmarkStart w:id="318" w:name="_Toc25825"/>
      <w:bookmarkStart w:id="319" w:name="_Toc15013"/>
      <w:r>
        <w:rPr>
          <w:rFonts w:hint="eastAsia" w:ascii="宋体" w:hAnsi="宋体" w:eastAsia="宋体" w:cs="宋体"/>
          <w:b/>
          <w:bCs/>
          <w:color w:val="auto"/>
          <w:sz w:val="32"/>
          <w:szCs w:val="32"/>
          <w:highlight w:val="none"/>
        </w:rPr>
        <w:t>2、资格证明文件目录</w:t>
      </w:r>
      <w:bookmarkEnd w:id="316"/>
      <w:bookmarkEnd w:id="317"/>
      <w:bookmarkEnd w:id="318"/>
      <w:bookmarkEnd w:id="319"/>
    </w:p>
    <w:p w14:paraId="167569CF">
      <w:pPr>
        <w:spacing w:line="360" w:lineRule="auto"/>
        <w:ind w:firstLine="420" w:firstLineChars="200"/>
        <w:rPr>
          <w:rFonts w:ascii="宋体" w:hAnsi="宋体" w:eastAsia="宋体"/>
          <w:color w:val="auto"/>
          <w:szCs w:val="21"/>
          <w:highlight w:val="none"/>
        </w:rPr>
        <w:sectPr>
          <w:pgSz w:w="11906" w:h="16838"/>
          <w:pgMar w:top="1440" w:right="1134" w:bottom="1440" w:left="1418" w:header="851" w:footer="992" w:gutter="0"/>
          <w:pgNumType w:fmt="decimal"/>
          <w:cols w:space="425" w:num="1"/>
          <w:docGrid w:type="lines" w:linePitch="312" w:charSpace="0"/>
        </w:sectPr>
      </w:pPr>
      <w:r>
        <w:rPr>
          <w:rFonts w:hint="eastAsia" w:ascii="宋体" w:hAnsi="宋体" w:eastAsia="宋体"/>
          <w:color w:val="auto"/>
          <w:szCs w:val="21"/>
          <w:highlight w:val="none"/>
        </w:rPr>
        <w:t>根据磋商文件规定及供应商提供的材料自行编写目录（部分格式后附）。</w:t>
      </w:r>
    </w:p>
    <w:p w14:paraId="3BCDAF90">
      <w:pPr>
        <w:spacing w:line="360" w:lineRule="auto"/>
        <w:rPr>
          <w:rFonts w:hint="eastAsia" w:ascii="宋体" w:hAnsi="宋体" w:eastAsia="宋体" w:cs="宋体"/>
          <w:color w:val="auto"/>
          <w:szCs w:val="21"/>
          <w:highlight w:val="none"/>
        </w:rPr>
      </w:pPr>
    </w:p>
    <w:p w14:paraId="1D766B34">
      <w:pPr>
        <w:keepNext w:val="0"/>
        <w:keepLines w:val="0"/>
        <w:widowControl/>
        <w:suppressLineNumbers w:val="0"/>
        <w:spacing w:line="360" w:lineRule="auto"/>
        <w:jc w:val="left"/>
        <w:rPr>
          <w:rFonts w:hint="eastAsia" w:ascii="宋体" w:hAnsi="宋体" w:eastAsia="宋体" w:cs="宋体"/>
          <w:b/>
          <w:bCs/>
          <w:color w:val="auto"/>
          <w:kern w:val="0"/>
          <w:sz w:val="24"/>
          <w:szCs w:val="24"/>
          <w:highlight w:val="none"/>
          <w:lang w:val="en-US" w:eastAsia="zh-CN" w:bidi="ar"/>
        </w:rPr>
      </w:pPr>
      <w:r>
        <w:rPr>
          <w:rFonts w:hint="eastAsia" w:ascii="宋体" w:hAnsi="宋体" w:eastAsia="宋体" w:cs="宋体"/>
          <w:b/>
          <w:bCs/>
          <w:color w:val="auto"/>
          <w:kern w:val="0"/>
          <w:sz w:val="24"/>
          <w:szCs w:val="24"/>
          <w:highlight w:val="none"/>
          <w:lang w:val="en-US" w:eastAsia="zh-CN" w:bidi="ar"/>
        </w:rPr>
        <w:t>附1：贺州市政府采购供应商信用承诺函（格式）</w:t>
      </w:r>
    </w:p>
    <w:p w14:paraId="01D1BB67">
      <w:pPr>
        <w:spacing w:line="360" w:lineRule="auto"/>
        <w:jc w:val="center"/>
        <w:rPr>
          <w:rFonts w:hint="eastAsia" w:ascii="宋体" w:hAnsi="宋体" w:eastAsia="宋体" w:cs="宋体"/>
          <w:b/>
          <w:color w:val="auto"/>
          <w:sz w:val="32"/>
          <w:szCs w:val="32"/>
          <w:highlight w:val="none"/>
        </w:rPr>
      </w:pPr>
    </w:p>
    <w:p w14:paraId="27B03E80">
      <w:pPr>
        <w:spacing w:line="360" w:lineRule="auto"/>
        <w:jc w:val="center"/>
        <w:rPr>
          <w:rFonts w:hint="eastAsia" w:ascii="宋体" w:hAnsi="宋体" w:eastAsia="宋体" w:cs="宋体"/>
          <w:color w:val="auto"/>
          <w:sz w:val="20"/>
          <w:szCs w:val="20"/>
          <w:highlight w:val="none"/>
        </w:rPr>
      </w:pPr>
      <w:r>
        <w:rPr>
          <w:rFonts w:hint="eastAsia" w:ascii="宋体" w:hAnsi="宋体" w:eastAsia="宋体" w:cs="宋体"/>
          <w:b/>
          <w:color w:val="auto"/>
          <w:sz w:val="28"/>
          <w:szCs w:val="28"/>
          <w:highlight w:val="none"/>
        </w:rPr>
        <w:t>贺州市政府采购供应商信用承诺函</w:t>
      </w:r>
    </w:p>
    <w:p w14:paraId="5838017F">
      <w:pPr>
        <w:spacing w:line="360" w:lineRule="auto"/>
        <w:jc w:val="left"/>
        <w:rPr>
          <w:rFonts w:hint="eastAsia" w:ascii="宋体" w:hAnsi="宋体" w:eastAsia="宋体" w:cs="宋体"/>
          <w:color w:val="auto"/>
          <w:szCs w:val="21"/>
          <w:highlight w:val="none"/>
        </w:rPr>
      </w:pPr>
    </w:p>
    <w:p w14:paraId="7505824C">
      <w:pPr>
        <w:spacing w:line="360" w:lineRule="auto"/>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致（采购人或采购代理机构）：</w:t>
      </w:r>
    </w:p>
    <w:p w14:paraId="739554EA">
      <w:pPr>
        <w:spacing w:line="360" w:lineRule="auto"/>
        <w:jc w:val="left"/>
        <w:rPr>
          <w:rFonts w:hint="eastAsia" w:ascii="宋体" w:hAnsi="宋体" w:eastAsia="宋体" w:cs="宋体"/>
          <w:color w:val="auto"/>
          <w:sz w:val="24"/>
          <w:highlight w:val="none"/>
        </w:rPr>
      </w:pPr>
    </w:p>
    <w:p w14:paraId="3FB9269F">
      <w:pPr>
        <w:spacing w:line="360" w:lineRule="auto"/>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供应商名称：</w:t>
      </w:r>
    </w:p>
    <w:p w14:paraId="49D2A238">
      <w:pPr>
        <w:spacing w:line="360" w:lineRule="auto"/>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统一社会信用代码：</w:t>
      </w:r>
    </w:p>
    <w:p w14:paraId="6D8B4BAE">
      <w:pPr>
        <w:spacing w:line="360" w:lineRule="auto"/>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供应商地址：</w:t>
      </w:r>
    </w:p>
    <w:p w14:paraId="2D2501D6">
      <w:pPr>
        <w:spacing w:line="360" w:lineRule="auto"/>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我单位自愿参加本次政府采购活动，严格遵守《中华人民共和国政府采购法》及相关法律法规，依法诚信经营，无条件遵守本次政府采购活动的各项规定。我单位郑重承诺，本单位符合《中华人民共和国政府采购法》第二十二条规定的条件：</w:t>
      </w:r>
    </w:p>
    <w:p w14:paraId="3C6F82CF">
      <w:pPr>
        <w:spacing w:line="360" w:lineRule="auto"/>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1.我单位具有符合采购文件资格要求独立承担民事责任的能力。</w:t>
      </w:r>
    </w:p>
    <w:p w14:paraId="3F047306">
      <w:pPr>
        <w:spacing w:line="360" w:lineRule="auto"/>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2.我单位具有符合采购文件资格要求的财务状况报告。</w:t>
      </w:r>
    </w:p>
    <w:p w14:paraId="7D2AFDD9">
      <w:pPr>
        <w:spacing w:line="360" w:lineRule="auto"/>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3.我单位具有符合采购文件资格要求的依法缴纳税收和社会保障记录的良好记录。</w:t>
      </w:r>
    </w:p>
    <w:p w14:paraId="4DBDD83B">
      <w:pPr>
        <w:spacing w:line="360" w:lineRule="auto"/>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4.我单位具有符合采购文件资格要求履行合同所必需的设备和专业技术能力。</w:t>
      </w:r>
    </w:p>
    <w:p w14:paraId="11EAD2C1">
      <w:pPr>
        <w:spacing w:line="360" w:lineRule="auto"/>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5.参加政府采购活动前三年内，在经营活动中没有重大违法记录。</w:t>
      </w:r>
    </w:p>
    <w:p w14:paraId="060F9AC6">
      <w:pPr>
        <w:spacing w:line="360" w:lineRule="auto"/>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若我单位承诺不实，自愿承担提供虚假材料谋取中标、成交的法律责任。</w:t>
      </w:r>
    </w:p>
    <w:p w14:paraId="123CB625">
      <w:pPr>
        <w:spacing w:line="360" w:lineRule="auto"/>
        <w:jc w:val="left"/>
        <w:rPr>
          <w:rFonts w:hint="eastAsia" w:ascii="宋体" w:hAnsi="宋体" w:eastAsia="宋体" w:cs="宋体"/>
          <w:color w:val="auto"/>
          <w:sz w:val="24"/>
          <w:highlight w:val="none"/>
        </w:rPr>
      </w:pPr>
    </w:p>
    <w:p w14:paraId="2D72CC48">
      <w:pPr>
        <w:spacing w:line="360" w:lineRule="auto"/>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供应商名称（公章）：</w:t>
      </w:r>
    </w:p>
    <w:p w14:paraId="26F5FD56">
      <w:pPr>
        <w:spacing w:line="360" w:lineRule="auto"/>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法定代表人</w:t>
      </w:r>
      <w:r>
        <w:rPr>
          <w:rFonts w:hint="eastAsia" w:ascii="宋体" w:hAnsi="宋体" w:eastAsia="宋体" w:cs="宋体"/>
          <w:color w:val="auto"/>
          <w:sz w:val="24"/>
          <w:highlight w:val="none"/>
          <w:lang w:eastAsia="zh-CN"/>
        </w:rPr>
        <w:t>（负责人）</w:t>
      </w:r>
      <w:r>
        <w:rPr>
          <w:rFonts w:hint="eastAsia" w:ascii="宋体" w:hAnsi="宋体" w:eastAsia="宋体" w:cs="宋体"/>
          <w:color w:val="auto"/>
          <w:sz w:val="24"/>
          <w:highlight w:val="none"/>
        </w:rPr>
        <w:t>或授权代表(签名)：</w:t>
      </w:r>
    </w:p>
    <w:p w14:paraId="5CB5EE31">
      <w:pPr>
        <w:spacing w:line="360" w:lineRule="auto"/>
        <w:jc w:val="left"/>
        <w:rPr>
          <w:rFonts w:hint="eastAsia" w:ascii="宋体" w:hAnsi="宋体" w:eastAsia="宋体" w:cs="宋体"/>
          <w:color w:val="auto"/>
          <w:sz w:val="24"/>
          <w:highlight w:val="none"/>
        </w:rPr>
      </w:pPr>
    </w:p>
    <w:p w14:paraId="3B484686">
      <w:pPr>
        <w:spacing w:line="360" w:lineRule="auto"/>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日期：   年  月  日</w:t>
      </w:r>
    </w:p>
    <w:p w14:paraId="513FD7E1">
      <w:pPr>
        <w:spacing w:line="360" w:lineRule="auto"/>
        <w:jc w:val="left"/>
        <w:rPr>
          <w:rFonts w:hint="eastAsia" w:ascii="宋体" w:hAnsi="宋体" w:eastAsia="宋体" w:cs="宋体"/>
          <w:color w:val="auto"/>
          <w:sz w:val="24"/>
          <w:highlight w:val="none"/>
        </w:rPr>
      </w:pPr>
    </w:p>
    <w:p w14:paraId="1AC5D236">
      <w:pPr>
        <w:spacing w:line="360" w:lineRule="auto"/>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注：1.供应商须在投标（响应）文件中按此模板提供承诺函，未提供视为未实质性响应招标（采购）文件要求，按无效投标（响应）处理。</w:t>
      </w:r>
    </w:p>
    <w:p w14:paraId="1AD7275F">
      <w:pPr>
        <w:spacing w:line="360" w:lineRule="auto"/>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2.供应商的法定代表人（其他组织的为负责人）或者授权代表的签名或盖章应真实、有效，如由授权代表签名或盖章的，应提供“法定代表人</w:t>
      </w:r>
      <w:r>
        <w:rPr>
          <w:rFonts w:hint="eastAsia" w:ascii="宋体" w:hAnsi="宋体" w:eastAsia="宋体" w:cs="宋体"/>
          <w:color w:val="auto"/>
          <w:sz w:val="24"/>
          <w:highlight w:val="none"/>
          <w:lang w:eastAsia="zh-CN"/>
        </w:rPr>
        <w:t>（负责人）</w:t>
      </w:r>
      <w:r>
        <w:rPr>
          <w:rFonts w:hint="eastAsia" w:ascii="宋体" w:hAnsi="宋体" w:eastAsia="宋体" w:cs="宋体"/>
          <w:color w:val="auto"/>
          <w:sz w:val="24"/>
          <w:highlight w:val="none"/>
        </w:rPr>
        <w:t>授权书”。</w:t>
      </w:r>
    </w:p>
    <w:p w14:paraId="72D386E6">
      <w:pPr>
        <w:spacing w:line="360" w:lineRule="auto"/>
        <w:jc w:val="left"/>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br w:type="page"/>
      </w:r>
    </w:p>
    <w:p w14:paraId="62C16371">
      <w:pPr>
        <w:keepNext w:val="0"/>
        <w:keepLines w:val="0"/>
        <w:widowControl/>
        <w:suppressLineNumbers w:val="0"/>
        <w:spacing w:line="360" w:lineRule="auto"/>
        <w:jc w:val="left"/>
        <w:rPr>
          <w:rFonts w:hint="eastAsia" w:ascii="宋体" w:hAnsi="宋体" w:eastAsia="宋体" w:cs="宋体"/>
          <w:color w:val="auto"/>
          <w:highlight w:val="none"/>
        </w:rPr>
      </w:pPr>
      <w:r>
        <w:rPr>
          <w:rFonts w:hint="eastAsia" w:ascii="宋体" w:hAnsi="宋体" w:eastAsia="宋体" w:cs="宋体"/>
          <w:b/>
          <w:bCs/>
          <w:color w:val="auto"/>
          <w:kern w:val="0"/>
          <w:sz w:val="24"/>
          <w:szCs w:val="24"/>
          <w:highlight w:val="none"/>
          <w:lang w:val="en-US" w:eastAsia="zh-CN" w:bidi="ar"/>
        </w:rPr>
        <w:t>附2、竞标人基本情况表</w:t>
      </w:r>
    </w:p>
    <w:tbl>
      <w:tblPr>
        <w:tblStyle w:val="33"/>
        <w:tblW w:w="1008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04"/>
        <w:gridCol w:w="1019"/>
        <w:gridCol w:w="1115"/>
        <w:gridCol w:w="1290"/>
        <w:gridCol w:w="199"/>
        <w:gridCol w:w="1400"/>
        <w:gridCol w:w="71"/>
        <w:gridCol w:w="809"/>
        <w:gridCol w:w="2174"/>
      </w:tblGrid>
      <w:tr w14:paraId="00DD7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004" w:type="dxa"/>
            <w:vAlign w:val="center"/>
          </w:tcPr>
          <w:p w14:paraId="15519ACD">
            <w:pPr>
              <w:pStyle w:val="118"/>
              <w:spacing w:line="360" w:lineRule="auto"/>
              <w:jc w:val="center"/>
              <w:rPr>
                <w:rStyle w:val="35"/>
                <w:rFonts w:hint="eastAsia" w:ascii="宋体" w:hAnsi="宋体" w:eastAsia="宋体" w:cs="宋体"/>
                <w:color w:val="auto"/>
                <w:sz w:val="21"/>
                <w:szCs w:val="21"/>
                <w:highlight w:val="none"/>
              </w:rPr>
            </w:pPr>
            <w:r>
              <w:rPr>
                <w:rStyle w:val="35"/>
                <w:rFonts w:hint="eastAsia" w:ascii="宋体" w:hAnsi="宋体" w:cs="宋体"/>
                <w:color w:val="auto"/>
                <w:sz w:val="21"/>
                <w:szCs w:val="21"/>
                <w:highlight w:val="none"/>
                <w:lang w:val="en-US" w:eastAsia="zh-CN"/>
              </w:rPr>
              <w:t>竞标</w:t>
            </w:r>
            <w:r>
              <w:rPr>
                <w:rStyle w:val="35"/>
                <w:rFonts w:hint="eastAsia" w:ascii="宋体" w:hAnsi="宋体" w:eastAsia="宋体" w:cs="宋体"/>
                <w:color w:val="auto"/>
                <w:sz w:val="21"/>
                <w:szCs w:val="21"/>
                <w:highlight w:val="none"/>
              </w:rPr>
              <w:t>人名称</w:t>
            </w:r>
          </w:p>
        </w:tc>
        <w:tc>
          <w:tcPr>
            <w:tcW w:w="8077" w:type="dxa"/>
            <w:gridSpan w:val="8"/>
            <w:vAlign w:val="center"/>
          </w:tcPr>
          <w:p w14:paraId="1AC2F77D">
            <w:pPr>
              <w:pStyle w:val="118"/>
              <w:spacing w:line="360" w:lineRule="auto"/>
              <w:jc w:val="center"/>
              <w:rPr>
                <w:rStyle w:val="35"/>
                <w:rFonts w:hint="eastAsia" w:ascii="宋体" w:hAnsi="宋体" w:eastAsia="宋体" w:cs="宋体"/>
                <w:color w:val="auto"/>
                <w:sz w:val="21"/>
                <w:szCs w:val="21"/>
                <w:highlight w:val="none"/>
              </w:rPr>
            </w:pPr>
          </w:p>
        </w:tc>
      </w:tr>
      <w:tr w14:paraId="7CE43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004" w:type="dxa"/>
            <w:vAlign w:val="center"/>
          </w:tcPr>
          <w:p w14:paraId="36A59F15">
            <w:pPr>
              <w:pStyle w:val="118"/>
              <w:spacing w:line="360" w:lineRule="auto"/>
              <w:jc w:val="center"/>
              <w:rPr>
                <w:rStyle w:val="35"/>
                <w:rFonts w:hint="eastAsia" w:ascii="宋体" w:hAnsi="宋体" w:eastAsia="宋体" w:cs="宋体"/>
                <w:color w:val="auto"/>
                <w:sz w:val="21"/>
                <w:szCs w:val="21"/>
                <w:highlight w:val="none"/>
              </w:rPr>
            </w:pPr>
            <w:r>
              <w:rPr>
                <w:rStyle w:val="35"/>
                <w:rFonts w:hint="eastAsia" w:ascii="宋体" w:hAnsi="宋体" w:eastAsia="宋体" w:cs="宋体"/>
                <w:color w:val="auto"/>
                <w:sz w:val="21"/>
                <w:szCs w:val="21"/>
                <w:highlight w:val="none"/>
              </w:rPr>
              <w:t>注册地址</w:t>
            </w:r>
          </w:p>
        </w:tc>
        <w:tc>
          <w:tcPr>
            <w:tcW w:w="3623" w:type="dxa"/>
            <w:gridSpan w:val="4"/>
            <w:vAlign w:val="center"/>
          </w:tcPr>
          <w:p w14:paraId="773CFAE3">
            <w:pPr>
              <w:pStyle w:val="118"/>
              <w:spacing w:line="360" w:lineRule="auto"/>
              <w:jc w:val="center"/>
              <w:rPr>
                <w:rStyle w:val="35"/>
                <w:rFonts w:hint="eastAsia" w:ascii="宋体" w:hAnsi="宋体" w:eastAsia="宋体" w:cs="宋体"/>
                <w:color w:val="auto"/>
                <w:sz w:val="21"/>
                <w:szCs w:val="21"/>
                <w:highlight w:val="none"/>
              </w:rPr>
            </w:pPr>
          </w:p>
        </w:tc>
        <w:tc>
          <w:tcPr>
            <w:tcW w:w="1400" w:type="dxa"/>
            <w:vAlign w:val="center"/>
          </w:tcPr>
          <w:p w14:paraId="0A8E0A25">
            <w:pPr>
              <w:pStyle w:val="118"/>
              <w:spacing w:line="360" w:lineRule="auto"/>
              <w:jc w:val="center"/>
              <w:rPr>
                <w:rStyle w:val="35"/>
                <w:rFonts w:hint="eastAsia" w:ascii="宋体" w:hAnsi="宋体" w:eastAsia="宋体" w:cs="宋体"/>
                <w:color w:val="auto"/>
                <w:sz w:val="21"/>
                <w:szCs w:val="21"/>
                <w:highlight w:val="none"/>
              </w:rPr>
            </w:pPr>
            <w:r>
              <w:rPr>
                <w:rStyle w:val="35"/>
                <w:rFonts w:hint="eastAsia" w:ascii="宋体" w:hAnsi="宋体" w:eastAsia="宋体" w:cs="宋体"/>
                <w:color w:val="auto"/>
                <w:sz w:val="21"/>
                <w:szCs w:val="21"/>
                <w:highlight w:val="none"/>
              </w:rPr>
              <w:t>邮政编码</w:t>
            </w:r>
          </w:p>
        </w:tc>
        <w:tc>
          <w:tcPr>
            <w:tcW w:w="3054" w:type="dxa"/>
            <w:gridSpan w:val="3"/>
            <w:vAlign w:val="center"/>
          </w:tcPr>
          <w:p w14:paraId="248EEFE2">
            <w:pPr>
              <w:pStyle w:val="118"/>
              <w:spacing w:line="360" w:lineRule="auto"/>
              <w:jc w:val="center"/>
              <w:rPr>
                <w:rStyle w:val="35"/>
                <w:rFonts w:hint="eastAsia" w:ascii="宋体" w:hAnsi="宋体" w:eastAsia="宋体" w:cs="宋体"/>
                <w:color w:val="auto"/>
                <w:sz w:val="21"/>
                <w:szCs w:val="21"/>
                <w:highlight w:val="none"/>
              </w:rPr>
            </w:pPr>
          </w:p>
        </w:tc>
      </w:tr>
      <w:tr w14:paraId="19BD2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004" w:type="dxa"/>
            <w:vMerge w:val="restart"/>
            <w:vAlign w:val="center"/>
          </w:tcPr>
          <w:p w14:paraId="68CA77E9">
            <w:pPr>
              <w:pStyle w:val="118"/>
              <w:spacing w:line="360" w:lineRule="auto"/>
              <w:jc w:val="center"/>
              <w:rPr>
                <w:rStyle w:val="35"/>
                <w:rFonts w:hint="eastAsia" w:ascii="宋体" w:hAnsi="宋体" w:eastAsia="宋体" w:cs="宋体"/>
                <w:color w:val="auto"/>
                <w:sz w:val="21"/>
                <w:szCs w:val="21"/>
                <w:highlight w:val="none"/>
              </w:rPr>
            </w:pPr>
            <w:r>
              <w:rPr>
                <w:rStyle w:val="35"/>
                <w:rFonts w:hint="eastAsia" w:ascii="宋体" w:hAnsi="宋体" w:eastAsia="宋体" w:cs="宋体"/>
                <w:color w:val="auto"/>
                <w:sz w:val="21"/>
                <w:szCs w:val="21"/>
                <w:highlight w:val="none"/>
              </w:rPr>
              <w:t>联系方式</w:t>
            </w:r>
          </w:p>
        </w:tc>
        <w:tc>
          <w:tcPr>
            <w:tcW w:w="1019" w:type="dxa"/>
            <w:vAlign w:val="center"/>
          </w:tcPr>
          <w:p w14:paraId="5206B9E1">
            <w:pPr>
              <w:pStyle w:val="118"/>
              <w:spacing w:line="360" w:lineRule="auto"/>
              <w:jc w:val="center"/>
              <w:rPr>
                <w:rStyle w:val="35"/>
                <w:rFonts w:hint="eastAsia" w:ascii="宋体" w:hAnsi="宋体" w:eastAsia="宋体" w:cs="宋体"/>
                <w:color w:val="auto"/>
                <w:sz w:val="21"/>
                <w:szCs w:val="21"/>
                <w:highlight w:val="none"/>
              </w:rPr>
            </w:pPr>
            <w:r>
              <w:rPr>
                <w:rStyle w:val="35"/>
                <w:rFonts w:hint="eastAsia" w:ascii="宋体" w:hAnsi="宋体" w:eastAsia="宋体" w:cs="宋体"/>
                <w:color w:val="auto"/>
                <w:sz w:val="21"/>
                <w:szCs w:val="21"/>
                <w:highlight w:val="none"/>
              </w:rPr>
              <w:t>联系人</w:t>
            </w:r>
          </w:p>
        </w:tc>
        <w:tc>
          <w:tcPr>
            <w:tcW w:w="2604" w:type="dxa"/>
            <w:gridSpan w:val="3"/>
            <w:vAlign w:val="center"/>
          </w:tcPr>
          <w:p w14:paraId="5998A768">
            <w:pPr>
              <w:pStyle w:val="118"/>
              <w:spacing w:line="360" w:lineRule="auto"/>
              <w:jc w:val="center"/>
              <w:rPr>
                <w:rStyle w:val="35"/>
                <w:rFonts w:hint="eastAsia" w:ascii="宋体" w:hAnsi="宋体" w:eastAsia="宋体" w:cs="宋体"/>
                <w:color w:val="auto"/>
                <w:sz w:val="21"/>
                <w:szCs w:val="21"/>
                <w:highlight w:val="none"/>
              </w:rPr>
            </w:pPr>
          </w:p>
        </w:tc>
        <w:tc>
          <w:tcPr>
            <w:tcW w:w="1400" w:type="dxa"/>
            <w:vAlign w:val="center"/>
          </w:tcPr>
          <w:p w14:paraId="0E73F1C3">
            <w:pPr>
              <w:pStyle w:val="118"/>
              <w:spacing w:line="360" w:lineRule="auto"/>
              <w:jc w:val="center"/>
              <w:rPr>
                <w:rStyle w:val="35"/>
                <w:rFonts w:hint="eastAsia" w:ascii="宋体" w:hAnsi="宋体" w:eastAsia="宋体" w:cs="宋体"/>
                <w:color w:val="auto"/>
                <w:sz w:val="21"/>
                <w:szCs w:val="21"/>
                <w:highlight w:val="none"/>
              </w:rPr>
            </w:pPr>
            <w:r>
              <w:rPr>
                <w:rStyle w:val="35"/>
                <w:rFonts w:hint="eastAsia" w:ascii="宋体" w:hAnsi="宋体" w:eastAsia="宋体" w:cs="宋体"/>
                <w:color w:val="auto"/>
                <w:sz w:val="21"/>
                <w:szCs w:val="21"/>
                <w:highlight w:val="none"/>
              </w:rPr>
              <w:t>电  话</w:t>
            </w:r>
          </w:p>
        </w:tc>
        <w:tc>
          <w:tcPr>
            <w:tcW w:w="3054" w:type="dxa"/>
            <w:gridSpan w:val="3"/>
            <w:vAlign w:val="center"/>
          </w:tcPr>
          <w:p w14:paraId="151BD426">
            <w:pPr>
              <w:pStyle w:val="118"/>
              <w:spacing w:line="360" w:lineRule="auto"/>
              <w:jc w:val="center"/>
              <w:rPr>
                <w:rStyle w:val="35"/>
                <w:rFonts w:hint="eastAsia" w:ascii="宋体" w:hAnsi="宋体" w:eastAsia="宋体" w:cs="宋体"/>
                <w:color w:val="auto"/>
                <w:sz w:val="21"/>
                <w:szCs w:val="21"/>
                <w:highlight w:val="none"/>
              </w:rPr>
            </w:pPr>
          </w:p>
        </w:tc>
      </w:tr>
      <w:tr w14:paraId="76EAC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004" w:type="dxa"/>
            <w:vMerge w:val="continue"/>
            <w:vAlign w:val="center"/>
          </w:tcPr>
          <w:p w14:paraId="4030A406">
            <w:pPr>
              <w:pStyle w:val="118"/>
              <w:spacing w:line="360" w:lineRule="auto"/>
              <w:jc w:val="center"/>
              <w:rPr>
                <w:rStyle w:val="35"/>
                <w:rFonts w:hint="eastAsia" w:ascii="宋体" w:hAnsi="宋体" w:eastAsia="宋体" w:cs="宋体"/>
                <w:color w:val="auto"/>
                <w:sz w:val="21"/>
                <w:szCs w:val="21"/>
                <w:highlight w:val="none"/>
              </w:rPr>
            </w:pPr>
          </w:p>
        </w:tc>
        <w:tc>
          <w:tcPr>
            <w:tcW w:w="1019" w:type="dxa"/>
            <w:vAlign w:val="center"/>
          </w:tcPr>
          <w:p w14:paraId="44C495DF">
            <w:pPr>
              <w:pStyle w:val="118"/>
              <w:spacing w:line="360" w:lineRule="auto"/>
              <w:jc w:val="center"/>
              <w:rPr>
                <w:rStyle w:val="35"/>
                <w:rFonts w:hint="eastAsia" w:ascii="宋体" w:hAnsi="宋体" w:eastAsia="宋体" w:cs="宋体"/>
                <w:color w:val="auto"/>
                <w:sz w:val="21"/>
                <w:szCs w:val="21"/>
                <w:highlight w:val="none"/>
              </w:rPr>
            </w:pPr>
            <w:r>
              <w:rPr>
                <w:rStyle w:val="35"/>
                <w:rFonts w:hint="eastAsia" w:ascii="宋体" w:hAnsi="宋体" w:eastAsia="宋体" w:cs="宋体"/>
                <w:color w:val="auto"/>
                <w:sz w:val="21"/>
                <w:szCs w:val="21"/>
                <w:highlight w:val="none"/>
              </w:rPr>
              <w:t>传  真</w:t>
            </w:r>
          </w:p>
        </w:tc>
        <w:tc>
          <w:tcPr>
            <w:tcW w:w="2604" w:type="dxa"/>
            <w:gridSpan w:val="3"/>
            <w:vAlign w:val="center"/>
          </w:tcPr>
          <w:p w14:paraId="5589068D">
            <w:pPr>
              <w:pStyle w:val="118"/>
              <w:spacing w:line="360" w:lineRule="auto"/>
              <w:jc w:val="center"/>
              <w:rPr>
                <w:rStyle w:val="35"/>
                <w:rFonts w:hint="eastAsia" w:ascii="宋体" w:hAnsi="宋体" w:eastAsia="宋体" w:cs="宋体"/>
                <w:color w:val="auto"/>
                <w:sz w:val="21"/>
                <w:szCs w:val="21"/>
                <w:highlight w:val="none"/>
              </w:rPr>
            </w:pPr>
          </w:p>
        </w:tc>
        <w:tc>
          <w:tcPr>
            <w:tcW w:w="1400" w:type="dxa"/>
            <w:vAlign w:val="center"/>
          </w:tcPr>
          <w:p w14:paraId="749534DE">
            <w:pPr>
              <w:pStyle w:val="118"/>
              <w:spacing w:line="360" w:lineRule="auto"/>
              <w:jc w:val="center"/>
              <w:rPr>
                <w:rStyle w:val="35"/>
                <w:rFonts w:hint="eastAsia" w:ascii="宋体" w:hAnsi="宋体" w:eastAsia="宋体" w:cs="宋体"/>
                <w:color w:val="auto"/>
                <w:sz w:val="21"/>
                <w:szCs w:val="21"/>
                <w:highlight w:val="none"/>
              </w:rPr>
            </w:pPr>
            <w:r>
              <w:rPr>
                <w:rStyle w:val="35"/>
                <w:rFonts w:hint="eastAsia" w:ascii="宋体" w:hAnsi="宋体" w:eastAsia="宋体" w:cs="宋体"/>
                <w:color w:val="auto"/>
                <w:sz w:val="21"/>
                <w:szCs w:val="21"/>
                <w:highlight w:val="none"/>
              </w:rPr>
              <w:t>网  址</w:t>
            </w:r>
          </w:p>
        </w:tc>
        <w:tc>
          <w:tcPr>
            <w:tcW w:w="3054" w:type="dxa"/>
            <w:gridSpan w:val="3"/>
            <w:vAlign w:val="center"/>
          </w:tcPr>
          <w:p w14:paraId="79577DDA">
            <w:pPr>
              <w:pStyle w:val="118"/>
              <w:spacing w:line="360" w:lineRule="auto"/>
              <w:jc w:val="center"/>
              <w:rPr>
                <w:rStyle w:val="35"/>
                <w:rFonts w:hint="eastAsia" w:ascii="宋体" w:hAnsi="宋体" w:eastAsia="宋体" w:cs="宋体"/>
                <w:color w:val="auto"/>
                <w:sz w:val="21"/>
                <w:szCs w:val="21"/>
                <w:highlight w:val="none"/>
              </w:rPr>
            </w:pPr>
          </w:p>
        </w:tc>
      </w:tr>
      <w:tr w14:paraId="536A0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004" w:type="dxa"/>
            <w:vAlign w:val="center"/>
          </w:tcPr>
          <w:p w14:paraId="3C1F4CC5">
            <w:pPr>
              <w:pStyle w:val="118"/>
              <w:spacing w:line="360" w:lineRule="auto"/>
              <w:jc w:val="center"/>
              <w:rPr>
                <w:rStyle w:val="35"/>
                <w:rFonts w:hint="eastAsia" w:ascii="宋体" w:hAnsi="宋体" w:eastAsia="宋体" w:cs="宋体"/>
                <w:color w:val="auto"/>
                <w:sz w:val="21"/>
                <w:szCs w:val="21"/>
                <w:highlight w:val="none"/>
              </w:rPr>
            </w:pPr>
            <w:r>
              <w:rPr>
                <w:rStyle w:val="35"/>
                <w:rFonts w:hint="eastAsia" w:ascii="宋体" w:hAnsi="宋体" w:eastAsia="宋体" w:cs="宋体"/>
                <w:color w:val="auto"/>
                <w:sz w:val="21"/>
                <w:szCs w:val="21"/>
                <w:highlight w:val="none"/>
              </w:rPr>
              <w:t>统一社会信用代码</w:t>
            </w:r>
          </w:p>
        </w:tc>
        <w:tc>
          <w:tcPr>
            <w:tcW w:w="8077" w:type="dxa"/>
            <w:gridSpan w:val="8"/>
            <w:vAlign w:val="center"/>
          </w:tcPr>
          <w:p w14:paraId="1F329669">
            <w:pPr>
              <w:pStyle w:val="118"/>
              <w:spacing w:line="360" w:lineRule="auto"/>
              <w:jc w:val="center"/>
              <w:rPr>
                <w:rStyle w:val="35"/>
                <w:rFonts w:hint="eastAsia" w:ascii="宋体" w:hAnsi="宋体" w:eastAsia="宋体" w:cs="宋体"/>
                <w:color w:val="auto"/>
                <w:sz w:val="21"/>
                <w:szCs w:val="21"/>
                <w:highlight w:val="none"/>
              </w:rPr>
            </w:pPr>
          </w:p>
        </w:tc>
      </w:tr>
      <w:tr w14:paraId="236A6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004" w:type="dxa"/>
            <w:vAlign w:val="center"/>
          </w:tcPr>
          <w:p w14:paraId="430F76E3">
            <w:pPr>
              <w:pStyle w:val="118"/>
              <w:spacing w:line="360" w:lineRule="auto"/>
              <w:jc w:val="center"/>
              <w:rPr>
                <w:rStyle w:val="35"/>
                <w:rFonts w:hint="eastAsia" w:ascii="宋体" w:hAnsi="宋体" w:eastAsia="宋体" w:cs="宋体"/>
                <w:color w:val="auto"/>
                <w:sz w:val="21"/>
                <w:szCs w:val="21"/>
                <w:highlight w:val="none"/>
              </w:rPr>
            </w:pPr>
            <w:r>
              <w:rPr>
                <w:rStyle w:val="35"/>
                <w:rFonts w:hint="eastAsia" w:ascii="宋体" w:hAnsi="宋体" w:eastAsia="宋体" w:cs="宋体"/>
                <w:color w:val="auto"/>
                <w:sz w:val="21"/>
                <w:szCs w:val="21"/>
                <w:highlight w:val="none"/>
              </w:rPr>
              <w:t>法定代表人</w:t>
            </w:r>
          </w:p>
        </w:tc>
        <w:tc>
          <w:tcPr>
            <w:tcW w:w="1019" w:type="dxa"/>
            <w:vAlign w:val="center"/>
          </w:tcPr>
          <w:p w14:paraId="5FCE07DF">
            <w:pPr>
              <w:pStyle w:val="118"/>
              <w:spacing w:line="360" w:lineRule="auto"/>
              <w:jc w:val="center"/>
              <w:rPr>
                <w:rStyle w:val="35"/>
                <w:rFonts w:hint="eastAsia" w:ascii="宋体" w:hAnsi="宋体" w:eastAsia="宋体" w:cs="宋体"/>
                <w:color w:val="auto"/>
                <w:sz w:val="21"/>
                <w:szCs w:val="21"/>
                <w:highlight w:val="none"/>
              </w:rPr>
            </w:pPr>
            <w:r>
              <w:rPr>
                <w:rStyle w:val="35"/>
                <w:rFonts w:hint="eastAsia" w:ascii="宋体" w:hAnsi="宋体" w:eastAsia="宋体" w:cs="宋体"/>
                <w:color w:val="auto"/>
                <w:sz w:val="21"/>
                <w:szCs w:val="21"/>
                <w:highlight w:val="none"/>
              </w:rPr>
              <w:t>姓名</w:t>
            </w:r>
          </w:p>
        </w:tc>
        <w:tc>
          <w:tcPr>
            <w:tcW w:w="1115" w:type="dxa"/>
            <w:vAlign w:val="center"/>
          </w:tcPr>
          <w:p w14:paraId="231F7681">
            <w:pPr>
              <w:pStyle w:val="118"/>
              <w:spacing w:line="360" w:lineRule="auto"/>
              <w:jc w:val="center"/>
              <w:rPr>
                <w:rStyle w:val="35"/>
                <w:rFonts w:hint="eastAsia" w:ascii="宋体" w:hAnsi="宋体" w:eastAsia="宋体" w:cs="宋体"/>
                <w:color w:val="auto"/>
                <w:sz w:val="21"/>
                <w:szCs w:val="21"/>
                <w:highlight w:val="none"/>
              </w:rPr>
            </w:pPr>
          </w:p>
        </w:tc>
        <w:tc>
          <w:tcPr>
            <w:tcW w:w="1290" w:type="dxa"/>
            <w:vAlign w:val="center"/>
          </w:tcPr>
          <w:p w14:paraId="64972CBA">
            <w:pPr>
              <w:pStyle w:val="118"/>
              <w:spacing w:line="360" w:lineRule="auto"/>
              <w:jc w:val="center"/>
              <w:rPr>
                <w:rStyle w:val="35"/>
                <w:rFonts w:hint="eastAsia" w:ascii="宋体" w:hAnsi="宋体" w:eastAsia="宋体" w:cs="宋体"/>
                <w:color w:val="auto"/>
                <w:sz w:val="21"/>
                <w:szCs w:val="21"/>
                <w:highlight w:val="none"/>
              </w:rPr>
            </w:pPr>
            <w:r>
              <w:rPr>
                <w:rStyle w:val="35"/>
                <w:rFonts w:hint="eastAsia" w:ascii="宋体" w:hAnsi="宋体" w:eastAsia="宋体" w:cs="宋体"/>
                <w:color w:val="auto"/>
                <w:sz w:val="21"/>
                <w:szCs w:val="21"/>
                <w:highlight w:val="none"/>
              </w:rPr>
              <w:t>技术职称</w:t>
            </w:r>
          </w:p>
        </w:tc>
        <w:tc>
          <w:tcPr>
            <w:tcW w:w="1670" w:type="dxa"/>
            <w:gridSpan w:val="3"/>
            <w:vAlign w:val="center"/>
          </w:tcPr>
          <w:p w14:paraId="0CAB918E">
            <w:pPr>
              <w:pStyle w:val="118"/>
              <w:spacing w:line="360" w:lineRule="auto"/>
              <w:jc w:val="center"/>
              <w:rPr>
                <w:rStyle w:val="35"/>
                <w:rFonts w:hint="eastAsia" w:ascii="宋体" w:hAnsi="宋体" w:eastAsia="宋体" w:cs="宋体"/>
                <w:color w:val="auto"/>
                <w:sz w:val="21"/>
                <w:szCs w:val="21"/>
                <w:highlight w:val="none"/>
              </w:rPr>
            </w:pPr>
          </w:p>
        </w:tc>
        <w:tc>
          <w:tcPr>
            <w:tcW w:w="809" w:type="dxa"/>
            <w:vAlign w:val="center"/>
          </w:tcPr>
          <w:p w14:paraId="2CB278DA">
            <w:pPr>
              <w:pStyle w:val="118"/>
              <w:spacing w:line="360" w:lineRule="auto"/>
              <w:jc w:val="center"/>
              <w:rPr>
                <w:rStyle w:val="35"/>
                <w:rFonts w:hint="eastAsia" w:ascii="宋体" w:hAnsi="宋体" w:eastAsia="宋体" w:cs="宋体"/>
                <w:color w:val="auto"/>
                <w:sz w:val="21"/>
                <w:szCs w:val="21"/>
                <w:highlight w:val="none"/>
              </w:rPr>
            </w:pPr>
            <w:r>
              <w:rPr>
                <w:rStyle w:val="35"/>
                <w:rFonts w:hint="eastAsia" w:ascii="宋体" w:hAnsi="宋体" w:eastAsia="宋体" w:cs="宋体"/>
                <w:color w:val="auto"/>
                <w:sz w:val="21"/>
                <w:szCs w:val="21"/>
                <w:highlight w:val="none"/>
              </w:rPr>
              <w:t>电话</w:t>
            </w:r>
          </w:p>
        </w:tc>
        <w:tc>
          <w:tcPr>
            <w:tcW w:w="2174" w:type="dxa"/>
            <w:vAlign w:val="center"/>
          </w:tcPr>
          <w:p w14:paraId="267364E8">
            <w:pPr>
              <w:pStyle w:val="118"/>
              <w:spacing w:line="360" w:lineRule="auto"/>
              <w:jc w:val="center"/>
              <w:rPr>
                <w:rStyle w:val="35"/>
                <w:rFonts w:hint="eastAsia" w:ascii="宋体" w:hAnsi="宋体" w:eastAsia="宋体" w:cs="宋体"/>
                <w:color w:val="auto"/>
                <w:sz w:val="21"/>
                <w:szCs w:val="21"/>
                <w:highlight w:val="none"/>
              </w:rPr>
            </w:pPr>
          </w:p>
        </w:tc>
      </w:tr>
      <w:tr w14:paraId="64445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004" w:type="dxa"/>
            <w:vAlign w:val="center"/>
          </w:tcPr>
          <w:p w14:paraId="71083FB9">
            <w:pPr>
              <w:pStyle w:val="118"/>
              <w:spacing w:line="360" w:lineRule="auto"/>
              <w:jc w:val="center"/>
              <w:rPr>
                <w:rStyle w:val="35"/>
                <w:rFonts w:hint="eastAsia" w:ascii="宋体" w:hAnsi="宋体" w:eastAsia="宋体" w:cs="宋体"/>
                <w:color w:val="auto"/>
                <w:sz w:val="21"/>
                <w:szCs w:val="21"/>
                <w:highlight w:val="none"/>
              </w:rPr>
            </w:pPr>
            <w:r>
              <w:rPr>
                <w:rStyle w:val="35"/>
                <w:rFonts w:hint="eastAsia" w:ascii="宋体" w:hAnsi="宋体" w:eastAsia="宋体" w:cs="宋体"/>
                <w:color w:val="auto"/>
                <w:sz w:val="21"/>
                <w:szCs w:val="21"/>
                <w:highlight w:val="none"/>
              </w:rPr>
              <w:t>技术负责人</w:t>
            </w:r>
          </w:p>
        </w:tc>
        <w:tc>
          <w:tcPr>
            <w:tcW w:w="1019" w:type="dxa"/>
            <w:vAlign w:val="center"/>
          </w:tcPr>
          <w:p w14:paraId="0AE24236">
            <w:pPr>
              <w:pStyle w:val="118"/>
              <w:spacing w:line="360" w:lineRule="auto"/>
              <w:jc w:val="center"/>
              <w:rPr>
                <w:rStyle w:val="35"/>
                <w:rFonts w:hint="eastAsia" w:ascii="宋体" w:hAnsi="宋体" w:eastAsia="宋体" w:cs="宋体"/>
                <w:color w:val="auto"/>
                <w:sz w:val="21"/>
                <w:szCs w:val="21"/>
                <w:highlight w:val="none"/>
              </w:rPr>
            </w:pPr>
            <w:r>
              <w:rPr>
                <w:rStyle w:val="35"/>
                <w:rFonts w:hint="eastAsia" w:ascii="宋体" w:hAnsi="宋体" w:eastAsia="宋体" w:cs="宋体"/>
                <w:color w:val="auto"/>
                <w:sz w:val="21"/>
                <w:szCs w:val="21"/>
                <w:highlight w:val="none"/>
              </w:rPr>
              <w:t>姓名</w:t>
            </w:r>
          </w:p>
        </w:tc>
        <w:tc>
          <w:tcPr>
            <w:tcW w:w="1115" w:type="dxa"/>
            <w:vAlign w:val="center"/>
          </w:tcPr>
          <w:p w14:paraId="2A15A57A">
            <w:pPr>
              <w:pStyle w:val="118"/>
              <w:spacing w:line="360" w:lineRule="auto"/>
              <w:jc w:val="center"/>
              <w:rPr>
                <w:rStyle w:val="35"/>
                <w:rFonts w:hint="eastAsia" w:ascii="宋体" w:hAnsi="宋体" w:eastAsia="宋体" w:cs="宋体"/>
                <w:color w:val="auto"/>
                <w:sz w:val="21"/>
                <w:szCs w:val="21"/>
                <w:highlight w:val="none"/>
              </w:rPr>
            </w:pPr>
          </w:p>
        </w:tc>
        <w:tc>
          <w:tcPr>
            <w:tcW w:w="1290" w:type="dxa"/>
            <w:vAlign w:val="center"/>
          </w:tcPr>
          <w:p w14:paraId="1CF9286E">
            <w:pPr>
              <w:pStyle w:val="118"/>
              <w:spacing w:line="360" w:lineRule="auto"/>
              <w:jc w:val="center"/>
              <w:rPr>
                <w:rStyle w:val="35"/>
                <w:rFonts w:hint="eastAsia" w:ascii="宋体" w:hAnsi="宋体" w:eastAsia="宋体" w:cs="宋体"/>
                <w:color w:val="auto"/>
                <w:sz w:val="21"/>
                <w:szCs w:val="21"/>
                <w:highlight w:val="none"/>
              </w:rPr>
            </w:pPr>
            <w:r>
              <w:rPr>
                <w:rStyle w:val="35"/>
                <w:rFonts w:hint="eastAsia" w:ascii="宋体" w:hAnsi="宋体" w:eastAsia="宋体" w:cs="宋体"/>
                <w:color w:val="auto"/>
                <w:sz w:val="21"/>
                <w:szCs w:val="21"/>
                <w:highlight w:val="none"/>
              </w:rPr>
              <w:t>技术职称</w:t>
            </w:r>
          </w:p>
        </w:tc>
        <w:tc>
          <w:tcPr>
            <w:tcW w:w="1670" w:type="dxa"/>
            <w:gridSpan w:val="3"/>
            <w:vAlign w:val="center"/>
          </w:tcPr>
          <w:p w14:paraId="63AD5F01">
            <w:pPr>
              <w:pStyle w:val="118"/>
              <w:spacing w:line="360" w:lineRule="auto"/>
              <w:jc w:val="center"/>
              <w:rPr>
                <w:rStyle w:val="35"/>
                <w:rFonts w:hint="eastAsia" w:ascii="宋体" w:hAnsi="宋体" w:eastAsia="宋体" w:cs="宋体"/>
                <w:color w:val="auto"/>
                <w:sz w:val="21"/>
                <w:szCs w:val="21"/>
                <w:highlight w:val="none"/>
              </w:rPr>
            </w:pPr>
          </w:p>
        </w:tc>
        <w:tc>
          <w:tcPr>
            <w:tcW w:w="809" w:type="dxa"/>
            <w:vAlign w:val="center"/>
          </w:tcPr>
          <w:p w14:paraId="2940861E">
            <w:pPr>
              <w:pStyle w:val="118"/>
              <w:spacing w:line="360" w:lineRule="auto"/>
              <w:jc w:val="center"/>
              <w:rPr>
                <w:rStyle w:val="35"/>
                <w:rFonts w:hint="eastAsia" w:ascii="宋体" w:hAnsi="宋体" w:eastAsia="宋体" w:cs="宋体"/>
                <w:color w:val="auto"/>
                <w:sz w:val="21"/>
                <w:szCs w:val="21"/>
                <w:highlight w:val="none"/>
              </w:rPr>
            </w:pPr>
            <w:r>
              <w:rPr>
                <w:rStyle w:val="35"/>
                <w:rFonts w:hint="eastAsia" w:ascii="宋体" w:hAnsi="宋体" w:eastAsia="宋体" w:cs="宋体"/>
                <w:color w:val="auto"/>
                <w:sz w:val="21"/>
                <w:szCs w:val="21"/>
                <w:highlight w:val="none"/>
              </w:rPr>
              <w:t>电话</w:t>
            </w:r>
          </w:p>
        </w:tc>
        <w:tc>
          <w:tcPr>
            <w:tcW w:w="2174" w:type="dxa"/>
            <w:vAlign w:val="center"/>
          </w:tcPr>
          <w:p w14:paraId="6BAF07F9">
            <w:pPr>
              <w:pStyle w:val="118"/>
              <w:spacing w:line="360" w:lineRule="auto"/>
              <w:jc w:val="center"/>
              <w:rPr>
                <w:rStyle w:val="35"/>
                <w:rFonts w:hint="eastAsia" w:ascii="宋体" w:hAnsi="宋体" w:eastAsia="宋体" w:cs="宋体"/>
                <w:color w:val="auto"/>
                <w:sz w:val="21"/>
                <w:szCs w:val="21"/>
                <w:highlight w:val="none"/>
              </w:rPr>
            </w:pPr>
          </w:p>
        </w:tc>
      </w:tr>
      <w:tr w14:paraId="39FBB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004" w:type="dxa"/>
            <w:vAlign w:val="center"/>
          </w:tcPr>
          <w:p w14:paraId="6E068696">
            <w:pPr>
              <w:pStyle w:val="118"/>
              <w:spacing w:line="360" w:lineRule="auto"/>
              <w:jc w:val="center"/>
              <w:rPr>
                <w:rStyle w:val="35"/>
                <w:rFonts w:hint="eastAsia" w:ascii="宋体" w:hAnsi="宋体" w:eastAsia="宋体" w:cs="宋体"/>
                <w:color w:val="auto"/>
                <w:sz w:val="21"/>
                <w:szCs w:val="21"/>
                <w:highlight w:val="none"/>
              </w:rPr>
            </w:pPr>
            <w:r>
              <w:rPr>
                <w:rStyle w:val="35"/>
                <w:rFonts w:hint="eastAsia" w:ascii="宋体" w:hAnsi="宋体" w:eastAsia="宋体" w:cs="宋体"/>
                <w:color w:val="auto"/>
                <w:sz w:val="21"/>
                <w:szCs w:val="21"/>
                <w:highlight w:val="none"/>
              </w:rPr>
              <w:t>成立时间</w:t>
            </w:r>
          </w:p>
        </w:tc>
        <w:tc>
          <w:tcPr>
            <w:tcW w:w="2134" w:type="dxa"/>
            <w:gridSpan w:val="2"/>
            <w:vAlign w:val="center"/>
          </w:tcPr>
          <w:p w14:paraId="7EBE8E6A">
            <w:pPr>
              <w:pStyle w:val="118"/>
              <w:spacing w:line="360" w:lineRule="auto"/>
              <w:jc w:val="center"/>
              <w:rPr>
                <w:rStyle w:val="35"/>
                <w:rFonts w:hint="eastAsia" w:ascii="宋体" w:hAnsi="宋体" w:eastAsia="宋体" w:cs="宋体"/>
                <w:color w:val="auto"/>
                <w:sz w:val="21"/>
                <w:szCs w:val="21"/>
                <w:highlight w:val="none"/>
              </w:rPr>
            </w:pPr>
          </w:p>
        </w:tc>
        <w:tc>
          <w:tcPr>
            <w:tcW w:w="5943" w:type="dxa"/>
            <w:gridSpan w:val="6"/>
            <w:vAlign w:val="center"/>
          </w:tcPr>
          <w:p w14:paraId="6070886F">
            <w:pPr>
              <w:pStyle w:val="118"/>
              <w:spacing w:line="360" w:lineRule="auto"/>
              <w:jc w:val="center"/>
              <w:rPr>
                <w:rStyle w:val="35"/>
                <w:rFonts w:hint="eastAsia" w:ascii="宋体" w:hAnsi="宋体" w:eastAsia="宋体" w:cs="宋体"/>
                <w:color w:val="auto"/>
                <w:sz w:val="21"/>
                <w:szCs w:val="21"/>
                <w:highlight w:val="none"/>
              </w:rPr>
            </w:pPr>
            <w:r>
              <w:rPr>
                <w:rStyle w:val="35"/>
                <w:rFonts w:hint="eastAsia" w:ascii="宋体" w:hAnsi="宋体" w:eastAsia="宋体" w:cs="宋体"/>
                <w:color w:val="auto"/>
                <w:sz w:val="21"/>
                <w:szCs w:val="21"/>
                <w:highlight w:val="none"/>
              </w:rPr>
              <w:t>员工总人数：</w:t>
            </w:r>
          </w:p>
        </w:tc>
      </w:tr>
      <w:tr w14:paraId="02A8E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004" w:type="dxa"/>
            <w:vAlign w:val="center"/>
          </w:tcPr>
          <w:p w14:paraId="77D946C4">
            <w:pPr>
              <w:pStyle w:val="118"/>
              <w:spacing w:line="360" w:lineRule="auto"/>
              <w:jc w:val="center"/>
              <w:rPr>
                <w:rStyle w:val="35"/>
                <w:rFonts w:hint="eastAsia" w:ascii="宋体" w:hAnsi="宋体" w:eastAsia="宋体" w:cs="宋体"/>
                <w:color w:val="auto"/>
                <w:sz w:val="21"/>
                <w:szCs w:val="21"/>
                <w:highlight w:val="none"/>
              </w:rPr>
            </w:pPr>
            <w:r>
              <w:rPr>
                <w:rStyle w:val="35"/>
                <w:rFonts w:hint="eastAsia" w:ascii="宋体" w:hAnsi="宋体" w:eastAsia="宋体" w:cs="宋体"/>
                <w:color w:val="auto"/>
                <w:sz w:val="21"/>
                <w:szCs w:val="21"/>
                <w:highlight w:val="none"/>
              </w:rPr>
              <w:t>资质等级</w:t>
            </w:r>
          </w:p>
        </w:tc>
        <w:tc>
          <w:tcPr>
            <w:tcW w:w="2134" w:type="dxa"/>
            <w:gridSpan w:val="2"/>
            <w:vAlign w:val="center"/>
          </w:tcPr>
          <w:p w14:paraId="599FC9BF">
            <w:pPr>
              <w:pStyle w:val="118"/>
              <w:spacing w:line="360" w:lineRule="auto"/>
              <w:jc w:val="center"/>
              <w:rPr>
                <w:rStyle w:val="35"/>
                <w:rFonts w:hint="eastAsia" w:ascii="宋体" w:hAnsi="宋体" w:eastAsia="宋体" w:cs="宋体"/>
                <w:color w:val="auto"/>
                <w:sz w:val="21"/>
                <w:szCs w:val="21"/>
                <w:highlight w:val="none"/>
              </w:rPr>
            </w:pPr>
          </w:p>
        </w:tc>
        <w:tc>
          <w:tcPr>
            <w:tcW w:w="1290" w:type="dxa"/>
            <w:vMerge w:val="restart"/>
            <w:vAlign w:val="center"/>
          </w:tcPr>
          <w:p w14:paraId="3A662510">
            <w:pPr>
              <w:pStyle w:val="118"/>
              <w:spacing w:line="360" w:lineRule="auto"/>
              <w:jc w:val="center"/>
              <w:rPr>
                <w:rStyle w:val="35"/>
                <w:rFonts w:hint="eastAsia" w:ascii="宋体" w:hAnsi="宋体" w:eastAsia="宋体" w:cs="宋体"/>
                <w:color w:val="auto"/>
                <w:sz w:val="21"/>
                <w:szCs w:val="21"/>
                <w:highlight w:val="none"/>
              </w:rPr>
            </w:pPr>
            <w:r>
              <w:rPr>
                <w:rStyle w:val="35"/>
                <w:rFonts w:hint="eastAsia" w:ascii="宋体" w:hAnsi="宋体" w:eastAsia="宋体" w:cs="宋体"/>
                <w:color w:val="auto"/>
                <w:sz w:val="21"/>
                <w:szCs w:val="21"/>
                <w:highlight w:val="none"/>
              </w:rPr>
              <w:t>其中</w:t>
            </w:r>
          </w:p>
        </w:tc>
        <w:tc>
          <w:tcPr>
            <w:tcW w:w="1670" w:type="dxa"/>
            <w:gridSpan w:val="3"/>
            <w:vAlign w:val="center"/>
          </w:tcPr>
          <w:p w14:paraId="782443C6">
            <w:pPr>
              <w:pStyle w:val="118"/>
              <w:spacing w:line="360" w:lineRule="auto"/>
              <w:jc w:val="center"/>
              <w:rPr>
                <w:rStyle w:val="35"/>
                <w:rFonts w:hint="eastAsia" w:ascii="宋体" w:hAnsi="宋体" w:eastAsia="宋体" w:cs="宋体"/>
                <w:color w:val="auto"/>
                <w:sz w:val="21"/>
                <w:szCs w:val="21"/>
                <w:highlight w:val="none"/>
              </w:rPr>
            </w:pPr>
            <w:r>
              <w:rPr>
                <w:rStyle w:val="35"/>
                <w:rFonts w:hint="eastAsia" w:ascii="宋体" w:hAnsi="宋体" w:eastAsia="宋体" w:cs="宋体"/>
                <w:color w:val="auto"/>
                <w:sz w:val="21"/>
                <w:szCs w:val="21"/>
                <w:highlight w:val="none"/>
              </w:rPr>
              <w:t>项目经理</w:t>
            </w:r>
          </w:p>
        </w:tc>
        <w:tc>
          <w:tcPr>
            <w:tcW w:w="2983" w:type="dxa"/>
            <w:gridSpan w:val="2"/>
            <w:vAlign w:val="center"/>
          </w:tcPr>
          <w:p w14:paraId="68319E6A">
            <w:pPr>
              <w:pStyle w:val="118"/>
              <w:spacing w:line="360" w:lineRule="auto"/>
              <w:jc w:val="center"/>
              <w:rPr>
                <w:rStyle w:val="35"/>
                <w:rFonts w:hint="eastAsia" w:ascii="宋体" w:hAnsi="宋体" w:eastAsia="宋体" w:cs="宋体"/>
                <w:color w:val="auto"/>
                <w:sz w:val="21"/>
                <w:szCs w:val="21"/>
                <w:highlight w:val="none"/>
              </w:rPr>
            </w:pPr>
          </w:p>
        </w:tc>
      </w:tr>
      <w:tr w14:paraId="33BD1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004" w:type="dxa"/>
            <w:vAlign w:val="center"/>
          </w:tcPr>
          <w:p w14:paraId="17F8A6FC">
            <w:pPr>
              <w:pStyle w:val="118"/>
              <w:spacing w:line="360" w:lineRule="auto"/>
              <w:jc w:val="center"/>
              <w:rPr>
                <w:rStyle w:val="35"/>
                <w:rFonts w:hint="eastAsia" w:ascii="宋体" w:hAnsi="宋体" w:eastAsia="宋体" w:cs="宋体"/>
                <w:color w:val="auto"/>
                <w:sz w:val="21"/>
                <w:szCs w:val="21"/>
                <w:highlight w:val="none"/>
              </w:rPr>
            </w:pPr>
            <w:r>
              <w:rPr>
                <w:rStyle w:val="35"/>
                <w:rFonts w:hint="eastAsia" w:ascii="宋体" w:hAnsi="宋体" w:eastAsia="宋体" w:cs="宋体"/>
                <w:color w:val="auto"/>
                <w:sz w:val="21"/>
                <w:szCs w:val="21"/>
                <w:highlight w:val="none"/>
              </w:rPr>
              <w:t>安全生产许可证号</w:t>
            </w:r>
          </w:p>
        </w:tc>
        <w:tc>
          <w:tcPr>
            <w:tcW w:w="2134" w:type="dxa"/>
            <w:gridSpan w:val="2"/>
            <w:vAlign w:val="center"/>
          </w:tcPr>
          <w:p w14:paraId="590B1EB8">
            <w:pPr>
              <w:pStyle w:val="118"/>
              <w:spacing w:line="360" w:lineRule="auto"/>
              <w:jc w:val="center"/>
              <w:rPr>
                <w:rStyle w:val="35"/>
                <w:rFonts w:hint="eastAsia" w:ascii="宋体" w:hAnsi="宋体" w:eastAsia="宋体" w:cs="宋体"/>
                <w:color w:val="auto"/>
                <w:sz w:val="21"/>
                <w:szCs w:val="21"/>
                <w:highlight w:val="none"/>
              </w:rPr>
            </w:pPr>
          </w:p>
        </w:tc>
        <w:tc>
          <w:tcPr>
            <w:tcW w:w="1290" w:type="dxa"/>
            <w:vMerge w:val="continue"/>
            <w:vAlign w:val="center"/>
          </w:tcPr>
          <w:p w14:paraId="18760ADF">
            <w:pPr>
              <w:pStyle w:val="118"/>
              <w:spacing w:line="360" w:lineRule="auto"/>
              <w:jc w:val="center"/>
              <w:rPr>
                <w:rStyle w:val="35"/>
                <w:rFonts w:hint="eastAsia" w:ascii="宋体" w:hAnsi="宋体" w:eastAsia="宋体" w:cs="宋体"/>
                <w:color w:val="auto"/>
                <w:sz w:val="21"/>
                <w:szCs w:val="21"/>
                <w:highlight w:val="none"/>
              </w:rPr>
            </w:pPr>
          </w:p>
        </w:tc>
        <w:tc>
          <w:tcPr>
            <w:tcW w:w="1670" w:type="dxa"/>
            <w:gridSpan w:val="3"/>
            <w:vAlign w:val="center"/>
          </w:tcPr>
          <w:p w14:paraId="29B4A2B5">
            <w:pPr>
              <w:pStyle w:val="118"/>
              <w:spacing w:line="360" w:lineRule="auto"/>
              <w:jc w:val="center"/>
              <w:rPr>
                <w:rStyle w:val="35"/>
                <w:rFonts w:hint="eastAsia" w:ascii="宋体" w:hAnsi="宋体" w:eastAsia="宋体" w:cs="宋体"/>
                <w:color w:val="auto"/>
                <w:sz w:val="21"/>
                <w:szCs w:val="21"/>
                <w:highlight w:val="none"/>
              </w:rPr>
            </w:pPr>
            <w:r>
              <w:rPr>
                <w:rStyle w:val="35"/>
                <w:rFonts w:hint="eastAsia" w:ascii="宋体" w:hAnsi="宋体" w:eastAsia="宋体" w:cs="宋体"/>
                <w:color w:val="auto"/>
                <w:sz w:val="21"/>
                <w:szCs w:val="21"/>
                <w:highlight w:val="none"/>
              </w:rPr>
              <w:t>高级职称人员</w:t>
            </w:r>
          </w:p>
        </w:tc>
        <w:tc>
          <w:tcPr>
            <w:tcW w:w="2983" w:type="dxa"/>
            <w:gridSpan w:val="2"/>
            <w:vAlign w:val="center"/>
          </w:tcPr>
          <w:p w14:paraId="77BA0329">
            <w:pPr>
              <w:pStyle w:val="118"/>
              <w:spacing w:line="360" w:lineRule="auto"/>
              <w:jc w:val="center"/>
              <w:rPr>
                <w:rStyle w:val="35"/>
                <w:rFonts w:hint="eastAsia" w:ascii="宋体" w:hAnsi="宋体" w:eastAsia="宋体" w:cs="宋体"/>
                <w:color w:val="auto"/>
                <w:sz w:val="21"/>
                <w:szCs w:val="21"/>
                <w:highlight w:val="none"/>
              </w:rPr>
            </w:pPr>
          </w:p>
        </w:tc>
      </w:tr>
      <w:tr w14:paraId="66956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004" w:type="dxa"/>
            <w:vAlign w:val="center"/>
          </w:tcPr>
          <w:p w14:paraId="0AA02358">
            <w:pPr>
              <w:pStyle w:val="118"/>
              <w:spacing w:line="360" w:lineRule="auto"/>
              <w:jc w:val="center"/>
              <w:rPr>
                <w:rStyle w:val="35"/>
                <w:rFonts w:hint="eastAsia" w:ascii="宋体" w:hAnsi="宋体" w:eastAsia="宋体" w:cs="宋体"/>
                <w:color w:val="auto"/>
                <w:sz w:val="21"/>
                <w:szCs w:val="21"/>
                <w:highlight w:val="none"/>
              </w:rPr>
            </w:pPr>
            <w:r>
              <w:rPr>
                <w:rStyle w:val="35"/>
                <w:rFonts w:hint="eastAsia" w:ascii="宋体" w:hAnsi="宋体" w:eastAsia="宋体" w:cs="宋体"/>
                <w:color w:val="auto"/>
                <w:sz w:val="21"/>
                <w:szCs w:val="21"/>
                <w:highlight w:val="none"/>
              </w:rPr>
              <w:t>注册资金</w:t>
            </w:r>
          </w:p>
        </w:tc>
        <w:tc>
          <w:tcPr>
            <w:tcW w:w="2134" w:type="dxa"/>
            <w:gridSpan w:val="2"/>
            <w:vAlign w:val="center"/>
          </w:tcPr>
          <w:p w14:paraId="17198606">
            <w:pPr>
              <w:pStyle w:val="118"/>
              <w:spacing w:line="360" w:lineRule="auto"/>
              <w:jc w:val="center"/>
              <w:rPr>
                <w:rStyle w:val="35"/>
                <w:rFonts w:hint="eastAsia" w:ascii="宋体" w:hAnsi="宋体" w:eastAsia="宋体" w:cs="宋体"/>
                <w:color w:val="auto"/>
                <w:sz w:val="21"/>
                <w:szCs w:val="21"/>
                <w:highlight w:val="none"/>
              </w:rPr>
            </w:pPr>
          </w:p>
        </w:tc>
        <w:tc>
          <w:tcPr>
            <w:tcW w:w="1290" w:type="dxa"/>
            <w:vMerge w:val="continue"/>
            <w:vAlign w:val="center"/>
          </w:tcPr>
          <w:p w14:paraId="269394F7">
            <w:pPr>
              <w:pStyle w:val="118"/>
              <w:spacing w:line="360" w:lineRule="auto"/>
              <w:jc w:val="center"/>
              <w:rPr>
                <w:rStyle w:val="35"/>
                <w:rFonts w:hint="eastAsia" w:ascii="宋体" w:hAnsi="宋体" w:eastAsia="宋体" w:cs="宋体"/>
                <w:color w:val="auto"/>
                <w:sz w:val="21"/>
                <w:szCs w:val="21"/>
                <w:highlight w:val="none"/>
              </w:rPr>
            </w:pPr>
          </w:p>
        </w:tc>
        <w:tc>
          <w:tcPr>
            <w:tcW w:w="1670" w:type="dxa"/>
            <w:gridSpan w:val="3"/>
            <w:vAlign w:val="center"/>
          </w:tcPr>
          <w:p w14:paraId="04C635E1">
            <w:pPr>
              <w:pStyle w:val="118"/>
              <w:spacing w:line="360" w:lineRule="auto"/>
              <w:jc w:val="center"/>
              <w:rPr>
                <w:rStyle w:val="35"/>
                <w:rFonts w:hint="eastAsia" w:ascii="宋体" w:hAnsi="宋体" w:eastAsia="宋体" w:cs="宋体"/>
                <w:color w:val="auto"/>
                <w:sz w:val="21"/>
                <w:szCs w:val="21"/>
                <w:highlight w:val="none"/>
              </w:rPr>
            </w:pPr>
            <w:r>
              <w:rPr>
                <w:rStyle w:val="35"/>
                <w:rFonts w:hint="eastAsia" w:ascii="宋体" w:hAnsi="宋体" w:eastAsia="宋体" w:cs="宋体"/>
                <w:color w:val="auto"/>
                <w:sz w:val="21"/>
                <w:szCs w:val="21"/>
                <w:highlight w:val="none"/>
              </w:rPr>
              <w:t>中级职称人员</w:t>
            </w:r>
          </w:p>
        </w:tc>
        <w:tc>
          <w:tcPr>
            <w:tcW w:w="2983" w:type="dxa"/>
            <w:gridSpan w:val="2"/>
            <w:vAlign w:val="center"/>
          </w:tcPr>
          <w:p w14:paraId="28231E6E">
            <w:pPr>
              <w:pStyle w:val="118"/>
              <w:spacing w:line="360" w:lineRule="auto"/>
              <w:jc w:val="center"/>
              <w:rPr>
                <w:rStyle w:val="35"/>
                <w:rFonts w:hint="eastAsia" w:ascii="宋体" w:hAnsi="宋体" w:eastAsia="宋体" w:cs="宋体"/>
                <w:color w:val="auto"/>
                <w:sz w:val="21"/>
                <w:szCs w:val="21"/>
                <w:highlight w:val="none"/>
              </w:rPr>
            </w:pPr>
          </w:p>
        </w:tc>
      </w:tr>
      <w:tr w14:paraId="04900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004" w:type="dxa"/>
            <w:vAlign w:val="center"/>
          </w:tcPr>
          <w:p w14:paraId="73E4B514">
            <w:pPr>
              <w:pStyle w:val="118"/>
              <w:spacing w:line="360" w:lineRule="auto"/>
              <w:jc w:val="center"/>
              <w:rPr>
                <w:rStyle w:val="35"/>
                <w:rFonts w:hint="eastAsia" w:ascii="宋体" w:hAnsi="宋体" w:eastAsia="宋体" w:cs="宋体"/>
                <w:color w:val="auto"/>
                <w:sz w:val="21"/>
                <w:szCs w:val="21"/>
                <w:highlight w:val="none"/>
              </w:rPr>
            </w:pPr>
            <w:r>
              <w:rPr>
                <w:rStyle w:val="35"/>
                <w:rFonts w:hint="eastAsia" w:ascii="宋体" w:hAnsi="宋体" w:eastAsia="宋体" w:cs="宋体"/>
                <w:color w:val="auto"/>
                <w:sz w:val="21"/>
                <w:szCs w:val="21"/>
                <w:highlight w:val="none"/>
              </w:rPr>
              <w:t>开户银行</w:t>
            </w:r>
          </w:p>
        </w:tc>
        <w:tc>
          <w:tcPr>
            <w:tcW w:w="2134" w:type="dxa"/>
            <w:gridSpan w:val="2"/>
            <w:vAlign w:val="center"/>
          </w:tcPr>
          <w:p w14:paraId="4804669B">
            <w:pPr>
              <w:pStyle w:val="118"/>
              <w:spacing w:line="360" w:lineRule="auto"/>
              <w:jc w:val="center"/>
              <w:rPr>
                <w:rStyle w:val="35"/>
                <w:rFonts w:hint="eastAsia" w:ascii="宋体" w:hAnsi="宋体" w:eastAsia="宋体" w:cs="宋体"/>
                <w:color w:val="auto"/>
                <w:sz w:val="21"/>
                <w:szCs w:val="21"/>
                <w:highlight w:val="none"/>
              </w:rPr>
            </w:pPr>
          </w:p>
        </w:tc>
        <w:tc>
          <w:tcPr>
            <w:tcW w:w="1290" w:type="dxa"/>
            <w:vMerge w:val="continue"/>
            <w:vAlign w:val="center"/>
          </w:tcPr>
          <w:p w14:paraId="2F231646">
            <w:pPr>
              <w:pStyle w:val="118"/>
              <w:spacing w:line="360" w:lineRule="auto"/>
              <w:jc w:val="center"/>
              <w:rPr>
                <w:rStyle w:val="35"/>
                <w:rFonts w:hint="eastAsia" w:ascii="宋体" w:hAnsi="宋体" w:eastAsia="宋体" w:cs="宋体"/>
                <w:color w:val="auto"/>
                <w:sz w:val="21"/>
                <w:szCs w:val="21"/>
                <w:highlight w:val="none"/>
              </w:rPr>
            </w:pPr>
          </w:p>
        </w:tc>
        <w:tc>
          <w:tcPr>
            <w:tcW w:w="1670" w:type="dxa"/>
            <w:gridSpan w:val="3"/>
            <w:vAlign w:val="center"/>
          </w:tcPr>
          <w:p w14:paraId="560B0185">
            <w:pPr>
              <w:pStyle w:val="118"/>
              <w:spacing w:line="360" w:lineRule="auto"/>
              <w:jc w:val="center"/>
              <w:rPr>
                <w:rStyle w:val="35"/>
                <w:rFonts w:hint="eastAsia" w:ascii="宋体" w:hAnsi="宋体" w:eastAsia="宋体" w:cs="宋体"/>
                <w:color w:val="auto"/>
                <w:sz w:val="21"/>
                <w:szCs w:val="21"/>
                <w:highlight w:val="none"/>
              </w:rPr>
            </w:pPr>
            <w:r>
              <w:rPr>
                <w:rStyle w:val="35"/>
                <w:rFonts w:hint="eastAsia" w:ascii="宋体" w:hAnsi="宋体" w:eastAsia="宋体" w:cs="宋体"/>
                <w:color w:val="auto"/>
                <w:sz w:val="21"/>
                <w:szCs w:val="21"/>
                <w:highlight w:val="none"/>
              </w:rPr>
              <w:t>初级职称人员</w:t>
            </w:r>
          </w:p>
        </w:tc>
        <w:tc>
          <w:tcPr>
            <w:tcW w:w="2983" w:type="dxa"/>
            <w:gridSpan w:val="2"/>
            <w:vAlign w:val="center"/>
          </w:tcPr>
          <w:p w14:paraId="2C82200F">
            <w:pPr>
              <w:pStyle w:val="118"/>
              <w:spacing w:line="360" w:lineRule="auto"/>
              <w:jc w:val="center"/>
              <w:rPr>
                <w:rStyle w:val="35"/>
                <w:rFonts w:hint="eastAsia" w:ascii="宋体" w:hAnsi="宋体" w:eastAsia="宋体" w:cs="宋体"/>
                <w:color w:val="auto"/>
                <w:sz w:val="21"/>
                <w:szCs w:val="21"/>
                <w:highlight w:val="none"/>
              </w:rPr>
            </w:pPr>
          </w:p>
        </w:tc>
      </w:tr>
      <w:tr w14:paraId="03876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004" w:type="dxa"/>
            <w:vAlign w:val="center"/>
          </w:tcPr>
          <w:p w14:paraId="29553697">
            <w:pPr>
              <w:pStyle w:val="118"/>
              <w:spacing w:line="360" w:lineRule="auto"/>
              <w:jc w:val="center"/>
              <w:rPr>
                <w:rStyle w:val="35"/>
                <w:rFonts w:hint="eastAsia" w:ascii="宋体" w:hAnsi="宋体" w:eastAsia="宋体" w:cs="宋体"/>
                <w:color w:val="auto"/>
                <w:sz w:val="21"/>
                <w:szCs w:val="21"/>
                <w:highlight w:val="none"/>
              </w:rPr>
            </w:pPr>
            <w:r>
              <w:rPr>
                <w:rStyle w:val="35"/>
                <w:rFonts w:hint="eastAsia" w:ascii="宋体" w:hAnsi="宋体" w:eastAsia="宋体" w:cs="宋体"/>
                <w:color w:val="auto"/>
                <w:sz w:val="21"/>
                <w:szCs w:val="21"/>
                <w:highlight w:val="none"/>
              </w:rPr>
              <w:t>账号</w:t>
            </w:r>
          </w:p>
        </w:tc>
        <w:tc>
          <w:tcPr>
            <w:tcW w:w="2134" w:type="dxa"/>
            <w:gridSpan w:val="2"/>
            <w:vAlign w:val="center"/>
          </w:tcPr>
          <w:p w14:paraId="203EB260">
            <w:pPr>
              <w:pStyle w:val="118"/>
              <w:spacing w:line="360" w:lineRule="auto"/>
              <w:jc w:val="center"/>
              <w:rPr>
                <w:rStyle w:val="35"/>
                <w:rFonts w:hint="eastAsia" w:ascii="宋体" w:hAnsi="宋体" w:eastAsia="宋体" w:cs="宋体"/>
                <w:color w:val="auto"/>
                <w:sz w:val="21"/>
                <w:szCs w:val="21"/>
                <w:highlight w:val="none"/>
              </w:rPr>
            </w:pPr>
          </w:p>
        </w:tc>
        <w:tc>
          <w:tcPr>
            <w:tcW w:w="1290" w:type="dxa"/>
            <w:vMerge w:val="continue"/>
            <w:vAlign w:val="center"/>
          </w:tcPr>
          <w:p w14:paraId="2BCA9800">
            <w:pPr>
              <w:pStyle w:val="118"/>
              <w:spacing w:line="360" w:lineRule="auto"/>
              <w:jc w:val="center"/>
              <w:rPr>
                <w:rStyle w:val="35"/>
                <w:rFonts w:hint="eastAsia" w:ascii="宋体" w:hAnsi="宋体" w:eastAsia="宋体" w:cs="宋体"/>
                <w:color w:val="auto"/>
                <w:sz w:val="21"/>
                <w:szCs w:val="21"/>
                <w:highlight w:val="none"/>
              </w:rPr>
            </w:pPr>
          </w:p>
        </w:tc>
        <w:tc>
          <w:tcPr>
            <w:tcW w:w="1670" w:type="dxa"/>
            <w:gridSpan w:val="3"/>
            <w:vAlign w:val="center"/>
          </w:tcPr>
          <w:p w14:paraId="1F5C73B0">
            <w:pPr>
              <w:pStyle w:val="118"/>
              <w:spacing w:line="360" w:lineRule="auto"/>
              <w:jc w:val="center"/>
              <w:rPr>
                <w:rStyle w:val="35"/>
                <w:rFonts w:hint="eastAsia" w:ascii="宋体" w:hAnsi="宋体" w:eastAsia="宋体" w:cs="宋体"/>
                <w:color w:val="auto"/>
                <w:sz w:val="21"/>
                <w:szCs w:val="21"/>
                <w:highlight w:val="none"/>
              </w:rPr>
            </w:pPr>
            <w:r>
              <w:rPr>
                <w:rStyle w:val="35"/>
                <w:rFonts w:hint="eastAsia" w:ascii="宋体" w:hAnsi="宋体" w:eastAsia="宋体" w:cs="宋体"/>
                <w:color w:val="auto"/>
                <w:sz w:val="21"/>
                <w:szCs w:val="21"/>
                <w:highlight w:val="none"/>
              </w:rPr>
              <w:t>技  工</w:t>
            </w:r>
          </w:p>
        </w:tc>
        <w:tc>
          <w:tcPr>
            <w:tcW w:w="2983" w:type="dxa"/>
            <w:gridSpan w:val="2"/>
            <w:vAlign w:val="center"/>
          </w:tcPr>
          <w:p w14:paraId="75D2ABFD">
            <w:pPr>
              <w:pStyle w:val="118"/>
              <w:spacing w:line="360" w:lineRule="auto"/>
              <w:jc w:val="center"/>
              <w:rPr>
                <w:rStyle w:val="35"/>
                <w:rFonts w:hint="eastAsia" w:ascii="宋体" w:hAnsi="宋体" w:eastAsia="宋体" w:cs="宋体"/>
                <w:color w:val="auto"/>
                <w:sz w:val="21"/>
                <w:szCs w:val="21"/>
                <w:highlight w:val="none"/>
              </w:rPr>
            </w:pPr>
          </w:p>
        </w:tc>
      </w:tr>
      <w:tr w14:paraId="184CA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7" w:hRule="atLeast"/>
          <w:jc w:val="center"/>
        </w:trPr>
        <w:tc>
          <w:tcPr>
            <w:tcW w:w="2004" w:type="dxa"/>
            <w:vAlign w:val="center"/>
          </w:tcPr>
          <w:p w14:paraId="377A570C">
            <w:pPr>
              <w:pStyle w:val="118"/>
              <w:spacing w:line="360" w:lineRule="auto"/>
              <w:jc w:val="center"/>
              <w:rPr>
                <w:rStyle w:val="35"/>
                <w:rFonts w:hint="eastAsia" w:ascii="宋体" w:hAnsi="宋体" w:eastAsia="宋体" w:cs="宋体"/>
                <w:color w:val="auto"/>
                <w:sz w:val="21"/>
                <w:szCs w:val="21"/>
                <w:highlight w:val="none"/>
              </w:rPr>
            </w:pPr>
            <w:r>
              <w:rPr>
                <w:rStyle w:val="35"/>
                <w:rFonts w:hint="eastAsia" w:ascii="宋体" w:hAnsi="宋体" w:eastAsia="宋体" w:cs="宋体"/>
                <w:color w:val="auto"/>
                <w:sz w:val="21"/>
                <w:szCs w:val="21"/>
                <w:highlight w:val="none"/>
              </w:rPr>
              <w:t>经营范围</w:t>
            </w:r>
          </w:p>
        </w:tc>
        <w:tc>
          <w:tcPr>
            <w:tcW w:w="8077" w:type="dxa"/>
            <w:gridSpan w:val="8"/>
            <w:vAlign w:val="center"/>
          </w:tcPr>
          <w:p w14:paraId="28923957">
            <w:pPr>
              <w:pStyle w:val="118"/>
              <w:spacing w:line="360" w:lineRule="auto"/>
              <w:jc w:val="center"/>
              <w:rPr>
                <w:rStyle w:val="35"/>
                <w:rFonts w:hint="eastAsia" w:ascii="宋体" w:hAnsi="宋体" w:eastAsia="宋体" w:cs="宋体"/>
                <w:color w:val="auto"/>
                <w:sz w:val="21"/>
                <w:szCs w:val="21"/>
                <w:highlight w:val="none"/>
              </w:rPr>
            </w:pPr>
          </w:p>
        </w:tc>
      </w:tr>
      <w:tr w14:paraId="3129D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004" w:type="dxa"/>
            <w:vAlign w:val="center"/>
          </w:tcPr>
          <w:p w14:paraId="75F91213">
            <w:pPr>
              <w:pStyle w:val="118"/>
              <w:spacing w:line="360" w:lineRule="auto"/>
              <w:jc w:val="center"/>
              <w:rPr>
                <w:rStyle w:val="35"/>
                <w:rFonts w:hint="eastAsia" w:ascii="宋体" w:hAnsi="宋体" w:eastAsia="宋体" w:cs="宋体"/>
                <w:color w:val="auto"/>
                <w:sz w:val="21"/>
                <w:szCs w:val="21"/>
                <w:highlight w:val="none"/>
              </w:rPr>
            </w:pPr>
            <w:r>
              <w:rPr>
                <w:rStyle w:val="35"/>
                <w:rFonts w:hint="eastAsia" w:ascii="宋体" w:hAnsi="宋体" w:eastAsia="宋体" w:cs="宋体"/>
                <w:color w:val="auto"/>
                <w:sz w:val="21"/>
                <w:szCs w:val="21"/>
                <w:highlight w:val="none"/>
              </w:rPr>
              <w:t>备注</w:t>
            </w:r>
          </w:p>
        </w:tc>
        <w:tc>
          <w:tcPr>
            <w:tcW w:w="8077" w:type="dxa"/>
            <w:gridSpan w:val="8"/>
            <w:vAlign w:val="center"/>
          </w:tcPr>
          <w:p w14:paraId="7D2F40C4">
            <w:pPr>
              <w:pStyle w:val="118"/>
              <w:spacing w:line="360" w:lineRule="auto"/>
              <w:jc w:val="center"/>
              <w:rPr>
                <w:rStyle w:val="35"/>
                <w:rFonts w:hint="eastAsia" w:ascii="宋体" w:hAnsi="宋体" w:eastAsia="宋体" w:cs="宋体"/>
                <w:color w:val="auto"/>
                <w:sz w:val="21"/>
                <w:szCs w:val="21"/>
                <w:highlight w:val="none"/>
              </w:rPr>
            </w:pPr>
          </w:p>
        </w:tc>
      </w:tr>
    </w:tbl>
    <w:p w14:paraId="224B211B">
      <w:pPr>
        <w:keepNext w:val="0"/>
        <w:keepLines w:val="0"/>
        <w:widowControl/>
        <w:suppressLineNumbers w:val="0"/>
        <w:spacing w:line="360" w:lineRule="auto"/>
        <w:jc w:val="left"/>
        <w:rPr>
          <w:rFonts w:hint="eastAsia" w:ascii="宋体" w:hAnsi="宋体" w:eastAsia="宋体" w:cs="宋体"/>
          <w:color w:val="auto"/>
          <w:kern w:val="0"/>
          <w:sz w:val="20"/>
          <w:szCs w:val="20"/>
          <w:highlight w:val="none"/>
          <w:lang w:val="en-US" w:eastAsia="zh-CN" w:bidi="ar"/>
        </w:rPr>
      </w:pPr>
    </w:p>
    <w:p w14:paraId="6C487F53">
      <w:pPr>
        <w:keepNext w:val="0"/>
        <w:keepLines w:val="0"/>
        <w:widowControl/>
        <w:suppressLineNumbers w:val="0"/>
        <w:spacing w:line="360" w:lineRule="auto"/>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附磋商供应商有效的营业执照副本、资质证书副本、安全生产许可证副本的复印件。</w:t>
      </w:r>
    </w:p>
    <w:p w14:paraId="6757BA8C">
      <w:pPr>
        <w:spacing w:line="360" w:lineRule="auto"/>
        <w:ind w:right="1575" w:rightChars="750"/>
        <w:jc w:val="right"/>
        <w:rPr>
          <w:rFonts w:hint="eastAsia" w:ascii="宋体" w:hAnsi="宋体" w:eastAsia="宋体"/>
          <w:color w:val="auto"/>
          <w:szCs w:val="21"/>
          <w:highlight w:val="none"/>
        </w:rPr>
      </w:pPr>
    </w:p>
    <w:p w14:paraId="7D12A398">
      <w:pPr>
        <w:spacing w:line="360" w:lineRule="auto"/>
        <w:ind w:right="1575" w:rightChars="750"/>
        <w:jc w:val="right"/>
        <w:rPr>
          <w:rFonts w:ascii="宋体" w:hAnsi="宋体" w:eastAsia="宋体"/>
          <w:color w:val="auto"/>
          <w:szCs w:val="21"/>
          <w:highlight w:val="none"/>
        </w:rPr>
      </w:pPr>
      <w:r>
        <w:rPr>
          <w:rFonts w:hint="eastAsia" w:ascii="宋体" w:hAnsi="宋体" w:eastAsia="宋体"/>
          <w:color w:val="auto"/>
          <w:szCs w:val="21"/>
          <w:highlight w:val="none"/>
        </w:rPr>
        <w:t>供应商名称（电子签章）：</w:t>
      </w:r>
    </w:p>
    <w:p w14:paraId="519FB0F3">
      <w:pPr>
        <w:spacing w:line="360" w:lineRule="auto"/>
        <w:ind w:firstLine="420" w:firstLineChars="200"/>
        <w:jc w:val="right"/>
        <w:rPr>
          <w:rFonts w:ascii="宋体" w:hAnsi="宋体" w:eastAsia="宋体"/>
          <w:color w:val="auto"/>
          <w:sz w:val="28"/>
          <w:szCs w:val="28"/>
          <w:highlight w:val="none"/>
        </w:rPr>
        <w:sectPr>
          <w:pgSz w:w="11906" w:h="16838"/>
          <w:pgMar w:top="1134" w:right="1134" w:bottom="1134" w:left="1134" w:header="851" w:footer="992" w:gutter="0"/>
          <w:pgNumType w:fmt="decimal"/>
          <w:cols w:space="425" w:num="1"/>
          <w:docGrid w:type="lines" w:linePitch="312" w:charSpace="0"/>
        </w:sectPr>
      </w:pPr>
      <w:r>
        <w:rPr>
          <w:rFonts w:hint="eastAsia" w:ascii="宋体" w:hAnsi="宋体" w:eastAsia="宋体"/>
          <w:color w:val="auto"/>
          <w:szCs w:val="21"/>
          <w:highlight w:val="none"/>
        </w:rPr>
        <w:t>日期：</w:t>
      </w:r>
      <w:r>
        <w:rPr>
          <w:rFonts w:ascii="宋体" w:hAnsi="宋体" w:eastAsia="宋体" w:cs="Times New Roman"/>
          <w:color w:val="auto"/>
          <w:szCs w:val="21"/>
          <w:highlight w:val="none"/>
        </w:rPr>
        <w:t>___</w:t>
      </w:r>
      <w:r>
        <w:rPr>
          <w:rFonts w:hint="eastAsia" w:ascii="宋体" w:hAnsi="宋体" w:eastAsia="宋体"/>
          <w:color w:val="auto"/>
          <w:szCs w:val="21"/>
          <w:highlight w:val="none"/>
        </w:rPr>
        <w:t>年</w:t>
      </w:r>
      <w:r>
        <w:rPr>
          <w:rFonts w:ascii="宋体" w:hAnsi="宋体" w:eastAsia="宋体" w:cs="Times New Roman"/>
          <w:color w:val="auto"/>
          <w:szCs w:val="21"/>
          <w:highlight w:val="none"/>
        </w:rPr>
        <w:t>___</w:t>
      </w:r>
      <w:r>
        <w:rPr>
          <w:rFonts w:hint="eastAsia" w:ascii="宋体" w:hAnsi="宋体" w:eastAsia="宋体"/>
          <w:color w:val="auto"/>
          <w:szCs w:val="21"/>
          <w:highlight w:val="none"/>
        </w:rPr>
        <w:t>月</w:t>
      </w:r>
      <w:r>
        <w:rPr>
          <w:rFonts w:ascii="宋体" w:hAnsi="宋体" w:eastAsia="宋体" w:cs="Times New Roman"/>
          <w:color w:val="auto"/>
          <w:szCs w:val="21"/>
          <w:highlight w:val="none"/>
        </w:rPr>
        <w:t>___</w:t>
      </w:r>
      <w:r>
        <w:rPr>
          <w:rFonts w:hint="eastAsia" w:ascii="宋体" w:hAnsi="宋体" w:eastAsia="宋体"/>
          <w:color w:val="auto"/>
          <w:szCs w:val="21"/>
          <w:highlight w:val="none"/>
        </w:rPr>
        <w:t>日</w:t>
      </w:r>
    </w:p>
    <w:p w14:paraId="53B1756F">
      <w:pPr>
        <w:pStyle w:val="32"/>
        <w:spacing w:line="360" w:lineRule="auto"/>
        <w:ind w:left="0" w:leftChars="0" w:firstLine="0" w:firstLineChars="0"/>
        <w:rPr>
          <w:rFonts w:hint="eastAsia" w:ascii="宋体" w:hAnsi="宋体" w:eastAsia="宋体" w:cs="宋体"/>
          <w:b/>
          <w:color w:val="auto"/>
          <w:sz w:val="32"/>
          <w:szCs w:val="32"/>
          <w:highlight w:val="none"/>
        </w:rPr>
      </w:pPr>
    </w:p>
    <w:p w14:paraId="78F29B39">
      <w:pPr>
        <w:keepNext w:val="0"/>
        <w:keepLines w:val="0"/>
        <w:widowControl/>
        <w:suppressLineNumbers w:val="0"/>
        <w:spacing w:line="360" w:lineRule="auto"/>
        <w:jc w:val="left"/>
        <w:rPr>
          <w:rFonts w:hint="eastAsia" w:ascii="宋体" w:hAnsi="宋体" w:eastAsia="宋体" w:cs="宋体"/>
          <w:color w:val="auto"/>
          <w:highlight w:val="none"/>
        </w:rPr>
      </w:pPr>
      <w:r>
        <w:rPr>
          <w:rFonts w:hint="eastAsia" w:ascii="宋体" w:hAnsi="宋体" w:eastAsia="宋体" w:cs="宋体"/>
          <w:b/>
          <w:bCs/>
          <w:color w:val="auto"/>
          <w:kern w:val="0"/>
          <w:sz w:val="24"/>
          <w:szCs w:val="24"/>
          <w:highlight w:val="none"/>
          <w:lang w:val="en-US" w:eastAsia="zh-CN" w:bidi="ar"/>
        </w:rPr>
        <w:t>附3、法定代表人身份证明书（格式）</w:t>
      </w:r>
    </w:p>
    <w:p w14:paraId="15F44BF8">
      <w:pPr>
        <w:shd w:val="clear" w:color="auto" w:fill="auto"/>
        <w:spacing w:before="158" w:beforeLines="50" w:after="158" w:afterLines="50" w:line="360" w:lineRule="auto"/>
        <w:jc w:val="cente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法定代表人证明书（格式）</w:t>
      </w:r>
    </w:p>
    <w:p w14:paraId="46E5AECF">
      <w:pPr>
        <w:shd w:val="clear" w:color="auto" w:fill="auto"/>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供应商名称：</w:t>
      </w:r>
      <w:r>
        <w:rPr>
          <w:rFonts w:hint="eastAsia" w:ascii="宋体" w:hAnsi="宋体" w:eastAsia="宋体" w:cs="宋体"/>
          <w:color w:val="auto"/>
          <w:sz w:val="24"/>
          <w:highlight w:val="none"/>
          <w:u w:val="single"/>
        </w:rPr>
        <w:t xml:space="preserve">                                         </w:t>
      </w:r>
    </w:p>
    <w:p w14:paraId="298743E0">
      <w:pPr>
        <w:shd w:val="clear" w:color="auto" w:fill="auto"/>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地    址：</w:t>
      </w:r>
      <w:r>
        <w:rPr>
          <w:rFonts w:hint="eastAsia" w:ascii="宋体" w:hAnsi="宋体" w:eastAsia="宋体" w:cs="宋体"/>
          <w:color w:val="auto"/>
          <w:sz w:val="24"/>
          <w:highlight w:val="none"/>
          <w:u w:val="single"/>
        </w:rPr>
        <w:t xml:space="preserve">                                           </w:t>
      </w:r>
    </w:p>
    <w:p w14:paraId="25B6BA11">
      <w:pPr>
        <w:shd w:val="clear" w:color="auto" w:fill="auto"/>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姓    名：</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性     别：</w:t>
      </w:r>
      <w:r>
        <w:rPr>
          <w:rFonts w:hint="eastAsia" w:ascii="宋体" w:hAnsi="宋体" w:eastAsia="宋体" w:cs="宋体"/>
          <w:color w:val="auto"/>
          <w:sz w:val="24"/>
          <w:highlight w:val="none"/>
          <w:u w:val="single"/>
        </w:rPr>
        <w:t xml:space="preserve">                </w:t>
      </w:r>
    </w:p>
    <w:p w14:paraId="6B6B56CB">
      <w:pPr>
        <w:shd w:val="clear" w:color="auto" w:fill="auto"/>
        <w:spacing w:line="360" w:lineRule="auto"/>
        <w:ind w:firstLine="480" w:firstLineChars="200"/>
        <w:contextualSpacing/>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年    龄：</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职     务：</w:t>
      </w:r>
      <w:r>
        <w:rPr>
          <w:rFonts w:hint="eastAsia" w:ascii="宋体" w:hAnsi="宋体" w:eastAsia="宋体" w:cs="宋体"/>
          <w:color w:val="auto"/>
          <w:sz w:val="24"/>
          <w:highlight w:val="none"/>
          <w:u w:val="single"/>
        </w:rPr>
        <w:t xml:space="preserve">                </w:t>
      </w:r>
    </w:p>
    <w:p w14:paraId="72BF84FD">
      <w:pPr>
        <w:shd w:val="clear" w:color="auto" w:fill="auto"/>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身份证号码：</w:t>
      </w:r>
      <w:r>
        <w:rPr>
          <w:rFonts w:hint="eastAsia" w:ascii="宋体" w:hAnsi="宋体" w:eastAsia="宋体" w:cs="宋体"/>
          <w:color w:val="auto"/>
          <w:sz w:val="24"/>
          <w:highlight w:val="none"/>
          <w:u w:val="single"/>
        </w:rPr>
        <w:t xml:space="preserve">                                         </w:t>
      </w:r>
    </w:p>
    <w:p w14:paraId="1B9D3794">
      <w:pPr>
        <w:shd w:val="clear" w:color="auto" w:fill="auto"/>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系</w:t>
      </w:r>
      <w:r>
        <w:rPr>
          <w:rFonts w:hint="eastAsia" w:ascii="宋体" w:hAnsi="宋体" w:eastAsia="宋体" w:cs="宋体"/>
          <w:color w:val="auto"/>
          <w:sz w:val="24"/>
          <w:highlight w:val="none"/>
          <w:u w:val="single"/>
        </w:rPr>
        <w:t xml:space="preserve">    （供应商名称）   </w:t>
      </w:r>
      <w:r>
        <w:rPr>
          <w:rFonts w:hint="eastAsia" w:ascii="宋体" w:hAnsi="宋体" w:eastAsia="宋体" w:cs="宋体"/>
          <w:color w:val="auto"/>
          <w:sz w:val="24"/>
          <w:highlight w:val="none"/>
        </w:rPr>
        <w:t>的法定代表人。</w:t>
      </w:r>
    </w:p>
    <w:p w14:paraId="44666165">
      <w:pPr>
        <w:shd w:val="clear" w:color="auto" w:fill="auto"/>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特此证明。</w:t>
      </w:r>
    </w:p>
    <w:p w14:paraId="4170D874">
      <w:pPr>
        <w:shd w:val="clear" w:color="auto" w:fill="auto"/>
        <w:spacing w:line="360" w:lineRule="auto"/>
        <w:ind w:left="540"/>
        <w:contextualSpacing/>
        <w:rPr>
          <w:rFonts w:hint="eastAsia" w:ascii="宋体" w:hAnsi="宋体" w:eastAsia="宋体" w:cs="宋体"/>
          <w:color w:val="auto"/>
          <w:sz w:val="24"/>
          <w:highlight w:val="none"/>
        </w:rPr>
      </w:pPr>
    </w:p>
    <w:p w14:paraId="2E3EF10E">
      <w:pPr>
        <w:shd w:val="clear" w:color="auto" w:fill="auto"/>
        <w:spacing w:line="360" w:lineRule="auto"/>
        <w:ind w:left="540"/>
        <w:contextualSpacing/>
        <w:rPr>
          <w:rFonts w:hint="eastAsia" w:ascii="宋体" w:hAnsi="宋体" w:eastAsia="宋体" w:cs="宋体"/>
          <w:color w:val="auto"/>
          <w:sz w:val="24"/>
          <w:highlight w:val="none"/>
        </w:rPr>
      </w:pPr>
    </w:p>
    <w:p w14:paraId="4B10105F">
      <w:pPr>
        <w:shd w:val="clear" w:color="auto" w:fill="auto"/>
        <w:spacing w:line="360" w:lineRule="auto"/>
        <w:ind w:left="540"/>
        <w:contextualSpacing/>
        <w:rPr>
          <w:rFonts w:hint="eastAsia" w:ascii="宋体" w:hAnsi="宋体" w:eastAsia="宋体" w:cs="宋体"/>
          <w:color w:val="auto"/>
          <w:sz w:val="24"/>
          <w:highlight w:val="none"/>
        </w:rPr>
      </w:pPr>
    </w:p>
    <w:p w14:paraId="06769225">
      <w:pPr>
        <w:shd w:val="clear" w:color="auto" w:fill="auto"/>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附：法定代表人有效身份证正反面复印件</w:t>
      </w:r>
    </w:p>
    <w:p w14:paraId="195B0408">
      <w:pPr>
        <w:shd w:val="clear" w:color="auto" w:fill="auto"/>
        <w:spacing w:line="360" w:lineRule="auto"/>
        <w:ind w:left="540"/>
        <w:contextualSpacing/>
        <w:rPr>
          <w:rFonts w:hint="eastAsia" w:ascii="宋体" w:hAnsi="宋体" w:eastAsia="宋体" w:cs="宋体"/>
          <w:color w:val="auto"/>
          <w:sz w:val="24"/>
          <w:highlight w:val="none"/>
        </w:rPr>
      </w:pPr>
    </w:p>
    <w:p w14:paraId="0A0B6155">
      <w:pPr>
        <w:shd w:val="clear" w:color="auto" w:fill="auto"/>
        <w:autoSpaceDE w:val="0"/>
        <w:autoSpaceDN w:val="0"/>
        <w:spacing w:line="360" w:lineRule="auto"/>
        <w:ind w:left="4335" w:leftChars="1950" w:hanging="240" w:hangingChars="1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供应商名称（电子签章）：</w:t>
      </w:r>
    </w:p>
    <w:p w14:paraId="0BA233DE">
      <w:pPr>
        <w:shd w:val="clear" w:color="auto" w:fill="auto"/>
        <w:spacing w:line="360" w:lineRule="auto"/>
        <w:contextualSpacing/>
        <w:jc w:val="center"/>
        <w:rPr>
          <w:rFonts w:hint="eastAsia" w:ascii="宋体" w:hAnsi="宋体" w:eastAsia="宋体" w:cs="宋体"/>
          <w:b/>
          <w:color w:val="auto"/>
          <w:sz w:val="24"/>
          <w:highlight w:val="none"/>
        </w:rPr>
      </w:pPr>
      <w:r>
        <w:rPr>
          <w:rFonts w:hint="eastAsia" w:ascii="宋体" w:hAnsi="宋体" w:eastAsia="宋体" w:cs="宋体"/>
          <w:color w:val="auto"/>
          <w:kern w:val="0"/>
          <w:sz w:val="24"/>
          <w:highlight w:val="none"/>
          <w:lang w:val="zh-CN"/>
        </w:rPr>
        <w:t xml:space="preserve">                                                   日期：  年  月   日</w:t>
      </w:r>
    </w:p>
    <w:p w14:paraId="1DB19155">
      <w:pPr>
        <w:shd w:val="clear" w:color="auto" w:fill="auto"/>
        <w:spacing w:line="360" w:lineRule="auto"/>
        <w:contextualSpacing/>
        <w:jc w:val="left"/>
        <w:rPr>
          <w:rFonts w:hint="eastAsia" w:ascii="宋体" w:hAnsi="宋体" w:eastAsia="宋体" w:cs="宋体"/>
          <w:color w:val="auto"/>
          <w:sz w:val="24"/>
          <w:highlight w:val="none"/>
        </w:rPr>
      </w:pPr>
    </w:p>
    <w:p w14:paraId="02B79268">
      <w:pPr>
        <w:pStyle w:val="32"/>
        <w:spacing w:line="360" w:lineRule="auto"/>
        <w:rPr>
          <w:rFonts w:hint="eastAsia" w:ascii="宋体" w:hAnsi="宋体" w:eastAsia="宋体" w:cs="宋体"/>
          <w:b/>
          <w:color w:val="auto"/>
          <w:sz w:val="32"/>
          <w:szCs w:val="32"/>
          <w:highlight w:val="none"/>
        </w:rPr>
      </w:pPr>
    </w:p>
    <w:p w14:paraId="37005C7B">
      <w:pPr>
        <w:pStyle w:val="32"/>
        <w:spacing w:line="360" w:lineRule="auto"/>
        <w:rPr>
          <w:rFonts w:hint="eastAsia" w:ascii="宋体" w:hAnsi="宋体" w:eastAsia="宋体" w:cs="宋体"/>
          <w:b/>
          <w:color w:val="auto"/>
          <w:sz w:val="32"/>
          <w:szCs w:val="32"/>
          <w:highlight w:val="none"/>
        </w:rPr>
      </w:pPr>
    </w:p>
    <w:p w14:paraId="0351465A">
      <w:pPr>
        <w:pStyle w:val="32"/>
        <w:spacing w:line="360" w:lineRule="auto"/>
        <w:rPr>
          <w:rFonts w:hint="eastAsia" w:ascii="宋体" w:hAnsi="宋体" w:eastAsia="宋体" w:cs="宋体"/>
          <w:b/>
          <w:color w:val="auto"/>
          <w:sz w:val="32"/>
          <w:szCs w:val="32"/>
          <w:highlight w:val="none"/>
        </w:rPr>
      </w:pPr>
    </w:p>
    <w:p w14:paraId="0F7C813E">
      <w:pPr>
        <w:pStyle w:val="32"/>
        <w:spacing w:line="360" w:lineRule="auto"/>
        <w:rPr>
          <w:rFonts w:hint="eastAsia" w:ascii="宋体" w:hAnsi="宋体" w:eastAsia="宋体" w:cs="宋体"/>
          <w:b/>
          <w:color w:val="auto"/>
          <w:sz w:val="32"/>
          <w:szCs w:val="32"/>
          <w:highlight w:val="none"/>
        </w:rPr>
      </w:pPr>
    </w:p>
    <w:p w14:paraId="26977023">
      <w:pPr>
        <w:pStyle w:val="32"/>
        <w:spacing w:line="360" w:lineRule="auto"/>
        <w:rPr>
          <w:rFonts w:hint="eastAsia" w:ascii="宋体" w:hAnsi="宋体" w:eastAsia="宋体" w:cs="宋体"/>
          <w:b/>
          <w:color w:val="auto"/>
          <w:sz w:val="32"/>
          <w:szCs w:val="32"/>
          <w:highlight w:val="none"/>
        </w:rPr>
      </w:pPr>
    </w:p>
    <w:p w14:paraId="4F168DCF">
      <w:pPr>
        <w:pStyle w:val="32"/>
        <w:spacing w:line="360" w:lineRule="auto"/>
        <w:rPr>
          <w:rFonts w:hint="eastAsia" w:ascii="宋体" w:hAnsi="宋体" w:eastAsia="宋体" w:cs="宋体"/>
          <w:b/>
          <w:color w:val="auto"/>
          <w:sz w:val="32"/>
          <w:szCs w:val="32"/>
          <w:highlight w:val="none"/>
        </w:rPr>
      </w:pPr>
    </w:p>
    <w:p w14:paraId="1D3BA963">
      <w:pPr>
        <w:pStyle w:val="32"/>
        <w:spacing w:line="360" w:lineRule="auto"/>
        <w:rPr>
          <w:rFonts w:hint="eastAsia" w:ascii="宋体" w:hAnsi="宋体" w:eastAsia="宋体" w:cs="宋体"/>
          <w:b/>
          <w:color w:val="auto"/>
          <w:sz w:val="32"/>
          <w:szCs w:val="32"/>
          <w:highlight w:val="none"/>
        </w:rPr>
      </w:pPr>
    </w:p>
    <w:p w14:paraId="48373F9F">
      <w:pPr>
        <w:pStyle w:val="32"/>
        <w:spacing w:line="360" w:lineRule="auto"/>
        <w:rPr>
          <w:rFonts w:hint="eastAsia" w:ascii="宋体" w:hAnsi="宋体" w:eastAsia="宋体" w:cs="宋体"/>
          <w:b/>
          <w:color w:val="auto"/>
          <w:sz w:val="32"/>
          <w:szCs w:val="32"/>
          <w:highlight w:val="none"/>
        </w:rPr>
      </w:pPr>
    </w:p>
    <w:p w14:paraId="2E6F800A">
      <w:pPr>
        <w:keepNext w:val="0"/>
        <w:keepLines w:val="0"/>
        <w:widowControl/>
        <w:suppressLineNumbers w:val="0"/>
        <w:spacing w:line="360" w:lineRule="auto"/>
        <w:jc w:val="left"/>
        <w:rPr>
          <w:rFonts w:hint="eastAsia" w:ascii="宋体" w:hAnsi="宋体" w:eastAsia="宋体" w:cs="宋体"/>
          <w:b/>
          <w:bCs/>
          <w:color w:val="auto"/>
          <w:kern w:val="0"/>
          <w:sz w:val="24"/>
          <w:szCs w:val="24"/>
          <w:highlight w:val="none"/>
          <w:lang w:val="en-US" w:eastAsia="zh-CN" w:bidi="ar"/>
        </w:rPr>
        <w:sectPr>
          <w:pgSz w:w="11906" w:h="16838"/>
          <w:pgMar w:top="1134" w:right="1134" w:bottom="1134" w:left="1134" w:header="851" w:footer="992" w:gutter="0"/>
          <w:pgNumType w:fmt="decimal"/>
          <w:cols w:space="425" w:num="1"/>
          <w:docGrid w:type="lines" w:linePitch="312" w:charSpace="0"/>
        </w:sectPr>
      </w:pPr>
    </w:p>
    <w:p w14:paraId="7CE4C792">
      <w:pPr>
        <w:keepNext w:val="0"/>
        <w:keepLines w:val="0"/>
        <w:widowControl/>
        <w:suppressLineNumbers w:val="0"/>
        <w:spacing w:line="360" w:lineRule="auto"/>
        <w:jc w:val="left"/>
        <w:rPr>
          <w:rFonts w:hint="eastAsia" w:ascii="宋体" w:hAnsi="宋体" w:eastAsia="宋体" w:cs="宋体"/>
          <w:b/>
          <w:bCs/>
          <w:color w:val="auto"/>
          <w:kern w:val="0"/>
          <w:sz w:val="24"/>
          <w:szCs w:val="24"/>
          <w:highlight w:val="none"/>
          <w:lang w:val="en-US" w:eastAsia="zh-CN" w:bidi="ar"/>
        </w:rPr>
      </w:pPr>
      <w:r>
        <w:rPr>
          <w:rFonts w:hint="eastAsia" w:ascii="宋体" w:hAnsi="宋体" w:eastAsia="宋体" w:cs="宋体"/>
          <w:b/>
          <w:bCs/>
          <w:color w:val="auto"/>
          <w:kern w:val="0"/>
          <w:sz w:val="24"/>
          <w:szCs w:val="24"/>
          <w:highlight w:val="none"/>
          <w:lang w:val="en-US" w:eastAsia="zh-CN" w:bidi="ar"/>
        </w:rPr>
        <w:t>附4：授权委托书（格式）</w:t>
      </w:r>
    </w:p>
    <w:p w14:paraId="486CDDDB">
      <w:pPr>
        <w:spacing w:line="360" w:lineRule="auto"/>
        <w:jc w:val="center"/>
        <w:outlineLvl w:val="3"/>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授权委托书（如有委托时）</w:t>
      </w:r>
    </w:p>
    <w:p w14:paraId="225BE498">
      <w:pPr>
        <w:spacing w:line="360" w:lineRule="auto"/>
        <w:rPr>
          <w:rFonts w:hint="eastAsia" w:ascii="宋体" w:hAnsi="宋体" w:eastAsia="宋体" w:cs="宋体"/>
          <w:color w:val="auto"/>
          <w:sz w:val="32"/>
          <w:szCs w:val="32"/>
          <w:highlight w:val="none"/>
        </w:rPr>
      </w:pPr>
    </w:p>
    <w:p w14:paraId="432F7BFD">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致：</w:t>
      </w:r>
      <w:r>
        <w:rPr>
          <w:rFonts w:hint="eastAsia" w:ascii="宋体" w:hAnsi="宋体" w:eastAsia="宋体" w:cs="宋体"/>
          <w:color w:val="auto"/>
          <w:sz w:val="24"/>
          <w:highlight w:val="none"/>
          <w:u w:val="single"/>
        </w:rPr>
        <w:t>（采购人名称）</w:t>
      </w:r>
      <w:r>
        <w:rPr>
          <w:rFonts w:hint="eastAsia" w:ascii="宋体" w:hAnsi="宋体" w:eastAsia="宋体" w:cs="宋体"/>
          <w:color w:val="auto"/>
          <w:sz w:val="24"/>
          <w:highlight w:val="none"/>
        </w:rPr>
        <w:t>：</w:t>
      </w:r>
    </w:p>
    <w:p w14:paraId="7F759FD9">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我</w:t>
      </w:r>
      <w:r>
        <w:rPr>
          <w:rFonts w:hint="eastAsia" w:ascii="宋体" w:hAnsi="宋体" w:eastAsia="宋体" w:cs="宋体"/>
          <w:color w:val="auto"/>
          <w:sz w:val="24"/>
          <w:highlight w:val="none"/>
          <w:u w:val="single"/>
        </w:rPr>
        <w:t xml:space="preserve">  （姓名）  </w:t>
      </w:r>
      <w:r>
        <w:rPr>
          <w:rFonts w:hint="eastAsia" w:ascii="宋体" w:hAnsi="宋体" w:eastAsia="宋体" w:cs="宋体"/>
          <w:color w:val="auto"/>
          <w:sz w:val="24"/>
          <w:highlight w:val="none"/>
        </w:rPr>
        <w:t>系</w:t>
      </w:r>
      <w:r>
        <w:rPr>
          <w:rFonts w:hint="eastAsia" w:ascii="宋体" w:hAnsi="宋体" w:eastAsia="宋体" w:cs="宋体"/>
          <w:color w:val="auto"/>
          <w:sz w:val="24"/>
          <w:highlight w:val="none"/>
          <w:u w:val="single"/>
        </w:rPr>
        <w:t xml:space="preserve">  （供应商名称）  </w:t>
      </w:r>
      <w:r>
        <w:rPr>
          <w:rFonts w:hint="eastAsia" w:ascii="宋体" w:hAnsi="宋体" w:eastAsia="宋体" w:cs="宋体"/>
          <w:color w:val="auto"/>
          <w:sz w:val="24"/>
          <w:highlight w:val="none"/>
        </w:rPr>
        <w:t>的（</w:t>
      </w:r>
      <w:r>
        <w:rPr>
          <w:rFonts w:hint="eastAsia" w:ascii="宋体" w:hAnsi="宋体" w:eastAsia="宋体" w:cs="宋体"/>
          <w:color w:val="auto"/>
          <w:sz w:val="24"/>
          <w:highlight w:val="none"/>
          <w:u w:val="single"/>
        </w:rPr>
        <w:t>□法定代表人/□负责人/□自然人本人</w:t>
      </w:r>
      <w:r>
        <w:rPr>
          <w:rFonts w:hint="eastAsia" w:ascii="宋体" w:hAnsi="宋体" w:eastAsia="宋体" w:cs="宋体"/>
          <w:color w:val="auto"/>
          <w:sz w:val="24"/>
          <w:highlight w:val="none"/>
        </w:rPr>
        <w:t>），现授权</w:t>
      </w:r>
      <w:r>
        <w:rPr>
          <w:rFonts w:hint="eastAsia" w:ascii="宋体" w:hAnsi="宋体" w:eastAsia="宋体" w:cs="宋体"/>
          <w:color w:val="auto"/>
          <w:sz w:val="24"/>
          <w:highlight w:val="none"/>
          <w:u w:val="single"/>
        </w:rPr>
        <w:t xml:space="preserve"> （姓名） </w:t>
      </w:r>
      <w:r>
        <w:rPr>
          <w:rFonts w:hint="eastAsia" w:ascii="宋体" w:hAnsi="宋体" w:eastAsia="宋体" w:cs="宋体"/>
          <w:color w:val="auto"/>
          <w:sz w:val="24"/>
          <w:highlight w:val="none"/>
        </w:rPr>
        <w:t>以我方的名义参加</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项目的竞标活动，并代表我方全权办理针对上述项目的所有采购程序和环节的具体事务和签署相关文件。</w:t>
      </w:r>
    </w:p>
    <w:p w14:paraId="1E789DEB">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我方对委托代理人的签字事项负全部责任。</w:t>
      </w:r>
    </w:p>
    <w:p w14:paraId="0B6DCA30">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本授权书自签署之日起生效，在撤销授权的书面通知以前，本授权书一直有效。委托代理人在授权书有效期内签署的所有文件不因授权的撤销而失效。</w:t>
      </w:r>
    </w:p>
    <w:p w14:paraId="6274C7D8">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委托代理人无转委托权，特此委托。</w:t>
      </w:r>
    </w:p>
    <w:p w14:paraId="2310C863">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附：法定代表人</w:t>
      </w:r>
      <w:r>
        <w:rPr>
          <w:rFonts w:hint="eastAsia" w:ascii="宋体" w:hAnsi="宋体" w:eastAsia="宋体" w:cs="宋体"/>
          <w:color w:val="auto"/>
          <w:sz w:val="24"/>
          <w:highlight w:val="none"/>
          <w:lang w:eastAsia="zh-CN"/>
        </w:rPr>
        <w:t>（负责人）</w:t>
      </w:r>
      <w:r>
        <w:rPr>
          <w:rFonts w:hint="eastAsia" w:ascii="宋体" w:hAnsi="宋体" w:eastAsia="宋体" w:cs="宋体"/>
          <w:color w:val="auto"/>
          <w:sz w:val="24"/>
          <w:highlight w:val="none"/>
        </w:rPr>
        <w:t>身份证明书及委托代理人有效身份证正反面复印件</w:t>
      </w:r>
    </w:p>
    <w:p w14:paraId="3C321530">
      <w:pPr>
        <w:spacing w:line="360" w:lineRule="auto"/>
        <w:rPr>
          <w:rFonts w:hint="eastAsia" w:ascii="宋体" w:hAnsi="宋体" w:eastAsia="宋体" w:cs="宋体"/>
          <w:color w:val="auto"/>
          <w:sz w:val="24"/>
          <w:highlight w:val="none"/>
        </w:rPr>
      </w:pPr>
    </w:p>
    <w:p w14:paraId="656FF973">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委托代理人（签字或盖章）：            法定代表人</w:t>
      </w:r>
      <w:r>
        <w:rPr>
          <w:rFonts w:hint="eastAsia" w:ascii="宋体" w:hAnsi="宋体" w:eastAsia="宋体" w:cs="宋体"/>
          <w:color w:val="auto"/>
          <w:sz w:val="24"/>
          <w:highlight w:val="none"/>
          <w:lang w:eastAsia="zh-CN"/>
        </w:rPr>
        <w:t>（负责人）</w:t>
      </w:r>
      <w:r>
        <w:rPr>
          <w:rFonts w:hint="eastAsia" w:ascii="宋体" w:hAnsi="宋体" w:eastAsia="宋体" w:cs="宋体"/>
          <w:color w:val="auto"/>
          <w:sz w:val="24"/>
          <w:highlight w:val="none"/>
        </w:rPr>
        <w:t xml:space="preserve">（签字或盖章）：                    </w:t>
      </w:r>
    </w:p>
    <w:p w14:paraId="7FD1C174">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委托代理人身份证号码：                              </w:t>
      </w:r>
    </w:p>
    <w:p w14:paraId="00D20A4C">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w:t>
      </w:r>
    </w:p>
    <w:p w14:paraId="53D4A474">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供应商（电子签章 ）：                      </w:t>
      </w:r>
    </w:p>
    <w:p w14:paraId="7DA4BF09">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年    月    日</w:t>
      </w:r>
    </w:p>
    <w:p w14:paraId="1360B8B1">
      <w:pPr>
        <w:pStyle w:val="32"/>
        <w:spacing w:line="360" w:lineRule="auto"/>
        <w:rPr>
          <w:rFonts w:hint="eastAsia" w:ascii="宋体" w:hAnsi="宋体" w:eastAsia="宋体" w:cs="宋体"/>
          <w:b/>
          <w:color w:val="auto"/>
          <w:sz w:val="32"/>
          <w:szCs w:val="32"/>
          <w:highlight w:val="none"/>
        </w:rPr>
      </w:pPr>
    </w:p>
    <w:p w14:paraId="6FAA9487">
      <w:pPr>
        <w:keepNext w:val="0"/>
        <w:keepLines w:val="0"/>
        <w:widowControl/>
        <w:suppressLineNumbers w:val="0"/>
        <w:spacing w:line="360" w:lineRule="auto"/>
        <w:jc w:val="left"/>
        <w:rPr>
          <w:rFonts w:hint="eastAsia" w:ascii="宋体" w:hAnsi="宋体" w:eastAsia="宋体" w:cs="宋体"/>
          <w:color w:val="auto"/>
          <w:sz w:val="21"/>
          <w:szCs w:val="21"/>
          <w:highlight w:val="none"/>
        </w:rPr>
      </w:pPr>
      <w:r>
        <w:rPr>
          <w:rFonts w:hint="eastAsia" w:ascii="宋体" w:hAnsi="宋体" w:eastAsia="宋体" w:cs="宋体"/>
          <w:b/>
          <w:bCs/>
          <w:color w:val="auto"/>
          <w:kern w:val="0"/>
          <w:sz w:val="21"/>
          <w:szCs w:val="21"/>
          <w:highlight w:val="none"/>
          <w:lang w:val="en-US" w:eastAsia="zh-CN" w:bidi="ar"/>
        </w:rPr>
        <w:t>附：委托代理人身份证复印件。</w:t>
      </w:r>
    </w:p>
    <w:p w14:paraId="0EA9FD47">
      <w:pPr>
        <w:pStyle w:val="32"/>
        <w:spacing w:line="360" w:lineRule="auto"/>
        <w:rPr>
          <w:rFonts w:hint="eastAsia" w:ascii="宋体" w:hAnsi="宋体" w:eastAsia="宋体" w:cs="宋体"/>
          <w:b/>
          <w:color w:val="auto"/>
          <w:sz w:val="32"/>
          <w:szCs w:val="32"/>
          <w:highlight w:val="none"/>
        </w:rPr>
      </w:pPr>
    </w:p>
    <w:p w14:paraId="7718E9DE">
      <w:pPr>
        <w:pStyle w:val="32"/>
        <w:spacing w:line="360" w:lineRule="auto"/>
        <w:rPr>
          <w:rFonts w:hint="eastAsia" w:ascii="宋体" w:hAnsi="宋体" w:eastAsia="宋体" w:cs="宋体"/>
          <w:b/>
          <w:color w:val="auto"/>
          <w:sz w:val="32"/>
          <w:szCs w:val="32"/>
          <w:highlight w:val="none"/>
        </w:rPr>
      </w:pPr>
    </w:p>
    <w:p w14:paraId="58082F83">
      <w:pPr>
        <w:shd w:val="clear" w:color="auto" w:fill="auto"/>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注：1. 法定代表人必须在授权委托书上亲笔签字或盖章，委托代理人必须在授权委托书上亲笔签字，</w:t>
      </w:r>
      <w:r>
        <w:rPr>
          <w:rFonts w:hint="eastAsia" w:ascii="宋体" w:hAnsi="宋体" w:eastAsia="宋体" w:cs="宋体"/>
          <w:b/>
          <w:color w:val="auto"/>
          <w:sz w:val="24"/>
          <w:highlight w:val="none"/>
        </w:rPr>
        <w:t>否则其响应文件按无效响应处理。</w:t>
      </w:r>
    </w:p>
    <w:p w14:paraId="084FB635">
      <w:pPr>
        <w:shd w:val="clear" w:color="auto" w:fill="auto"/>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4C1C6ED0">
      <w:pPr>
        <w:shd w:val="clear" w:color="auto" w:fill="auto"/>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3. 法人、其他组织竞标时“我方”是指“我单位”，自然人竞标时“我方”是指“本人”。</w:t>
      </w:r>
    </w:p>
    <w:p w14:paraId="2C2407E7">
      <w:pPr>
        <w:pStyle w:val="2"/>
        <w:spacing w:line="360" w:lineRule="auto"/>
        <w:rPr>
          <w:rFonts w:hint="eastAsia" w:ascii="宋体" w:hAnsi="宋体" w:eastAsia="宋体" w:cs="宋体"/>
          <w:color w:val="auto"/>
          <w:sz w:val="24"/>
          <w:highlight w:val="none"/>
        </w:rPr>
      </w:pPr>
    </w:p>
    <w:p w14:paraId="02A1FDF6">
      <w:pPr>
        <w:keepNext w:val="0"/>
        <w:keepLines w:val="0"/>
        <w:widowControl/>
        <w:suppressLineNumbers w:val="0"/>
        <w:spacing w:line="360" w:lineRule="auto"/>
        <w:jc w:val="left"/>
        <w:rPr>
          <w:rFonts w:hint="eastAsia" w:ascii="宋体" w:hAnsi="宋体" w:eastAsia="宋体" w:cs="宋体"/>
          <w:b/>
          <w:bCs/>
          <w:color w:val="auto"/>
          <w:kern w:val="0"/>
          <w:sz w:val="24"/>
          <w:szCs w:val="24"/>
          <w:highlight w:val="none"/>
          <w:lang w:val="en-US" w:eastAsia="zh-CN" w:bidi="ar"/>
        </w:rPr>
      </w:pPr>
      <w:bookmarkStart w:id="320" w:name="_Toc154392653"/>
      <w:r>
        <w:rPr>
          <w:rFonts w:hint="eastAsia" w:ascii="宋体" w:hAnsi="宋体" w:eastAsia="宋体" w:cs="宋体"/>
          <w:b/>
          <w:bCs/>
          <w:color w:val="auto"/>
          <w:kern w:val="0"/>
          <w:sz w:val="24"/>
          <w:szCs w:val="24"/>
          <w:highlight w:val="none"/>
          <w:lang w:val="en-US" w:eastAsia="zh-CN" w:bidi="ar"/>
        </w:rPr>
        <w:t>附5：供应商直接控股、管理关系信息表（格式）</w:t>
      </w:r>
    </w:p>
    <w:p w14:paraId="77291161">
      <w:pPr>
        <w:pStyle w:val="2"/>
        <w:spacing w:line="360" w:lineRule="auto"/>
        <w:rPr>
          <w:rFonts w:hint="eastAsia" w:ascii="宋体" w:hAnsi="宋体" w:eastAsia="宋体" w:cs="宋体"/>
          <w:b/>
          <w:bCs/>
          <w:color w:val="auto"/>
          <w:kern w:val="0"/>
          <w:sz w:val="24"/>
          <w:szCs w:val="24"/>
          <w:highlight w:val="none"/>
          <w:lang w:val="en-US" w:eastAsia="zh-CN" w:bidi="ar"/>
        </w:rPr>
      </w:pPr>
    </w:p>
    <w:p w14:paraId="2C93AE1D">
      <w:pPr>
        <w:spacing w:line="360" w:lineRule="auto"/>
        <w:jc w:val="center"/>
        <w:outlineLvl w:val="2"/>
        <w:rPr>
          <w:rFonts w:hint="eastAsia" w:ascii="宋体" w:hAnsi="宋体" w:eastAsia="宋体" w:cs="宋体"/>
          <w:b/>
          <w:color w:val="auto"/>
          <w:sz w:val="28"/>
          <w:szCs w:val="28"/>
          <w:highlight w:val="none"/>
        </w:rPr>
      </w:pPr>
      <w:bookmarkStart w:id="321" w:name="_Toc19246"/>
      <w:bookmarkStart w:id="322" w:name="_Toc28606"/>
      <w:bookmarkStart w:id="323" w:name="_Toc30365"/>
      <w:bookmarkStart w:id="324" w:name="_Toc20461"/>
      <w:r>
        <w:rPr>
          <w:rFonts w:hint="eastAsia" w:ascii="宋体" w:hAnsi="宋体" w:eastAsia="宋体" w:cs="宋体"/>
          <w:b/>
          <w:color w:val="auto"/>
          <w:sz w:val="28"/>
          <w:szCs w:val="28"/>
          <w:highlight w:val="none"/>
        </w:rPr>
        <w:t>供应商直接控股、管理关系信息表</w:t>
      </w:r>
      <w:bookmarkEnd w:id="320"/>
      <w:bookmarkEnd w:id="321"/>
      <w:bookmarkEnd w:id="322"/>
      <w:bookmarkEnd w:id="323"/>
      <w:bookmarkEnd w:id="324"/>
    </w:p>
    <w:p w14:paraId="7FD8E38A">
      <w:pPr>
        <w:spacing w:line="360" w:lineRule="auto"/>
        <w:contextualSpacing/>
        <w:jc w:val="cente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供应商直接控股股东信息表</w:t>
      </w:r>
    </w:p>
    <w:tbl>
      <w:tblPr>
        <w:tblStyle w:val="33"/>
        <w:tblW w:w="9349" w:type="dxa"/>
        <w:jc w:val="center"/>
        <w:tblLayout w:type="fixed"/>
        <w:tblCellMar>
          <w:top w:w="0" w:type="dxa"/>
          <w:left w:w="0" w:type="dxa"/>
          <w:bottom w:w="0" w:type="dxa"/>
          <w:right w:w="0" w:type="dxa"/>
        </w:tblCellMar>
      </w:tblPr>
      <w:tblGrid>
        <w:gridCol w:w="855"/>
        <w:gridCol w:w="2089"/>
        <w:gridCol w:w="1620"/>
        <w:gridCol w:w="3630"/>
        <w:gridCol w:w="1155"/>
      </w:tblGrid>
      <w:tr w14:paraId="7ED9FE45">
        <w:tblPrEx>
          <w:tblCellMar>
            <w:top w:w="0" w:type="dxa"/>
            <w:left w:w="0" w:type="dxa"/>
            <w:bottom w:w="0" w:type="dxa"/>
            <w:right w:w="0" w:type="dxa"/>
          </w:tblCellMar>
        </w:tblPrEx>
        <w:trPr>
          <w:jc w:val="center"/>
        </w:trPr>
        <w:tc>
          <w:tcPr>
            <w:tcW w:w="855"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794B3BD2">
            <w:pPr>
              <w:widowControl/>
              <w:spacing w:line="360" w:lineRule="auto"/>
              <w:contextualSpacing/>
              <w:jc w:val="center"/>
              <w:rPr>
                <w:rFonts w:hint="eastAsia" w:ascii="宋体" w:hAnsi="宋体" w:eastAsia="宋体" w:cs="宋体"/>
                <w:b/>
                <w:bCs/>
                <w:color w:val="auto"/>
                <w:kern w:val="0"/>
                <w:szCs w:val="21"/>
                <w:highlight w:val="none"/>
              </w:rPr>
            </w:pPr>
            <w:r>
              <w:rPr>
                <w:rFonts w:hint="eastAsia" w:ascii="宋体" w:hAnsi="宋体" w:eastAsia="宋体" w:cs="宋体"/>
                <w:b/>
                <w:bCs/>
                <w:color w:val="auto"/>
                <w:kern w:val="0"/>
                <w:highlight w:val="none"/>
              </w:rPr>
              <w:t>序号</w:t>
            </w:r>
          </w:p>
        </w:tc>
        <w:tc>
          <w:tcPr>
            <w:tcW w:w="2089" w:type="dxa"/>
            <w:tcBorders>
              <w:top w:val="single" w:color="auto" w:sz="4" w:space="0"/>
              <w:left w:val="nil"/>
              <w:bottom w:val="single" w:color="auto" w:sz="4" w:space="0"/>
              <w:right w:val="single" w:color="auto" w:sz="4" w:space="0"/>
            </w:tcBorders>
            <w:tcMar>
              <w:top w:w="120" w:type="dxa"/>
              <w:left w:w="120" w:type="dxa"/>
              <w:bottom w:w="120" w:type="dxa"/>
              <w:right w:w="120" w:type="dxa"/>
            </w:tcMar>
            <w:vAlign w:val="center"/>
          </w:tcPr>
          <w:p w14:paraId="1434C2BC">
            <w:pPr>
              <w:widowControl/>
              <w:spacing w:line="360" w:lineRule="auto"/>
              <w:contextualSpacing/>
              <w:jc w:val="center"/>
              <w:rPr>
                <w:rFonts w:hint="eastAsia" w:ascii="宋体" w:hAnsi="宋体" w:eastAsia="宋体" w:cs="宋体"/>
                <w:b/>
                <w:bCs/>
                <w:color w:val="auto"/>
                <w:kern w:val="0"/>
                <w:highlight w:val="none"/>
              </w:rPr>
            </w:pPr>
            <w:r>
              <w:rPr>
                <w:rFonts w:hint="eastAsia" w:ascii="宋体" w:hAnsi="宋体" w:eastAsia="宋体" w:cs="宋体"/>
                <w:b/>
                <w:bCs/>
                <w:color w:val="auto"/>
                <w:kern w:val="0"/>
                <w:highlight w:val="none"/>
              </w:rPr>
              <w:t>直接控股股东名称</w:t>
            </w:r>
          </w:p>
        </w:tc>
        <w:tc>
          <w:tcPr>
            <w:tcW w:w="1620" w:type="dxa"/>
            <w:tcBorders>
              <w:top w:val="single" w:color="auto" w:sz="4" w:space="0"/>
              <w:left w:val="nil"/>
              <w:bottom w:val="single" w:color="auto" w:sz="4" w:space="0"/>
              <w:right w:val="single" w:color="auto" w:sz="4" w:space="0"/>
            </w:tcBorders>
            <w:tcMar>
              <w:top w:w="120" w:type="dxa"/>
              <w:left w:w="120" w:type="dxa"/>
              <w:bottom w:w="120" w:type="dxa"/>
              <w:right w:w="120" w:type="dxa"/>
            </w:tcMar>
            <w:vAlign w:val="center"/>
          </w:tcPr>
          <w:p w14:paraId="70E4A949">
            <w:pPr>
              <w:widowControl/>
              <w:spacing w:line="360" w:lineRule="auto"/>
              <w:contextualSpacing/>
              <w:jc w:val="center"/>
              <w:rPr>
                <w:rFonts w:hint="eastAsia" w:ascii="宋体" w:hAnsi="宋体" w:eastAsia="宋体" w:cs="宋体"/>
                <w:b/>
                <w:bCs/>
                <w:color w:val="auto"/>
                <w:kern w:val="0"/>
                <w:highlight w:val="none"/>
              </w:rPr>
            </w:pPr>
            <w:r>
              <w:rPr>
                <w:rFonts w:hint="eastAsia" w:ascii="宋体" w:hAnsi="宋体" w:eastAsia="宋体" w:cs="宋体"/>
                <w:b/>
                <w:bCs/>
                <w:color w:val="auto"/>
                <w:kern w:val="0"/>
                <w:highlight w:val="none"/>
              </w:rPr>
              <w:t>出资比例</w:t>
            </w:r>
          </w:p>
        </w:tc>
        <w:tc>
          <w:tcPr>
            <w:tcW w:w="3630" w:type="dxa"/>
            <w:tcBorders>
              <w:top w:val="single" w:color="auto" w:sz="4" w:space="0"/>
              <w:left w:val="nil"/>
              <w:bottom w:val="single" w:color="auto" w:sz="4" w:space="0"/>
              <w:right w:val="single" w:color="auto" w:sz="4" w:space="0"/>
            </w:tcBorders>
            <w:tcMar>
              <w:top w:w="120" w:type="dxa"/>
              <w:left w:w="120" w:type="dxa"/>
              <w:bottom w:w="120" w:type="dxa"/>
              <w:right w:w="120" w:type="dxa"/>
            </w:tcMar>
            <w:vAlign w:val="center"/>
          </w:tcPr>
          <w:p w14:paraId="0FEEC0B5">
            <w:pPr>
              <w:widowControl/>
              <w:spacing w:line="360" w:lineRule="auto"/>
              <w:contextualSpacing/>
              <w:jc w:val="center"/>
              <w:rPr>
                <w:rFonts w:hint="eastAsia" w:ascii="宋体" w:hAnsi="宋体" w:eastAsia="宋体" w:cs="宋体"/>
                <w:b/>
                <w:bCs/>
                <w:color w:val="auto"/>
                <w:kern w:val="0"/>
                <w:highlight w:val="none"/>
              </w:rPr>
            </w:pPr>
            <w:r>
              <w:rPr>
                <w:rFonts w:hint="eastAsia" w:ascii="宋体" w:hAnsi="宋体" w:eastAsia="宋体" w:cs="宋体"/>
                <w:b/>
                <w:bCs/>
                <w:color w:val="auto"/>
                <w:kern w:val="0"/>
                <w:highlight w:val="none"/>
              </w:rPr>
              <w:t>身份证号码或者统一社会信用代码</w:t>
            </w:r>
          </w:p>
        </w:tc>
        <w:tc>
          <w:tcPr>
            <w:tcW w:w="1155" w:type="dxa"/>
            <w:tcBorders>
              <w:top w:val="single" w:color="auto" w:sz="4" w:space="0"/>
              <w:left w:val="nil"/>
              <w:bottom w:val="single" w:color="auto" w:sz="4" w:space="0"/>
              <w:right w:val="single" w:color="auto" w:sz="4" w:space="0"/>
            </w:tcBorders>
            <w:tcMar>
              <w:top w:w="120" w:type="dxa"/>
              <w:left w:w="120" w:type="dxa"/>
              <w:bottom w:w="120" w:type="dxa"/>
              <w:right w:w="120" w:type="dxa"/>
            </w:tcMar>
            <w:vAlign w:val="center"/>
          </w:tcPr>
          <w:p w14:paraId="5A25805B">
            <w:pPr>
              <w:widowControl/>
              <w:spacing w:line="360" w:lineRule="auto"/>
              <w:contextualSpacing/>
              <w:jc w:val="center"/>
              <w:rPr>
                <w:rFonts w:hint="eastAsia" w:ascii="宋体" w:hAnsi="宋体" w:eastAsia="宋体" w:cs="宋体"/>
                <w:b/>
                <w:bCs/>
                <w:color w:val="auto"/>
                <w:kern w:val="0"/>
                <w:highlight w:val="none"/>
              </w:rPr>
            </w:pPr>
            <w:r>
              <w:rPr>
                <w:rFonts w:hint="eastAsia" w:ascii="宋体" w:hAnsi="宋体" w:eastAsia="宋体" w:cs="宋体"/>
                <w:b/>
                <w:bCs/>
                <w:color w:val="auto"/>
                <w:kern w:val="0"/>
                <w:highlight w:val="none"/>
              </w:rPr>
              <w:t>备注</w:t>
            </w:r>
          </w:p>
        </w:tc>
      </w:tr>
      <w:tr w14:paraId="0775630F">
        <w:tblPrEx>
          <w:tblCellMar>
            <w:top w:w="0" w:type="dxa"/>
            <w:left w:w="0" w:type="dxa"/>
            <w:bottom w:w="0" w:type="dxa"/>
            <w:right w:w="0" w:type="dxa"/>
          </w:tblCellMar>
        </w:tblPrEx>
        <w:trPr>
          <w:jc w:val="center"/>
        </w:trPr>
        <w:tc>
          <w:tcPr>
            <w:tcW w:w="855"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2A2309C5">
            <w:pPr>
              <w:widowControl/>
              <w:spacing w:line="360" w:lineRule="auto"/>
              <w:contextualSpacing/>
              <w:jc w:val="center"/>
              <w:rPr>
                <w:rFonts w:hint="eastAsia" w:ascii="宋体" w:hAnsi="宋体" w:eastAsia="宋体" w:cs="宋体"/>
                <w:color w:val="auto"/>
                <w:kern w:val="0"/>
                <w:highlight w:val="none"/>
              </w:rPr>
            </w:pPr>
            <w:r>
              <w:rPr>
                <w:rFonts w:hint="eastAsia" w:ascii="宋体" w:hAnsi="宋体" w:eastAsia="宋体" w:cs="宋体"/>
                <w:color w:val="auto"/>
                <w:kern w:val="0"/>
                <w:highlight w:val="none"/>
              </w:rPr>
              <w:t>1</w:t>
            </w:r>
          </w:p>
        </w:tc>
        <w:tc>
          <w:tcPr>
            <w:tcW w:w="2089" w:type="dxa"/>
            <w:tcBorders>
              <w:top w:val="single" w:color="auto" w:sz="4" w:space="0"/>
              <w:left w:val="nil"/>
              <w:bottom w:val="single" w:color="auto" w:sz="4" w:space="0"/>
              <w:right w:val="single" w:color="auto" w:sz="4" w:space="0"/>
            </w:tcBorders>
            <w:tcMar>
              <w:top w:w="120" w:type="dxa"/>
              <w:left w:w="120" w:type="dxa"/>
              <w:bottom w:w="120" w:type="dxa"/>
              <w:right w:w="120" w:type="dxa"/>
            </w:tcMar>
            <w:vAlign w:val="center"/>
          </w:tcPr>
          <w:p w14:paraId="524BB5FE">
            <w:pPr>
              <w:widowControl/>
              <w:spacing w:line="360" w:lineRule="auto"/>
              <w:contextualSpacing/>
              <w:jc w:val="center"/>
              <w:rPr>
                <w:rFonts w:hint="eastAsia" w:ascii="宋体" w:hAnsi="宋体" w:eastAsia="宋体" w:cs="宋体"/>
                <w:color w:val="auto"/>
                <w:kern w:val="0"/>
                <w:highlight w:val="none"/>
              </w:rPr>
            </w:pPr>
          </w:p>
        </w:tc>
        <w:tc>
          <w:tcPr>
            <w:tcW w:w="1620" w:type="dxa"/>
            <w:tcBorders>
              <w:top w:val="single" w:color="auto" w:sz="4" w:space="0"/>
              <w:left w:val="nil"/>
              <w:bottom w:val="single" w:color="auto" w:sz="4" w:space="0"/>
              <w:right w:val="single" w:color="auto" w:sz="4" w:space="0"/>
            </w:tcBorders>
            <w:tcMar>
              <w:top w:w="120" w:type="dxa"/>
              <w:left w:w="120" w:type="dxa"/>
              <w:bottom w:w="120" w:type="dxa"/>
              <w:right w:w="120" w:type="dxa"/>
            </w:tcMar>
            <w:vAlign w:val="center"/>
          </w:tcPr>
          <w:p w14:paraId="22960C07">
            <w:pPr>
              <w:widowControl/>
              <w:spacing w:line="360" w:lineRule="auto"/>
              <w:contextualSpacing/>
              <w:jc w:val="center"/>
              <w:rPr>
                <w:rFonts w:hint="eastAsia" w:ascii="宋体" w:hAnsi="宋体" w:eastAsia="宋体" w:cs="宋体"/>
                <w:color w:val="auto"/>
                <w:kern w:val="0"/>
                <w:highlight w:val="none"/>
              </w:rPr>
            </w:pPr>
          </w:p>
        </w:tc>
        <w:tc>
          <w:tcPr>
            <w:tcW w:w="3630" w:type="dxa"/>
            <w:tcBorders>
              <w:top w:val="single" w:color="auto" w:sz="4" w:space="0"/>
              <w:left w:val="nil"/>
              <w:bottom w:val="single" w:color="auto" w:sz="4" w:space="0"/>
              <w:right w:val="single" w:color="auto" w:sz="4" w:space="0"/>
            </w:tcBorders>
            <w:tcMar>
              <w:top w:w="120" w:type="dxa"/>
              <w:left w:w="120" w:type="dxa"/>
              <w:bottom w:w="120" w:type="dxa"/>
              <w:right w:w="120" w:type="dxa"/>
            </w:tcMar>
            <w:vAlign w:val="center"/>
          </w:tcPr>
          <w:p w14:paraId="0FD349EC">
            <w:pPr>
              <w:widowControl/>
              <w:spacing w:line="360" w:lineRule="auto"/>
              <w:contextualSpacing/>
              <w:jc w:val="center"/>
              <w:rPr>
                <w:rFonts w:hint="eastAsia" w:ascii="宋体" w:hAnsi="宋体" w:eastAsia="宋体" w:cs="宋体"/>
                <w:color w:val="auto"/>
                <w:kern w:val="0"/>
                <w:highlight w:val="none"/>
              </w:rPr>
            </w:pPr>
          </w:p>
        </w:tc>
        <w:tc>
          <w:tcPr>
            <w:tcW w:w="1155" w:type="dxa"/>
            <w:tcBorders>
              <w:top w:val="single" w:color="auto" w:sz="4" w:space="0"/>
              <w:left w:val="nil"/>
              <w:bottom w:val="single" w:color="auto" w:sz="4" w:space="0"/>
              <w:right w:val="single" w:color="auto" w:sz="4" w:space="0"/>
            </w:tcBorders>
            <w:tcMar>
              <w:top w:w="120" w:type="dxa"/>
              <w:left w:w="120" w:type="dxa"/>
              <w:bottom w:w="120" w:type="dxa"/>
              <w:right w:w="120" w:type="dxa"/>
            </w:tcMar>
            <w:vAlign w:val="center"/>
          </w:tcPr>
          <w:p w14:paraId="060A9F7A">
            <w:pPr>
              <w:widowControl/>
              <w:spacing w:line="360" w:lineRule="auto"/>
              <w:contextualSpacing/>
              <w:jc w:val="center"/>
              <w:rPr>
                <w:rFonts w:hint="eastAsia" w:ascii="宋体" w:hAnsi="宋体" w:eastAsia="宋体" w:cs="宋体"/>
                <w:color w:val="auto"/>
                <w:kern w:val="0"/>
                <w:highlight w:val="none"/>
              </w:rPr>
            </w:pPr>
          </w:p>
        </w:tc>
      </w:tr>
      <w:tr w14:paraId="2F903B19">
        <w:tblPrEx>
          <w:tblCellMar>
            <w:top w:w="0" w:type="dxa"/>
            <w:left w:w="0" w:type="dxa"/>
            <w:bottom w:w="0" w:type="dxa"/>
            <w:right w:w="0" w:type="dxa"/>
          </w:tblCellMar>
        </w:tblPrEx>
        <w:trPr>
          <w:jc w:val="center"/>
        </w:trPr>
        <w:tc>
          <w:tcPr>
            <w:tcW w:w="855"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6925971B">
            <w:pPr>
              <w:widowControl/>
              <w:spacing w:line="360" w:lineRule="auto"/>
              <w:contextualSpacing/>
              <w:jc w:val="center"/>
              <w:rPr>
                <w:rFonts w:hint="eastAsia" w:ascii="宋体" w:hAnsi="宋体" w:eastAsia="宋体" w:cs="宋体"/>
                <w:color w:val="auto"/>
                <w:kern w:val="0"/>
                <w:highlight w:val="none"/>
              </w:rPr>
            </w:pPr>
            <w:r>
              <w:rPr>
                <w:rFonts w:hint="eastAsia" w:ascii="宋体" w:hAnsi="宋体" w:eastAsia="宋体" w:cs="宋体"/>
                <w:color w:val="auto"/>
                <w:kern w:val="0"/>
                <w:highlight w:val="none"/>
              </w:rPr>
              <w:t>2</w:t>
            </w:r>
          </w:p>
        </w:tc>
        <w:tc>
          <w:tcPr>
            <w:tcW w:w="2089" w:type="dxa"/>
            <w:tcBorders>
              <w:top w:val="single" w:color="auto" w:sz="4" w:space="0"/>
              <w:left w:val="nil"/>
              <w:bottom w:val="single" w:color="auto" w:sz="4" w:space="0"/>
              <w:right w:val="single" w:color="auto" w:sz="4" w:space="0"/>
            </w:tcBorders>
            <w:tcMar>
              <w:top w:w="120" w:type="dxa"/>
              <w:left w:w="120" w:type="dxa"/>
              <w:bottom w:w="120" w:type="dxa"/>
              <w:right w:w="120" w:type="dxa"/>
            </w:tcMar>
            <w:vAlign w:val="center"/>
          </w:tcPr>
          <w:p w14:paraId="1819DFDD">
            <w:pPr>
              <w:widowControl/>
              <w:spacing w:line="360" w:lineRule="auto"/>
              <w:contextualSpacing/>
              <w:jc w:val="center"/>
              <w:rPr>
                <w:rFonts w:hint="eastAsia" w:ascii="宋体" w:hAnsi="宋体" w:eastAsia="宋体" w:cs="宋体"/>
                <w:color w:val="auto"/>
                <w:kern w:val="0"/>
                <w:highlight w:val="none"/>
              </w:rPr>
            </w:pPr>
          </w:p>
        </w:tc>
        <w:tc>
          <w:tcPr>
            <w:tcW w:w="1620" w:type="dxa"/>
            <w:tcBorders>
              <w:top w:val="single" w:color="auto" w:sz="4" w:space="0"/>
              <w:left w:val="nil"/>
              <w:bottom w:val="single" w:color="auto" w:sz="4" w:space="0"/>
              <w:right w:val="single" w:color="auto" w:sz="4" w:space="0"/>
            </w:tcBorders>
            <w:tcMar>
              <w:top w:w="120" w:type="dxa"/>
              <w:left w:w="120" w:type="dxa"/>
              <w:bottom w:w="120" w:type="dxa"/>
              <w:right w:w="120" w:type="dxa"/>
            </w:tcMar>
            <w:vAlign w:val="center"/>
          </w:tcPr>
          <w:p w14:paraId="1582AD40">
            <w:pPr>
              <w:widowControl/>
              <w:spacing w:line="360" w:lineRule="auto"/>
              <w:contextualSpacing/>
              <w:jc w:val="center"/>
              <w:rPr>
                <w:rFonts w:hint="eastAsia" w:ascii="宋体" w:hAnsi="宋体" w:eastAsia="宋体" w:cs="宋体"/>
                <w:color w:val="auto"/>
                <w:kern w:val="0"/>
                <w:highlight w:val="none"/>
              </w:rPr>
            </w:pPr>
          </w:p>
        </w:tc>
        <w:tc>
          <w:tcPr>
            <w:tcW w:w="3630" w:type="dxa"/>
            <w:tcBorders>
              <w:top w:val="single" w:color="auto" w:sz="4" w:space="0"/>
              <w:left w:val="nil"/>
              <w:bottom w:val="single" w:color="auto" w:sz="4" w:space="0"/>
              <w:right w:val="single" w:color="auto" w:sz="4" w:space="0"/>
            </w:tcBorders>
            <w:tcMar>
              <w:top w:w="120" w:type="dxa"/>
              <w:left w:w="120" w:type="dxa"/>
              <w:bottom w:w="120" w:type="dxa"/>
              <w:right w:w="120" w:type="dxa"/>
            </w:tcMar>
            <w:vAlign w:val="center"/>
          </w:tcPr>
          <w:p w14:paraId="1EA9EF5B">
            <w:pPr>
              <w:widowControl/>
              <w:spacing w:line="360" w:lineRule="auto"/>
              <w:contextualSpacing/>
              <w:jc w:val="center"/>
              <w:rPr>
                <w:rFonts w:hint="eastAsia" w:ascii="宋体" w:hAnsi="宋体" w:eastAsia="宋体" w:cs="宋体"/>
                <w:color w:val="auto"/>
                <w:kern w:val="0"/>
                <w:highlight w:val="none"/>
              </w:rPr>
            </w:pPr>
          </w:p>
        </w:tc>
        <w:tc>
          <w:tcPr>
            <w:tcW w:w="1155" w:type="dxa"/>
            <w:tcBorders>
              <w:top w:val="single" w:color="auto" w:sz="4" w:space="0"/>
              <w:left w:val="nil"/>
              <w:bottom w:val="single" w:color="auto" w:sz="4" w:space="0"/>
              <w:right w:val="single" w:color="auto" w:sz="4" w:space="0"/>
            </w:tcBorders>
            <w:tcMar>
              <w:top w:w="120" w:type="dxa"/>
              <w:left w:w="120" w:type="dxa"/>
              <w:bottom w:w="120" w:type="dxa"/>
              <w:right w:w="120" w:type="dxa"/>
            </w:tcMar>
            <w:vAlign w:val="center"/>
          </w:tcPr>
          <w:p w14:paraId="2058DDAC">
            <w:pPr>
              <w:widowControl/>
              <w:spacing w:line="360" w:lineRule="auto"/>
              <w:contextualSpacing/>
              <w:jc w:val="center"/>
              <w:rPr>
                <w:rFonts w:hint="eastAsia" w:ascii="宋体" w:hAnsi="宋体" w:eastAsia="宋体" w:cs="宋体"/>
                <w:color w:val="auto"/>
                <w:kern w:val="0"/>
                <w:highlight w:val="none"/>
              </w:rPr>
            </w:pPr>
          </w:p>
        </w:tc>
      </w:tr>
      <w:tr w14:paraId="5766ED40">
        <w:tblPrEx>
          <w:tblCellMar>
            <w:top w:w="0" w:type="dxa"/>
            <w:left w:w="0" w:type="dxa"/>
            <w:bottom w:w="0" w:type="dxa"/>
            <w:right w:w="0" w:type="dxa"/>
          </w:tblCellMar>
        </w:tblPrEx>
        <w:trPr>
          <w:jc w:val="center"/>
        </w:trPr>
        <w:tc>
          <w:tcPr>
            <w:tcW w:w="855"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5288EEED">
            <w:pPr>
              <w:widowControl/>
              <w:spacing w:line="360" w:lineRule="auto"/>
              <w:contextualSpacing/>
              <w:jc w:val="center"/>
              <w:rPr>
                <w:rFonts w:hint="eastAsia" w:ascii="宋体" w:hAnsi="宋体" w:eastAsia="宋体" w:cs="宋体"/>
                <w:color w:val="auto"/>
                <w:kern w:val="0"/>
                <w:highlight w:val="none"/>
              </w:rPr>
            </w:pPr>
            <w:r>
              <w:rPr>
                <w:rFonts w:hint="eastAsia" w:ascii="宋体" w:hAnsi="宋体" w:eastAsia="宋体" w:cs="宋体"/>
                <w:color w:val="auto"/>
                <w:kern w:val="0"/>
                <w:highlight w:val="none"/>
              </w:rPr>
              <w:t>3</w:t>
            </w:r>
          </w:p>
        </w:tc>
        <w:tc>
          <w:tcPr>
            <w:tcW w:w="2089" w:type="dxa"/>
            <w:tcBorders>
              <w:top w:val="single" w:color="auto" w:sz="4" w:space="0"/>
              <w:left w:val="nil"/>
              <w:bottom w:val="single" w:color="auto" w:sz="4" w:space="0"/>
              <w:right w:val="single" w:color="auto" w:sz="4" w:space="0"/>
            </w:tcBorders>
            <w:tcMar>
              <w:top w:w="120" w:type="dxa"/>
              <w:left w:w="120" w:type="dxa"/>
              <w:bottom w:w="120" w:type="dxa"/>
              <w:right w:w="120" w:type="dxa"/>
            </w:tcMar>
            <w:vAlign w:val="center"/>
          </w:tcPr>
          <w:p w14:paraId="742E9750">
            <w:pPr>
              <w:widowControl/>
              <w:spacing w:line="360" w:lineRule="auto"/>
              <w:contextualSpacing/>
              <w:jc w:val="center"/>
              <w:rPr>
                <w:rFonts w:hint="eastAsia" w:ascii="宋体" w:hAnsi="宋体" w:eastAsia="宋体" w:cs="宋体"/>
                <w:color w:val="auto"/>
                <w:kern w:val="0"/>
                <w:highlight w:val="none"/>
              </w:rPr>
            </w:pPr>
          </w:p>
        </w:tc>
        <w:tc>
          <w:tcPr>
            <w:tcW w:w="1620" w:type="dxa"/>
            <w:tcBorders>
              <w:top w:val="single" w:color="auto" w:sz="4" w:space="0"/>
              <w:left w:val="nil"/>
              <w:bottom w:val="single" w:color="auto" w:sz="4" w:space="0"/>
              <w:right w:val="single" w:color="auto" w:sz="4" w:space="0"/>
            </w:tcBorders>
            <w:tcMar>
              <w:top w:w="120" w:type="dxa"/>
              <w:left w:w="120" w:type="dxa"/>
              <w:bottom w:w="120" w:type="dxa"/>
              <w:right w:w="120" w:type="dxa"/>
            </w:tcMar>
            <w:vAlign w:val="center"/>
          </w:tcPr>
          <w:p w14:paraId="4FD50D90">
            <w:pPr>
              <w:widowControl/>
              <w:spacing w:line="360" w:lineRule="auto"/>
              <w:contextualSpacing/>
              <w:jc w:val="center"/>
              <w:rPr>
                <w:rFonts w:hint="eastAsia" w:ascii="宋体" w:hAnsi="宋体" w:eastAsia="宋体" w:cs="宋体"/>
                <w:color w:val="auto"/>
                <w:kern w:val="0"/>
                <w:highlight w:val="none"/>
              </w:rPr>
            </w:pPr>
          </w:p>
        </w:tc>
        <w:tc>
          <w:tcPr>
            <w:tcW w:w="3630" w:type="dxa"/>
            <w:tcBorders>
              <w:top w:val="single" w:color="auto" w:sz="4" w:space="0"/>
              <w:left w:val="nil"/>
              <w:bottom w:val="single" w:color="auto" w:sz="4" w:space="0"/>
              <w:right w:val="single" w:color="auto" w:sz="4" w:space="0"/>
            </w:tcBorders>
            <w:tcMar>
              <w:top w:w="120" w:type="dxa"/>
              <w:left w:w="120" w:type="dxa"/>
              <w:bottom w:w="120" w:type="dxa"/>
              <w:right w:w="120" w:type="dxa"/>
            </w:tcMar>
            <w:vAlign w:val="center"/>
          </w:tcPr>
          <w:p w14:paraId="6589CEAA">
            <w:pPr>
              <w:widowControl/>
              <w:spacing w:line="360" w:lineRule="auto"/>
              <w:contextualSpacing/>
              <w:jc w:val="center"/>
              <w:rPr>
                <w:rFonts w:hint="eastAsia" w:ascii="宋体" w:hAnsi="宋体" w:eastAsia="宋体" w:cs="宋体"/>
                <w:color w:val="auto"/>
                <w:kern w:val="0"/>
                <w:highlight w:val="none"/>
              </w:rPr>
            </w:pPr>
          </w:p>
        </w:tc>
        <w:tc>
          <w:tcPr>
            <w:tcW w:w="1155" w:type="dxa"/>
            <w:tcBorders>
              <w:top w:val="single" w:color="auto" w:sz="4" w:space="0"/>
              <w:left w:val="nil"/>
              <w:bottom w:val="single" w:color="auto" w:sz="4" w:space="0"/>
              <w:right w:val="single" w:color="auto" w:sz="4" w:space="0"/>
            </w:tcBorders>
            <w:tcMar>
              <w:top w:w="120" w:type="dxa"/>
              <w:left w:w="120" w:type="dxa"/>
              <w:bottom w:w="120" w:type="dxa"/>
              <w:right w:w="120" w:type="dxa"/>
            </w:tcMar>
            <w:vAlign w:val="center"/>
          </w:tcPr>
          <w:p w14:paraId="1965E96B">
            <w:pPr>
              <w:widowControl/>
              <w:spacing w:line="360" w:lineRule="auto"/>
              <w:contextualSpacing/>
              <w:jc w:val="center"/>
              <w:rPr>
                <w:rFonts w:hint="eastAsia" w:ascii="宋体" w:hAnsi="宋体" w:eastAsia="宋体" w:cs="宋体"/>
                <w:color w:val="auto"/>
                <w:kern w:val="0"/>
                <w:highlight w:val="none"/>
              </w:rPr>
            </w:pPr>
          </w:p>
        </w:tc>
      </w:tr>
      <w:tr w14:paraId="4302EA59">
        <w:tblPrEx>
          <w:tblCellMar>
            <w:top w:w="0" w:type="dxa"/>
            <w:left w:w="0" w:type="dxa"/>
            <w:bottom w:w="0" w:type="dxa"/>
            <w:right w:w="0" w:type="dxa"/>
          </w:tblCellMar>
        </w:tblPrEx>
        <w:trPr>
          <w:jc w:val="center"/>
        </w:trPr>
        <w:tc>
          <w:tcPr>
            <w:tcW w:w="855"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569405A4">
            <w:pPr>
              <w:widowControl/>
              <w:spacing w:line="360" w:lineRule="auto"/>
              <w:contextualSpacing/>
              <w:jc w:val="center"/>
              <w:rPr>
                <w:rFonts w:hint="eastAsia" w:ascii="宋体" w:hAnsi="宋体" w:eastAsia="宋体" w:cs="宋体"/>
                <w:color w:val="auto"/>
                <w:kern w:val="0"/>
                <w:highlight w:val="none"/>
              </w:rPr>
            </w:pPr>
            <w:r>
              <w:rPr>
                <w:rFonts w:hint="eastAsia" w:ascii="宋体" w:hAnsi="宋体" w:eastAsia="宋体" w:cs="宋体"/>
                <w:color w:val="auto"/>
                <w:kern w:val="0"/>
                <w:highlight w:val="none"/>
              </w:rPr>
              <w:t>……</w:t>
            </w:r>
          </w:p>
        </w:tc>
        <w:tc>
          <w:tcPr>
            <w:tcW w:w="2089" w:type="dxa"/>
            <w:tcBorders>
              <w:top w:val="single" w:color="auto" w:sz="4" w:space="0"/>
              <w:left w:val="nil"/>
              <w:bottom w:val="single" w:color="auto" w:sz="4" w:space="0"/>
              <w:right w:val="single" w:color="auto" w:sz="4" w:space="0"/>
            </w:tcBorders>
            <w:tcMar>
              <w:top w:w="120" w:type="dxa"/>
              <w:left w:w="120" w:type="dxa"/>
              <w:bottom w:w="120" w:type="dxa"/>
              <w:right w:w="120" w:type="dxa"/>
            </w:tcMar>
            <w:vAlign w:val="center"/>
          </w:tcPr>
          <w:p w14:paraId="18790499">
            <w:pPr>
              <w:widowControl/>
              <w:spacing w:line="360" w:lineRule="auto"/>
              <w:contextualSpacing/>
              <w:jc w:val="center"/>
              <w:rPr>
                <w:rFonts w:hint="eastAsia" w:ascii="宋体" w:hAnsi="宋体" w:eastAsia="宋体" w:cs="宋体"/>
                <w:color w:val="auto"/>
                <w:kern w:val="0"/>
                <w:highlight w:val="none"/>
              </w:rPr>
            </w:pPr>
          </w:p>
        </w:tc>
        <w:tc>
          <w:tcPr>
            <w:tcW w:w="1620" w:type="dxa"/>
            <w:tcBorders>
              <w:top w:val="single" w:color="auto" w:sz="4" w:space="0"/>
              <w:left w:val="nil"/>
              <w:bottom w:val="single" w:color="auto" w:sz="4" w:space="0"/>
              <w:right w:val="single" w:color="auto" w:sz="4" w:space="0"/>
            </w:tcBorders>
            <w:tcMar>
              <w:top w:w="120" w:type="dxa"/>
              <w:left w:w="120" w:type="dxa"/>
              <w:bottom w:w="120" w:type="dxa"/>
              <w:right w:w="120" w:type="dxa"/>
            </w:tcMar>
            <w:vAlign w:val="center"/>
          </w:tcPr>
          <w:p w14:paraId="362890CB">
            <w:pPr>
              <w:widowControl/>
              <w:spacing w:line="360" w:lineRule="auto"/>
              <w:contextualSpacing/>
              <w:jc w:val="center"/>
              <w:rPr>
                <w:rFonts w:hint="eastAsia" w:ascii="宋体" w:hAnsi="宋体" w:eastAsia="宋体" w:cs="宋体"/>
                <w:color w:val="auto"/>
                <w:kern w:val="0"/>
                <w:highlight w:val="none"/>
              </w:rPr>
            </w:pPr>
          </w:p>
        </w:tc>
        <w:tc>
          <w:tcPr>
            <w:tcW w:w="3630" w:type="dxa"/>
            <w:tcBorders>
              <w:top w:val="single" w:color="auto" w:sz="4" w:space="0"/>
              <w:left w:val="nil"/>
              <w:bottom w:val="single" w:color="auto" w:sz="4" w:space="0"/>
              <w:right w:val="single" w:color="auto" w:sz="4" w:space="0"/>
            </w:tcBorders>
            <w:tcMar>
              <w:top w:w="120" w:type="dxa"/>
              <w:left w:w="120" w:type="dxa"/>
              <w:bottom w:w="120" w:type="dxa"/>
              <w:right w:w="120" w:type="dxa"/>
            </w:tcMar>
            <w:vAlign w:val="center"/>
          </w:tcPr>
          <w:p w14:paraId="1C7B38C1">
            <w:pPr>
              <w:widowControl/>
              <w:spacing w:line="360" w:lineRule="auto"/>
              <w:contextualSpacing/>
              <w:jc w:val="center"/>
              <w:rPr>
                <w:rFonts w:hint="eastAsia" w:ascii="宋体" w:hAnsi="宋体" w:eastAsia="宋体" w:cs="宋体"/>
                <w:color w:val="auto"/>
                <w:kern w:val="0"/>
                <w:highlight w:val="none"/>
              </w:rPr>
            </w:pPr>
          </w:p>
        </w:tc>
        <w:tc>
          <w:tcPr>
            <w:tcW w:w="1155" w:type="dxa"/>
            <w:tcBorders>
              <w:top w:val="single" w:color="auto" w:sz="4" w:space="0"/>
              <w:left w:val="nil"/>
              <w:bottom w:val="single" w:color="auto" w:sz="4" w:space="0"/>
              <w:right w:val="single" w:color="auto" w:sz="4" w:space="0"/>
            </w:tcBorders>
            <w:tcMar>
              <w:top w:w="120" w:type="dxa"/>
              <w:left w:w="120" w:type="dxa"/>
              <w:bottom w:w="120" w:type="dxa"/>
              <w:right w:w="120" w:type="dxa"/>
            </w:tcMar>
            <w:vAlign w:val="center"/>
          </w:tcPr>
          <w:p w14:paraId="3863424B">
            <w:pPr>
              <w:widowControl/>
              <w:spacing w:line="360" w:lineRule="auto"/>
              <w:contextualSpacing/>
              <w:jc w:val="center"/>
              <w:rPr>
                <w:rFonts w:hint="eastAsia" w:ascii="宋体" w:hAnsi="宋体" w:eastAsia="宋体" w:cs="宋体"/>
                <w:color w:val="auto"/>
                <w:kern w:val="0"/>
                <w:highlight w:val="none"/>
              </w:rPr>
            </w:pPr>
          </w:p>
        </w:tc>
      </w:tr>
    </w:tbl>
    <w:p w14:paraId="19AB4B91">
      <w:pPr>
        <w:spacing w:line="360" w:lineRule="auto"/>
        <w:contextualSpacing/>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 xml:space="preserve"> </w:t>
      </w:r>
    </w:p>
    <w:p w14:paraId="431DA3A6">
      <w:pPr>
        <w:spacing w:line="360" w:lineRule="auto"/>
        <w:contextualSpacing/>
        <w:jc w:val="left"/>
        <w:rPr>
          <w:rFonts w:hint="eastAsia" w:ascii="宋体" w:hAnsi="宋体" w:eastAsia="宋体" w:cs="宋体"/>
          <w:color w:val="auto"/>
          <w:szCs w:val="21"/>
          <w:highlight w:val="none"/>
        </w:rPr>
      </w:pPr>
      <w:r>
        <w:rPr>
          <w:rFonts w:hint="eastAsia" w:ascii="宋体" w:hAnsi="宋体" w:eastAsia="宋体" w:cs="宋体"/>
          <w:color w:val="auto"/>
          <w:highlight w:val="none"/>
        </w:rPr>
        <w:t xml:space="preserve"> </w:t>
      </w:r>
    </w:p>
    <w:p w14:paraId="20C71263">
      <w:pPr>
        <w:snapToGrid w:val="0"/>
        <w:spacing w:line="360" w:lineRule="auto"/>
        <w:jc w:val="left"/>
        <w:rPr>
          <w:rFonts w:hint="eastAsia" w:ascii="宋体" w:hAnsi="宋体" w:eastAsia="宋体" w:cs="宋体"/>
          <w:color w:val="auto"/>
          <w:highlight w:val="none"/>
        </w:rPr>
      </w:pPr>
      <w:r>
        <w:rPr>
          <w:rFonts w:hint="eastAsia" w:ascii="宋体" w:hAnsi="宋体" w:eastAsia="宋体" w:cs="宋体"/>
          <w:color w:val="auto"/>
          <w:highlight w:val="none"/>
        </w:rPr>
        <w:t>注：</w:t>
      </w:r>
    </w:p>
    <w:p w14:paraId="4B7E8EDC">
      <w:pPr>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5E9D1429">
      <w:pPr>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2．本表所指的控股关系仅限于直接控股关系，不包括间接的控股关系。公司实际控制人与公司之间的关系不属于本表所指的直接控股关系。</w:t>
      </w:r>
    </w:p>
    <w:p w14:paraId="2BC37197">
      <w:pPr>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3．供应商不存在直接控股股东的，则填“无”。</w:t>
      </w:r>
    </w:p>
    <w:p w14:paraId="01B95BC9">
      <w:pPr>
        <w:snapToGrid w:val="0"/>
        <w:spacing w:line="360" w:lineRule="auto"/>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w:t>
      </w:r>
    </w:p>
    <w:p w14:paraId="39291B4B">
      <w:pPr>
        <w:snapToGrid w:val="0"/>
        <w:spacing w:line="360" w:lineRule="auto"/>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w:t>
      </w:r>
    </w:p>
    <w:p w14:paraId="569F1356">
      <w:pPr>
        <w:snapToGrid w:val="0"/>
        <w:spacing w:line="360" w:lineRule="auto"/>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w:t>
      </w:r>
    </w:p>
    <w:p w14:paraId="48B92374">
      <w:pPr>
        <w:snapToGrid w:val="0"/>
        <w:spacing w:beforeLines="50" w:line="360" w:lineRule="auto"/>
        <w:ind w:right="480" w:firstLine="2940" w:firstLineChars="1400"/>
        <w:rPr>
          <w:rFonts w:hint="eastAsia" w:ascii="宋体" w:hAnsi="宋体" w:eastAsia="宋体" w:cs="宋体"/>
          <w:color w:val="auto"/>
          <w:szCs w:val="21"/>
          <w:highlight w:val="none"/>
          <w:u w:val="single"/>
        </w:rPr>
      </w:pPr>
      <w:r>
        <w:rPr>
          <w:rFonts w:hint="eastAsia" w:ascii="宋体" w:hAnsi="宋体" w:eastAsia="宋体" w:cs="宋体"/>
          <w:color w:val="auto"/>
          <w:highlight w:val="none"/>
        </w:rPr>
        <w:t>法定代表人或者委托代理人</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签字或盖章</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w:t>
      </w:r>
      <w:r>
        <w:rPr>
          <w:rFonts w:hint="eastAsia" w:ascii="宋体" w:hAnsi="宋体" w:eastAsia="宋体" w:cs="宋体"/>
          <w:color w:val="auto"/>
          <w:highlight w:val="none"/>
          <w:u w:val="single"/>
        </w:rPr>
        <w:t xml:space="preserve">                </w:t>
      </w:r>
    </w:p>
    <w:p w14:paraId="245391D1">
      <w:pPr>
        <w:spacing w:line="360" w:lineRule="auto"/>
        <w:ind w:right="1575" w:rightChars="750"/>
        <w:jc w:val="center"/>
        <w:rPr>
          <w:rFonts w:ascii="宋体" w:hAnsi="宋体" w:eastAsia="宋体"/>
          <w:color w:val="auto"/>
          <w:szCs w:val="21"/>
          <w:highlight w:val="none"/>
        </w:rPr>
      </w:pPr>
      <w:r>
        <w:rPr>
          <w:rFonts w:hint="eastAsia" w:ascii="宋体" w:hAnsi="宋体" w:cs="宋体"/>
          <w:color w:val="auto"/>
          <w:highlight w:val="none"/>
          <w:lang w:val="en-US" w:eastAsia="zh-CN"/>
        </w:rPr>
        <w:t xml:space="preserve">   </w:t>
      </w:r>
      <w:r>
        <w:rPr>
          <w:rFonts w:hint="eastAsia" w:ascii="宋体" w:hAnsi="宋体" w:eastAsia="宋体" w:cs="宋体"/>
          <w:color w:val="auto"/>
          <w:highlight w:val="none"/>
        </w:rPr>
        <w:t>供应商名称（电子签章）：</w:t>
      </w:r>
      <w:r>
        <w:rPr>
          <w:rFonts w:hint="eastAsia" w:ascii="宋体" w:hAnsi="宋体" w:eastAsia="宋体" w:cs="宋体"/>
          <w:color w:val="auto"/>
          <w:highlight w:val="none"/>
          <w:u w:val="single"/>
        </w:rPr>
        <w:t xml:space="preserve">          </w:t>
      </w:r>
      <w:r>
        <w:rPr>
          <w:rFonts w:hint="eastAsia" w:ascii="宋体" w:hAnsi="宋体" w:cs="宋体"/>
          <w:color w:val="auto"/>
          <w:highlight w:val="none"/>
          <w:u w:val="single"/>
          <w:lang w:val="en-US" w:eastAsia="zh-CN"/>
        </w:rPr>
        <w:t xml:space="preserve">                  </w:t>
      </w:r>
      <w:r>
        <w:rPr>
          <w:rFonts w:hint="eastAsia" w:ascii="宋体" w:hAnsi="宋体" w:eastAsia="宋体" w:cs="宋体"/>
          <w:color w:val="auto"/>
          <w:highlight w:val="none"/>
          <w:u w:val="single"/>
        </w:rPr>
        <w:t xml:space="preserve">     </w:t>
      </w:r>
    </w:p>
    <w:p w14:paraId="6A275717">
      <w:pPr>
        <w:spacing w:line="360" w:lineRule="auto"/>
        <w:ind w:firstLine="420" w:firstLineChars="200"/>
        <w:jc w:val="center"/>
        <w:rPr>
          <w:rFonts w:ascii="宋体" w:hAnsi="宋体" w:eastAsia="宋体"/>
          <w:color w:val="auto"/>
          <w:sz w:val="28"/>
          <w:szCs w:val="28"/>
          <w:highlight w:val="none"/>
        </w:rPr>
      </w:pPr>
      <w:r>
        <w:rPr>
          <w:rFonts w:hint="eastAsia" w:ascii="宋体" w:hAnsi="宋体" w:eastAsia="宋体"/>
          <w:color w:val="auto"/>
          <w:szCs w:val="21"/>
          <w:highlight w:val="none"/>
        </w:rPr>
        <w:t>日期：</w:t>
      </w:r>
      <w:r>
        <w:rPr>
          <w:rFonts w:ascii="宋体" w:hAnsi="宋体" w:eastAsia="宋体" w:cs="Times New Roman"/>
          <w:color w:val="auto"/>
          <w:szCs w:val="21"/>
          <w:highlight w:val="none"/>
        </w:rPr>
        <w:t>___</w:t>
      </w:r>
      <w:r>
        <w:rPr>
          <w:rFonts w:hint="eastAsia" w:ascii="宋体" w:hAnsi="宋体" w:eastAsia="宋体"/>
          <w:color w:val="auto"/>
          <w:szCs w:val="21"/>
          <w:highlight w:val="none"/>
        </w:rPr>
        <w:t>年</w:t>
      </w:r>
      <w:r>
        <w:rPr>
          <w:rFonts w:ascii="宋体" w:hAnsi="宋体" w:eastAsia="宋体" w:cs="Times New Roman"/>
          <w:color w:val="auto"/>
          <w:szCs w:val="21"/>
          <w:highlight w:val="none"/>
        </w:rPr>
        <w:t>___</w:t>
      </w:r>
      <w:r>
        <w:rPr>
          <w:rFonts w:hint="eastAsia" w:ascii="宋体" w:hAnsi="宋体" w:eastAsia="宋体"/>
          <w:color w:val="auto"/>
          <w:szCs w:val="21"/>
          <w:highlight w:val="none"/>
        </w:rPr>
        <w:t>月</w:t>
      </w:r>
      <w:r>
        <w:rPr>
          <w:rFonts w:ascii="宋体" w:hAnsi="宋体" w:eastAsia="宋体" w:cs="Times New Roman"/>
          <w:color w:val="auto"/>
          <w:szCs w:val="21"/>
          <w:highlight w:val="none"/>
        </w:rPr>
        <w:t>___</w:t>
      </w:r>
      <w:r>
        <w:rPr>
          <w:rFonts w:hint="eastAsia" w:ascii="宋体" w:hAnsi="宋体" w:eastAsia="宋体"/>
          <w:color w:val="auto"/>
          <w:szCs w:val="21"/>
          <w:highlight w:val="none"/>
        </w:rPr>
        <w:t>日</w:t>
      </w:r>
    </w:p>
    <w:p w14:paraId="6DE4CBB7">
      <w:pPr>
        <w:spacing w:line="360" w:lineRule="auto"/>
        <w:ind w:firstLine="560" w:firstLineChars="200"/>
        <w:jc w:val="right"/>
        <w:rPr>
          <w:rFonts w:ascii="宋体" w:hAnsi="宋体" w:eastAsia="宋体"/>
          <w:color w:val="auto"/>
          <w:sz w:val="28"/>
          <w:szCs w:val="28"/>
          <w:highlight w:val="none"/>
        </w:rPr>
        <w:sectPr>
          <w:pgSz w:w="11906" w:h="16838"/>
          <w:pgMar w:top="1134" w:right="1134" w:bottom="1134" w:left="1134" w:header="851" w:footer="992" w:gutter="0"/>
          <w:pgNumType w:fmt="decimal"/>
          <w:cols w:space="425" w:num="1"/>
          <w:docGrid w:type="lines" w:linePitch="312" w:charSpace="0"/>
        </w:sectPr>
      </w:pPr>
    </w:p>
    <w:p w14:paraId="31F666AE">
      <w:pPr>
        <w:spacing w:line="360" w:lineRule="auto"/>
        <w:jc w:val="center"/>
        <w:outlineLvl w:val="2"/>
        <w:rPr>
          <w:rFonts w:hint="eastAsia" w:ascii="宋体" w:hAnsi="宋体" w:eastAsia="宋体" w:cs="宋体"/>
          <w:b/>
          <w:color w:val="auto"/>
          <w:sz w:val="28"/>
          <w:szCs w:val="28"/>
          <w:highlight w:val="none"/>
        </w:rPr>
      </w:pPr>
      <w:bookmarkStart w:id="325" w:name="_Toc154392654"/>
      <w:bookmarkStart w:id="326" w:name="_Toc30392"/>
      <w:bookmarkStart w:id="327" w:name="_Toc2390"/>
      <w:bookmarkStart w:id="328" w:name="_Toc15793"/>
      <w:bookmarkStart w:id="329" w:name="_Toc2668"/>
      <w:r>
        <w:rPr>
          <w:rFonts w:hint="eastAsia" w:ascii="宋体" w:hAnsi="宋体" w:eastAsia="宋体" w:cs="宋体"/>
          <w:b/>
          <w:color w:val="auto"/>
          <w:sz w:val="28"/>
          <w:szCs w:val="28"/>
          <w:highlight w:val="none"/>
        </w:rPr>
        <w:t>供应商直接管理关系信息表</w:t>
      </w:r>
      <w:bookmarkEnd w:id="325"/>
      <w:bookmarkEnd w:id="326"/>
      <w:bookmarkEnd w:id="327"/>
      <w:bookmarkEnd w:id="328"/>
      <w:bookmarkEnd w:id="329"/>
    </w:p>
    <w:p w14:paraId="20409DAE">
      <w:pPr>
        <w:snapToGrid w:val="0"/>
        <w:spacing w:line="360" w:lineRule="auto"/>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 xml:space="preserve"> </w:t>
      </w:r>
    </w:p>
    <w:tbl>
      <w:tblPr>
        <w:tblStyle w:val="33"/>
        <w:tblW w:w="9652" w:type="dxa"/>
        <w:jc w:val="center"/>
        <w:tblLayout w:type="fixed"/>
        <w:tblCellMar>
          <w:top w:w="0" w:type="dxa"/>
          <w:left w:w="0" w:type="dxa"/>
          <w:bottom w:w="0" w:type="dxa"/>
          <w:right w:w="0" w:type="dxa"/>
        </w:tblCellMar>
      </w:tblPr>
      <w:tblGrid>
        <w:gridCol w:w="808"/>
        <w:gridCol w:w="3600"/>
        <w:gridCol w:w="3555"/>
        <w:gridCol w:w="1689"/>
      </w:tblGrid>
      <w:tr w14:paraId="258CB629">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10FC34F5">
            <w:pPr>
              <w:widowControl/>
              <w:spacing w:line="360" w:lineRule="auto"/>
              <w:contextualSpacing/>
              <w:jc w:val="center"/>
              <w:rPr>
                <w:rFonts w:hint="eastAsia" w:ascii="宋体" w:hAnsi="宋体" w:eastAsia="宋体" w:cs="宋体"/>
                <w:b/>
                <w:bCs/>
                <w:color w:val="auto"/>
                <w:kern w:val="0"/>
                <w:szCs w:val="21"/>
                <w:highlight w:val="none"/>
              </w:rPr>
            </w:pPr>
            <w:r>
              <w:rPr>
                <w:rFonts w:hint="eastAsia" w:ascii="宋体" w:hAnsi="宋体" w:eastAsia="宋体" w:cs="宋体"/>
                <w:b/>
                <w:bCs/>
                <w:color w:val="auto"/>
                <w:kern w:val="0"/>
                <w:highlight w:val="none"/>
              </w:rPr>
              <w:t>序号</w:t>
            </w:r>
          </w:p>
        </w:tc>
        <w:tc>
          <w:tcPr>
            <w:tcW w:w="3600" w:type="dxa"/>
            <w:tcBorders>
              <w:top w:val="single" w:color="auto" w:sz="4" w:space="0"/>
              <w:left w:val="nil"/>
              <w:bottom w:val="single" w:color="auto" w:sz="4" w:space="0"/>
              <w:right w:val="single" w:color="auto" w:sz="4" w:space="0"/>
            </w:tcBorders>
            <w:tcMar>
              <w:top w:w="120" w:type="dxa"/>
              <w:left w:w="120" w:type="dxa"/>
              <w:bottom w:w="120" w:type="dxa"/>
              <w:right w:w="120" w:type="dxa"/>
            </w:tcMar>
            <w:vAlign w:val="center"/>
          </w:tcPr>
          <w:p w14:paraId="14BBB89E">
            <w:pPr>
              <w:widowControl/>
              <w:spacing w:line="360" w:lineRule="auto"/>
              <w:contextualSpacing/>
              <w:jc w:val="center"/>
              <w:rPr>
                <w:rFonts w:hint="eastAsia" w:ascii="宋体" w:hAnsi="宋体" w:eastAsia="宋体" w:cs="宋体"/>
                <w:b/>
                <w:bCs/>
                <w:color w:val="auto"/>
                <w:kern w:val="0"/>
                <w:highlight w:val="none"/>
              </w:rPr>
            </w:pPr>
            <w:r>
              <w:rPr>
                <w:rFonts w:hint="eastAsia" w:ascii="宋体" w:hAnsi="宋体" w:eastAsia="宋体" w:cs="宋体"/>
                <w:b/>
                <w:bCs/>
                <w:color w:val="auto"/>
                <w:kern w:val="0"/>
                <w:highlight w:val="none"/>
              </w:rPr>
              <w:t>直接管理关系单位名称</w:t>
            </w:r>
          </w:p>
        </w:tc>
        <w:tc>
          <w:tcPr>
            <w:tcW w:w="3555" w:type="dxa"/>
            <w:tcBorders>
              <w:top w:val="single" w:color="auto" w:sz="4" w:space="0"/>
              <w:left w:val="nil"/>
              <w:bottom w:val="single" w:color="auto" w:sz="4" w:space="0"/>
              <w:right w:val="single" w:color="auto" w:sz="4" w:space="0"/>
            </w:tcBorders>
            <w:tcMar>
              <w:top w:w="120" w:type="dxa"/>
              <w:left w:w="120" w:type="dxa"/>
              <w:bottom w:w="120" w:type="dxa"/>
              <w:right w:w="120" w:type="dxa"/>
            </w:tcMar>
            <w:vAlign w:val="center"/>
          </w:tcPr>
          <w:p w14:paraId="4713875F">
            <w:pPr>
              <w:widowControl/>
              <w:spacing w:line="360" w:lineRule="auto"/>
              <w:contextualSpacing/>
              <w:jc w:val="center"/>
              <w:rPr>
                <w:rFonts w:hint="eastAsia" w:ascii="宋体" w:hAnsi="宋体" w:eastAsia="宋体" w:cs="宋体"/>
                <w:b/>
                <w:bCs/>
                <w:color w:val="auto"/>
                <w:kern w:val="0"/>
                <w:highlight w:val="none"/>
              </w:rPr>
            </w:pPr>
            <w:r>
              <w:rPr>
                <w:rFonts w:hint="eastAsia" w:ascii="宋体" w:hAnsi="宋体" w:eastAsia="宋体" w:cs="宋体"/>
                <w:b/>
                <w:bCs/>
                <w:color w:val="auto"/>
                <w:kern w:val="0"/>
                <w:highlight w:val="none"/>
              </w:rPr>
              <w:t>统一社会信用代码</w:t>
            </w:r>
          </w:p>
        </w:tc>
        <w:tc>
          <w:tcPr>
            <w:tcW w:w="1689" w:type="dxa"/>
            <w:tcBorders>
              <w:top w:val="single" w:color="auto" w:sz="4" w:space="0"/>
              <w:left w:val="nil"/>
              <w:bottom w:val="single" w:color="auto" w:sz="4" w:space="0"/>
              <w:right w:val="single" w:color="auto" w:sz="4" w:space="0"/>
            </w:tcBorders>
            <w:tcMar>
              <w:top w:w="120" w:type="dxa"/>
              <w:left w:w="120" w:type="dxa"/>
              <w:bottom w:w="120" w:type="dxa"/>
              <w:right w:w="120" w:type="dxa"/>
            </w:tcMar>
            <w:vAlign w:val="center"/>
          </w:tcPr>
          <w:p w14:paraId="1F047875">
            <w:pPr>
              <w:widowControl/>
              <w:spacing w:line="360" w:lineRule="auto"/>
              <w:contextualSpacing/>
              <w:jc w:val="center"/>
              <w:rPr>
                <w:rFonts w:hint="eastAsia" w:ascii="宋体" w:hAnsi="宋体" w:eastAsia="宋体" w:cs="宋体"/>
                <w:b/>
                <w:bCs/>
                <w:color w:val="auto"/>
                <w:kern w:val="0"/>
                <w:highlight w:val="none"/>
              </w:rPr>
            </w:pPr>
            <w:r>
              <w:rPr>
                <w:rFonts w:hint="eastAsia" w:ascii="宋体" w:hAnsi="宋体" w:eastAsia="宋体" w:cs="宋体"/>
                <w:b/>
                <w:bCs/>
                <w:color w:val="auto"/>
                <w:kern w:val="0"/>
                <w:highlight w:val="none"/>
              </w:rPr>
              <w:t>备注</w:t>
            </w:r>
          </w:p>
        </w:tc>
      </w:tr>
      <w:tr w14:paraId="40FB37DB">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5BAFBD60">
            <w:pPr>
              <w:widowControl/>
              <w:spacing w:line="360" w:lineRule="auto"/>
              <w:contextualSpacing/>
              <w:jc w:val="center"/>
              <w:rPr>
                <w:rFonts w:hint="eastAsia" w:ascii="宋体" w:hAnsi="宋体" w:eastAsia="宋体" w:cs="宋体"/>
                <w:color w:val="auto"/>
                <w:kern w:val="0"/>
                <w:highlight w:val="none"/>
              </w:rPr>
            </w:pPr>
            <w:r>
              <w:rPr>
                <w:rFonts w:hint="eastAsia" w:ascii="宋体" w:hAnsi="宋体" w:eastAsia="宋体" w:cs="宋体"/>
                <w:color w:val="auto"/>
                <w:kern w:val="0"/>
                <w:highlight w:val="none"/>
              </w:rPr>
              <w:t>1</w:t>
            </w:r>
          </w:p>
        </w:tc>
        <w:tc>
          <w:tcPr>
            <w:tcW w:w="3600" w:type="dxa"/>
            <w:tcBorders>
              <w:top w:val="single" w:color="auto" w:sz="4" w:space="0"/>
              <w:left w:val="nil"/>
              <w:bottom w:val="single" w:color="auto" w:sz="4" w:space="0"/>
              <w:right w:val="single" w:color="auto" w:sz="4" w:space="0"/>
            </w:tcBorders>
            <w:tcMar>
              <w:top w:w="120" w:type="dxa"/>
              <w:left w:w="120" w:type="dxa"/>
              <w:bottom w:w="120" w:type="dxa"/>
              <w:right w:w="120" w:type="dxa"/>
            </w:tcMar>
            <w:vAlign w:val="center"/>
          </w:tcPr>
          <w:p w14:paraId="3964FBC1">
            <w:pPr>
              <w:widowControl/>
              <w:spacing w:line="360" w:lineRule="auto"/>
              <w:contextualSpacing/>
              <w:jc w:val="center"/>
              <w:rPr>
                <w:rFonts w:hint="eastAsia" w:ascii="宋体" w:hAnsi="宋体" w:eastAsia="宋体" w:cs="宋体"/>
                <w:color w:val="auto"/>
                <w:kern w:val="0"/>
                <w:highlight w:val="none"/>
              </w:rPr>
            </w:pPr>
          </w:p>
        </w:tc>
        <w:tc>
          <w:tcPr>
            <w:tcW w:w="3555" w:type="dxa"/>
            <w:tcBorders>
              <w:top w:val="single" w:color="auto" w:sz="4" w:space="0"/>
              <w:left w:val="nil"/>
              <w:bottom w:val="single" w:color="auto" w:sz="4" w:space="0"/>
              <w:right w:val="single" w:color="auto" w:sz="4" w:space="0"/>
            </w:tcBorders>
            <w:tcMar>
              <w:top w:w="120" w:type="dxa"/>
              <w:left w:w="120" w:type="dxa"/>
              <w:bottom w:w="120" w:type="dxa"/>
              <w:right w:w="120" w:type="dxa"/>
            </w:tcMar>
            <w:vAlign w:val="center"/>
          </w:tcPr>
          <w:p w14:paraId="02EBAFBF">
            <w:pPr>
              <w:widowControl/>
              <w:spacing w:line="360" w:lineRule="auto"/>
              <w:contextualSpacing/>
              <w:jc w:val="center"/>
              <w:rPr>
                <w:rFonts w:hint="eastAsia" w:ascii="宋体" w:hAnsi="宋体" w:eastAsia="宋体" w:cs="宋体"/>
                <w:color w:val="auto"/>
                <w:kern w:val="0"/>
                <w:highlight w:val="none"/>
              </w:rPr>
            </w:pPr>
          </w:p>
        </w:tc>
        <w:tc>
          <w:tcPr>
            <w:tcW w:w="1689" w:type="dxa"/>
            <w:tcBorders>
              <w:top w:val="single" w:color="auto" w:sz="4" w:space="0"/>
              <w:left w:val="nil"/>
              <w:bottom w:val="single" w:color="auto" w:sz="4" w:space="0"/>
              <w:right w:val="single" w:color="auto" w:sz="4" w:space="0"/>
            </w:tcBorders>
            <w:tcMar>
              <w:top w:w="120" w:type="dxa"/>
              <w:left w:w="120" w:type="dxa"/>
              <w:bottom w:w="120" w:type="dxa"/>
              <w:right w:w="120" w:type="dxa"/>
            </w:tcMar>
            <w:vAlign w:val="center"/>
          </w:tcPr>
          <w:p w14:paraId="3C3EDA35">
            <w:pPr>
              <w:widowControl/>
              <w:spacing w:line="360" w:lineRule="auto"/>
              <w:contextualSpacing/>
              <w:jc w:val="center"/>
              <w:rPr>
                <w:rFonts w:hint="eastAsia" w:ascii="宋体" w:hAnsi="宋体" w:eastAsia="宋体" w:cs="宋体"/>
                <w:color w:val="auto"/>
                <w:kern w:val="0"/>
                <w:highlight w:val="none"/>
              </w:rPr>
            </w:pPr>
          </w:p>
        </w:tc>
      </w:tr>
      <w:tr w14:paraId="3627563E">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4D61653F">
            <w:pPr>
              <w:widowControl/>
              <w:spacing w:line="360" w:lineRule="auto"/>
              <w:contextualSpacing/>
              <w:jc w:val="center"/>
              <w:rPr>
                <w:rFonts w:hint="eastAsia" w:ascii="宋体" w:hAnsi="宋体" w:eastAsia="宋体" w:cs="宋体"/>
                <w:color w:val="auto"/>
                <w:kern w:val="0"/>
                <w:highlight w:val="none"/>
              </w:rPr>
            </w:pPr>
            <w:r>
              <w:rPr>
                <w:rFonts w:hint="eastAsia" w:ascii="宋体" w:hAnsi="宋体" w:eastAsia="宋体" w:cs="宋体"/>
                <w:color w:val="auto"/>
                <w:kern w:val="0"/>
                <w:highlight w:val="none"/>
              </w:rPr>
              <w:t>2</w:t>
            </w:r>
          </w:p>
        </w:tc>
        <w:tc>
          <w:tcPr>
            <w:tcW w:w="3600" w:type="dxa"/>
            <w:tcBorders>
              <w:top w:val="single" w:color="auto" w:sz="4" w:space="0"/>
              <w:left w:val="nil"/>
              <w:bottom w:val="single" w:color="auto" w:sz="4" w:space="0"/>
              <w:right w:val="single" w:color="auto" w:sz="4" w:space="0"/>
            </w:tcBorders>
            <w:tcMar>
              <w:top w:w="120" w:type="dxa"/>
              <w:left w:w="120" w:type="dxa"/>
              <w:bottom w:w="120" w:type="dxa"/>
              <w:right w:w="120" w:type="dxa"/>
            </w:tcMar>
            <w:vAlign w:val="center"/>
          </w:tcPr>
          <w:p w14:paraId="5CA8DCF9">
            <w:pPr>
              <w:widowControl/>
              <w:spacing w:line="360" w:lineRule="auto"/>
              <w:contextualSpacing/>
              <w:jc w:val="center"/>
              <w:rPr>
                <w:rFonts w:hint="eastAsia" w:ascii="宋体" w:hAnsi="宋体" w:eastAsia="宋体" w:cs="宋体"/>
                <w:color w:val="auto"/>
                <w:kern w:val="0"/>
                <w:highlight w:val="none"/>
              </w:rPr>
            </w:pPr>
          </w:p>
        </w:tc>
        <w:tc>
          <w:tcPr>
            <w:tcW w:w="3555" w:type="dxa"/>
            <w:tcBorders>
              <w:top w:val="single" w:color="auto" w:sz="4" w:space="0"/>
              <w:left w:val="nil"/>
              <w:bottom w:val="single" w:color="auto" w:sz="4" w:space="0"/>
              <w:right w:val="single" w:color="auto" w:sz="4" w:space="0"/>
            </w:tcBorders>
            <w:tcMar>
              <w:top w:w="120" w:type="dxa"/>
              <w:left w:w="120" w:type="dxa"/>
              <w:bottom w:w="120" w:type="dxa"/>
              <w:right w:w="120" w:type="dxa"/>
            </w:tcMar>
            <w:vAlign w:val="center"/>
          </w:tcPr>
          <w:p w14:paraId="7A6DCDD7">
            <w:pPr>
              <w:widowControl/>
              <w:spacing w:line="360" w:lineRule="auto"/>
              <w:contextualSpacing/>
              <w:jc w:val="center"/>
              <w:rPr>
                <w:rFonts w:hint="eastAsia" w:ascii="宋体" w:hAnsi="宋体" w:eastAsia="宋体" w:cs="宋体"/>
                <w:color w:val="auto"/>
                <w:kern w:val="0"/>
                <w:highlight w:val="none"/>
              </w:rPr>
            </w:pPr>
          </w:p>
        </w:tc>
        <w:tc>
          <w:tcPr>
            <w:tcW w:w="1689" w:type="dxa"/>
            <w:tcBorders>
              <w:top w:val="single" w:color="auto" w:sz="4" w:space="0"/>
              <w:left w:val="nil"/>
              <w:bottom w:val="single" w:color="auto" w:sz="4" w:space="0"/>
              <w:right w:val="single" w:color="auto" w:sz="4" w:space="0"/>
            </w:tcBorders>
            <w:tcMar>
              <w:top w:w="120" w:type="dxa"/>
              <w:left w:w="120" w:type="dxa"/>
              <w:bottom w:w="120" w:type="dxa"/>
              <w:right w:w="120" w:type="dxa"/>
            </w:tcMar>
            <w:vAlign w:val="center"/>
          </w:tcPr>
          <w:p w14:paraId="224E39BB">
            <w:pPr>
              <w:widowControl/>
              <w:spacing w:line="360" w:lineRule="auto"/>
              <w:contextualSpacing/>
              <w:jc w:val="center"/>
              <w:rPr>
                <w:rFonts w:hint="eastAsia" w:ascii="宋体" w:hAnsi="宋体" w:eastAsia="宋体" w:cs="宋体"/>
                <w:color w:val="auto"/>
                <w:kern w:val="0"/>
                <w:highlight w:val="none"/>
              </w:rPr>
            </w:pPr>
          </w:p>
        </w:tc>
      </w:tr>
      <w:tr w14:paraId="5EA3114A">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6BBEDEC9">
            <w:pPr>
              <w:widowControl/>
              <w:spacing w:line="360" w:lineRule="auto"/>
              <w:contextualSpacing/>
              <w:jc w:val="center"/>
              <w:rPr>
                <w:rFonts w:hint="eastAsia" w:ascii="宋体" w:hAnsi="宋体" w:eastAsia="宋体" w:cs="宋体"/>
                <w:color w:val="auto"/>
                <w:kern w:val="0"/>
                <w:highlight w:val="none"/>
              </w:rPr>
            </w:pPr>
            <w:r>
              <w:rPr>
                <w:rFonts w:hint="eastAsia" w:ascii="宋体" w:hAnsi="宋体" w:eastAsia="宋体" w:cs="宋体"/>
                <w:color w:val="auto"/>
                <w:kern w:val="0"/>
                <w:highlight w:val="none"/>
              </w:rPr>
              <w:t>3</w:t>
            </w:r>
          </w:p>
        </w:tc>
        <w:tc>
          <w:tcPr>
            <w:tcW w:w="3600" w:type="dxa"/>
            <w:tcBorders>
              <w:top w:val="single" w:color="auto" w:sz="4" w:space="0"/>
              <w:left w:val="nil"/>
              <w:bottom w:val="single" w:color="auto" w:sz="4" w:space="0"/>
              <w:right w:val="single" w:color="auto" w:sz="4" w:space="0"/>
            </w:tcBorders>
            <w:tcMar>
              <w:top w:w="120" w:type="dxa"/>
              <w:left w:w="120" w:type="dxa"/>
              <w:bottom w:w="120" w:type="dxa"/>
              <w:right w:w="120" w:type="dxa"/>
            </w:tcMar>
            <w:vAlign w:val="center"/>
          </w:tcPr>
          <w:p w14:paraId="1DA775DE">
            <w:pPr>
              <w:widowControl/>
              <w:spacing w:line="360" w:lineRule="auto"/>
              <w:contextualSpacing/>
              <w:jc w:val="center"/>
              <w:rPr>
                <w:rFonts w:hint="eastAsia" w:ascii="宋体" w:hAnsi="宋体" w:eastAsia="宋体" w:cs="宋体"/>
                <w:color w:val="auto"/>
                <w:kern w:val="0"/>
                <w:highlight w:val="none"/>
              </w:rPr>
            </w:pPr>
          </w:p>
        </w:tc>
        <w:tc>
          <w:tcPr>
            <w:tcW w:w="3555" w:type="dxa"/>
            <w:tcBorders>
              <w:top w:val="single" w:color="auto" w:sz="4" w:space="0"/>
              <w:left w:val="nil"/>
              <w:bottom w:val="single" w:color="auto" w:sz="4" w:space="0"/>
              <w:right w:val="single" w:color="auto" w:sz="4" w:space="0"/>
            </w:tcBorders>
            <w:tcMar>
              <w:top w:w="120" w:type="dxa"/>
              <w:left w:w="120" w:type="dxa"/>
              <w:bottom w:w="120" w:type="dxa"/>
              <w:right w:w="120" w:type="dxa"/>
            </w:tcMar>
            <w:vAlign w:val="center"/>
          </w:tcPr>
          <w:p w14:paraId="7BABBFF3">
            <w:pPr>
              <w:widowControl/>
              <w:spacing w:line="360" w:lineRule="auto"/>
              <w:contextualSpacing/>
              <w:jc w:val="center"/>
              <w:rPr>
                <w:rFonts w:hint="eastAsia" w:ascii="宋体" w:hAnsi="宋体" w:eastAsia="宋体" w:cs="宋体"/>
                <w:color w:val="auto"/>
                <w:kern w:val="0"/>
                <w:highlight w:val="none"/>
              </w:rPr>
            </w:pPr>
          </w:p>
        </w:tc>
        <w:tc>
          <w:tcPr>
            <w:tcW w:w="1689" w:type="dxa"/>
            <w:tcBorders>
              <w:top w:val="single" w:color="auto" w:sz="4" w:space="0"/>
              <w:left w:val="nil"/>
              <w:bottom w:val="single" w:color="auto" w:sz="4" w:space="0"/>
              <w:right w:val="single" w:color="auto" w:sz="4" w:space="0"/>
            </w:tcBorders>
            <w:tcMar>
              <w:top w:w="120" w:type="dxa"/>
              <w:left w:w="120" w:type="dxa"/>
              <w:bottom w:w="120" w:type="dxa"/>
              <w:right w:w="120" w:type="dxa"/>
            </w:tcMar>
            <w:vAlign w:val="center"/>
          </w:tcPr>
          <w:p w14:paraId="01F0A046">
            <w:pPr>
              <w:widowControl/>
              <w:spacing w:line="360" w:lineRule="auto"/>
              <w:contextualSpacing/>
              <w:jc w:val="center"/>
              <w:rPr>
                <w:rFonts w:hint="eastAsia" w:ascii="宋体" w:hAnsi="宋体" w:eastAsia="宋体" w:cs="宋体"/>
                <w:color w:val="auto"/>
                <w:kern w:val="0"/>
                <w:highlight w:val="none"/>
              </w:rPr>
            </w:pPr>
          </w:p>
        </w:tc>
      </w:tr>
      <w:tr w14:paraId="55FDF620">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2501B9A9">
            <w:pPr>
              <w:widowControl/>
              <w:spacing w:line="360" w:lineRule="auto"/>
              <w:contextualSpacing/>
              <w:jc w:val="center"/>
              <w:rPr>
                <w:rFonts w:hint="eastAsia" w:ascii="宋体" w:hAnsi="宋体" w:eastAsia="宋体" w:cs="宋体"/>
                <w:color w:val="auto"/>
                <w:kern w:val="0"/>
                <w:highlight w:val="none"/>
              </w:rPr>
            </w:pPr>
            <w:r>
              <w:rPr>
                <w:rFonts w:hint="eastAsia" w:ascii="宋体" w:hAnsi="宋体" w:eastAsia="宋体" w:cs="宋体"/>
                <w:color w:val="auto"/>
                <w:kern w:val="0"/>
                <w:highlight w:val="none"/>
              </w:rPr>
              <w:t>……</w:t>
            </w:r>
          </w:p>
        </w:tc>
        <w:tc>
          <w:tcPr>
            <w:tcW w:w="3600" w:type="dxa"/>
            <w:tcBorders>
              <w:top w:val="single" w:color="auto" w:sz="4" w:space="0"/>
              <w:left w:val="nil"/>
              <w:bottom w:val="single" w:color="auto" w:sz="4" w:space="0"/>
              <w:right w:val="single" w:color="auto" w:sz="4" w:space="0"/>
            </w:tcBorders>
            <w:tcMar>
              <w:top w:w="120" w:type="dxa"/>
              <w:left w:w="120" w:type="dxa"/>
              <w:bottom w:w="120" w:type="dxa"/>
              <w:right w:w="120" w:type="dxa"/>
            </w:tcMar>
            <w:vAlign w:val="center"/>
          </w:tcPr>
          <w:p w14:paraId="75767F81">
            <w:pPr>
              <w:widowControl/>
              <w:spacing w:line="360" w:lineRule="auto"/>
              <w:contextualSpacing/>
              <w:jc w:val="center"/>
              <w:rPr>
                <w:rFonts w:hint="eastAsia" w:ascii="宋体" w:hAnsi="宋体" w:eastAsia="宋体" w:cs="宋体"/>
                <w:color w:val="auto"/>
                <w:kern w:val="0"/>
                <w:highlight w:val="none"/>
              </w:rPr>
            </w:pPr>
          </w:p>
        </w:tc>
        <w:tc>
          <w:tcPr>
            <w:tcW w:w="3555" w:type="dxa"/>
            <w:tcBorders>
              <w:top w:val="single" w:color="auto" w:sz="4" w:space="0"/>
              <w:left w:val="nil"/>
              <w:bottom w:val="single" w:color="auto" w:sz="4" w:space="0"/>
              <w:right w:val="single" w:color="auto" w:sz="4" w:space="0"/>
            </w:tcBorders>
            <w:tcMar>
              <w:top w:w="120" w:type="dxa"/>
              <w:left w:w="120" w:type="dxa"/>
              <w:bottom w:w="120" w:type="dxa"/>
              <w:right w:w="120" w:type="dxa"/>
            </w:tcMar>
            <w:vAlign w:val="center"/>
          </w:tcPr>
          <w:p w14:paraId="07FFBFEB">
            <w:pPr>
              <w:widowControl/>
              <w:spacing w:line="360" w:lineRule="auto"/>
              <w:contextualSpacing/>
              <w:jc w:val="center"/>
              <w:rPr>
                <w:rFonts w:hint="eastAsia" w:ascii="宋体" w:hAnsi="宋体" w:eastAsia="宋体" w:cs="宋体"/>
                <w:color w:val="auto"/>
                <w:kern w:val="0"/>
                <w:highlight w:val="none"/>
              </w:rPr>
            </w:pPr>
          </w:p>
        </w:tc>
        <w:tc>
          <w:tcPr>
            <w:tcW w:w="1689" w:type="dxa"/>
            <w:tcBorders>
              <w:top w:val="single" w:color="auto" w:sz="4" w:space="0"/>
              <w:left w:val="nil"/>
              <w:bottom w:val="single" w:color="auto" w:sz="4" w:space="0"/>
              <w:right w:val="single" w:color="auto" w:sz="4" w:space="0"/>
            </w:tcBorders>
            <w:tcMar>
              <w:top w:w="120" w:type="dxa"/>
              <w:left w:w="120" w:type="dxa"/>
              <w:bottom w:w="120" w:type="dxa"/>
              <w:right w:w="120" w:type="dxa"/>
            </w:tcMar>
            <w:vAlign w:val="center"/>
          </w:tcPr>
          <w:p w14:paraId="21400E38">
            <w:pPr>
              <w:widowControl/>
              <w:spacing w:line="360" w:lineRule="auto"/>
              <w:contextualSpacing/>
              <w:jc w:val="center"/>
              <w:rPr>
                <w:rFonts w:hint="eastAsia" w:ascii="宋体" w:hAnsi="宋体" w:eastAsia="宋体" w:cs="宋体"/>
                <w:color w:val="auto"/>
                <w:kern w:val="0"/>
                <w:highlight w:val="none"/>
              </w:rPr>
            </w:pPr>
          </w:p>
        </w:tc>
      </w:tr>
    </w:tbl>
    <w:p w14:paraId="45F76661">
      <w:pPr>
        <w:spacing w:line="360" w:lineRule="auto"/>
        <w:contextualSpacing/>
        <w:jc w:val="left"/>
        <w:rPr>
          <w:rFonts w:hint="eastAsia" w:ascii="宋体" w:hAnsi="宋体" w:eastAsia="宋体" w:cs="宋体"/>
          <w:color w:val="auto"/>
          <w:szCs w:val="21"/>
          <w:highlight w:val="none"/>
        </w:rPr>
      </w:pPr>
      <w:r>
        <w:rPr>
          <w:rFonts w:hint="eastAsia" w:ascii="宋体" w:hAnsi="宋体" w:eastAsia="宋体" w:cs="宋体"/>
          <w:color w:val="auto"/>
          <w:highlight w:val="none"/>
        </w:rPr>
        <w:t xml:space="preserve"> </w:t>
      </w:r>
    </w:p>
    <w:p w14:paraId="7AC31A8E">
      <w:pPr>
        <w:snapToGrid w:val="0"/>
        <w:spacing w:line="360" w:lineRule="auto"/>
        <w:contextualSpacing/>
        <w:jc w:val="left"/>
        <w:rPr>
          <w:rFonts w:hint="eastAsia" w:ascii="宋体" w:hAnsi="宋体" w:eastAsia="宋体" w:cs="宋体"/>
          <w:color w:val="auto"/>
          <w:highlight w:val="none"/>
        </w:rPr>
      </w:pPr>
      <w:r>
        <w:rPr>
          <w:rFonts w:hint="eastAsia" w:ascii="宋体" w:hAnsi="宋体" w:eastAsia="宋体" w:cs="宋体"/>
          <w:color w:val="auto"/>
          <w:highlight w:val="none"/>
        </w:rPr>
        <w:t>注：</w:t>
      </w:r>
    </w:p>
    <w:p w14:paraId="3CAF2DAF">
      <w:pPr>
        <w:snapToGrid w:val="0"/>
        <w:spacing w:line="360" w:lineRule="auto"/>
        <w:ind w:firstLine="420" w:firstLineChars="200"/>
        <w:contextualSpacing/>
        <w:jc w:val="left"/>
        <w:rPr>
          <w:rFonts w:hint="eastAsia" w:ascii="宋体" w:hAnsi="宋体" w:eastAsia="宋体" w:cs="宋体"/>
          <w:color w:val="auto"/>
          <w:highlight w:val="none"/>
        </w:rPr>
      </w:pPr>
      <w:r>
        <w:rPr>
          <w:rFonts w:hint="eastAsia" w:ascii="宋体" w:hAnsi="宋体" w:eastAsia="宋体" w:cs="宋体"/>
          <w:color w:val="auto"/>
          <w:highlight w:val="none"/>
        </w:rPr>
        <w:t>1．管理关系：是指不具有出资持股关系的其他单位之间存在的管理与被管理关系，如一些上下级关系的事业单位和团体组织。</w:t>
      </w:r>
    </w:p>
    <w:p w14:paraId="468DEE21">
      <w:pPr>
        <w:snapToGrid w:val="0"/>
        <w:spacing w:line="360" w:lineRule="auto"/>
        <w:ind w:firstLine="420" w:firstLineChars="200"/>
        <w:contextualSpacing/>
        <w:jc w:val="left"/>
        <w:rPr>
          <w:rFonts w:hint="eastAsia" w:ascii="宋体" w:hAnsi="宋体" w:eastAsia="宋体" w:cs="宋体"/>
          <w:color w:val="auto"/>
          <w:highlight w:val="none"/>
        </w:rPr>
      </w:pPr>
      <w:r>
        <w:rPr>
          <w:rFonts w:hint="eastAsia" w:ascii="宋体" w:hAnsi="宋体" w:eastAsia="宋体" w:cs="宋体"/>
          <w:color w:val="auto"/>
          <w:highlight w:val="none"/>
        </w:rPr>
        <w:t>2．本表所指的管理关系仅限于直接管理关系，不包括间接的管理关系。</w:t>
      </w:r>
    </w:p>
    <w:p w14:paraId="4A53B8C8">
      <w:pPr>
        <w:snapToGrid w:val="0"/>
        <w:spacing w:line="360" w:lineRule="auto"/>
        <w:ind w:firstLine="420" w:firstLineChars="200"/>
        <w:contextualSpacing/>
        <w:jc w:val="left"/>
        <w:rPr>
          <w:rFonts w:hint="eastAsia" w:ascii="宋体" w:hAnsi="宋体" w:eastAsia="宋体" w:cs="宋体"/>
          <w:color w:val="auto"/>
          <w:highlight w:val="none"/>
        </w:rPr>
      </w:pPr>
      <w:r>
        <w:rPr>
          <w:rFonts w:hint="eastAsia" w:ascii="宋体" w:hAnsi="宋体" w:eastAsia="宋体" w:cs="宋体"/>
          <w:color w:val="auto"/>
          <w:highlight w:val="none"/>
        </w:rPr>
        <w:t>3．供应商不存在直接管理关系的，则填“无”。</w:t>
      </w:r>
    </w:p>
    <w:p w14:paraId="50BEDF25">
      <w:pPr>
        <w:spacing w:line="360" w:lineRule="auto"/>
        <w:contextualSpacing/>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w:t>
      </w:r>
    </w:p>
    <w:p w14:paraId="2344715D">
      <w:pPr>
        <w:spacing w:line="360" w:lineRule="auto"/>
        <w:contextualSpacing/>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w:t>
      </w:r>
    </w:p>
    <w:p w14:paraId="5B4E3726">
      <w:pPr>
        <w:snapToGrid w:val="0"/>
        <w:spacing w:beforeLines="50" w:line="360" w:lineRule="auto"/>
        <w:ind w:right="480" w:firstLine="3360" w:firstLineChars="1400"/>
        <w:rPr>
          <w:rFonts w:hint="eastAsia" w:ascii="宋体" w:hAnsi="宋体" w:eastAsia="宋体" w:cs="宋体"/>
          <w:color w:val="auto"/>
          <w:szCs w:val="21"/>
          <w:highlight w:val="none"/>
          <w:u w:val="single"/>
        </w:rPr>
      </w:pPr>
      <w:r>
        <w:rPr>
          <w:rFonts w:hint="eastAsia" w:ascii="宋体" w:hAnsi="宋体" w:eastAsia="宋体" w:cs="宋体"/>
          <w:color w:val="auto"/>
          <w:sz w:val="24"/>
          <w:highlight w:val="none"/>
        </w:rPr>
        <w:t xml:space="preserve"> </w:t>
      </w:r>
      <w:r>
        <w:rPr>
          <w:rFonts w:hint="eastAsia" w:ascii="宋体" w:hAnsi="宋体" w:eastAsia="宋体" w:cs="宋体"/>
          <w:color w:val="auto"/>
          <w:highlight w:val="none"/>
        </w:rPr>
        <w:t>法定代表人或者委托代理人</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签字或盖章</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w:t>
      </w:r>
      <w:r>
        <w:rPr>
          <w:rFonts w:hint="eastAsia" w:ascii="宋体" w:hAnsi="宋体" w:eastAsia="宋体" w:cs="宋体"/>
          <w:color w:val="auto"/>
          <w:highlight w:val="none"/>
          <w:u w:val="single"/>
        </w:rPr>
        <w:t xml:space="preserve">                </w:t>
      </w:r>
    </w:p>
    <w:p w14:paraId="149CD9C4">
      <w:pPr>
        <w:spacing w:line="360" w:lineRule="auto"/>
        <w:ind w:right="1575" w:rightChars="750"/>
        <w:jc w:val="center"/>
        <w:rPr>
          <w:rFonts w:ascii="宋体" w:hAnsi="宋体" w:eastAsia="宋体"/>
          <w:color w:val="auto"/>
          <w:szCs w:val="21"/>
          <w:highlight w:val="none"/>
        </w:rPr>
      </w:pPr>
      <w:r>
        <w:rPr>
          <w:rFonts w:hint="eastAsia" w:ascii="宋体" w:hAnsi="宋体" w:cs="宋体"/>
          <w:color w:val="auto"/>
          <w:highlight w:val="none"/>
          <w:lang w:val="en-US" w:eastAsia="zh-CN"/>
        </w:rPr>
        <w:t xml:space="preserve">             </w:t>
      </w:r>
      <w:r>
        <w:rPr>
          <w:rFonts w:hint="eastAsia" w:ascii="宋体" w:hAnsi="宋体" w:eastAsia="宋体" w:cs="宋体"/>
          <w:color w:val="auto"/>
          <w:highlight w:val="none"/>
        </w:rPr>
        <w:t>供应商名称（电子签章）：</w:t>
      </w:r>
      <w:r>
        <w:rPr>
          <w:rFonts w:hint="eastAsia" w:ascii="宋体" w:hAnsi="宋体" w:eastAsia="宋体" w:cs="宋体"/>
          <w:color w:val="auto"/>
          <w:highlight w:val="none"/>
          <w:u w:val="single"/>
        </w:rPr>
        <w:t xml:space="preserve">               </w:t>
      </w:r>
    </w:p>
    <w:p w14:paraId="2C0F2D34">
      <w:pPr>
        <w:spacing w:line="360" w:lineRule="auto"/>
        <w:ind w:firstLine="420" w:firstLineChars="200"/>
        <w:jc w:val="center"/>
        <w:rPr>
          <w:rFonts w:ascii="宋体" w:hAnsi="宋体" w:eastAsia="宋体"/>
          <w:color w:val="auto"/>
          <w:sz w:val="28"/>
          <w:szCs w:val="28"/>
          <w:highlight w:val="none"/>
        </w:rPr>
      </w:pPr>
      <w:r>
        <w:rPr>
          <w:rFonts w:hint="eastAsia" w:ascii="宋体" w:hAnsi="宋体" w:eastAsia="宋体"/>
          <w:color w:val="auto"/>
          <w:szCs w:val="21"/>
          <w:highlight w:val="none"/>
        </w:rPr>
        <w:t>日期：</w:t>
      </w:r>
      <w:r>
        <w:rPr>
          <w:rFonts w:ascii="宋体" w:hAnsi="宋体" w:eastAsia="宋体" w:cs="Times New Roman"/>
          <w:color w:val="auto"/>
          <w:szCs w:val="21"/>
          <w:highlight w:val="none"/>
        </w:rPr>
        <w:t>___</w:t>
      </w:r>
      <w:r>
        <w:rPr>
          <w:rFonts w:hint="eastAsia" w:ascii="宋体" w:hAnsi="宋体" w:eastAsia="宋体"/>
          <w:color w:val="auto"/>
          <w:szCs w:val="21"/>
          <w:highlight w:val="none"/>
        </w:rPr>
        <w:t>年</w:t>
      </w:r>
      <w:r>
        <w:rPr>
          <w:rFonts w:ascii="宋体" w:hAnsi="宋体" w:eastAsia="宋体" w:cs="Times New Roman"/>
          <w:color w:val="auto"/>
          <w:szCs w:val="21"/>
          <w:highlight w:val="none"/>
        </w:rPr>
        <w:t>___</w:t>
      </w:r>
      <w:r>
        <w:rPr>
          <w:rFonts w:hint="eastAsia" w:ascii="宋体" w:hAnsi="宋体" w:eastAsia="宋体"/>
          <w:color w:val="auto"/>
          <w:szCs w:val="21"/>
          <w:highlight w:val="none"/>
        </w:rPr>
        <w:t>月</w:t>
      </w:r>
      <w:r>
        <w:rPr>
          <w:rFonts w:ascii="宋体" w:hAnsi="宋体" w:eastAsia="宋体" w:cs="Times New Roman"/>
          <w:color w:val="auto"/>
          <w:szCs w:val="21"/>
          <w:highlight w:val="none"/>
        </w:rPr>
        <w:t>___</w:t>
      </w:r>
      <w:r>
        <w:rPr>
          <w:rFonts w:hint="eastAsia" w:ascii="宋体" w:hAnsi="宋体" w:eastAsia="宋体"/>
          <w:color w:val="auto"/>
          <w:szCs w:val="21"/>
          <w:highlight w:val="none"/>
        </w:rPr>
        <w:t>日</w:t>
      </w:r>
    </w:p>
    <w:p w14:paraId="211F8B66">
      <w:pPr>
        <w:spacing w:line="360" w:lineRule="auto"/>
        <w:ind w:firstLine="560" w:firstLineChars="200"/>
        <w:jc w:val="right"/>
        <w:rPr>
          <w:rFonts w:ascii="宋体" w:hAnsi="宋体" w:eastAsia="宋体"/>
          <w:color w:val="auto"/>
          <w:sz w:val="28"/>
          <w:szCs w:val="28"/>
          <w:highlight w:val="none"/>
        </w:rPr>
      </w:pPr>
    </w:p>
    <w:p w14:paraId="520ADDD5">
      <w:pPr>
        <w:spacing w:line="360" w:lineRule="auto"/>
        <w:ind w:firstLine="560" w:firstLineChars="200"/>
        <w:jc w:val="right"/>
        <w:rPr>
          <w:rFonts w:ascii="宋体" w:hAnsi="宋体" w:eastAsia="宋体"/>
          <w:color w:val="auto"/>
          <w:sz w:val="28"/>
          <w:szCs w:val="28"/>
          <w:highlight w:val="none"/>
        </w:rPr>
      </w:pPr>
    </w:p>
    <w:p w14:paraId="362BEB0A">
      <w:pPr>
        <w:spacing w:line="360" w:lineRule="auto"/>
        <w:ind w:firstLine="560" w:firstLineChars="200"/>
        <w:jc w:val="right"/>
        <w:rPr>
          <w:rFonts w:ascii="宋体" w:hAnsi="宋体" w:eastAsia="宋体"/>
          <w:color w:val="auto"/>
          <w:sz w:val="28"/>
          <w:szCs w:val="28"/>
          <w:highlight w:val="none"/>
        </w:rPr>
      </w:pPr>
    </w:p>
    <w:p w14:paraId="15F88567">
      <w:pPr>
        <w:spacing w:line="360" w:lineRule="auto"/>
        <w:ind w:firstLine="560" w:firstLineChars="200"/>
        <w:jc w:val="right"/>
        <w:rPr>
          <w:rFonts w:ascii="宋体" w:hAnsi="宋体" w:eastAsia="宋体"/>
          <w:color w:val="auto"/>
          <w:sz w:val="28"/>
          <w:szCs w:val="28"/>
          <w:highlight w:val="none"/>
        </w:rPr>
      </w:pPr>
    </w:p>
    <w:p w14:paraId="2A3A9BBF">
      <w:pPr>
        <w:spacing w:line="360" w:lineRule="auto"/>
        <w:ind w:firstLine="560" w:firstLineChars="200"/>
        <w:jc w:val="right"/>
        <w:rPr>
          <w:rFonts w:ascii="宋体" w:hAnsi="宋体" w:eastAsia="宋体"/>
          <w:color w:val="auto"/>
          <w:sz w:val="28"/>
          <w:szCs w:val="28"/>
          <w:highlight w:val="none"/>
        </w:rPr>
      </w:pPr>
    </w:p>
    <w:p w14:paraId="211E86D1">
      <w:pPr>
        <w:spacing w:line="360" w:lineRule="auto"/>
        <w:ind w:firstLine="560" w:firstLineChars="200"/>
        <w:jc w:val="right"/>
        <w:rPr>
          <w:rFonts w:ascii="宋体" w:hAnsi="宋体" w:eastAsia="宋体"/>
          <w:color w:val="auto"/>
          <w:sz w:val="28"/>
          <w:szCs w:val="28"/>
          <w:highlight w:val="none"/>
        </w:rPr>
      </w:pPr>
    </w:p>
    <w:p w14:paraId="384B2C91">
      <w:pPr>
        <w:spacing w:line="360" w:lineRule="auto"/>
        <w:ind w:firstLine="560" w:firstLineChars="200"/>
        <w:jc w:val="right"/>
        <w:rPr>
          <w:rFonts w:ascii="宋体" w:hAnsi="宋体" w:eastAsia="宋体"/>
          <w:color w:val="auto"/>
          <w:sz w:val="28"/>
          <w:szCs w:val="28"/>
          <w:highlight w:val="none"/>
        </w:rPr>
      </w:pPr>
    </w:p>
    <w:p w14:paraId="29FF7CA3">
      <w:pPr>
        <w:spacing w:line="360" w:lineRule="auto"/>
        <w:ind w:firstLine="560" w:firstLineChars="200"/>
        <w:jc w:val="right"/>
        <w:rPr>
          <w:rFonts w:ascii="宋体" w:hAnsi="宋体" w:eastAsia="宋体"/>
          <w:color w:val="auto"/>
          <w:sz w:val="28"/>
          <w:szCs w:val="28"/>
          <w:highlight w:val="none"/>
        </w:rPr>
      </w:pPr>
    </w:p>
    <w:p w14:paraId="23C99E9A">
      <w:pPr>
        <w:keepNext w:val="0"/>
        <w:keepLines w:val="0"/>
        <w:widowControl/>
        <w:suppressLineNumbers w:val="0"/>
        <w:spacing w:line="360" w:lineRule="auto"/>
        <w:jc w:val="left"/>
        <w:rPr>
          <w:rFonts w:hint="eastAsia" w:ascii="宋体" w:hAnsi="宋体" w:eastAsia="宋体" w:cs="宋体"/>
          <w:b/>
          <w:bCs/>
          <w:color w:val="auto"/>
          <w:kern w:val="0"/>
          <w:sz w:val="24"/>
          <w:szCs w:val="24"/>
          <w:highlight w:val="none"/>
          <w:lang w:val="en-US" w:eastAsia="zh-CN" w:bidi="ar"/>
        </w:rPr>
      </w:pPr>
      <w:r>
        <w:rPr>
          <w:rFonts w:hint="eastAsia" w:ascii="宋体" w:hAnsi="宋体" w:cs="宋体"/>
          <w:b/>
          <w:bCs/>
          <w:color w:val="auto"/>
          <w:kern w:val="0"/>
          <w:sz w:val="24"/>
          <w:szCs w:val="24"/>
          <w:highlight w:val="none"/>
          <w:lang w:val="en-US" w:eastAsia="zh-CN" w:bidi="ar"/>
        </w:rPr>
        <w:t>附6：</w:t>
      </w:r>
      <w:r>
        <w:rPr>
          <w:rFonts w:hint="eastAsia" w:ascii="宋体" w:hAnsi="宋体" w:eastAsia="宋体" w:cs="宋体"/>
          <w:b/>
          <w:bCs/>
          <w:color w:val="auto"/>
          <w:kern w:val="0"/>
          <w:sz w:val="24"/>
          <w:szCs w:val="24"/>
          <w:highlight w:val="none"/>
          <w:lang w:val="en-US" w:eastAsia="zh-CN" w:bidi="ar"/>
        </w:rPr>
        <w:t>建设工程项目管理承诺书</w:t>
      </w:r>
    </w:p>
    <w:p w14:paraId="759404BF">
      <w:pPr>
        <w:pStyle w:val="119"/>
        <w:spacing w:line="360" w:lineRule="auto"/>
        <w:jc w:val="center"/>
        <w:rPr>
          <w:rFonts w:ascii="Times New Roman" w:hAnsi="Times New Roman"/>
          <w:color w:val="auto"/>
          <w:szCs w:val="21"/>
          <w:highlight w:val="none"/>
        </w:rPr>
      </w:pPr>
      <w:r>
        <w:rPr>
          <w:rFonts w:ascii="Times New Roman" w:hAnsi="Times New Roman"/>
          <w:color w:val="auto"/>
          <w:szCs w:val="21"/>
          <w:highlight w:val="none"/>
        </w:rPr>
        <w:t>建设工程项目管理承诺书</w:t>
      </w:r>
    </w:p>
    <w:p w14:paraId="2DF36EF4">
      <w:pPr>
        <w:spacing w:line="360" w:lineRule="auto"/>
        <w:jc w:val="center"/>
        <w:rPr>
          <w:b/>
          <w:bCs/>
          <w:color w:val="auto"/>
          <w:sz w:val="24"/>
          <w:highlight w:val="none"/>
        </w:rPr>
      </w:pPr>
    </w:p>
    <w:p w14:paraId="6D1557B5">
      <w:pPr>
        <w:pStyle w:val="20"/>
        <w:tabs>
          <w:tab w:val="left" w:pos="2127"/>
        </w:tabs>
        <w:spacing w:line="360" w:lineRule="auto"/>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致</w:t>
      </w:r>
      <w:r>
        <w:rPr>
          <w:i w:val="0"/>
          <w:iCs w:val="0"/>
          <w:color w:val="auto"/>
          <w:sz w:val="21"/>
          <w:szCs w:val="21"/>
          <w:highlight w:val="none"/>
          <w:u w:val="single"/>
        </w:rPr>
        <w:t>（采购</w:t>
      </w:r>
      <w:r>
        <w:rPr>
          <w:rFonts w:hint="eastAsia"/>
          <w:i w:val="0"/>
          <w:iCs w:val="0"/>
          <w:color w:val="auto"/>
          <w:sz w:val="21"/>
          <w:szCs w:val="21"/>
          <w:highlight w:val="none"/>
          <w:u w:val="single"/>
        </w:rPr>
        <w:t>人</w:t>
      </w:r>
      <w:r>
        <w:rPr>
          <w:i w:val="0"/>
          <w:iCs w:val="0"/>
          <w:color w:val="auto"/>
          <w:sz w:val="21"/>
          <w:szCs w:val="21"/>
          <w:highlight w:val="none"/>
          <w:u w:val="single"/>
        </w:rPr>
        <w:t>名称）</w:t>
      </w:r>
      <w:r>
        <w:rPr>
          <w:i w:val="0"/>
          <w:iCs w:val="0"/>
          <w:color w:val="auto"/>
          <w:sz w:val="21"/>
          <w:szCs w:val="21"/>
          <w:highlight w:val="none"/>
        </w:rPr>
        <w:t>：</w:t>
      </w:r>
    </w:p>
    <w:p w14:paraId="7B390B22">
      <w:pPr>
        <w:snapToGrid w:val="0"/>
        <w:spacing w:before="120" w:beforeLines="50" w:line="360" w:lineRule="auto"/>
        <w:ind w:firstLine="420" w:firstLineChars="200"/>
        <w:rPr>
          <w:color w:val="auto"/>
          <w:sz w:val="21"/>
          <w:szCs w:val="21"/>
          <w:highlight w:val="none"/>
        </w:rPr>
      </w:pPr>
      <w:r>
        <w:rPr>
          <w:color w:val="auto"/>
          <w:sz w:val="21"/>
          <w:szCs w:val="21"/>
          <w:highlight w:val="none"/>
        </w:rPr>
        <w:t>作为参与</w:t>
      </w:r>
      <w:r>
        <w:rPr>
          <w:color w:val="auto"/>
          <w:sz w:val="21"/>
          <w:szCs w:val="21"/>
          <w:highlight w:val="none"/>
          <w:u w:val="single"/>
        </w:rPr>
        <w:t></w:t>
      </w:r>
      <w:r>
        <w:rPr>
          <w:i w:val="0"/>
          <w:iCs w:val="0"/>
          <w:color w:val="auto"/>
          <w:sz w:val="21"/>
          <w:szCs w:val="21"/>
          <w:highlight w:val="none"/>
          <w:u w:val="single"/>
        </w:rPr>
        <w:t>（工程名称）</w:t>
      </w:r>
      <w:r>
        <w:rPr>
          <w:color w:val="auto"/>
          <w:sz w:val="21"/>
          <w:szCs w:val="21"/>
          <w:highlight w:val="none"/>
        </w:rPr>
        <w:t>项目的供应商，根据国家、自治区相关文件规定，我方在此承诺：</w:t>
      </w:r>
    </w:p>
    <w:p w14:paraId="6B368607">
      <w:pPr>
        <w:spacing w:line="360" w:lineRule="auto"/>
        <w:ind w:left="-2" w:leftChars="-1" w:firstLine="449" w:firstLineChars="214"/>
        <w:jc w:val="left"/>
        <w:rPr>
          <w:rFonts w:hint="eastAsia"/>
          <w:color w:val="auto"/>
          <w:szCs w:val="21"/>
          <w:highlight w:val="none"/>
        </w:rPr>
      </w:pPr>
      <w:r>
        <w:rPr>
          <w:rFonts w:hint="eastAsia"/>
          <w:color w:val="auto"/>
          <w:sz w:val="21"/>
          <w:szCs w:val="21"/>
          <w:highlight w:val="none"/>
        </w:rPr>
        <w:t>1、一旦成交，</w:t>
      </w:r>
      <w:r>
        <w:rPr>
          <w:color w:val="auto"/>
          <w:sz w:val="21"/>
          <w:szCs w:val="21"/>
          <w:highlight w:val="none"/>
        </w:rPr>
        <w:t>我方保证按照政</w:t>
      </w:r>
      <w:r>
        <w:rPr>
          <w:color w:val="auto"/>
          <w:highlight w:val="none"/>
        </w:rPr>
        <w:t>府相关部门的规定，</w:t>
      </w:r>
      <w:r>
        <w:rPr>
          <w:rFonts w:hint="eastAsia" w:ascii="宋体" w:hAnsi="宋体"/>
          <w:color w:val="auto"/>
          <w:highlight w:val="none"/>
        </w:rPr>
        <w:t>在</w:t>
      </w:r>
      <w:r>
        <w:rPr>
          <w:rFonts w:hint="eastAsia"/>
          <w:color w:val="auto"/>
          <w:szCs w:val="21"/>
          <w:highlight w:val="none"/>
        </w:rPr>
        <w:t>成交</w:t>
      </w:r>
      <w:r>
        <w:rPr>
          <w:rFonts w:hint="eastAsia" w:ascii="宋体" w:hAnsi="宋体"/>
          <w:color w:val="auto"/>
          <w:highlight w:val="none"/>
        </w:rPr>
        <w:t>后7个工作日内，按照《保障农民工工资支付条例》规定及广西壮族自治区有关规定开设农民工工资专用账户，并按</w:t>
      </w:r>
      <w:r>
        <w:rPr>
          <w:rFonts w:hint="eastAsia" w:ascii="宋体" w:hAnsi="宋体"/>
          <w:color w:val="auto"/>
          <w:highlight w:val="none"/>
          <w:u w:val="single"/>
        </w:rPr>
        <w:t>要求</w:t>
      </w:r>
      <w:r>
        <w:rPr>
          <w:rFonts w:hint="eastAsia" w:ascii="宋体" w:hAnsi="宋体"/>
          <w:color w:val="auto"/>
          <w:highlight w:val="none"/>
        </w:rPr>
        <w:t>比例将农民工工资保证金存入帐户</w:t>
      </w:r>
      <w:r>
        <w:rPr>
          <w:rFonts w:hint="eastAsia"/>
          <w:color w:val="auto"/>
          <w:highlight w:val="none"/>
        </w:rPr>
        <w:t>，专项用于支付本工程提供劳动的农民工被拖欠的工资。</w:t>
      </w:r>
      <w:r>
        <w:rPr>
          <w:color w:val="auto"/>
          <w:highlight w:val="none"/>
        </w:rPr>
        <w:t>按照与农民工依法约定的工资支付周期和具体支付日期支付工资</w:t>
      </w:r>
      <w:r>
        <w:rPr>
          <w:rFonts w:hint="eastAsia"/>
          <w:color w:val="auto"/>
          <w:highlight w:val="none"/>
        </w:rPr>
        <w:t>，保证</w:t>
      </w:r>
      <w:r>
        <w:rPr>
          <w:color w:val="auto"/>
          <w:highlight w:val="none"/>
        </w:rPr>
        <w:t>每月至少向农民工足额支付一次工资。</w:t>
      </w:r>
    </w:p>
    <w:p w14:paraId="6EE4D72D">
      <w:pPr>
        <w:spacing w:line="360" w:lineRule="auto"/>
        <w:ind w:left="-2" w:leftChars="-1" w:firstLine="449" w:firstLineChars="214"/>
        <w:jc w:val="left"/>
        <w:rPr>
          <w:rFonts w:hint="eastAsia"/>
          <w:color w:val="auto"/>
          <w:szCs w:val="21"/>
          <w:highlight w:val="none"/>
        </w:rPr>
      </w:pPr>
      <w:r>
        <w:rPr>
          <w:rFonts w:hint="eastAsia"/>
          <w:color w:val="auto"/>
          <w:szCs w:val="21"/>
          <w:highlight w:val="none"/>
        </w:rPr>
        <w:t>2、一旦成交，我方保证在施工过程中，严格执行《广西壮族自治区建筑工程安全文明施工费使用管理细则》（桂建质〔2015〕16号）的有关规定，确保建设工程各项安全防护、文明施工措施落实到位。如我方在该项目的承包中出现未按桂建质〔2015〕16号文附件一规定执行的情形，我方愿意按照相关规定接受建设单位及有关主管部门的处罚。</w:t>
      </w:r>
    </w:p>
    <w:p w14:paraId="21DCFD7E">
      <w:pPr>
        <w:spacing w:line="360" w:lineRule="auto"/>
        <w:ind w:left="-2" w:leftChars="-1" w:firstLine="449" w:firstLineChars="214"/>
        <w:jc w:val="left"/>
        <w:rPr>
          <w:rFonts w:hint="eastAsia"/>
          <w:color w:val="auto"/>
          <w:szCs w:val="21"/>
          <w:highlight w:val="none"/>
        </w:rPr>
      </w:pPr>
      <w:r>
        <w:rPr>
          <w:rFonts w:hint="eastAsia"/>
          <w:color w:val="auto"/>
          <w:szCs w:val="21"/>
          <w:highlight w:val="none"/>
        </w:rPr>
        <w:t>3、一旦成交，我方保证在施工过程中，严格执行散装水泥和预拌混凝土管理的有关规定，确保建设工程按规定使用散装水泥和预拌混凝土。如我方在该项目的承包中出现未按规定执行的情形，我方愿意按照相关规定接受建设单位及有关主管部门的处罚。</w:t>
      </w:r>
    </w:p>
    <w:p w14:paraId="16037FBE">
      <w:pPr>
        <w:spacing w:line="360" w:lineRule="auto"/>
        <w:ind w:left="-2" w:leftChars="-1" w:firstLine="449" w:firstLineChars="214"/>
        <w:jc w:val="left"/>
        <w:rPr>
          <w:rFonts w:hint="eastAsia"/>
          <w:color w:val="auto"/>
          <w:szCs w:val="21"/>
          <w:highlight w:val="none"/>
        </w:rPr>
      </w:pPr>
      <w:r>
        <w:rPr>
          <w:rFonts w:hint="eastAsia"/>
          <w:color w:val="auto"/>
          <w:szCs w:val="21"/>
          <w:highlight w:val="none"/>
        </w:rPr>
        <w:t>4、一旦成交，我方保证在施工过程中，严格执行《关于禁止使用不符合规范要求的竹脚手架的通知》（桂建管字〔2003〕40号）的有关规定，不使用竹脚手架。如我方在该项目的承包中出现未按规定执行的情形，我方愿意按照相关规定接受建设单位及有关主管部门的处罚。</w:t>
      </w:r>
    </w:p>
    <w:p w14:paraId="1D734272">
      <w:pPr>
        <w:spacing w:line="360" w:lineRule="auto"/>
        <w:ind w:left="-2" w:leftChars="-1" w:firstLine="449" w:firstLineChars="214"/>
        <w:jc w:val="left"/>
        <w:rPr>
          <w:color w:val="auto"/>
          <w:highlight w:val="none"/>
        </w:rPr>
      </w:pPr>
      <w:r>
        <w:rPr>
          <w:rFonts w:hint="eastAsia"/>
          <w:color w:val="auto"/>
          <w:szCs w:val="21"/>
          <w:highlight w:val="none"/>
        </w:rPr>
        <w:t>5、一旦成交，我方保证严格执行《危险性较大的分部分项工程安全管理规定》（建办质〔2018〕31号）的规定，强化对深基坑、高切坡、高大模板、人工挖孔桩、起重吊装、临时活动板房等重大危险源的专项施工方案的编制、论证、审批、实施、检测的风险管理。</w:t>
      </w:r>
    </w:p>
    <w:p w14:paraId="745BA8A8">
      <w:pPr>
        <w:spacing w:line="360" w:lineRule="auto"/>
        <w:jc w:val="left"/>
        <w:rPr>
          <w:color w:val="auto"/>
          <w:highlight w:val="none"/>
        </w:rPr>
      </w:pPr>
    </w:p>
    <w:p w14:paraId="3AED7F4D">
      <w:pPr>
        <w:snapToGrid w:val="0"/>
        <w:spacing w:before="120" w:beforeLines="50" w:after="50" w:line="360" w:lineRule="auto"/>
        <w:ind w:firstLine="4410" w:firstLineChars="2100"/>
        <w:rPr>
          <w:color w:val="auto"/>
          <w:szCs w:val="21"/>
          <w:highlight w:val="none"/>
        </w:rPr>
      </w:pPr>
      <w:bookmarkStart w:id="330" w:name="_Hlk89190944"/>
      <w:r>
        <w:rPr>
          <w:color w:val="auto"/>
          <w:szCs w:val="21"/>
          <w:highlight w:val="none"/>
        </w:rPr>
        <w:t>供应商</w:t>
      </w:r>
      <w:r>
        <w:rPr>
          <w:rFonts w:hint="eastAsia"/>
          <w:color w:val="auto"/>
          <w:szCs w:val="21"/>
          <w:highlight w:val="none"/>
        </w:rPr>
        <w:t>名称（电子签章）</w:t>
      </w:r>
      <w:r>
        <w:rPr>
          <w:color w:val="auto"/>
          <w:szCs w:val="21"/>
          <w:highlight w:val="none"/>
        </w:rPr>
        <w:t>：</w:t>
      </w:r>
      <w:r>
        <w:rPr>
          <w:color w:val="auto"/>
          <w:szCs w:val="21"/>
          <w:highlight w:val="none"/>
          <w:u w:val="single"/>
        </w:rPr>
        <w:t xml:space="preserve">                </w:t>
      </w:r>
    </w:p>
    <w:bookmarkEnd w:id="330"/>
    <w:p w14:paraId="050AE8DF">
      <w:pPr>
        <w:spacing w:line="360" w:lineRule="auto"/>
        <w:ind w:firstLine="1260" w:firstLineChars="600"/>
        <w:jc w:val="left"/>
        <w:rPr>
          <w:color w:val="auto"/>
          <w:highlight w:val="none"/>
        </w:rPr>
      </w:pPr>
    </w:p>
    <w:p w14:paraId="0A9DD027">
      <w:pPr>
        <w:spacing w:line="360" w:lineRule="auto"/>
        <w:ind w:firstLine="4515" w:firstLineChars="2150"/>
        <w:jc w:val="left"/>
        <w:rPr>
          <w:color w:val="auto"/>
          <w:highlight w:val="none"/>
        </w:rPr>
      </w:pPr>
      <w:r>
        <w:rPr>
          <w:color w:val="auto"/>
          <w:highlight w:val="none"/>
        </w:rPr>
        <w:t>日期：</w:t>
      </w:r>
      <w:r>
        <w:rPr>
          <w:color w:val="auto"/>
          <w:szCs w:val="21"/>
          <w:highlight w:val="none"/>
          <w:u w:val="single"/>
        </w:rPr>
        <w:t xml:space="preserve">         </w:t>
      </w:r>
      <w:r>
        <w:rPr>
          <w:color w:val="auto"/>
          <w:szCs w:val="21"/>
          <w:highlight w:val="none"/>
        </w:rPr>
        <w:t>年</w:t>
      </w:r>
      <w:r>
        <w:rPr>
          <w:color w:val="auto"/>
          <w:szCs w:val="21"/>
          <w:highlight w:val="none"/>
          <w:u w:val="single"/>
        </w:rPr>
        <w:t xml:space="preserve">        </w:t>
      </w:r>
      <w:r>
        <w:rPr>
          <w:color w:val="auto"/>
          <w:szCs w:val="21"/>
          <w:highlight w:val="none"/>
        </w:rPr>
        <w:t>月</w:t>
      </w:r>
      <w:r>
        <w:rPr>
          <w:color w:val="auto"/>
          <w:szCs w:val="21"/>
          <w:highlight w:val="none"/>
          <w:u w:val="single"/>
        </w:rPr>
        <w:t xml:space="preserve">        </w:t>
      </w:r>
      <w:r>
        <w:rPr>
          <w:color w:val="auto"/>
          <w:szCs w:val="21"/>
          <w:highlight w:val="none"/>
        </w:rPr>
        <w:t>日</w:t>
      </w:r>
    </w:p>
    <w:p w14:paraId="0800B397">
      <w:pPr>
        <w:spacing w:line="360" w:lineRule="auto"/>
        <w:ind w:firstLine="525" w:firstLineChars="250"/>
        <w:jc w:val="center"/>
        <w:rPr>
          <w:b/>
          <w:color w:val="auto"/>
          <w:sz w:val="28"/>
          <w:szCs w:val="28"/>
          <w:highlight w:val="none"/>
        </w:rPr>
      </w:pPr>
      <w:r>
        <w:rPr>
          <w:color w:val="auto"/>
          <w:szCs w:val="21"/>
          <w:highlight w:val="none"/>
        </w:rPr>
        <w:br w:type="page"/>
      </w:r>
      <w:r>
        <w:rPr>
          <w:b/>
          <w:color w:val="auto"/>
          <w:sz w:val="28"/>
          <w:szCs w:val="28"/>
          <w:highlight w:val="none"/>
        </w:rPr>
        <w:t>广西壮族自治区建筑工程安全文明施工措施项目清单内容</w:t>
      </w:r>
    </w:p>
    <w:p w14:paraId="47F8206A">
      <w:pPr>
        <w:pStyle w:val="121"/>
        <w:spacing w:line="360" w:lineRule="auto"/>
        <w:jc w:val="center"/>
        <w:rPr>
          <w:color w:val="auto"/>
          <w:highlight w:val="none"/>
        </w:rPr>
      </w:pPr>
      <w:r>
        <w:rPr>
          <w:color w:val="auto"/>
          <w:sz w:val="24"/>
          <w:highlight w:val="none"/>
        </w:rPr>
        <w:t>（桂建质【2015】16号文附件一）</w:t>
      </w:r>
    </w:p>
    <w:p w14:paraId="1A2328E3">
      <w:pPr>
        <w:pStyle w:val="122"/>
        <w:spacing w:line="360" w:lineRule="auto"/>
        <w:jc w:val="center"/>
        <w:rPr>
          <w:b/>
          <w:bCs/>
          <w:color w:val="auto"/>
          <w:sz w:val="24"/>
          <w:highlight w:val="none"/>
        </w:rPr>
      </w:pPr>
      <w:r>
        <w:rPr>
          <w:b/>
          <w:bCs/>
          <w:color w:val="auto"/>
          <w:sz w:val="24"/>
          <w:highlight w:val="none"/>
        </w:rPr>
        <w:t>广西壮族自治区</w:t>
      </w:r>
    </w:p>
    <w:p w14:paraId="52E70295">
      <w:pPr>
        <w:pStyle w:val="122"/>
        <w:spacing w:line="360" w:lineRule="auto"/>
        <w:jc w:val="center"/>
        <w:rPr>
          <w:b/>
          <w:bCs/>
          <w:color w:val="auto"/>
          <w:w w:val="90"/>
          <w:sz w:val="24"/>
          <w:highlight w:val="none"/>
        </w:rPr>
      </w:pPr>
      <w:r>
        <w:rPr>
          <w:b/>
          <w:bCs/>
          <w:color w:val="auto"/>
          <w:w w:val="90"/>
          <w:sz w:val="24"/>
          <w:highlight w:val="none"/>
        </w:rPr>
        <w:t>建设工程安全文明施工措施项目清单内容</w:t>
      </w:r>
    </w:p>
    <w:tbl>
      <w:tblPr>
        <w:tblStyle w:val="33"/>
        <w:tblW w:w="9453"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38"/>
        <w:gridCol w:w="525"/>
        <w:gridCol w:w="1545"/>
        <w:gridCol w:w="6645"/>
      </w:tblGrid>
      <w:tr w14:paraId="501E57A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01" w:hRule="exact"/>
        </w:trPr>
        <w:tc>
          <w:tcPr>
            <w:tcW w:w="738" w:type="dxa"/>
            <w:vAlign w:val="center"/>
          </w:tcPr>
          <w:p w14:paraId="12A8BFDC">
            <w:pPr>
              <w:pStyle w:val="122"/>
              <w:spacing w:line="360" w:lineRule="auto"/>
              <w:jc w:val="center"/>
              <w:rPr>
                <w:rFonts w:eastAsia="方正仿宋_GBK"/>
                <w:b/>
                <w:bCs/>
                <w:color w:val="auto"/>
                <w:szCs w:val="21"/>
                <w:highlight w:val="none"/>
              </w:rPr>
            </w:pPr>
            <w:r>
              <w:rPr>
                <w:rFonts w:eastAsia="方正仿宋_GBK"/>
                <w:b/>
                <w:bCs/>
                <w:color w:val="auto"/>
                <w:szCs w:val="21"/>
                <w:highlight w:val="none"/>
              </w:rPr>
              <w:t>类别</w:t>
            </w:r>
          </w:p>
        </w:tc>
        <w:tc>
          <w:tcPr>
            <w:tcW w:w="2070" w:type="dxa"/>
            <w:gridSpan w:val="2"/>
            <w:vAlign w:val="center"/>
          </w:tcPr>
          <w:p w14:paraId="0CFBD8C1">
            <w:pPr>
              <w:pStyle w:val="122"/>
              <w:spacing w:line="360" w:lineRule="auto"/>
              <w:jc w:val="center"/>
              <w:rPr>
                <w:rFonts w:eastAsia="方正仿宋_GBK"/>
                <w:b/>
                <w:bCs/>
                <w:color w:val="auto"/>
                <w:szCs w:val="21"/>
                <w:highlight w:val="none"/>
              </w:rPr>
            </w:pPr>
            <w:r>
              <w:rPr>
                <w:rFonts w:eastAsia="方正仿宋_GBK"/>
                <w:b/>
                <w:bCs/>
                <w:color w:val="auto"/>
                <w:szCs w:val="21"/>
                <w:highlight w:val="none"/>
              </w:rPr>
              <w:t>项目名称</w:t>
            </w:r>
          </w:p>
        </w:tc>
        <w:tc>
          <w:tcPr>
            <w:tcW w:w="6645" w:type="dxa"/>
            <w:vAlign w:val="center"/>
          </w:tcPr>
          <w:p w14:paraId="704A06DF">
            <w:pPr>
              <w:pStyle w:val="122"/>
              <w:spacing w:line="360" w:lineRule="auto"/>
              <w:jc w:val="center"/>
              <w:rPr>
                <w:rFonts w:eastAsia="方正仿宋_GBK"/>
                <w:b/>
                <w:bCs/>
                <w:color w:val="auto"/>
                <w:szCs w:val="21"/>
                <w:highlight w:val="none"/>
              </w:rPr>
            </w:pPr>
            <w:r>
              <w:rPr>
                <w:rFonts w:eastAsia="方正仿宋_GBK"/>
                <w:b/>
                <w:bCs/>
                <w:color w:val="auto"/>
                <w:szCs w:val="21"/>
                <w:highlight w:val="none"/>
              </w:rPr>
              <w:t>主要内容和要求</w:t>
            </w:r>
          </w:p>
        </w:tc>
      </w:tr>
      <w:tr w14:paraId="64156A6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restart"/>
            <w:vAlign w:val="center"/>
          </w:tcPr>
          <w:p w14:paraId="760F4DDC">
            <w:pPr>
              <w:pStyle w:val="122"/>
              <w:spacing w:line="360" w:lineRule="auto"/>
              <w:jc w:val="center"/>
              <w:rPr>
                <w:rFonts w:eastAsia="方正仿宋_GBK"/>
                <w:color w:val="auto"/>
                <w:szCs w:val="21"/>
                <w:highlight w:val="none"/>
              </w:rPr>
            </w:pPr>
            <w:r>
              <w:rPr>
                <w:rFonts w:eastAsia="方正仿宋_GBK"/>
                <w:color w:val="auto"/>
                <w:szCs w:val="21"/>
                <w:highlight w:val="none"/>
              </w:rPr>
              <w:t>文明</w:t>
            </w:r>
          </w:p>
          <w:p w14:paraId="57C7EC9A">
            <w:pPr>
              <w:pStyle w:val="122"/>
              <w:spacing w:line="360" w:lineRule="auto"/>
              <w:jc w:val="center"/>
              <w:rPr>
                <w:rFonts w:eastAsia="方正仿宋_GBK"/>
                <w:color w:val="auto"/>
                <w:szCs w:val="21"/>
                <w:highlight w:val="none"/>
              </w:rPr>
            </w:pPr>
            <w:r>
              <w:rPr>
                <w:rFonts w:eastAsia="方正仿宋_GBK"/>
                <w:color w:val="auto"/>
                <w:szCs w:val="21"/>
                <w:highlight w:val="none"/>
              </w:rPr>
              <w:t>施工</w:t>
            </w:r>
          </w:p>
          <w:p w14:paraId="062686E4">
            <w:pPr>
              <w:pStyle w:val="122"/>
              <w:spacing w:line="360" w:lineRule="auto"/>
              <w:jc w:val="center"/>
              <w:rPr>
                <w:rFonts w:eastAsia="方正仿宋_GBK"/>
                <w:color w:val="auto"/>
                <w:szCs w:val="21"/>
                <w:highlight w:val="none"/>
              </w:rPr>
            </w:pPr>
            <w:r>
              <w:rPr>
                <w:rFonts w:eastAsia="方正仿宋_GBK"/>
                <w:color w:val="auto"/>
                <w:szCs w:val="21"/>
                <w:highlight w:val="none"/>
              </w:rPr>
              <w:t>与</w:t>
            </w:r>
          </w:p>
          <w:p w14:paraId="55FF61B2">
            <w:pPr>
              <w:pStyle w:val="122"/>
              <w:spacing w:line="360" w:lineRule="auto"/>
              <w:jc w:val="center"/>
              <w:rPr>
                <w:rFonts w:eastAsia="方正仿宋_GBK"/>
                <w:color w:val="auto"/>
                <w:szCs w:val="21"/>
                <w:highlight w:val="none"/>
              </w:rPr>
            </w:pPr>
            <w:r>
              <w:rPr>
                <w:rFonts w:eastAsia="方正仿宋_GBK"/>
                <w:color w:val="auto"/>
                <w:szCs w:val="21"/>
                <w:highlight w:val="none"/>
              </w:rPr>
              <w:t>环境</w:t>
            </w:r>
          </w:p>
          <w:p w14:paraId="434540F9">
            <w:pPr>
              <w:pStyle w:val="122"/>
              <w:spacing w:line="360" w:lineRule="auto"/>
              <w:jc w:val="center"/>
              <w:rPr>
                <w:rFonts w:eastAsia="方正仿宋_GBK"/>
                <w:color w:val="auto"/>
                <w:szCs w:val="21"/>
                <w:highlight w:val="none"/>
              </w:rPr>
            </w:pPr>
            <w:r>
              <w:rPr>
                <w:rFonts w:eastAsia="方正仿宋_GBK"/>
                <w:color w:val="auto"/>
                <w:szCs w:val="21"/>
                <w:highlight w:val="none"/>
              </w:rPr>
              <w:t>保护</w:t>
            </w:r>
          </w:p>
        </w:tc>
        <w:tc>
          <w:tcPr>
            <w:tcW w:w="2070" w:type="dxa"/>
            <w:gridSpan w:val="2"/>
            <w:vAlign w:val="center"/>
          </w:tcPr>
          <w:p w14:paraId="46216C94">
            <w:pPr>
              <w:pStyle w:val="122"/>
              <w:spacing w:line="360" w:lineRule="auto"/>
              <w:jc w:val="center"/>
              <w:rPr>
                <w:rFonts w:eastAsia="方正仿宋_GBK"/>
                <w:color w:val="auto"/>
                <w:szCs w:val="21"/>
                <w:highlight w:val="none"/>
              </w:rPr>
            </w:pPr>
            <w:r>
              <w:rPr>
                <w:rFonts w:eastAsia="方正仿宋_GBK"/>
                <w:color w:val="auto"/>
                <w:szCs w:val="21"/>
                <w:highlight w:val="none"/>
              </w:rPr>
              <w:t>安全警示</w:t>
            </w:r>
          </w:p>
          <w:p w14:paraId="168B9464">
            <w:pPr>
              <w:pStyle w:val="122"/>
              <w:spacing w:line="360" w:lineRule="auto"/>
              <w:jc w:val="center"/>
              <w:rPr>
                <w:rFonts w:eastAsia="方正仿宋_GBK"/>
                <w:color w:val="auto"/>
                <w:szCs w:val="21"/>
                <w:highlight w:val="none"/>
              </w:rPr>
            </w:pPr>
            <w:r>
              <w:rPr>
                <w:rFonts w:eastAsia="方正仿宋_GBK"/>
                <w:color w:val="auto"/>
                <w:szCs w:val="21"/>
                <w:highlight w:val="none"/>
              </w:rPr>
              <w:t>标志牌</w:t>
            </w:r>
          </w:p>
        </w:tc>
        <w:tc>
          <w:tcPr>
            <w:tcW w:w="6645" w:type="dxa"/>
            <w:vAlign w:val="center"/>
          </w:tcPr>
          <w:p w14:paraId="143F4365">
            <w:pPr>
              <w:pStyle w:val="122"/>
              <w:spacing w:line="360" w:lineRule="auto"/>
              <w:rPr>
                <w:rFonts w:eastAsia="方正仿宋_GBK"/>
                <w:color w:val="auto"/>
                <w:szCs w:val="21"/>
                <w:highlight w:val="none"/>
              </w:rPr>
            </w:pPr>
            <w:r>
              <w:rPr>
                <w:rFonts w:eastAsia="方正仿宋_GBK"/>
                <w:color w:val="auto"/>
                <w:szCs w:val="21"/>
                <w:highlight w:val="none"/>
              </w:rPr>
              <w:t>在易发伤亡事故（或危险）处设置明显的、符合国家标准要求的安全警示标志牌。</w:t>
            </w:r>
          </w:p>
        </w:tc>
      </w:tr>
      <w:tr w14:paraId="150457E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vAlign w:val="center"/>
          </w:tcPr>
          <w:p w14:paraId="7CCB124B">
            <w:pPr>
              <w:pStyle w:val="122"/>
              <w:spacing w:line="360" w:lineRule="auto"/>
              <w:jc w:val="center"/>
              <w:rPr>
                <w:rFonts w:eastAsia="方正仿宋_GBK"/>
                <w:color w:val="auto"/>
                <w:szCs w:val="21"/>
                <w:highlight w:val="none"/>
              </w:rPr>
            </w:pPr>
          </w:p>
        </w:tc>
        <w:tc>
          <w:tcPr>
            <w:tcW w:w="2070" w:type="dxa"/>
            <w:gridSpan w:val="2"/>
            <w:vAlign w:val="center"/>
          </w:tcPr>
          <w:p w14:paraId="59EE44C9">
            <w:pPr>
              <w:pStyle w:val="122"/>
              <w:spacing w:line="360" w:lineRule="auto"/>
              <w:jc w:val="center"/>
              <w:rPr>
                <w:rFonts w:eastAsia="方正仿宋_GBK"/>
                <w:color w:val="auto"/>
                <w:szCs w:val="21"/>
                <w:highlight w:val="none"/>
              </w:rPr>
            </w:pPr>
            <w:r>
              <w:rPr>
                <w:rFonts w:eastAsia="方正仿宋_GBK"/>
                <w:color w:val="auto"/>
                <w:szCs w:val="21"/>
                <w:highlight w:val="none"/>
              </w:rPr>
              <w:t>现场围挡</w:t>
            </w:r>
          </w:p>
        </w:tc>
        <w:tc>
          <w:tcPr>
            <w:tcW w:w="6645" w:type="dxa"/>
            <w:vAlign w:val="center"/>
          </w:tcPr>
          <w:p w14:paraId="5754E23D">
            <w:pPr>
              <w:pStyle w:val="122"/>
              <w:spacing w:line="360" w:lineRule="auto"/>
              <w:rPr>
                <w:rFonts w:eastAsia="方正仿宋_GBK"/>
                <w:color w:val="auto"/>
                <w:szCs w:val="21"/>
                <w:highlight w:val="none"/>
              </w:rPr>
            </w:pPr>
            <w:r>
              <w:rPr>
                <w:rFonts w:eastAsia="方正仿宋_GBK"/>
                <w:color w:val="auto"/>
                <w:szCs w:val="21"/>
                <w:highlight w:val="none"/>
              </w:rPr>
              <w:t>1. 现场采用封闭围挡，高度不小于1.8m。</w:t>
            </w:r>
          </w:p>
          <w:p w14:paraId="21171102">
            <w:pPr>
              <w:pStyle w:val="122"/>
              <w:spacing w:line="360" w:lineRule="auto"/>
              <w:rPr>
                <w:rFonts w:eastAsia="方正仿宋_GBK"/>
                <w:color w:val="auto"/>
                <w:szCs w:val="21"/>
                <w:highlight w:val="none"/>
              </w:rPr>
            </w:pPr>
            <w:r>
              <w:rPr>
                <w:rFonts w:eastAsia="方正仿宋_GBK"/>
                <w:color w:val="auto"/>
                <w:szCs w:val="21"/>
                <w:highlight w:val="none"/>
              </w:rPr>
              <w:t>2. 围挡材料可用彩色、定型钢板，砌块等墙体。</w:t>
            </w:r>
          </w:p>
        </w:tc>
      </w:tr>
      <w:tr w14:paraId="11D1058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vAlign w:val="center"/>
          </w:tcPr>
          <w:p w14:paraId="72EAC430">
            <w:pPr>
              <w:pStyle w:val="122"/>
              <w:spacing w:line="360" w:lineRule="auto"/>
              <w:jc w:val="center"/>
              <w:rPr>
                <w:rFonts w:eastAsia="方正仿宋_GBK"/>
                <w:color w:val="auto"/>
                <w:szCs w:val="21"/>
                <w:highlight w:val="none"/>
              </w:rPr>
            </w:pPr>
          </w:p>
        </w:tc>
        <w:tc>
          <w:tcPr>
            <w:tcW w:w="2070" w:type="dxa"/>
            <w:gridSpan w:val="2"/>
            <w:vAlign w:val="center"/>
          </w:tcPr>
          <w:p w14:paraId="3E0D369B">
            <w:pPr>
              <w:pStyle w:val="122"/>
              <w:spacing w:line="360" w:lineRule="auto"/>
              <w:jc w:val="center"/>
              <w:rPr>
                <w:rFonts w:eastAsia="方正仿宋_GBK"/>
                <w:color w:val="auto"/>
                <w:szCs w:val="21"/>
                <w:highlight w:val="none"/>
              </w:rPr>
            </w:pPr>
            <w:r>
              <w:rPr>
                <w:rFonts w:eastAsia="方正仿宋_GBK"/>
                <w:color w:val="auto"/>
                <w:szCs w:val="21"/>
                <w:highlight w:val="none"/>
              </w:rPr>
              <w:t>七牌二图</w:t>
            </w:r>
          </w:p>
        </w:tc>
        <w:tc>
          <w:tcPr>
            <w:tcW w:w="6645" w:type="dxa"/>
            <w:vAlign w:val="center"/>
          </w:tcPr>
          <w:p w14:paraId="5273D440">
            <w:pPr>
              <w:pStyle w:val="122"/>
              <w:spacing w:line="360" w:lineRule="auto"/>
              <w:rPr>
                <w:rFonts w:eastAsia="方正仿宋_GBK"/>
                <w:color w:val="auto"/>
                <w:szCs w:val="21"/>
                <w:highlight w:val="none"/>
              </w:rPr>
            </w:pPr>
            <w:r>
              <w:rPr>
                <w:rFonts w:eastAsia="方正仿宋_GBK"/>
                <w:color w:val="auto"/>
                <w:szCs w:val="21"/>
                <w:highlight w:val="none"/>
              </w:rPr>
              <w:t>在进门处悬挂工程概况、现场出入制度、管理人员名单及监督电话、安全生产规定、文明施工、消防保卫、节能公示等七牌以及施工现场总平面图、工程效果图。</w:t>
            </w:r>
          </w:p>
        </w:tc>
      </w:tr>
      <w:tr w14:paraId="5E291B1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738" w:type="dxa"/>
            <w:vMerge w:val="continue"/>
            <w:vAlign w:val="center"/>
          </w:tcPr>
          <w:p w14:paraId="4BCF907E">
            <w:pPr>
              <w:pStyle w:val="122"/>
              <w:spacing w:line="360" w:lineRule="auto"/>
              <w:jc w:val="center"/>
              <w:rPr>
                <w:rFonts w:eastAsia="方正仿宋_GBK"/>
                <w:color w:val="auto"/>
                <w:szCs w:val="21"/>
                <w:highlight w:val="none"/>
              </w:rPr>
            </w:pPr>
          </w:p>
        </w:tc>
        <w:tc>
          <w:tcPr>
            <w:tcW w:w="2070" w:type="dxa"/>
            <w:gridSpan w:val="2"/>
            <w:vAlign w:val="center"/>
          </w:tcPr>
          <w:p w14:paraId="62E953E4">
            <w:pPr>
              <w:pStyle w:val="122"/>
              <w:spacing w:line="360" w:lineRule="auto"/>
              <w:jc w:val="center"/>
              <w:rPr>
                <w:rFonts w:eastAsia="方正仿宋_GBK"/>
                <w:color w:val="auto"/>
                <w:szCs w:val="21"/>
                <w:highlight w:val="none"/>
              </w:rPr>
            </w:pPr>
            <w:r>
              <w:rPr>
                <w:rFonts w:eastAsia="方正仿宋_GBK"/>
                <w:color w:val="auto"/>
                <w:szCs w:val="21"/>
                <w:highlight w:val="none"/>
              </w:rPr>
              <w:t>企业标志</w:t>
            </w:r>
          </w:p>
        </w:tc>
        <w:tc>
          <w:tcPr>
            <w:tcW w:w="6645" w:type="dxa"/>
            <w:vAlign w:val="center"/>
          </w:tcPr>
          <w:p w14:paraId="3E5B1B8D">
            <w:pPr>
              <w:pStyle w:val="122"/>
              <w:spacing w:line="360" w:lineRule="auto"/>
              <w:rPr>
                <w:rFonts w:eastAsia="方正仿宋_GBK"/>
                <w:color w:val="auto"/>
                <w:szCs w:val="21"/>
                <w:highlight w:val="none"/>
              </w:rPr>
            </w:pPr>
            <w:r>
              <w:rPr>
                <w:rFonts w:eastAsia="方正仿宋_GBK"/>
                <w:color w:val="auto"/>
                <w:szCs w:val="21"/>
                <w:highlight w:val="none"/>
              </w:rPr>
              <w:t>现场出入的大门应设有本企业标志或企业标识。</w:t>
            </w:r>
          </w:p>
        </w:tc>
      </w:tr>
      <w:tr w14:paraId="027E2D1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vAlign w:val="center"/>
          </w:tcPr>
          <w:p w14:paraId="3551A336">
            <w:pPr>
              <w:pStyle w:val="122"/>
              <w:spacing w:line="360" w:lineRule="auto"/>
              <w:jc w:val="center"/>
              <w:rPr>
                <w:rFonts w:eastAsia="方正仿宋_GBK"/>
                <w:color w:val="auto"/>
                <w:szCs w:val="21"/>
                <w:highlight w:val="none"/>
              </w:rPr>
            </w:pPr>
          </w:p>
        </w:tc>
        <w:tc>
          <w:tcPr>
            <w:tcW w:w="2070" w:type="dxa"/>
            <w:gridSpan w:val="2"/>
            <w:vAlign w:val="center"/>
          </w:tcPr>
          <w:p w14:paraId="703B1BD3">
            <w:pPr>
              <w:pStyle w:val="122"/>
              <w:spacing w:line="360" w:lineRule="auto"/>
              <w:jc w:val="center"/>
              <w:rPr>
                <w:rFonts w:eastAsia="方正仿宋_GBK"/>
                <w:color w:val="auto"/>
                <w:szCs w:val="21"/>
                <w:highlight w:val="none"/>
              </w:rPr>
            </w:pPr>
            <w:r>
              <w:rPr>
                <w:rFonts w:eastAsia="方正仿宋_GBK"/>
                <w:color w:val="auto"/>
                <w:szCs w:val="21"/>
                <w:highlight w:val="none"/>
              </w:rPr>
              <w:t>场容场貌</w:t>
            </w:r>
          </w:p>
        </w:tc>
        <w:tc>
          <w:tcPr>
            <w:tcW w:w="6645" w:type="dxa"/>
            <w:vAlign w:val="center"/>
          </w:tcPr>
          <w:p w14:paraId="64F9FBD0">
            <w:pPr>
              <w:pStyle w:val="122"/>
              <w:spacing w:line="360" w:lineRule="auto"/>
              <w:rPr>
                <w:rFonts w:eastAsia="方正仿宋_GBK"/>
                <w:color w:val="auto"/>
                <w:szCs w:val="21"/>
                <w:highlight w:val="none"/>
              </w:rPr>
            </w:pPr>
            <w:r>
              <w:rPr>
                <w:rFonts w:eastAsia="方正仿宋_GBK"/>
                <w:color w:val="auto"/>
                <w:szCs w:val="21"/>
                <w:highlight w:val="none"/>
              </w:rPr>
              <w:t>1. 道路畅通。</w:t>
            </w:r>
          </w:p>
          <w:p w14:paraId="5CA7C384">
            <w:pPr>
              <w:pStyle w:val="122"/>
              <w:spacing w:line="360" w:lineRule="auto"/>
              <w:rPr>
                <w:rFonts w:eastAsia="方正仿宋_GBK"/>
                <w:color w:val="auto"/>
                <w:szCs w:val="21"/>
                <w:highlight w:val="none"/>
              </w:rPr>
            </w:pPr>
            <w:r>
              <w:rPr>
                <w:rFonts w:eastAsia="方正仿宋_GBK"/>
                <w:color w:val="auto"/>
                <w:szCs w:val="21"/>
                <w:highlight w:val="none"/>
              </w:rPr>
              <w:t>2. 排水设施齐全畅通。</w:t>
            </w:r>
          </w:p>
          <w:p w14:paraId="777D774B">
            <w:pPr>
              <w:pStyle w:val="122"/>
              <w:spacing w:line="360" w:lineRule="auto"/>
              <w:rPr>
                <w:rFonts w:eastAsia="方正仿宋_GBK"/>
                <w:color w:val="auto"/>
                <w:szCs w:val="21"/>
                <w:highlight w:val="none"/>
              </w:rPr>
            </w:pPr>
            <w:r>
              <w:rPr>
                <w:rFonts w:eastAsia="方正仿宋_GBK"/>
                <w:color w:val="auto"/>
                <w:szCs w:val="21"/>
                <w:highlight w:val="none"/>
              </w:rPr>
              <w:t>3. 工地地面硬化处理（办公区、生活区、现场道路、材料堆放、混凝土搅拌、砂浆搅拌、钢筋加工等场地和外脚手架基础等）。</w:t>
            </w:r>
          </w:p>
        </w:tc>
      </w:tr>
      <w:tr w14:paraId="00F2DCD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vAlign w:val="center"/>
          </w:tcPr>
          <w:p w14:paraId="3892873E">
            <w:pPr>
              <w:pStyle w:val="122"/>
              <w:spacing w:line="360" w:lineRule="auto"/>
              <w:jc w:val="center"/>
              <w:rPr>
                <w:rFonts w:eastAsia="方正仿宋_GBK"/>
                <w:color w:val="auto"/>
                <w:szCs w:val="21"/>
                <w:highlight w:val="none"/>
              </w:rPr>
            </w:pPr>
          </w:p>
        </w:tc>
        <w:tc>
          <w:tcPr>
            <w:tcW w:w="2070" w:type="dxa"/>
            <w:gridSpan w:val="2"/>
            <w:vAlign w:val="center"/>
          </w:tcPr>
          <w:p w14:paraId="54834332">
            <w:pPr>
              <w:pStyle w:val="122"/>
              <w:spacing w:line="360" w:lineRule="auto"/>
              <w:jc w:val="center"/>
              <w:rPr>
                <w:rFonts w:eastAsia="方正仿宋_GBK"/>
                <w:color w:val="auto"/>
                <w:szCs w:val="21"/>
                <w:highlight w:val="none"/>
              </w:rPr>
            </w:pPr>
            <w:r>
              <w:rPr>
                <w:rFonts w:eastAsia="方正仿宋_GBK"/>
                <w:color w:val="auto"/>
                <w:szCs w:val="21"/>
                <w:highlight w:val="none"/>
              </w:rPr>
              <w:t>材料堆放</w:t>
            </w:r>
          </w:p>
        </w:tc>
        <w:tc>
          <w:tcPr>
            <w:tcW w:w="6645" w:type="dxa"/>
            <w:vAlign w:val="center"/>
          </w:tcPr>
          <w:p w14:paraId="7EDD484B">
            <w:pPr>
              <w:pStyle w:val="122"/>
              <w:numPr>
                <w:ilvl w:val="0"/>
                <w:numId w:val="2"/>
              </w:numPr>
              <w:spacing w:line="360" w:lineRule="auto"/>
              <w:rPr>
                <w:rFonts w:eastAsia="方正仿宋_GBK"/>
                <w:color w:val="auto"/>
                <w:szCs w:val="21"/>
                <w:highlight w:val="none"/>
              </w:rPr>
            </w:pPr>
            <w:r>
              <w:rPr>
                <w:rFonts w:eastAsia="方正仿宋_GBK"/>
                <w:color w:val="auto"/>
                <w:szCs w:val="21"/>
                <w:highlight w:val="none"/>
              </w:rPr>
              <w:t>材料、构件、料具等堆放时，应有名称、品种、规格等标牌。</w:t>
            </w:r>
          </w:p>
          <w:p w14:paraId="18E10F01">
            <w:pPr>
              <w:pStyle w:val="122"/>
              <w:spacing w:line="360" w:lineRule="auto"/>
              <w:rPr>
                <w:rFonts w:eastAsia="方正仿宋_GBK"/>
                <w:color w:val="auto"/>
                <w:szCs w:val="21"/>
                <w:highlight w:val="none"/>
              </w:rPr>
            </w:pPr>
            <w:r>
              <w:rPr>
                <w:rFonts w:eastAsia="方正仿宋_GBK"/>
                <w:color w:val="auto"/>
                <w:szCs w:val="21"/>
                <w:highlight w:val="none"/>
              </w:rPr>
              <w:t>2. 水泥和其它易飞扬细颗粒建筑材料应封闭存放或采取覆盖等措施。</w:t>
            </w:r>
          </w:p>
          <w:p w14:paraId="402717AB">
            <w:pPr>
              <w:pStyle w:val="122"/>
              <w:spacing w:line="360" w:lineRule="auto"/>
              <w:rPr>
                <w:rFonts w:eastAsia="方正仿宋_GBK"/>
                <w:color w:val="auto"/>
                <w:szCs w:val="21"/>
                <w:highlight w:val="none"/>
              </w:rPr>
            </w:pPr>
            <w:r>
              <w:rPr>
                <w:rFonts w:eastAsia="方正仿宋_GBK"/>
                <w:color w:val="auto"/>
                <w:szCs w:val="21"/>
                <w:highlight w:val="none"/>
              </w:rPr>
              <w:t>3. 易燃、易爆和有毒有害物品分类存放。</w:t>
            </w:r>
          </w:p>
        </w:tc>
      </w:tr>
      <w:tr w14:paraId="06F68EB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10" w:hRule="exact"/>
        </w:trPr>
        <w:tc>
          <w:tcPr>
            <w:tcW w:w="738" w:type="dxa"/>
            <w:vMerge w:val="continue"/>
            <w:vAlign w:val="center"/>
          </w:tcPr>
          <w:p w14:paraId="03A26D9E">
            <w:pPr>
              <w:pStyle w:val="122"/>
              <w:spacing w:line="360" w:lineRule="auto"/>
              <w:jc w:val="center"/>
              <w:rPr>
                <w:rFonts w:eastAsia="方正仿宋_GBK"/>
                <w:color w:val="auto"/>
                <w:szCs w:val="21"/>
                <w:highlight w:val="none"/>
              </w:rPr>
            </w:pPr>
          </w:p>
        </w:tc>
        <w:tc>
          <w:tcPr>
            <w:tcW w:w="2070" w:type="dxa"/>
            <w:gridSpan w:val="2"/>
            <w:vAlign w:val="center"/>
          </w:tcPr>
          <w:p w14:paraId="5FDE86D1">
            <w:pPr>
              <w:pStyle w:val="122"/>
              <w:spacing w:line="360" w:lineRule="auto"/>
              <w:jc w:val="center"/>
              <w:rPr>
                <w:rFonts w:eastAsia="方正仿宋_GBK"/>
                <w:color w:val="auto"/>
                <w:szCs w:val="21"/>
                <w:highlight w:val="none"/>
              </w:rPr>
            </w:pPr>
            <w:r>
              <w:rPr>
                <w:rFonts w:eastAsia="方正仿宋_GBK"/>
                <w:color w:val="auto"/>
                <w:szCs w:val="21"/>
                <w:highlight w:val="none"/>
              </w:rPr>
              <w:t>现场防火</w:t>
            </w:r>
          </w:p>
        </w:tc>
        <w:tc>
          <w:tcPr>
            <w:tcW w:w="6645" w:type="dxa"/>
            <w:vAlign w:val="center"/>
          </w:tcPr>
          <w:p w14:paraId="39FF8174">
            <w:pPr>
              <w:pStyle w:val="122"/>
              <w:spacing w:line="360" w:lineRule="auto"/>
              <w:rPr>
                <w:rFonts w:eastAsia="方正仿宋_GBK"/>
                <w:color w:val="auto"/>
                <w:szCs w:val="21"/>
                <w:highlight w:val="none"/>
              </w:rPr>
            </w:pPr>
            <w:r>
              <w:rPr>
                <w:rFonts w:eastAsia="方正仿宋_GBK"/>
                <w:color w:val="auto"/>
                <w:szCs w:val="21"/>
                <w:highlight w:val="none"/>
              </w:rPr>
              <w:t>消防器材配置合理，符合消防要求。</w:t>
            </w:r>
          </w:p>
        </w:tc>
      </w:tr>
      <w:tr w14:paraId="5E7AB56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vAlign w:val="center"/>
          </w:tcPr>
          <w:p w14:paraId="6C8FA6AB">
            <w:pPr>
              <w:pStyle w:val="122"/>
              <w:spacing w:line="360" w:lineRule="auto"/>
              <w:jc w:val="center"/>
              <w:rPr>
                <w:rFonts w:eastAsia="方正仿宋_GBK"/>
                <w:color w:val="auto"/>
                <w:szCs w:val="21"/>
                <w:highlight w:val="none"/>
              </w:rPr>
            </w:pPr>
          </w:p>
        </w:tc>
        <w:tc>
          <w:tcPr>
            <w:tcW w:w="2070" w:type="dxa"/>
            <w:gridSpan w:val="2"/>
            <w:vAlign w:val="center"/>
          </w:tcPr>
          <w:p w14:paraId="686927CA">
            <w:pPr>
              <w:pStyle w:val="122"/>
              <w:spacing w:line="360" w:lineRule="auto"/>
              <w:jc w:val="center"/>
              <w:rPr>
                <w:rFonts w:eastAsia="方正仿宋_GBK"/>
                <w:color w:val="auto"/>
                <w:szCs w:val="21"/>
                <w:highlight w:val="none"/>
              </w:rPr>
            </w:pPr>
            <w:r>
              <w:rPr>
                <w:rFonts w:eastAsia="方正仿宋_GBK"/>
                <w:color w:val="auto"/>
                <w:szCs w:val="21"/>
                <w:highlight w:val="none"/>
              </w:rPr>
              <w:t>垃圾清运</w:t>
            </w:r>
          </w:p>
        </w:tc>
        <w:tc>
          <w:tcPr>
            <w:tcW w:w="6645" w:type="dxa"/>
            <w:vAlign w:val="center"/>
          </w:tcPr>
          <w:p w14:paraId="1B1BAAA4">
            <w:pPr>
              <w:pStyle w:val="122"/>
              <w:spacing w:line="360" w:lineRule="auto"/>
              <w:rPr>
                <w:rFonts w:eastAsia="方正仿宋_GBK"/>
                <w:color w:val="auto"/>
                <w:szCs w:val="21"/>
                <w:highlight w:val="none"/>
              </w:rPr>
            </w:pPr>
            <w:r>
              <w:rPr>
                <w:rFonts w:eastAsia="方正仿宋_GBK"/>
                <w:color w:val="auto"/>
                <w:szCs w:val="21"/>
                <w:highlight w:val="none"/>
              </w:rPr>
              <w:t>1. 施工现场应设置密闭式垃圾站，施工垃圾、生活垃圾应分类存放。</w:t>
            </w:r>
          </w:p>
          <w:p w14:paraId="17AF2E44">
            <w:pPr>
              <w:pStyle w:val="122"/>
              <w:spacing w:line="360" w:lineRule="auto"/>
              <w:rPr>
                <w:rFonts w:eastAsia="方正仿宋_GBK"/>
                <w:color w:val="auto"/>
                <w:szCs w:val="21"/>
                <w:highlight w:val="none"/>
              </w:rPr>
            </w:pPr>
            <w:r>
              <w:rPr>
                <w:rFonts w:eastAsia="方正仿宋_GBK"/>
                <w:color w:val="auto"/>
                <w:szCs w:val="21"/>
                <w:highlight w:val="none"/>
              </w:rPr>
              <w:t>2. 施工垃圾必须采用相应容器或管道运输。</w:t>
            </w:r>
          </w:p>
        </w:tc>
      </w:tr>
      <w:tr w14:paraId="499856B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vAlign w:val="center"/>
          </w:tcPr>
          <w:p w14:paraId="32A0B750">
            <w:pPr>
              <w:pStyle w:val="122"/>
              <w:spacing w:line="360" w:lineRule="auto"/>
              <w:jc w:val="center"/>
              <w:rPr>
                <w:rFonts w:eastAsia="方正仿宋_GBK"/>
                <w:color w:val="auto"/>
                <w:szCs w:val="21"/>
                <w:highlight w:val="none"/>
              </w:rPr>
            </w:pPr>
          </w:p>
        </w:tc>
        <w:tc>
          <w:tcPr>
            <w:tcW w:w="2070" w:type="dxa"/>
            <w:gridSpan w:val="2"/>
            <w:vAlign w:val="center"/>
          </w:tcPr>
          <w:p w14:paraId="6B0E6D39">
            <w:pPr>
              <w:pStyle w:val="122"/>
              <w:spacing w:line="360" w:lineRule="auto"/>
              <w:rPr>
                <w:rFonts w:eastAsia="方正仿宋_GBK"/>
                <w:color w:val="auto"/>
                <w:szCs w:val="21"/>
                <w:highlight w:val="none"/>
              </w:rPr>
            </w:pPr>
            <w:r>
              <w:rPr>
                <w:rFonts w:eastAsia="方正仿宋_GBK"/>
                <w:color w:val="auto"/>
                <w:szCs w:val="21"/>
                <w:highlight w:val="none"/>
              </w:rPr>
              <w:t>宣传栏、环保及不扰民措施</w:t>
            </w:r>
          </w:p>
        </w:tc>
        <w:tc>
          <w:tcPr>
            <w:tcW w:w="6645" w:type="dxa"/>
            <w:vAlign w:val="center"/>
          </w:tcPr>
          <w:p w14:paraId="44356D7F">
            <w:pPr>
              <w:pStyle w:val="122"/>
              <w:spacing w:line="360" w:lineRule="auto"/>
              <w:rPr>
                <w:rFonts w:eastAsia="方正仿宋_GBK"/>
                <w:color w:val="auto"/>
                <w:szCs w:val="21"/>
                <w:highlight w:val="none"/>
              </w:rPr>
            </w:pPr>
            <w:r>
              <w:rPr>
                <w:rFonts w:eastAsia="方正仿宋_GBK"/>
                <w:color w:val="auto"/>
                <w:szCs w:val="21"/>
                <w:highlight w:val="none"/>
              </w:rPr>
              <w:t>宣传栏、安全宣传标语等，洗车（防止污染市区道路）、粉尘、噪声控制和排污（污水、废气）措施等。</w:t>
            </w:r>
          </w:p>
        </w:tc>
      </w:tr>
      <w:tr w14:paraId="4481564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restart"/>
            <w:vAlign w:val="center"/>
          </w:tcPr>
          <w:p w14:paraId="09BD0B38">
            <w:pPr>
              <w:pStyle w:val="122"/>
              <w:spacing w:line="360" w:lineRule="auto"/>
              <w:jc w:val="center"/>
              <w:rPr>
                <w:rFonts w:eastAsia="方正仿宋_GBK"/>
                <w:color w:val="auto"/>
                <w:szCs w:val="21"/>
                <w:highlight w:val="none"/>
              </w:rPr>
            </w:pPr>
            <w:r>
              <w:rPr>
                <w:rFonts w:eastAsia="方正仿宋_GBK"/>
                <w:color w:val="auto"/>
                <w:szCs w:val="21"/>
                <w:highlight w:val="none"/>
              </w:rPr>
              <w:t>临时设施</w:t>
            </w:r>
          </w:p>
        </w:tc>
        <w:tc>
          <w:tcPr>
            <w:tcW w:w="2070" w:type="dxa"/>
            <w:gridSpan w:val="2"/>
            <w:vAlign w:val="center"/>
          </w:tcPr>
          <w:p w14:paraId="7E09BB6C">
            <w:pPr>
              <w:pStyle w:val="122"/>
              <w:spacing w:line="360" w:lineRule="auto"/>
              <w:jc w:val="center"/>
              <w:rPr>
                <w:rFonts w:eastAsia="方正仿宋_GBK"/>
                <w:color w:val="auto"/>
                <w:szCs w:val="21"/>
                <w:highlight w:val="none"/>
              </w:rPr>
            </w:pPr>
            <w:r>
              <w:rPr>
                <w:rFonts w:eastAsia="方正仿宋_GBK"/>
                <w:color w:val="auto"/>
                <w:szCs w:val="21"/>
                <w:highlight w:val="none"/>
              </w:rPr>
              <w:t>现场办公</w:t>
            </w:r>
          </w:p>
          <w:p w14:paraId="0FEB7A72">
            <w:pPr>
              <w:pStyle w:val="122"/>
              <w:spacing w:line="360" w:lineRule="auto"/>
              <w:jc w:val="center"/>
              <w:rPr>
                <w:rFonts w:eastAsia="方正仿宋_GBK"/>
                <w:color w:val="auto"/>
                <w:szCs w:val="21"/>
                <w:highlight w:val="none"/>
              </w:rPr>
            </w:pPr>
            <w:r>
              <w:rPr>
                <w:rFonts w:eastAsia="方正仿宋_GBK"/>
                <w:color w:val="auto"/>
                <w:szCs w:val="21"/>
                <w:highlight w:val="none"/>
              </w:rPr>
              <w:t>生活设施</w:t>
            </w:r>
          </w:p>
        </w:tc>
        <w:tc>
          <w:tcPr>
            <w:tcW w:w="6645" w:type="dxa"/>
            <w:vAlign w:val="center"/>
          </w:tcPr>
          <w:p w14:paraId="41CA23FA">
            <w:pPr>
              <w:pStyle w:val="122"/>
              <w:spacing w:line="360" w:lineRule="auto"/>
              <w:rPr>
                <w:rFonts w:eastAsia="方正仿宋_GBK"/>
                <w:color w:val="auto"/>
                <w:szCs w:val="21"/>
                <w:highlight w:val="none"/>
              </w:rPr>
            </w:pPr>
            <w:r>
              <w:rPr>
                <w:rFonts w:eastAsia="方正仿宋_GBK"/>
                <w:color w:val="auto"/>
                <w:szCs w:val="21"/>
                <w:highlight w:val="none"/>
              </w:rPr>
              <w:t>1. 施工现场办公、生活区与作业区分开设置，保持安全距离。</w:t>
            </w:r>
          </w:p>
          <w:p w14:paraId="5C286A1D">
            <w:pPr>
              <w:pStyle w:val="122"/>
              <w:spacing w:line="360" w:lineRule="auto"/>
              <w:rPr>
                <w:rFonts w:eastAsia="方正仿宋_GBK"/>
                <w:color w:val="auto"/>
                <w:szCs w:val="21"/>
                <w:highlight w:val="none"/>
              </w:rPr>
            </w:pPr>
            <w:r>
              <w:rPr>
                <w:rFonts w:eastAsia="方正仿宋_GBK"/>
                <w:color w:val="auto"/>
                <w:szCs w:val="21"/>
                <w:highlight w:val="none"/>
              </w:rPr>
              <w:t>2. 工地办公室、现场宿舍、食堂、厕所、饮水、沐浴、休息场所等符合卫生、消防安全要求。</w:t>
            </w:r>
          </w:p>
        </w:tc>
      </w:tr>
      <w:tr w14:paraId="262B9FC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vAlign w:val="center"/>
          </w:tcPr>
          <w:p w14:paraId="3F9A3792">
            <w:pPr>
              <w:pStyle w:val="122"/>
              <w:spacing w:line="360" w:lineRule="auto"/>
              <w:jc w:val="center"/>
              <w:rPr>
                <w:rFonts w:eastAsia="方正仿宋_GBK"/>
                <w:color w:val="auto"/>
                <w:szCs w:val="21"/>
                <w:highlight w:val="none"/>
              </w:rPr>
            </w:pPr>
          </w:p>
        </w:tc>
        <w:tc>
          <w:tcPr>
            <w:tcW w:w="525" w:type="dxa"/>
            <w:vMerge w:val="restart"/>
            <w:vAlign w:val="center"/>
          </w:tcPr>
          <w:p w14:paraId="6A609BED">
            <w:pPr>
              <w:pStyle w:val="122"/>
              <w:spacing w:line="360" w:lineRule="auto"/>
              <w:jc w:val="center"/>
              <w:rPr>
                <w:rFonts w:eastAsia="方正仿宋_GBK"/>
                <w:color w:val="auto"/>
                <w:szCs w:val="21"/>
                <w:highlight w:val="none"/>
              </w:rPr>
            </w:pPr>
            <w:r>
              <w:rPr>
                <w:rFonts w:eastAsia="方正仿宋_GBK"/>
                <w:color w:val="auto"/>
                <w:szCs w:val="21"/>
                <w:highlight w:val="none"/>
              </w:rPr>
              <w:t>施工现场</w:t>
            </w:r>
          </w:p>
          <w:p w14:paraId="43206243">
            <w:pPr>
              <w:pStyle w:val="122"/>
              <w:spacing w:line="360" w:lineRule="auto"/>
              <w:jc w:val="center"/>
              <w:rPr>
                <w:rFonts w:eastAsia="方正仿宋_GBK"/>
                <w:color w:val="auto"/>
                <w:szCs w:val="21"/>
                <w:highlight w:val="none"/>
              </w:rPr>
            </w:pPr>
            <w:r>
              <w:rPr>
                <w:rFonts w:eastAsia="方正仿宋_GBK"/>
                <w:color w:val="auto"/>
                <w:szCs w:val="21"/>
                <w:highlight w:val="none"/>
              </w:rPr>
              <w:t>临时用电</w:t>
            </w:r>
          </w:p>
        </w:tc>
        <w:tc>
          <w:tcPr>
            <w:tcW w:w="1545" w:type="dxa"/>
            <w:vAlign w:val="center"/>
          </w:tcPr>
          <w:p w14:paraId="4AB28886">
            <w:pPr>
              <w:pStyle w:val="122"/>
              <w:spacing w:line="360" w:lineRule="auto"/>
              <w:jc w:val="center"/>
              <w:rPr>
                <w:rFonts w:eastAsia="方正仿宋_GBK"/>
                <w:color w:val="auto"/>
                <w:szCs w:val="21"/>
                <w:highlight w:val="none"/>
              </w:rPr>
            </w:pPr>
            <w:r>
              <w:rPr>
                <w:rFonts w:eastAsia="方正仿宋_GBK"/>
                <w:color w:val="auto"/>
                <w:szCs w:val="21"/>
                <w:highlight w:val="none"/>
              </w:rPr>
              <w:t>配电线路</w:t>
            </w:r>
          </w:p>
        </w:tc>
        <w:tc>
          <w:tcPr>
            <w:tcW w:w="6645" w:type="dxa"/>
            <w:vAlign w:val="center"/>
          </w:tcPr>
          <w:p w14:paraId="2DC21B5D">
            <w:pPr>
              <w:pStyle w:val="122"/>
              <w:spacing w:line="360" w:lineRule="auto"/>
              <w:rPr>
                <w:rFonts w:eastAsia="方正仿宋_GBK"/>
                <w:color w:val="auto"/>
                <w:szCs w:val="21"/>
                <w:highlight w:val="none"/>
              </w:rPr>
            </w:pPr>
            <w:r>
              <w:rPr>
                <w:rFonts w:eastAsia="方正仿宋_GBK"/>
                <w:color w:val="auto"/>
                <w:szCs w:val="21"/>
                <w:highlight w:val="none"/>
              </w:rPr>
              <w:t>1. 按照TN-S系统要求配备五芯电缆、四芯电缆和三芯电缆。</w:t>
            </w:r>
          </w:p>
          <w:p w14:paraId="6DF4130F">
            <w:pPr>
              <w:pStyle w:val="122"/>
              <w:spacing w:line="360" w:lineRule="auto"/>
              <w:rPr>
                <w:rFonts w:eastAsia="方正仿宋_GBK"/>
                <w:color w:val="auto"/>
                <w:szCs w:val="21"/>
                <w:highlight w:val="none"/>
              </w:rPr>
            </w:pPr>
            <w:r>
              <w:rPr>
                <w:rFonts w:eastAsia="方正仿宋_GBK"/>
                <w:color w:val="auto"/>
                <w:szCs w:val="21"/>
                <w:highlight w:val="none"/>
              </w:rPr>
              <w:t>2. 按要求架设临时用电线路的电杆、横担、瓷夹、瓷瓶等，或电缆埋地的地沟。</w:t>
            </w:r>
          </w:p>
          <w:p w14:paraId="32732483">
            <w:pPr>
              <w:pStyle w:val="122"/>
              <w:spacing w:line="360" w:lineRule="auto"/>
              <w:rPr>
                <w:rFonts w:eastAsia="方正仿宋_GBK"/>
                <w:color w:val="auto"/>
                <w:szCs w:val="21"/>
                <w:highlight w:val="none"/>
              </w:rPr>
            </w:pPr>
            <w:r>
              <w:rPr>
                <w:rFonts w:eastAsia="方正仿宋_GBK"/>
                <w:color w:val="auto"/>
                <w:szCs w:val="21"/>
                <w:highlight w:val="none"/>
              </w:rPr>
              <w:t>3. 对靠近施工现场的外电线路，设置木质、塑料等绝缘体的防护设施。</w:t>
            </w:r>
          </w:p>
        </w:tc>
      </w:tr>
      <w:tr w14:paraId="5B02029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vAlign w:val="center"/>
          </w:tcPr>
          <w:p w14:paraId="3178510F">
            <w:pPr>
              <w:pStyle w:val="122"/>
              <w:spacing w:line="360" w:lineRule="auto"/>
              <w:jc w:val="center"/>
              <w:rPr>
                <w:rFonts w:eastAsia="方正仿宋_GBK"/>
                <w:color w:val="auto"/>
                <w:szCs w:val="21"/>
                <w:highlight w:val="none"/>
              </w:rPr>
            </w:pPr>
          </w:p>
        </w:tc>
        <w:tc>
          <w:tcPr>
            <w:tcW w:w="525" w:type="dxa"/>
            <w:vMerge w:val="continue"/>
            <w:vAlign w:val="center"/>
          </w:tcPr>
          <w:p w14:paraId="0818567C">
            <w:pPr>
              <w:pStyle w:val="122"/>
              <w:spacing w:line="360" w:lineRule="auto"/>
              <w:jc w:val="center"/>
              <w:rPr>
                <w:rFonts w:eastAsia="方正仿宋_GBK"/>
                <w:color w:val="auto"/>
                <w:szCs w:val="21"/>
                <w:highlight w:val="none"/>
              </w:rPr>
            </w:pPr>
          </w:p>
        </w:tc>
        <w:tc>
          <w:tcPr>
            <w:tcW w:w="1545" w:type="dxa"/>
            <w:vAlign w:val="center"/>
          </w:tcPr>
          <w:p w14:paraId="548D2F92">
            <w:pPr>
              <w:pStyle w:val="122"/>
              <w:spacing w:line="360" w:lineRule="auto"/>
              <w:jc w:val="center"/>
              <w:rPr>
                <w:rFonts w:eastAsia="方正仿宋_GBK"/>
                <w:color w:val="auto"/>
                <w:szCs w:val="21"/>
                <w:highlight w:val="none"/>
              </w:rPr>
            </w:pPr>
            <w:r>
              <w:rPr>
                <w:rFonts w:eastAsia="方正仿宋_GBK"/>
                <w:color w:val="auto"/>
                <w:szCs w:val="21"/>
                <w:highlight w:val="none"/>
              </w:rPr>
              <w:t>配电箱</w:t>
            </w:r>
          </w:p>
          <w:p w14:paraId="235C7868">
            <w:pPr>
              <w:pStyle w:val="122"/>
              <w:spacing w:line="360" w:lineRule="auto"/>
              <w:jc w:val="center"/>
              <w:rPr>
                <w:rFonts w:eastAsia="方正仿宋_GBK"/>
                <w:color w:val="auto"/>
                <w:szCs w:val="21"/>
                <w:highlight w:val="none"/>
              </w:rPr>
            </w:pPr>
            <w:r>
              <w:rPr>
                <w:rFonts w:eastAsia="方正仿宋_GBK"/>
                <w:color w:val="auto"/>
                <w:szCs w:val="21"/>
                <w:highlight w:val="none"/>
              </w:rPr>
              <w:t>开关箱</w:t>
            </w:r>
          </w:p>
        </w:tc>
        <w:tc>
          <w:tcPr>
            <w:tcW w:w="6645" w:type="dxa"/>
            <w:vAlign w:val="center"/>
          </w:tcPr>
          <w:p w14:paraId="6DF47DD1">
            <w:pPr>
              <w:pStyle w:val="122"/>
              <w:spacing w:line="360" w:lineRule="auto"/>
              <w:rPr>
                <w:rFonts w:eastAsia="方正仿宋_GBK"/>
                <w:color w:val="auto"/>
                <w:szCs w:val="21"/>
                <w:highlight w:val="none"/>
              </w:rPr>
            </w:pPr>
            <w:r>
              <w:rPr>
                <w:rFonts w:eastAsia="方正仿宋_GBK"/>
                <w:color w:val="auto"/>
                <w:szCs w:val="21"/>
                <w:highlight w:val="none"/>
              </w:rPr>
              <w:t>1. 按三级配电要求，配备总配电箱、分配电箱、开关箱三类（铁质）标准电箱，开关箱应符合“一机、一箱、一闸、一漏”，三类电箱中的各类电器应是合格品。</w:t>
            </w:r>
          </w:p>
          <w:p w14:paraId="05FF0B6F">
            <w:pPr>
              <w:pStyle w:val="122"/>
              <w:spacing w:line="360" w:lineRule="auto"/>
              <w:rPr>
                <w:rFonts w:eastAsia="方正仿宋_GBK"/>
                <w:color w:val="auto"/>
                <w:szCs w:val="21"/>
                <w:highlight w:val="none"/>
              </w:rPr>
            </w:pPr>
            <w:r>
              <w:rPr>
                <w:rFonts w:eastAsia="方正仿宋_GBK"/>
                <w:color w:val="auto"/>
                <w:szCs w:val="21"/>
                <w:highlight w:val="none"/>
              </w:rPr>
              <w:t>2. 按两级保护的要求，选取符合容量要求和质量合格的总配电箱和开关箱中的漏电保护器。</w:t>
            </w:r>
          </w:p>
          <w:p w14:paraId="17A30C98">
            <w:pPr>
              <w:pStyle w:val="122"/>
              <w:spacing w:line="360" w:lineRule="auto"/>
              <w:rPr>
                <w:rFonts w:eastAsia="方正仿宋_GBK"/>
                <w:color w:val="auto"/>
                <w:szCs w:val="21"/>
                <w:highlight w:val="none"/>
              </w:rPr>
            </w:pPr>
            <w:r>
              <w:rPr>
                <w:rFonts w:eastAsia="方正仿宋_GBK"/>
                <w:color w:val="auto"/>
                <w:szCs w:val="21"/>
                <w:highlight w:val="none"/>
              </w:rPr>
              <w:t>3. 对大型、落地式分配电箱、开关箱设置防护棚和通透式围挡。</w:t>
            </w:r>
          </w:p>
        </w:tc>
      </w:tr>
      <w:tr w14:paraId="5D7BAA9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75" w:hRule="atLeast"/>
        </w:trPr>
        <w:tc>
          <w:tcPr>
            <w:tcW w:w="738" w:type="dxa"/>
            <w:vMerge w:val="continue"/>
            <w:vAlign w:val="center"/>
          </w:tcPr>
          <w:p w14:paraId="728B762B">
            <w:pPr>
              <w:pStyle w:val="122"/>
              <w:spacing w:line="360" w:lineRule="auto"/>
              <w:jc w:val="center"/>
              <w:rPr>
                <w:rFonts w:eastAsia="方正仿宋_GBK"/>
                <w:color w:val="auto"/>
                <w:szCs w:val="21"/>
                <w:highlight w:val="none"/>
              </w:rPr>
            </w:pPr>
          </w:p>
        </w:tc>
        <w:tc>
          <w:tcPr>
            <w:tcW w:w="525" w:type="dxa"/>
            <w:vMerge w:val="continue"/>
            <w:vAlign w:val="center"/>
          </w:tcPr>
          <w:p w14:paraId="3E27B9D7">
            <w:pPr>
              <w:pStyle w:val="122"/>
              <w:spacing w:line="360" w:lineRule="auto"/>
              <w:jc w:val="center"/>
              <w:rPr>
                <w:rFonts w:eastAsia="方正仿宋_GBK"/>
                <w:color w:val="auto"/>
                <w:szCs w:val="21"/>
                <w:highlight w:val="none"/>
              </w:rPr>
            </w:pPr>
          </w:p>
        </w:tc>
        <w:tc>
          <w:tcPr>
            <w:tcW w:w="1545" w:type="dxa"/>
            <w:vAlign w:val="center"/>
          </w:tcPr>
          <w:p w14:paraId="1D202A80">
            <w:pPr>
              <w:pStyle w:val="122"/>
              <w:spacing w:line="360" w:lineRule="auto"/>
              <w:jc w:val="center"/>
              <w:rPr>
                <w:rFonts w:eastAsia="方正仿宋_GBK"/>
                <w:color w:val="auto"/>
                <w:szCs w:val="21"/>
                <w:highlight w:val="none"/>
              </w:rPr>
            </w:pPr>
            <w:r>
              <w:rPr>
                <w:rFonts w:eastAsia="方正仿宋_GBK"/>
                <w:color w:val="auto"/>
                <w:szCs w:val="21"/>
                <w:highlight w:val="none"/>
              </w:rPr>
              <w:t>接地装置</w:t>
            </w:r>
          </w:p>
        </w:tc>
        <w:tc>
          <w:tcPr>
            <w:tcW w:w="6645" w:type="dxa"/>
            <w:vAlign w:val="center"/>
          </w:tcPr>
          <w:p w14:paraId="632C7401">
            <w:pPr>
              <w:pStyle w:val="122"/>
              <w:spacing w:line="360" w:lineRule="auto"/>
              <w:rPr>
                <w:rFonts w:eastAsia="方正仿宋_GBK"/>
                <w:color w:val="auto"/>
                <w:szCs w:val="21"/>
                <w:highlight w:val="none"/>
              </w:rPr>
            </w:pPr>
            <w:r>
              <w:rPr>
                <w:rFonts w:eastAsia="方正仿宋_GBK"/>
                <w:color w:val="auto"/>
                <w:szCs w:val="21"/>
                <w:highlight w:val="none"/>
              </w:rPr>
              <w:t>施工现场应设置不少于三处的重复接地装置。</w:t>
            </w:r>
          </w:p>
        </w:tc>
      </w:tr>
      <w:tr w14:paraId="13EBA2F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916" w:hRule="atLeast"/>
        </w:trPr>
        <w:tc>
          <w:tcPr>
            <w:tcW w:w="738" w:type="dxa"/>
            <w:vMerge w:val="continue"/>
            <w:vAlign w:val="center"/>
          </w:tcPr>
          <w:p w14:paraId="3574D916">
            <w:pPr>
              <w:pStyle w:val="122"/>
              <w:spacing w:line="360" w:lineRule="auto"/>
              <w:jc w:val="center"/>
              <w:rPr>
                <w:rFonts w:eastAsia="方正仿宋_GBK"/>
                <w:color w:val="auto"/>
                <w:szCs w:val="21"/>
                <w:highlight w:val="none"/>
              </w:rPr>
            </w:pPr>
          </w:p>
        </w:tc>
        <w:tc>
          <w:tcPr>
            <w:tcW w:w="525" w:type="dxa"/>
            <w:vMerge w:val="continue"/>
            <w:vAlign w:val="center"/>
          </w:tcPr>
          <w:p w14:paraId="75E12430">
            <w:pPr>
              <w:pStyle w:val="122"/>
              <w:spacing w:line="360" w:lineRule="auto"/>
              <w:jc w:val="center"/>
              <w:rPr>
                <w:rFonts w:eastAsia="方正仿宋_GBK"/>
                <w:color w:val="auto"/>
                <w:szCs w:val="21"/>
                <w:highlight w:val="none"/>
              </w:rPr>
            </w:pPr>
          </w:p>
        </w:tc>
        <w:tc>
          <w:tcPr>
            <w:tcW w:w="1545" w:type="dxa"/>
            <w:vAlign w:val="center"/>
          </w:tcPr>
          <w:p w14:paraId="60E26D8B">
            <w:pPr>
              <w:pStyle w:val="122"/>
              <w:spacing w:line="360" w:lineRule="auto"/>
              <w:jc w:val="center"/>
              <w:rPr>
                <w:rFonts w:eastAsia="方正仿宋_GBK"/>
                <w:color w:val="auto"/>
                <w:szCs w:val="21"/>
                <w:highlight w:val="none"/>
              </w:rPr>
            </w:pPr>
            <w:r>
              <w:rPr>
                <w:rFonts w:eastAsia="方正仿宋_GBK"/>
                <w:color w:val="auto"/>
                <w:szCs w:val="21"/>
                <w:highlight w:val="none"/>
              </w:rPr>
              <w:t>现场变配电装置</w:t>
            </w:r>
          </w:p>
        </w:tc>
        <w:tc>
          <w:tcPr>
            <w:tcW w:w="6645" w:type="dxa"/>
            <w:vAlign w:val="center"/>
          </w:tcPr>
          <w:p w14:paraId="2354A8C3">
            <w:pPr>
              <w:pStyle w:val="122"/>
              <w:spacing w:line="360" w:lineRule="auto"/>
              <w:rPr>
                <w:rFonts w:eastAsia="方正仿宋_GBK"/>
                <w:color w:val="auto"/>
                <w:szCs w:val="21"/>
                <w:highlight w:val="none"/>
              </w:rPr>
            </w:pPr>
            <w:r>
              <w:rPr>
                <w:rFonts w:eastAsia="方正仿宋_GBK"/>
                <w:color w:val="auto"/>
                <w:szCs w:val="21"/>
                <w:highlight w:val="none"/>
              </w:rPr>
              <w:t>总配电房建筑材料必须达到消防防火要求，室内做硬地坪、电缆沟。</w:t>
            </w:r>
          </w:p>
        </w:tc>
      </w:tr>
      <w:tr w14:paraId="49F5137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66" w:hRule="atLeast"/>
        </w:trPr>
        <w:tc>
          <w:tcPr>
            <w:tcW w:w="738" w:type="dxa"/>
            <w:vAlign w:val="center"/>
          </w:tcPr>
          <w:p w14:paraId="7CD3AB51">
            <w:pPr>
              <w:pStyle w:val="122"/>
              <w:spacing w:line="360" w:lineRule="auto"/>
              <w:jc w:val="center"/>
              <w:rPr>
                <w:rFonts w:eastAsia="方正仿宋_GBK"/>
                <w:b/>
                <w:bCs/>
                <w:color w:val="auto"/>
                <w:szCs w:val="21"/>
                <w:highlight w:val="none"/>
              </w:rPr>
            </w:pPr>
            <w:r>
              <w:rPr>
                <w:rFonts w:eastAsia="方正仿宋_GBK"/>
                <w:b/>
                <w:bCs/>
                <w:color w:val="auto"/>
                <w:szCs w:val="21"/>
                <w:highlight w:val="none"/>
              </w:rPr>
              <w:t>类别</w:t>
            </w:r>
          </w:p>
        </w:tc>
        <w:tc>
          <w:tcPr>
            <w:tcW w:w="2070" w:type="dxa"/>
            <w:gridSpan w:val="2"/>
            <w:vAlign w:val="center"/>
          </w:tcPr>
          <w:p w14:paraId="54B7367B">
            <w:pPr>
              <w:pStyle w:val="122"/>
              <w:spacing w:line="360" w:lineRule="auto"/>
              <w:jc w:val="center"/>
              <w:rPr>
                <w:rFonts w:eastAsia="方正仿宋_GBK"/>
                <w:b/>
                <w:bCs/>
                <w:color w:val="auto"/>
                <w:szCs w:val="21"/>
                <w:highlight w:val="none"/>
              </w:rPr>
            </w:pPr>
            <w:r>
              <w:rPr>
                <w:rFonts w:eastAsia="方正仿宋_GBK"/>
                <w:b/>
                <w:bCs/>
                <w:color w:val="auto"/>
                <w:szCs w:val="21"/>
                <w:highlight w:val="none"/>
              </w:rPr>
              <w:t>项目名称</w:t>
            </w:r>
          </w:p>
        </w:tc>
        <w:tc>
          <w:tcPr>
            <w:tcW w:w="6645" w:type="dxa"/>
            <w:vAlign w:val="center"/>
          </w:tcPr>
          <w:p w14:paraId="7DA6A1AC">
            <w:pPr>
              <w:pStyle w:val="122"/>
              <w:spacing w:line="360" w:lineRule="auto"/>
              <w:jc w:val="center"/>
              <w:rPr>
                <w:rFonts w:eastAsia="方正仿宋_GBK"/>
                <w:b/>
                <w:bCs/>
                <w:color w:val="auto"/>
                <w:szCs w:val="21"/>
                <w:highlight w:val="none"/>
              </w:rPr>
            </w:pPr>
            <w:r>
              <w:rPr>
                <w:rFonts w:eastAsia="方正仿宋_GBK"/>
                <w:b/>
                <w:bCs/>
                <w:color w:val="auto"/>
                <w:szCs w:val="21"/>
                <w:highlight w:val="none"/>
              </w:rPr>
              <w:t>主要内容和要求</w:t>
            </w:r>
          </w:p>
        </w:tc>
      </w:tr>
      <w:tr w14:paraId="27AA958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restart"/>
            <w:vAlign w:val="center"/>
          </w:tcPr>
          <w:p w14:paraId="35EB6BC9">
            <w:pPr>
              <w:pStyle w:val="122"/>
              <w:spacing w:line="360" w:lineRule="auto"/>
              <w:jc w:val="center"/>
              <w:rPr>
                <w:rFonts w:eastAsia="方正仿宋_GBK"/>
                <w:color w:val="auto"/>
                <w:szCs w:val="21"/>
                <w:highlight w:val="none"/>
              </w:rPr>
            </w:pPr>
            <w:r>
              <w:rPr>
                <w:rFonts w:eastAsia="方正仿宋_GBK"/>
                <w:color w:val="auto"/>
                <w:szCs w:val="21"/>
                <w:highlight w:val="none"/>
              </w:rPr>
              <w:t>安全施工</w:t>
            </w:r>
          </w:p>
        </w:tc>
        <w:tc>
          <w:tcPr>
            <w:tcW w:w="525" w:type="dxa"/>
            <w:vMerge w:val="restart"/>
            <w:vAlign w:val="center"/>
          </w:tcPr>
          <w:p w14:paraId="226BA3A2">
            <w:pPr>
              <w:pStyle w:val="122"/>
              <w:spacing w:line="360" w:lineRule="auto"/>
              <w:jc w:val="center"/>
              <w:rPr>
                <w:rFonts w:eastAsia="方正仿宋_GBK"/>
                <w:color w:val="auto"/>
                <w:szCs w:val="21"/>
                <w:highlight w:val="none"/>
              </w:rPr>
            </w:pPr>
            <w:r>
              <w:rPr>
                <w:rFonts w:eastAsia="方正仿宋_GBK"/>
                <w:color w:val="auto"/>
                <w:szCs w:val="21"/>
                <w:highlight w:val="none"/>
              </w:rPr>
              <w:t>高处作业防护</w:t>
            </w:r>
          </w:p>
        </w:tc>
        <w:tc>
          <w:tcPr>
            <w:tcW w:w="1545" w:type="dxa"/>
            <w:vAlign w:val="center"/>
          </w:tcPr>
          <w:p w14:paraId="342F8849">
            <w:pPr>
              <w:pStyle w:val="122"/>
              <w:spacing w:line="360" w:lineRule="auto"/>
              <w:rPr>
                <w:rFonts w:eastAsia="方正仿宋_GBK"/>
                <w:color w:val="auto"/>
                <w:szCs w:val="21"/>
                <w:highlight w:val="none"/>
              </w:rPr>
            </w:pPr>
            <w:r>
              <w:rPr>
                <w:rFonts w:eastAsia="方正仿宋_GBK"/>
                <w:color w:val="auto"/>
                <w:szCs w:val="21"/>
                <w:highlight w:val="none"/>
              </w:rPr>
              <w:t>楼层、屋面、阳台等临边</w:t>
            </w:r>
          </w:p>
        </w:tc>
        <w:tc>
          <w:tcPr>
            <w:tcW w:w="6645" w:type="dxa"/>
            <w:vAlign w:val="center"/>
          </w:tcPr>
          <w:p w14:paraId="69C54549">
            <w:pPr>
              <w:pStyle w:val="122"/>
              <w:spacing w:line="360" w:lineRule="auto"/>
              <w:rPr>
                <w:rFonts w:eastAsia="方正仿宋_GBK"/>
                <w:color w:val="auto"/>
                <w:szCs w:val="21"/>
                <w:highlight w:val="none"/>
              </w:rPr>
            </w:pPr>
            <w:r>
              <w:rPr>
                <w:rFonts w:eastAsia="方正仿宋_GBK"/>
                <w:color w:val="auto"/>
                <w:szCs w:val="21"/>
                <w:highlight w:val="none"/>
              </w:rPr>
              <w:t>设两道防护栏杆和18cm高的踢脚板，用密目式安全立网全封闭。</w:t>
            </w:r>
          </w:p>
        </w:tc>
      </w:tr>
      <w:tr w14:paraId="513F2F1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vAlign w:val="center"/>
          </w:tcPr>
          <w:p w14:paraId="13C308FB">
            <w:pPr>
              <w:pStyle w:val="122"/>
              <w:spacing w:line="360" w:lineRule="auto"/>
              <w:jc w:val="center"/>
              <w:rPr>
                <w:rFonts w:eastAsia="方正仿宋_GBK"/>
                <w:color w:val="auto"/>
                <w:szCs w:val="21"/>
                <w:highlight w:val="none"/>
              </w:rPr>
            </w:pPr>
          </w:p>
        </w:tc>
        <w:tc>
          <w:tcPr>
            <w:tcW w:w="525" w:type="dxa"/>
            <w:vMerge w:val="continue"/>
            <w:vAlign w:val="center"/>
          </w:tcPr>
          <w:p w14:paraId="067008BE">
            <w:pPr>
              <w:pStyle w:val="122"/>
              <w:spacing w:line="360" w:lineRule="auto"/>
              <w:jc w:val="center"/>
              <w:rPr>
                <w:rFonts w:eastAsia="方正仿宋_GBK"/>
                <w:color w:val="auto"/>
                <w:szCs w:val="21"/>
                <w:highlight w:val="none"/>
              </w:rPr>
            </w:pPr>
          </w:p>
        </w:tc>
        <w:tc>
          <w:tcPr>
            <w:tcW w:w="1545" w:type="dxa"/>
            <w:vAlign w:val="center"/>
          </w:tcPr>
          <w:p w14:paraId="1E93187F">
            <w:pPr>
              <w:pStyle w:val="122"/>
              <w:spacing w:line="360" w:lineRule="auto"/>
              <w:rPr>
                <w:rFonts w:eastAsia="方正仿宋_GBK"/>
                <w:color w:val="auto"/>
                <w:szCs w:val="21"/>
                <w:highlight w:val="none"/>
              </w:rPr>
            </w:pPr>
            <w:r>
              <w:rPr>
                <w:rFonts w:eastAsia="方正仿宋_GBK"/>
                <w:color w:val="auto"/>
                <w:szCs w:val="21"/>
                <w:highlight w:val="none"/>
              </w:rPr>
              <w:t>通道口</w:t>
            </w:r>
          </w:p>
        </w:tc>
        <w:tc>
          <w:tcPr>
            <w:tcW w:w="6645" w:type="dxa"/>
            <w:vAlign w:val="center"/>
          </w:tcPr>
          <w:p w14:paraId="3F2BCA09">
            <w:pPr>
              <w:pStyle w:val="122"/>
              <w:spacing w:line="360" w:lineRule="auto"/>
              <w:rPr>
                <w:rFonts w:eastAsia="方正仿宋_GBK"/>
                <w:color w:val="auto"/>
                <w:szCs w:val="21"/>
                <w:highlight w:val="none"/>
              </w:rPr>
            </w:pPr>
            <w:r>
              <w:rPr>
                <w:rFonts w:eastAsia="方正仿宋_GBK"/>
                <w:color w:val="auto"/>
                <w:szCs w:val="21"/>
                <w:highlight w:val="none"/>
              </w:rPr>
              <w:t>设防护棚，防护棚应为不小于5cm厚的木板或两道相距50cm的竹笆。两侧应沿栏杆架用密目式安全网封闭。</w:t>
            </w:r>
          </w:p>
        </w:tc>
      </w:tr>
      <w:tr w14:paraId="2D92A0F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vAlign w:val="center"/>
          </w:tcPr>
          <w:p w14:paraId="71FB9F17">
            <w:pPr>
              <w:pStyle w:val="122"/>
              <w:spacing w:line="360" w:lineRule="auto"/>
              <w:jc w:val="center"/>
              <w:rPr>
                <w:rFonts w:eastAsia="方正仿宋_GBK"/>
                <w:color w:val="auto"/>
                <w:szCs w:val="21"/>
                <w:highlight w:val="none"/>
              </w:rPr>
            </w:pPr>
          </w:p>
        </w:tc>
        <w:tc>
          <w:tcPr>
            <w:tcW w:w="525" w:type="dxa"/>
            <w:vMerge w:val="continue"/>
            <w:vAlign w:val="center"/>
          </w:tcPr>
          <w:p w14:paraId="3BC2C200">
            <w:pPr>
              <w:pStyle w:val="122"/>
              <w:spacing w:line="360" w:lineRule="auto"/>
              <w:jc w:val="center"/>
              <w:rPr>
                <w:rFonts w:eastAsia="方正仿宋_GBK"/>
                <w:color w:val="auto"/>
                <w:szCs w:val="21"/>
                <w:highlight w:val="none"/>
              </w:rPr>
            </w:pPr>
          </w:p>
        </w:tc>
        <w:tc>
          <w:tcPr>
            <w:tcW w:w="1545" w:type="dxa"/>
            <w:vAlign w:val="center"/>
          </w:tcPr>
          <w:p w14:paraId="7F390080">
            <w:pPr>
              <w:pStyle w:val="122"/>
              <w:spacing w:line="360" w:lineRule="auto"/>
              <w:rPr>
                <w:rFonts w:eastAsia="方正仿宋_GBK"/>
                <w:color w:val="auto"/>
                <w:szCs w:val="21"/>
                <w:highlight w:val="none"/>
              </w:rPr>
            </w:pPr>
            <w:r>
              <w:rPr>
                <w:rFonts w:eastAsia="方正仿宋_GBK"/>
                <w:color w:val="auto"/>
                <w:szCs w:val="21"/>
                <w:highlight w:val="none"/>
              </w:rPr>
              <w:t>预留洞口</w:t>
            </w:r>
          </w:p>
        </w:tc>
        <w:tc>
          <w:tcPr>
            <w:tcW w:w="6645" w:type="dxa"/>
            <w:vAlign w:val="center"/>
          </w:tcPr>
          <w:p w14:paraId="40F50AFD">
            <w:pPr>
              <w:pStyle w:val="122"/>
              <w:spacing w:line="360" w:lineRule="auto"/>
              <w:rPr>
                <w:rFonts w:eastAsia="方正仿宋_GBK"/>
                <w:color w:val="auto"/>
                <w:szCs w:val="21"/>
                <w:highlight w:val="none"/>
              </w:rPr>
            </w:pPr>
            <w:r>
              <w:rPr>
                <w:rFonts w:eastAsia="方正仿宋_GBK"/>
                <w:color w:val="auto"/>
                <w:szCs w:val="21"/>
                <w:highlight w:val="none"/>
              </w:rPr>
              <w:t>用硬质材料全封闭，短边超过1.5m长的洞口，除封闭外四周还应设有防护栏杆。</w:t>
            </w:r>
          </w:p>
        </w:tc>
      </w:tr>
      <w:tr w14:paraId="27A11C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05" w:hRule="atLeast"/>
        </w:trPr>
        <w:tc>
          <w:tcPr>
            <w:tcW w:w="738" w:type="dxa"/>
            <w:vMerge w:val="continue"/>
            <w:vAlign w:val="center"/>
          </w:tcPr>
          <w:p w14:paraId="6C5266C9">
            <w:pPr>
              <w:pStyle w:val="122"/>
              <w:spacing w:line="360" w:lineRule="auto"/>
              <w:jc w:val="center"/>
              <w:rPr>
                <w:rFonts w:eastAsia="方正仿宋_GBK"/>
                <w:color w:val="auto"/>
                <w:szCs w:val="21"/>
                <w:highlight w:val="none"/>
              </w:rPr>
            </w:pPr>
          </w:p>
        </w:tc>
        <w:tc>
          <w:tcPr>
            <w:tcW w:w="525" w:type="dxa"/>
            <w:vMerge w:val="continue"/>
            <w:vAlign w:val="center"/>
          </w:tcPr>
          <w:p w14:paraId="0CED320D">
            <w:pPr>
              <w:pStyle w:val="122"/>
              <w:spacing w:line="360" w:lineRule="auto"/>
              <w:jc w:val="center"/>
              <w:rPr>
                <w:rFonts w:eastAsia="方正仿宋_GBK"/>
                <w:color w:val="auto"/>
                <w:szCs w:val="21"/>
                <w:highlight w:val="none"/>
              </w:rPr>
            </w:pPr>
          </w:p>
        </w:tc>
        <w:tc>
          <w:tcPr>
            <w:tcW w:w="1545" w:type="dxa"/>
            <w:vAlign w:val="center"/>
          </w:tcPr>
          <w:p w14:paraId="40F46FF9">
            <w:pPr>
              <w:pStyle w:val="122"/>
              <w:spacing w:line="360" w:lineRule="auto"/>
              <w:rPr>
                <w:rFonts w:eastAsia="方正仿宋_GBK"/>
                <w:color w:val="auto"/>
                <w:szCs w:val="21"/>
                <w:highlight w:val="none"/>
              </w:rPr>
            </w:pPr>
            <w:r>
              <w:rPr>
                <w:rFonts w:eastAsia="方正仿宋_GBK"/>
                <w:color w:val="auto"/>
                <w:szCs w:val="21"/>
                <w:highlight w:val="none"/>
              </w:rPr>
              <w:t>电梯井口</w:t>
            </w:r>
          </w:p>
        </w:tc>
        <w:tc>
          <w:tcPr>
            <w:tcW w:w="6645" w:type="dxa"/>
            <w:vAlign w:val="center"/>
          </w:tcPr>
          <w:p w14:paraId="77CBA4EE">
            <w:pPr>
              <w:pStyle w:val="122"/>
              <w:spacing w:line="360" w:lineRule="auto"/>
              <w:rPr>
                <w:rFonts w:eastAsia="方正仿宋_GBK"/>
                <w:color w:val="auto"/>
                <w:szCs w:val="21"/>
                <w:highlight w:val="none"/>
              </w:rPr>
            </w:pPr>
            <w:r>
              <w:rPr>
                <w:rFonts w:eastAsia="方正仿宋_GBK"/>
                <w:color w:val="auto"/>
                <w:szCs w:val="21"/>
                <w:highlight w:val="none"/>
              </w:rPr>
              <w:t>设置定型化、工具化的防护门，在电梯井内每隔2层（不大于10m）设置一道水平防护。</w:t>
            </w:r>
          </w:p>
        </w:tc>
      </w:tr>
      <w:tr w14:paraId="24705C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vAlign w:val="center"/>
          </w:tcPr>
          <w:p w14:paraId="0E0806EF">
            <w:pPr>
              <w:pStyle w:val="122"/>
              <w:spacing w:line="360" w:lineRule="auto"/>
              <w:jc w:val="center"/>
              <w:rPr>
                <w:rFonts w:eastAsia="方正仿宋_GBK"/>
                <w:color w:val="auto"/>
                <w:szCs w:val="21"/>
                <w:highlight w:val="none"/>
              </w:rPr>
            </w:pPr>
          </w:p>
        </w:tc>
        <w:tc>
          <w:tcPr>
            <w:tcW w:w="525" w:type="dxa"/>
            <w:vMerge w:val="continue"/>
            <w:vAlign w:val="center"/>
          </w:tcPr>
          <w:p w14:paraId="3C7FB2D1">
            <w:pPr>
              <w:pStyle w:val="122"/>
              <w:spacing w:line="360" w:lineRule="auto"/>
              <w:jc w:val="center"/>
              <w:rPr>
                <w:rFonts w:eastAsia="方正仿宋_GBK"/>
                <w:color w:val="auto"/>
                <w:szCs w:val="21"/>
                <w:highlight w:val="none"/>
              </w:rPr>
            </w:pPr>
          </w:p>
        </w:tc>
        <w:tc>
          <w:tcPr>
            <w:tcW w:w="1545" w:type="dxa"/>
            <w:vAlign w:val="center"/>
          </w:tcPr>
          <w:p w14:paraId="22198429">
            <w:pPr>
              <w:pStyle w:val="122"/>
              <w:spacing w:line="360" w:lineRule="auto"/>
              <w:rPr>
                <w:rFonts w:eastAsia="方正仿宋_GBK"/>
                <w:color w:val="auto"/>
                <w:szCs w:val="21"/>
                <w:highlight w:val="none"/>
              </w:rPr>
            </w:pPr>
            <w:r>
              <w:rPr>
                <w:rFonts w:eastAsia="方正仿宋_GBK"/>
                <w:color w:val="auto"/>
                <w:szCs w:val="21"/>
                <w:highlight w:val="none"/>
              </w:rPr>
              <w:t>楼梯边</w:t>
            </w:r>
          </w:p>
        </w:tc>
        <w:tc>
          <w:tcPr>
            <w:tcW w:w="6645" w:type="dxa"/>
            <w:vAlign w:val="center"/>
          </w:tcPr>
          <w:p w14:paraId="5C22185F">
            <w:pPr>
              <w:pStyle w:val="122"/>
              <w:spacing w:line="360" w:lineRule="auto"/>
              <w:rPr>
                <w:rFonts w:eastAsia="方正仿宋_GBK"/>
                <w:color w:val="auto"/>
                <w:szCs w:val="21"/>
                <w:highlight w:val="none"/>
              </w:rPr>
            </w:pPr>
            <w:r>
              <w:rPr>
                <w:rFonts w:eastAsia="方正仿宋_GBK"/>
                <w:color w:val="auto"/>
                <w:szCs w:val="21"/>
                <w:highlight w:val="none"/>
              </w:rPr>
              <w:t>设1.2m高的定型化、工具化的防护栏，18cm高的踢脚板。</w:t>
            </w:r>
          </w:p>
        </w:tc>
      </w:tr>
      <w:tr w14:paraId="7D1DD3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vAlign w:val="center"/>
          </w:tcPr>
          <w:p w14:paraId="50F06840">
            <w:pPr>
              <w:pStyle w:val="122"/>
              <w:spacing w:line="360" w:lineRule="auto"/>
              <w:jc w:val="center"/>
              <w:rPr>
                <w:rFonts w:eastAsia="方正仿宋_GBK"/>
                <w:color w:val="auto"/>
                <w:szCs w:val="21"/>
                <w:highlight w:val="none"/>
              </w:rPr>
            </w:pPr>
          </w:p>
        </w:tc>
        <w:tc>
          <w:tcPr>
            <w:tcW w:w="525" w:type="dxa"/>
            <w:vMerge w:val="continue"/>
            <w:vAlign w:val="center"/>
          </w:tcPr>
          <w:p w14:paraId="41E69172">
            <w:pPr>
              <w:pStyle w:val="122"/>
              <w:spacing w:line="360" w:lineRule="auto"/>
              <w:jc w:val="center"/>
              <w:rPr>
                <w:rFonts w:eastAsia="方正仿宋_GBK"/>
                <w:color w:val="auto"/>
                <w:szCs w:val="21"/>
                <w:highlight w:val="none"/>
              </w:rPr>
            </w:pPr>
          </w:p>
        </w:tc>
        <w:tc>
          <w:tcPr>
            <w:tcW w:w="1545" w:type="dxa"/>
            <w:vAlign w:val="center"/>
          </w:tcPr>
          <w:p w14:paraId="42971923">
            <w:pPr>
              <w:pStyle w:val="122"/>
              <w:spacing w:line="360" w:lineRule="auto"/>
              <w:rPr>
                <w:rFonts w:eastAsia="方正仿宋_GBK"/>
                <w:color w:val="auto"/>
                <w:szCs w:val="21"/>
                <w:highlight w:val="none"/>
              </w:rPr>
            </w:pPr>
            <w:r>
              <w:rPr>
                <w:rFonts w:eastAsia="方正仿宋_GBK"/>
                <w:color w:val="auto"/>
                <w:szCs w:val="21"/>
                <w:highlight w:val="none"/>
              </w:rPr>
              <w:t>垂直方向交叉作业</w:t>
            </w:r>
          </w:p>
        </w:tc>
        <w:tc>
          <w:tcPr>
            <w:tcW w:w="6645" w:type="dxa"/>
            <w:vAlign w:val="center"/>
          </w:tcPr>
          <w:p w14:paraId="367B2284">
            <w:pPr>
              <w:pStyle w:val="122"/>
              <w:spacing w:line="360" w:lineRule="auto"/>
              <w:rPr>
                <w:rFonts w:eastAsia="方正仿宋_GBK"/>
                <w:color w:val="auto"/>
                <w:szCs w:val="21"/>
                <w:highlight w:val="none"/>
              </w:rPr>
            </w:pPr>
            <w:r>
              <w:rPr>
                <w:rFonts w:eastAsia="方正仿宋_GBK"/>
                <w:color w:val="auto"/>
                <w:szCs w:val="21"/>
                <w:highlight w:val="none"/>
              </w:rPr>
              <w:t>设置防护隔离棚或其它设施。</w:t>
            </w:r>
          </w:p>
        </w:tc>
      </w:tr>
      <w:tr w14:paraId="367D10C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vAlign w:val="center"/>
          </w:tcPr>
          <w:p w14:paraId="424F8416">
            <w:pPr>
              <w:pStyle w:val="122"/>
              <w:spacing w:line="360" w:lineRule="auto"/>
              <w:jc w:val="center"/>
              <w:rPr>
                <w:rFonts w:eastAsia="方正仿宋_GBK"/>
                <w:color w:val="auto"/>
                <w:szCs w:val="21"/>
                <w:highlight w:val="none"/>
              </w:rPr>
            </w:pPr>
          </w:p>
        </w:tc>
        <w:tc>
          <w:tcPr>
            <w:tcW w:w="525" w:type="dxa"/>
            <w:vMerge w:val="continue"/>
            <w:vAlign w:val="center"/>
          </w:tcPr>
          <w:p w14:paraId="6D7E275F">
            <w:pPr>
              <w:pStyle w:val="122"/>
              <w:spacing w:line="360" w:lineRule="auto"/>
              <w:jc w:val="center"/>
              <w:rPr>
                <w:rFonts w:eastAsia="方正仿宋_GBK"/>
                <w:color w:val="auto"/>
                <w:szCs w:val="21"/>
                <w:highlight w:val="none"/>
              </w:rPr>
            </w:pPr>
          </w:p>
        </w:tc>
        <w:tc>
          <w:tcPr>
            <w:tcW w:w="1545" w:type="dxa"/>
            <w:vAlign w:val="center"/>
          </w:tcPr>
          <w:p w14:paraId="52EB0E72">
            <w:pPr>
              <w:pStyle w:val="122"/>
              <w:spacing w:line="360" w:lineRule="auto"/>
              <w:rPr>
                <w:rFonts w:eastAsia="方正仿宋_GBK"/>
                <w:color w:val="auto"/>
                <w:szCs w:val="21"/>
                <w:highlight w:val="none"/>
              </w:rPr>
            </w:pPr>
            <w:r>
              <w:rPr>
                <w:rFonts w:eastAsia="方正仿宋_GBK"/>
                <w:color w:val="auto"/>
                <w:szCs w:val="21"/>
                <w:highlight w:val="none"/>
              </w:rPr>
              <w:t>高处作业</w:t>
            </w:r>
          </w:p>
        </w:tc>
        <w:tc>
          <w:tcPr>
            <w:tcW w:w="6645" w:type="dxa"/>
            <w:vAlign w:val="center"/>
          </w:tcPr>
          <w:p w14:paraId="60A2D37C">
            <w:pPr>
              <w:pStyle w:val="122"/>
              <w:spacing w:line="360" w:lineRule="auto"/>
              <w:rPr>
                <w:rFonts w:eastAsia="方正仿宋_GBK"/>
                <w:color w:val="auto"/>
                <w:szCs w:val="21"/>
                <w:highlight w:val="none"/>
              </w:rPr>
            </w:pPr>
            <w:r>
              <w:rPr>
                <w:rFonts w:eastAsia="方正仿宋_GBK"/>
                <w:color w:val="auto"/>
                <w:szCs w:val="21"/>
                <w:highlight w:val="none"/>
              </w:rPr>
              <w:t>有悬挂安全带的悬索或其它设施，有操作平台，有上下的梯子或其它形式的通道。</w:t>
            </w:r>
          </w:p>
        </w:tc>
      </w:tr>
      <w:tr w14:paraId="3ABA3D1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vAlign w:val="center"/>
          </w:tcPr>
          <w:p w14:paraId="24747C21">
            <w:pPr>
              <w:pStyle w:val="122"/>
              <w:spacing w:line="360" w:lineRule="auto"/>
              <w:jc w:val="center"/>
              <w:rPr>
                <w:rFonts w:eastAsia="方正仿宋_GBK"/>
                <w:color w:val="auto"/>
                <w:szCs w:val="21"/>
                <w:highlight w:val="none"/>
              </w:rPr>
            </w:pPr>
          </w:p>
        </w:tc>
        <w:tc>
          <w:tcPr>
            <w:tcW w:w="525" w:type="dxa"/>
            <w:vMerge w:val="continue"/>
            <w:vAlign w:val="center"/>
          </w:tcPr>
          <w:p w14:paraId="14FB417D">
            <w:pPr>
              <w:pStyle w:val="122"/>
              <w:spacing w:line="360" w:lineRule="auto"/>
              <w:jc w:val="center"/>
              <w:rPr>
                <w:rFonts w:eastAsia="方正仿宋_GBK"/>
                <w:color w:val="auto"/>
                <w:szCs w:val="21"/>
                <w:highlight w:val="none"/>
              </w:rPr>
            </w:pPr>
          </w:p>
        </w:tc>
        <w:tc>
          <w:tcPr>
            <w:tcW w:w="1545" w:type="dxa"/>
            <w:vAlign w:val="center"/>
          </w:tcPr>
          <w:p w14:paraId="6ABC9988">
            <w:pPr>
              <w:pStyle w:val="122"/>
              <w:spacing w:line="360" w:lineRule="auto"/>
              <w:rPr>
                <w:rFonts w:eastAsia="方正仿宋_GBK"/>
                <w:color w:val="auto"/>
                <w:szCs w:val="21"/>
                <w:highlight w:val="none"/>
              </w:rPr>
            </w:pPr>
            <w:r>
              <w:rPr>
                <w:rFonts w:eastAsia="方正仿宋_GBK"/>
                <w:color w:val="auto"/>
                <w:szCs w:val="21"/>
                <w:highlight w:val="none"/>
              </w:rPr>
              <w:t>基坑、物料平台</w:t>
            </w:r>
          </w:p>
        </w:tc>
        <w:tc>
          <w:tcPr>
            <w:tcW w:w="6645" w:type="dxa"/>
            <w:vAlign w:val="center"/>
          </w:tcPr>
          <w:p w14:paraId="2CC0F356">
            <w:pPr>
              <w:pStyle w:val="122"/>
              <w:spacing w:line="360" w:lineRule="auto"/>
              <w:rPr>
                <w:rFonts w:eastAsia="方正仿宋_GBK"/>
                <w:color w:val="auto"/>
                <w:szCs w:val="21"/>
                <w:highlight w:val="none"/>
              </w:rPr>
            </w:pPr>
            <w:r>
              <w:rPr>
                <w:rFonts w:eastAsia="方正仿宋_GBK"/>
                <w:color w:val="auto"/>
                <w:szCs w:val="21"/>
                <w:highlight w:val="none"/>
              </w:rPr>
              <w:t>设1.2m高标准化的防护栏，用密目式安全立网封闭，悬挂标识。</w:t>
            </w:r>
          </w:p>
        </w:tc>
      </w:tr>
      <w:tr w14:paraId="42E5F1A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vAlign w:val="center"/>
          </w:tcPr>
          <w:p w14:paraId="64074BD3">
            <w:pPr>
              <w:pStyle w:val="122"/>
              <w:spacing w:line="360" w:lineRule="auto"/>
              <w:jc w:val="center"/>
              <w:rPr>
                <w:rFonts w:eastAsia="方正仿宋_GBK"/>
                <w:color w:val="auto"/>
                <w:szCs w:val="21"/>
                <w:highlight w:val="none"/>
              </w:rPr>
            </w:pPr>
          </w:p>
        </w:tc>
        <w:tc>
          <w:tcPr>
            <w:tcW w:w="2070" w:type="dxa"/>
            <w:gridSpan w:val="2"/>
            <w:vAlign w:val="center"/>
          </w:tcPr>
          <w:p w14:paraId="1AD374AA">
            <w:pPr>
              <w:pStyle w:val="122"/>
              <w:spacing w:line="360" w:lineRule="auto"/>
              <w:jc w:val="center"/>
              <w:rPr>
                <w:rFonts w:eastAsia="方正仿宋_GBK"/>
                <w:color w:val="auto"/>
                <w:szCs w:val="21"/>
                <w:highlight w:val="none"/>
              </w:rPr>
            </w:pPr>
            <w:r>
              <w:rPr>
                <w:rFonts w:eastAsia="方正仿宋_GBK"/>
                <w:color w:val="auto"/>
                <w:szCs w:val="21"/>
                <w:highlight w:val="none"/>
              </w:rPr>
              <w:t>安全防护用品</w:t>
            </w:r>
          </w:p>
        </w:tc>
        <w:tc>
          <w:tcPr>
            <w:tcW w:w="6645" w:type="dxa"/>
            <w:vAlign w:val="center"/>
          </w:tcPr>
          <w:p w14:paraId="28156C95">
            <w:pPr>
              <w:pStyle w:val="122"/>
              <w:spacing w:line="360" w:lineRule="auto"/>
              <w:rPr>
                <w:rFonts w:eastAsia="方正仿宋_GBK"/>
                <w:color w:val="auto"/>
                <w:szCs w:val="21"/>
                <w:highlight w:val="none"/>
              </w:rPr>
            </w:pPr>
            <w:r>
              <w:rPr>
                <w:rFonts w:eastAsia="方正仿宋_GBK"/>
                <w:color w:val="auto"/>
                <w:szCs w:val="21"/>
                <w:highlight w:val="none"/>
              </w:rPr>
              <w:t>安全帽、安全带、特种作业人员（电工、焊工、架子工等）防护服装、用品等。</w:t>
            </w:r>
          </w:p>
        </w:tc>
      </w:tr>
      <w:tr w14:paraId="5F4166E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55" w:hRule="atLeast"/>
        </w:trPr>
        <w:tc>
          <w:tcPr>
            <w:tcW w:w="738" w:type="dxa"/>
            <w:vMerge w:val="restart"/>
            <w:vAlign w:val="center"/>
          </w:tcPr>
          <w:p w14:paraId="1B3A470B">
            <w:pPr>
              <w:pStyle w:val="122"/>
              <w:spacing w:line="360" w:lineRule="auto"/>
              <w:jc w:val="center"/>
              <w:rPr>
                <w:rFonts w:eastAsia="方正仿宋_GBK"/>
                <w:color w:val="auto"/>
                <w:szCs w:val="21"/>
                <w:highlight w:val="none"/>
              </w:rPr>
            </w:pPr>
            <w:r>
              <w:rPr>
                <w:rFonts w:eastAsia="方正仿宋_GBK"/>
                <w:color w:val="auto"/>
                <w:szCs w:val="21"/>
                <w:highlight w:val="none"/>
              </w:rPr>
              <w:t>其它</w:t>
            </w:r>
          </w:p>
        </w:tc>
        <w:tc>
          <w:tcPr>
            <w:tcW w:w="525" w:type="dxa"/>
            <w:vMerge w:val="restart"/>
            <w:vAlign w:val="center"/>
          </w:tcPr>
          <w:p w14:paraId="3E21FEBB">
            <w:pPr>
              <w:pStyle w:val="122"/>
              <w:spacing w:line="360" w:lineRule="auto"/>
              <w:jc w:val="center"/>
              <w:rPr>
                <w:rFonts w:eastAsia="方正仿宋_GBK"/>
                <w:color w:val="auto"/>
                <w:szCs w:val="21"/>
                <w:highlight w:val="none"/>
              </w:rPr>
            </w:pPr>
            <w:r>
              <w:rPr>
                <w:rFonts w:eastAsia="方正仿宋_GBK"/>
                <w:color w:val="auto"/>
                <w:szCs w:val="21"/>
                <w:highlight w:val="none"/>
              </w:rPr>
              <w:t>机械设备防护</w:t>
            </w:r>
          </w:p>
        </w:tc>
        <w:tc>
          <w:tcPr>
            <w:tcW w:w="1545" w:type="dxa"/>
            <w:vAlign w:val="center"/>
          </w:tcPr>
          <w:p w14:paraId="4BD7F0CB">
            <w:pPr>
              <w:pStyle w:val="122"/>
              <w:spacing w:line="360" w:lineRule="auto"/>
              <w:jc w:val="center"/>
              <w:rPr>
                <w:rFonts w:eastAsia="方正仿宋_GBK"/>
                <w:color w:val="auto"/>
                <w:szCs w:val="21"/>
                <w:highlight w:val="none"/>
              </w:rPr>
            </w:pPr>
            <w:r>
              <w:rPr>
                <w:rFonts w:eastAsia="方正仿宋_GBK"/>
                <w:color w:val="auto"/>
                <w:szCs w:val="21"/>
                <w:highlight w:val="none"/>
              </w:rPr>
              <w:t>中小型机械</w:t>
            </w:r>
          </w:p>
        </w:tc>
        <w:tc>
          <w:tcPr>
            <w:tcW w:w="6645" w:type="dxa"/>
            <w:vAlign w:val="center"/>
          </w:tcPr>
          <w:p w14:paraId="0973804B">
            <w:pPr>
              <w:pStyle w:val="122"/>
              <w:spacing w:line="360" w:lineRule="auto"/>
              <w:rPr>
                <w:rFonts w:eastAsia="方正仿宋_GBK"/>
                <w:color w:val="auto"/>
                <w:szCs w:val="21"/>
                <w:highlight w:val="none"/>
              </w:rPr>
            </w:pPr>
            <w:r>
              <w:rPr>
                <w:rFonts w:eastAsia="方正仿宋_GBK"/>
                <w:color w:val="auto"/>
                <w:szCs w:val="21"/>
                <w:highlight w:val="none"/>
              </w:rPr>
              <w:t>设防护棚（同通道口防护并有防雨措施）。</w:t>
            </w:r>
          </w:p>
        </w:tc>
      </w:tr>
      <w:tr w14:paraId="43F07B4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vAlign w:val="center"/>
          </w:tcPr>
          <w:p w14:paraId="7EBB40E7">
            <w:pPr>
              <w:pStyle w:val="122"/>
              <w:spacing w:line="360" w:lineRule="auto"/>
              <w:jc w:val="center"/>
              <w:rPr>
                <w:rFonts w:eastAsia="方正仿宋_GBK"/>
                <w:color w:val="auto"/>
                <w:szCs w:val="21"/>
                <w:highlight w:val="none"/>
              </w:rPr>
            </w:pPr>
          </w:p>
        </w:tc>
        <w:tc>
          <w:tcPr>
            <w:tcW w:w="525" w:type="dxa"/>
            <w:vMerge w:val="continue"/>
            <w:vAlign w:val="center"/>
          </w:tcPr>
          <w:p w14:paraId="3D8386D8">
            <w:pPr>
              <w:pStyle w:val="122"/>
              <w:spacing w:line="360" w:lineRule="auto"/>
              <w:jc w:val="center"/>
              <w:rPr>
                <w:rFonts w:eastAsia="方正仿宋_GBK"/>
                <w:color w:val="auto"/>
                <w:szCs w:val="21"/>
                <w:highlight w:val="none"/>
              </w:rPr>
            </w:pPr>
          </w:p>
        </w:tc>
        <w:tc>
          <w:tcPr>
            <w:tcW w:w="1545" w:type="dxa"/>
            <w:vAlign w:val="center"/>
          </w:tcPr>
          <w:p w14:paraId="73CB0108">
            <w:pPr>
              <w:pStyle w:val="122"/>
              <w:spacing w:line="360" w:lineRule="auto"/>
              <w:jc w:val="center"/>
              <w:rPr>
                <w:rFonts w:eastAsia="方正仿宋_GBK"/>
                <w:color w:val="auto"/>
                <w:szCs w:val="21"/>
                <w:highlight w:val="none"/>
              </w:rPr>
            </w:pPr>
            <w:r>
              <w:rPr>
                <w:rFonts w:eastAsia="方正仿宋_GBK"/>
                <w:color w:val="auto"/>
                <w:szCs w:val="21"/>
                <w:highlight w:val="none"/>
              </w:rPr>
              <w:t>垂直运输设备</w:t>
            </w:r>
          </w:p>
        </w:tc>
        <w:tc>
          <w:tcPr>
            <w:tcW w:w="6645" w:type="dxa"/>
            <w:vAlign w:val="center"/>
          </w:tcPr>
          <w:p w14:paraId="6D5EE8D0">
            <w:pPr>
              <w:pStyle w:val="122"/>
              <w:spacing w:line="360" w:lineRule="auto"/>
              <w:rPr>
                <w:rFonts w:eastAsia="方正仿宋_GBK"/>
                <w:color w:val="auto"/>
                <w:szCs w:val="21"/>
                <w:highlight w:val="none"/>
              </w:rPr>
            </w:pPr>
            <w:r>
              <w:rPr>
                <w:rFonts w:eastAsia="方正仿宋_GBK"/>
                <w:color w:val="auto"/>
                <w:szCs w:val="21"/>
                <w:highlight w:val="none"/>
              </w:rPr>
              <w:t>1. 垂直运输设备检测、检验、日常维护、保养等。</w:t>
            </w:r>
          </w:p>
          <w:p w14:paraId="45DD6392">
            <w:pPr>
              <w:pStyle w:val="122"/>
              <w:spacing w:line="360" w:lineRule="auto"/>
              <w:rPr>
                <w:rFonts w:eastAsia="方正仿宋_GBK"/>
                <w:color w:val="auto"/>
                <w:szCs w:val="21"/>
                <w:highlight w:val="none"/>
              </w:rPr>
            </w:pPr>
            <w:r>
              <w:rPr>
                <w:rFonts w:eastAsia="方正仿宋_GBK"/>
                <w:color w:val="auto"/>
                <w:szCs w:val="21"/>
                <w:highlight w:val="none"/>
              </w:rPr>
              <w:t>2. 物料提升机、施工电梯等物料平台搭设、外侧用密目式安全立网全封闭，有安全通道、安全防护门、防护棚等。</w:t>
            </w:r>
          </w:p>
        </w:tc>
      </w:tr>
      <w:tr w14:paraId="2FBC885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10" w:hRule="exact"/>
        </w:trPr>
        <w:tc>
          <w:tcPr>
            <w:tcW w:w="738" w:type="dxa"/>
            <w:vMerge w:val="continue"/>
            <w:vAlign w:val="center"/>
          </w:tcPr>
          <w:p w14:paraId="5897CB85">
            <w:pPr>
              <w:pStyle w:val="122"/>
              <w:spacing w:line="360" w:lineRule="auto"/>
              <w:jc w:val="center"/>
              <w:rPr>
                <w:rFonts w:eastAsia="方正仿宋_GBK"/>
                <w:color w:val="auto"/>
                <w:szCs w:val="21"/>
                <w:highlight w:val="none"/>
              </w:rPr>
            </w:pPr>
          </w:p>
        </w:tc>
        <w:tc>
          <w:tcPr>
            <w:tcW w:w="2070" w:type="dxa"/>
            <w:gridSpan w:val="2"/>
            <w:vAlign w:val="center"/>
          </w:tcPr>
          <w:p w14:paraId="29377B6A">
            <w:pPr>
              <w:pStyle w:val="122"/>
              <w:spacing w:line="360" w:lineRule="auto"/>
              <w:jc w:val="center"/>
              <w:rPr>
                <w:rFonts w:eastAsia="方正仿宋_GBK"/>
                <w:color w:val="auto"/>
                <w:szCs w:val="21"/>
                <w:highlight w:val="none"/>
              </w:rPr>
            </w:pPr>
            <w:r>
              <w:rPr>
                <w:rFonts w:eastAsia="方正仿宋_GBK"/>
                <w:color w:val="auto"/>
                <w:szCs w:val="21"/>
                <w:highlight w:val="none"/>
              </w:rPr>
              <w:t>专家论证审查</w:t>
            </w:r>
          </w:p>
        </w:tc>
        <w:tc>
          <w:tcPr>
            <w:tcW w:w="6645" w:type="dxa"/>
            <w:vAlign w:val="center"/>
          </w:tcPr>
          <w:p w14:paraId="583CEB91">
            <w:pPr>
              <w:pStyle w:val="122"/>
              <w:spacing w:line="360" w:lineRule="auto"/>
              <w:rPr>
                <w:rFonts w:eastAsia="方正仿宋_GBK"/>
                <w:color w:val="auto"/>
                <w:szCs w:val="21"/>
                <w:highlight w:val="none"/>
              </w:rPr>
            </w:pPr>
            <w:r>
              <w:rPr>
                <w:rFonts w:eastAsia="方正仿宋_GBK"/>
                <w:color w:val="auto"/>
                <w:szCs w:val="21"/>
                <w:highlight w:val="none"/>
              </w:rPr>
              <w:t>超过一定规模的危险性较大分部分项工程专家论证审查。</w:t>
            </w:r>
          </w:p>
        </w:tc>
      </w:tr>
      <w:tr w14:paraId="53D7468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10" w:hRule="exact"/>
        </w:trPr>
        <w:tc>
          <w:tcPr>
            <w:tcW w:w="738" w:type="dxa"/>
            <w:vMerge w:val="continue"/>
            <w:vAlign w:val="center"/>
          </w:tcPr>
          <w:p w14:paraId="32235667">
            <w:pPr>
              <w:pStyle w:val="122"/>
              <w:spacing w:line="360" w:lineRule="auto"/>
              <w:jc w:val="center"/>
              <w:rPr>
                <w:rFonts w:eastAsia="方正仿宋_GBK"/>
                <w:color w:val="auto"/>
                <w:szCs w:val="21"/>
                <w:highlight w:val="none"/>
              </w:rPr>
            </w:pPr>
          </w:p>
        </w:tc>
        <w:tc>
          <w:tcPr>
            <w:tcW w:w="2070" w:type="dxa"/>
            <w:gridSpan w:val="2"/>
            <w:vAlign w:val="center"/>
          </w:tcPr>
          <w:p w14:paraId="430255BB">
            <w:pPr>
              <w:pStyle w:val="122"/>
              <w:spacing w:line="360" w:lineRule="auto"/>
              <w:jc w:val="center"/>
              <w:rPr>
                <w:rFonts w:eastAsia="方正仿宋_GBK"/>
                <w:color w:val="auto"/>
                <w:szCs w:val="21"/>
                <w:highlight w:val="none"/>
              </w:rPr>
            </w:pPr>
            <w:r>
              <w:rPr>
                <w:rFonts w:eastAsia="方正仿宋_GBK"/>
                <w:color w:val="auto"/>
                <w:szCs w:val="21"/>
                <w:highlight w:val="none"/>
              </w:rPr>
              <w:t>应急救援预案</w:t>
            </w:r>
          </w:p>
        </w:tc>
        <w:tc>
          <w:tcPr>
            <w:tcW w:w="6645" w:type="dxa"/>
            <w:vAlign w:val="center"/>
          </w:tcPr>
          <w:p w14:paraId="5B854C0C">
            <w:pPr>
              <w:pStyle w:val="122"/>
              <w:spacing w:line="360" w:lineRule="auto"/>
              <w:rPr>
                <w:rFonts w:eastAsia="方正仿宋_GBK"/>
                <w:color w:val="auto"/>
                <w:szCs w:val="21"/>
                <w:highlight w:val="none"/>
              </w:rPr>
            </w:pPr>
            <w:r>
              <w:rPr>
                <w:rFonts w:eastAsia="方正仿宋_GBK"/>
                <w:color w:val="auto"/>
                <w:szCs w:val="21"/>
                <w:highlight w:val="none"/>
              </w:rPr>
              <w:t>救援器材准备及演练等。</w:t>
            </w:r>
          </w:p>
        </w:tc>
      </w:tr>
      <w:tr w14:paraId="300807D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vAlign w:val="center"/>
          </w:tcPr>
          <w:p w14:paraId="0D3F65C1">
            <w:pPr>
              <w:pStyle w:val="122"/>
              <w:spacing w:line="360" w:lineRule="auto"/>
              <w:jc w:val="center"/>
              <w:rPr>
                <w:rFonts w:eastAsia="方正仿宋_GBK"/>
                <w:color w:val="auto"/>
                <w:szCs w:val="21"/>
                <w:highlight w:val="none"/>
              </w:rPr>
            </w:pPr>
          </w:p>
        </w:tc>
        <w:tc>
          <w:tcPr>
            <w:tcW w:w="2070" w:type="dxa"/>
            <w:gridSpan w:val="2"/>
            <w:vAlign w:val="center"/>
          </w:tcPr>
          <w:p w14:paraId="30B97BA8">
            <w:pPr>
              <w:pStyle w:val="122"/>
              <w:spacing w:line="360" w:lineRule="auto"/>
              <w:jc w:val="center"/>
              <w:rPr>
                <w:rFonts w:eastAsia="方正仿宋_GBK"/>
                <w:color w:val="auto"/>
                <w:szCs w:val="21"/>
                <w:highlight w:val="none"/>
              </w:rPr>
            </w:pPr>
            <w:r>
              <w:rPr>
                <w:rFonts w:eastAsia="方正仿宋_GBK"/>
                <w:color w:val="auto"/>
                <w:szCs w:val="21"/>
                <w:highlight w:val="none"/>
              </w:rPr>
              <w:t>非正常情况施工</w:t>
            </w:r>
          </w:p>
        </w:tc>
        <w:tc>
          <w:tcPr>
            <w:tcW w:w="6645" w:type="dxa"/>
            <w:vAlign w:val="center"/>
          </w:tcPr>
          <w:p w14:paraId="20F60A6F">
            <w:pPr>
              <w:pStyle w:val="122"/>
              <w:spacing w:line="360" w:lineRule="auto"/>
              <w:rPr>
                <w:rFonts w:eastAsia="方正仿宋_GBK"/>
                <w:color w:val="auto"/>
                <w:szCs w:val="21"/>
                <w:highlight w:val="none"/>
              </w:rPr>
            </w:pPr>
            <w:r>
              <w:rPr>
                <w:rFonts w:eastAsia="方正仿宋_GBK"/>
                <w:color w:val="auto"/>
                <w:szCs w:val="21"/>
                <w:highlight w:val="none"/>
              </w:rPr>
              <w:t>其它特殊情况下的防护费用，如：城市主干道、人流密集、河边等处施工及文物、古建筑、古树保护等。</w:t>
            </w:r>
          </w:p>
        </w:tc>
      </w:tr>
    </w:tbl>
    <w:p w14:paraId="4E6E1E9F">
      <w:pPr>
        <w:pStyle w:val="20"/>
        <w:tabs>
          <w:tab w:val="left" w:pos="2127"/>
        </w:tabs>
        <w:spacing w:line="360" w:lineRule="auto"/>
        <w:rPr>
          <w:rFonts w:ascii="Times New Roman" w:hAnsi="Times New Roman" w:cs="Times New Roman"/>
          <w:color w:val="auto"/>
          <w:highlight w:val="none"/>
        </w:rPr>
      </w:pPr>
      <w:r>
        <w:rPr>
          <w:rFonts w:ascii="Times New Roman" w:hAnsi="Times New Roman" w:eastAsia="方正仿宋_GBK" w:cs="Times New Roman"/>
          <w:color w:val="auto"/>
          <w:highlight w:val="none"/>
        </w:rPr>
        <w:t>注：本表所列建设工程安全文明施工费，是依据现行法律法规及标准、规范确定的。如法律法规和标准、规范修订，本表所列项目应按照修订后的法律法规和标准规范进行调整。</w:t>
      </w:r>
    </w:p>
    <w:p w14:paraId="34F0DDDB">
      <w:pPr>
        <w:snapToGrid w:val="0"/>
        <w:spacing w:before="50" w:after="120" w:afterLines="50" w:line="360" w:lineRule="auto"/>
        <w:jc w:val="left"/>
        <w:rPr>
          <w:color w:val="auto"/>
          <w:szCs w:val="21"/>
          <w:highlight w:val="none"/>
        </w:rPr>
      </w:pPr>
      <w:r>
        <w:rPr>
          <w:color w:val="auto"/>
          <w:highlight w:val="none"/>
        </w:rPr>
        <w:br w:type="page"/>
      </w:r>
    </w:p>
    <w:p w14:paraId="4ED2963F">
      <w:pPr>
        <w:keepNext w:val="0"/>
        <w:keepLines w:val="0"/>
        <w:widowControl/>
        <w:suppressLineNumbers w:val="0"/>
        <w:spacing w:line="360" w:lineRule="auto"/>
        <w:jc w:val="left"/>
        <w:rPr>
          <w:rFonts w:hint="eastAsia" w:ascii="宋体" w:hAnsi="宋体" w:eastAsia="宋体" w:cs="宋体"/>
          <w:b/>
          <w:bCs/>
          <w:color w:val="auto"/>
          <w:kern w:val="0"/>
          <w:sz w:val="24"/>
          <w:szCs w:val="24"/>
          <w:highlight w:val="none"/>
          <w:lang w:val="en-US" w:eastAsia="zh-CN" w:bidi="ar"/>
        </w:rPr>
      </w:pPr>
      <w:r>
        <w:rPr>
          <w:rFonts w:hint="eastAsia" w:ascii="宋体" w:hAnsi="宋体" w:cs="宋体"/>
          <w:b/>
          <w:bCs/>
          <w:color w:val="auto"/>
          <w:kern w:val="0"/>
          <w:sz w:val="24"/>
          <w:szCs w:val="24"/>
          <w:highlight w:val="none"/>
          <w:lang w:val="en-US" w:eastAsia="zh-CN" w:bidi="ar"/>
        </w:rPr>
        <w:t>附7：</w:t>
      </w:r>
      <w:r>
        <w:rPr>
          <w:rFonts w:hint="eastAsia" w:ascii="宋体" w:hAnsi="宋体" w:eastAsia="宋体" w:cs="宋体"/>
          <w:b/>
          <w:bCs/>
          <w:color w:val="auto"/>
          <w:kern w:val="0"/>
          <w:sz w:val="24"/>
          <w:szCs w:val="24"/>
          <w:highlight w:val="none"/>
          <w:lang w:val="en-US" w:eastAsia="zh-CN" w:bidi="ar"/>
        </w:rPr>
        <w:t>建筑材料和设备节能环保要求承诺书</w:t>
      </w:r>
      <w:r>
        <w:rPr>
          <w:rFonts w:hint="eastAsia" w:ascii="宋体" w:hAnsi="宋体" w:cs="宋体"/>
          <w:b/>
          <w:bCs/>
          <w:color w:val="auto"/>
          <w:kern w:val="0"/>
          <w:sz w:val="24"/>
          <w:szCs w:val="24"/>
          <w:highlight w:val="none"/>
          <w:lang w:val="en-US" w:eastAsia="zh-CN" w:bidi="ar"/>
        </w:rPr>
        <w:t>（格式）</w:t>
      </w:r>
    </w:p>
    <w:p w14:paraId="7548F1D8">
      <w:pPr>
        <w:spacing w:line="360" w:lineRule="auto"/>
        <w:ind w:left="-10" w:firstLine="523" w:firstLineChars="217"/>
        <w:jc w:val="center"/>
        <w:rPr>
          <w:rFonts w:hint="eastAsia" w:ascii="宋体" w:hAnsi="宋体" w:eastAsia="宋体" w:cs="宋体"/>
          <w:b/>
          <w:bCs/>
          <w:color w:val="auto"/>
          <w:kern w:val="0"/>
          <w:sz w:val="24"/>
          <w:szCs w:val="24"/>
          <w:highlight w:val="none"/>
          <w:lang w:val="en-US" w:eastAsia="zh-CN" w:bidi="ar"/>
        </w:rPr>
      </w:pPr>
    </w:p>
    <w:p w14:paraId="4C08B39A">
      <w:pPr>
        <w:spacing w:line="360" w:lineRule="auto"/>
        <w:ind w:left="-10" w:firstLine="523" w:firstLineChars="217"/>
        <w:jc w:val="center"/>
        <w:rPr>
          <w:rFonts w:hint="eastAsia" w:ascii="宋体" w:hAnsi="宋体" w:eastAsia="宋体" w:cs="宋体"/>
          <w:b/>
          <w:bCs/>
          <w:color w:val="auto"/>
          <w:kern w:val="0"/>
          <w:sz w:val="24"/>
          <w:szCs w:val="24"/>
          <w:highlight w:val="none"/>
          <w:lang w:val="en-US" w:eastAsia="zh-CN" w:bidi="ar"/>
        </w:rPr>
      </w:pPr>
      <w:r>
        <w:rPr>
          <w:rFonts w:hint="eastAsia" w:ascii="宋体" w:hAnsi="宋体" w:eastAsia="宋体" w:cs="宋体"/>
          <w:b/>
          <w:bCs/>
          <w:color w:val="auto"/>
          <w:kern w:val="0"/>
          <w:sz w:val="24"/>
          <w:szCs w:val="24"/>
          <w:highlight w:val="none"/>
          <w:lang w:val="en-US" w:eastAsia="zh-CN" w:bidi="ar"/>
        </w:rPr>
        <w:t>建筑材料和设备节能环保要求承诺书</w:t>
      </w:r>
    </w:p>
    <w:p w14:paraId="042AF5AD">
      <w:pPr>
        <w:pStyle w:val="2"/>
        <w:spacing w:line="360" w:lineRule="auto"/>
        <w:rPr>
          <w:rFonts w:hint="eastAsia"/>
          <w:color w:val="auto"/>
          <w:highlight w:val="none"/>
        </w:rPr>
      </w:pPr>
    </w:p>
    <w:p w14:paraId="6AE22AE2">
      <w:pPr>
        <w:spacing w:line="360" w:lineRule="auto"/>
        <w:ind w:left="-10" w:firstLine="455" w:firstLineChars="217"/>
        <w:jc w:val="left"/>
        <w:rPr>
          <w:rFonts w:hint="eastAsia"/>
          <w:color w:val="auto"/>
          <w:highlight w:val="none"/>
        </w:rPr>
      </w:pPr>
      <w:r>
        <w:rPr>
          <w:rFonts w:hint="eastAsia"/>
          <w:color w:val="auto"/>
          <w:highlight w:val="none"/>
        </w:rPr>
        <w:t>我方承诺，一旦中标，我方保证严格执行</w:t>
      </w:r>
      <w:r>
        <w:rPr>
          <w:rFonts w:hint="eastAsia" w:cs="宋体"/>
          <w:color w:val="auto"/>
          <w:highlight w:val="none"/>
        </w:rPr>
        <w:t>《</w:t>
      </w:r>
      <w:r>
        <w:rPr>
          <w:rFonts w:hint="eastAsia" w:ascii="宋体" w:hAnsi="宋体"/>
          <w:color w:val="auto"/>
          <w:highlight w:val="none"/>
        </w:rPr>
        <w:t>财政部 国家发展改革委关于印发《节能产品政府采购实施意见》的通知</w:t>
      </w:r>
      <w:r>
        <w:rPr>
          <w:rFonts w:hint="eastAsia" w:cs="宋体"/>
          <w:color w:val="auto"/>
          <w:highlight w:val="none"/>
        </w:rPr>
        <w:t>》</w:t>
      </w:r>
      <w:r>
        <w:rPr>
          <w:rFonts w:hint="eastAsia" w:ascii="宋体" w:hAnsi="宋体"/>
          <w:color w:val="auto"/>
          <w:highlight w:val="none"/>
        </w:rPr>
        <w:t>（财库〔2004〕185号）、</w:t>
      </w:r>
      <w:r>
        <w:rPr>
          <w:rFonts w:hint="eastAsia" w:cs="宋体"/>
          <w:color w:val="auto"/>
          <w:highlight w:val="none"/>
        </w:rPr>
        <w:t>《财政部 发展改革委 生态环境部 市场监管总局关于调整优化节能产品、环境标志产品政府采购执行机制的通知》（财库〔2019〕9号）和《关于印发节能产品政府采购品目清单的通知》（财库〔2019〕19号）的规定，所有工程中涉及的建筑材料和设备如属于财库〔2019〕19号文中《节能产品政府采购品目清单》内标注“★”的产品，都使用政府强制采购的节能产品。</w:t>
      </w:r>
      <w:r>
        <w:rPr>
          <w:color w:val="auto"/>
          <w:highlight w:val="none"/>
        </w:rPr>
        <w:t>如我方在该项目的承包中出现未按规定执行的情形，我方愿意按照相关规定接受建设单位及有关主管部门的处罚。</w:t>
      </w:r>
    </w:p>
    <w:p w14:paraId="183BB70D">
      <w:pPr>
        <w:spacing w:line="360" w:lineRule="auto"/>
        <w:ind w:left="-10" w:firstLine="455" w:firstLineChars="217"/>
        <w:jc w:val="left"/>
        <w:rPr>
          <w:rFonts w:hint="eastAsia"/>
          <w:color w:val="auto"/>
          <w:highlight w:val="none"/>
        </w:rPr>
      </w:pPr>
    </w:p>
    <w:p w14:paraId="3F82FD7D">
      <w:pPr>
        <w:tabs>
          <w:tab w:val="left" w:pos="4860"/>
        </w:tabs>
        <w:spacing w:line="360" w:lineRule="auto"/>
        <w:ind w:right="1560" w:firstLine="444" w:firstLineChars="200"/>
        <w:contextualSpacing/>
        <w:jc w:val="right"/>
        <w:rPr>
          <w:rFonts w:hint="eastAsia" w:ascii="宋体" w:hAnsi="宋体"/>
          <w:color w:val="auto"/>
          <w:spacing w:val="6"/>
          <w:highlight w:val="none"/>
        </w:rPr>
      </w:pPr>
      <w:r>
        <w:rPr>
          <w:rFonts w:hint="eastAsia" w:ascii="宋体" w:hAnsi="宋体"/>
          <w:color w:val="auto"/>
          <w:spacing w:val="6"/>
          <w:highlight w:val="none"/>
        </w:rPr>
        <w:t xml:space="preserve">                        单位名称（盖法人单位电子印章）：</w:t>
      </w:r>
    </w:p>
    <w:p w14:paraId="3D2CB623">
      <w:pPr>
        <w:wordWrap w:val="0"/>
        <w:spacing w:line="360" w:lineRule="auto"/>
        <w:ind w:firstLine="444" w:firstLineChars="200"/>
        <w:jc w:val="right"/>
        <w:rPr>
          <w:rFonts w:hint="eastAsia" w:ascii="宋体" w:hAnsi="宋体"/>
          <w:color w:val="auto"/>
          <w:spacing w:val="6"/>
          <w:highlight w:val="none"/>
        </w:rPr>
      </w:pPr>
      <w:r>
        <w:rPr>
          <w:rFonts w:hint="eastAsia" w:ascii="宋体" w:hAnsi="宋体"/>
          <w:color w:val="auto"/>
          <w:spacing w:val="6"/>
          <w:highlight w:val="none"/>
        </w:rPr>
        <w:t xml:space="preserve">                                     日  期： </w:t>
      </w:r>
      <w:r>
        <w:rPr>
          <w:rFonts w:ascii="宋体" w:hAnsi="宋体"/>
          <w:color w:val="auto"/>
          <w:spacing w:val="6"/>
          <w:highlight w:val="none"/>
        </w:rPr>
        <w:t xml:space="preserve">            </w:t>
      </w:r>
    </w:p>
    <w:p w14:paraId="540F3809">
      <w:pPr>
        <w:spacing w:line="360" w:lineRule="auto"/>
        <w:ind w:firstLine="560" w:firstLineChars="200"/>
        <w:jc w:val="right"/>
        <w:rPr>
          <w:rFonts w:ascii="宋体" w:hAnsi="宋体" w:eastAsia="宋体"/>
          <w:color w:val="auto"/>
          <w:sz w:val="28"/>
          <w:szCs w:val="28"/>
          <w:highlight w:val="none"/>
        </w:rPr>
      </w:pPr>
    </w:p>
    <w:p w14:paraId="6B2E299D">
      <w:pPr>
        <w:spacing w:line="360" w:lineRule="auto"/>
        <w:ind w:firstLine="560" w:firstLineChars="200"/>
        <w:jc w:val="right"/>
        <w:rPr>
          <w:rFonts w:ascii="宋体" w:hAnsi="宋体" w:eastAsia="宋体"/>
          <w:color w:val="auto"/>
          <w:sz w:val="28"/>
          <w:szCs w:val="28"/>
          <w:highlight w:val="none"/>
        </w:rPr>
      </w:pPr>
    </w:p>
    <w:p w14:paraId="3102355B">
      <w:pPr>
        <w:spacing w:line="360" w:lineRule="auto"/>
        <w:ind w:firstLine="560" w:firstLineChars="200"/>
        <w:jc w:val="right"/>
        <w:rPr>
          <w:rFonts w:ascii="宋体" w:hAnsi="宋体" w:eastAsia="宋体"/>
          <w:color w:val="auto"/>
          <w:sz w:val="28"/>
          <w:szCs w:val="28"/>
          <w:highlight w:val="none"/>
        </w:rPr>
      </w:pPr>
    </w:p>
    <w:p w14:paraId="55E1FE43">
      <w:pPr>
        <w:spacing w:line="360" w:lineRule="auto"/>
        <w:ind w:firstLine="560" w:firstLineChars="200"/>
        <w:jc w:val="right"/>
        <w:rPr>
          <w:rFonts w:ascii="宋体" w:hAnsi="宋体" w:eastAsia="宋体"/>
          <w:color w:val="auto"/>
          <w:sz w:val="28"/>
          <w:szCs w:val="28"/>
          <w:highlight w:val="none"/>
        </w:rPr>
      </w:pPr>
    </w:p>
    <w:p w14:paraId="2F51EA36">
      <w:pPr>
        <w:spacing w:line="360" w:lineRule="auto"/>
        <w:ind w:firstLine="560" w:firstLineChars="200"/>
        <w:jc w:val="right"/>
        <w:rPr>
          <w:rFonts w:ascii="宋体" w:hAnsi="宋体" w:eastAsia="宋体"/>
          <w:color w:val="auto"/>
          <w:sz w:val="28"/>
          <w:szCs w:val="28"/>
          <w:highlight w:val="none"/>
        </w:rPr>
      </w:pPr>
    </w:p>
    <w:p w14:paraId="0D378F8A">
      <w:pPr>
        <w:pStyle w:val="2"/>
        <w:spacing w:line="360" w:lineRule="auto"/>
        <w:rPr>
          <w:rFonts w:ascii="宋体" w:hAnsi="宋体" w:eastAsia="宋体"/>
          <w:color w:val="auto"/>
          <w:sz w:val="28"/>
          <w:szCs w:val="28"/>
          <w:highlight w:val="none"/>
        </w:rPr>
      </w:pPr>
    </w:p>
    <w:p w14:paraId="0774410A">
      <w:pPr>
        <w:pStyle w:val="2"/>
        <w:spacing w:line="360" w:lineRule="auto"/>
        <w:rPr>
          <w:rFonts w:ascii="宋体" w:hAnsi="宋体" w:eastAsia="宋体"/>
          <w:color w:val="auto"/>
          <w:sz w:val="28"/>
          <w:szCs w:val="28"/>
          <w:highlight w:val="none"/>
        </w:rPr>
      </w:pPr>
    </w:p>
    <w:p w14:paraId="6AB60C74">
      <w:pPr>
        <w:pStyle w:val="2"/>
        <w:spacing w:line="360" w:lineRule="auto"/>
        <w:rPr>
          <w:rFonts w:ascii="宋体" w:hAnsi="宋体" w:eastAsia="宋体"/>
          <w:color w:val="auto"/>
          <w:sz w:val="28"/>
          <w:szCs w:val="28"/>
          <w:highlight w:val="none"/>
        </w:rPr>
      </w:pPr>
    </w:p>
    <w:p w14:paraId="5EA7CCFD">
      <w:pPr>
        <w:pStyle w:val="2"/>
        <w:spacing w:line="360" w:lineRule="auto"/>
        <w:rPr>
          <w:rFonts w:ascii="宋体" w:hAnsi="宋体" w:eastAsia="宋体"/>
          <w:color w:val="auto"/>
          <w:sz w:val="28"/>
          <w:szCs w:val="28"/>
          <w:highlight w:val="none"/>
        </w:rPr>
      </w:pPr>
    </w:p>
    <w:p w14:paraId="10059BC2">
      <w:pPr>
        <w:pStyle w:val="2"/>
        <w:spacing w:line="360" w:lineRule="auto"/>
        <w:rPr>
          <w:rFonts w:ascii="宋体" w:hAnsi="宋体" w:eastAsia="宋体"/>
          <w:color w:val="auto"/>
          <w:sz w:val="28"/>
          <w:szCs w:val="28"/>
          <w:highlight w:val="none"/>
        </w:rPr>
      </w:pPr>
    </w:p>
    <w:p w14:paraId="2251C58F">
      <w:pPr>
        <w:pStyle w:val="2"/>
        <w:spacing w:line="360" w:lineRule="auto"/>
        <w:rPr>
          <w:rFonts w:ascii="宋体" w:hAnsi="宋体" w:eastAsia="宋体"/>
          <w:color w:val="auto"/>
          <w:sz w:val="28"/>
          <w:szCs w:val="28"/>
          <w:highlight w:val="none"/>
        </w:rPr>
      </w:pPr>
    </w:p>
    <w:p w14:paraId="2DC8E293">
      <w:pPr>
        <w:pStyle w:val="2"/>
        <w:spacing w:line="360" w:lineRule="auto"/>
        <w:rPr>
          <w:rFonts w:ascii="宋体" w:hAnsi="宋体" w:eastAsia="宋体"/>
          <w:color w:val="auto"/>
          <w:sz w:val="28"/>
          <w:szCs w:val="28"/>
          <w:highlight w:val="none"/>
        </w:rPr>
      </w:pPr>
    </w:p>
    <w:p w14:paraId="3EE5CC3F">
      <w:pPr>
        <w:keepNext w:val="0"/>
        <w:keepLines w:val="0"/>
        <w:widowControl/>
        <w:suppressLineNumbers w:val="0"/>
        <w:spacing w:line="360" w:lineRule="auto"/>
        <w:jc w:val="left"/>
        <w:rPr>
          <w:rFonts w:hint="eastAsia" w:ascii="宋体" w:hAnsi="宋体" w:eastAsia="宋体" w:cs="宋体"/>
          <w:b/>
          <w:bCs/>
          <w:color w:val="auto"/>
          <w:kern w:val="0"/>
          <w:sz w:val="24"/>
          <w:szCs w:val="24"/>
          <w:highlight w:val="none"/>
          <w:lang w:val="en-US" w:eastAsia="zh-CN" w:bidi="ar"/>
        </w:rPr>
        <w:sectPr>
          <w:pgSz w:w="11906" w:h="16838"/>
          <w:pgMar w:top="1134" w:right="1134" w:bottom="1134" w:left="1134" w:header="851" w:footer="992" w:gutter="0"/>
          <w:pgNumType w:fmt="decimal"/>
          <w:cols w:space="425" w:num="1"/>
          <w:docGrid w:type="lines" w:linePitch="312" w:charSpace="0"/>
        </w:sectPr>
      </w:pPr>
    </w:p>
    <w:p w14:paraId="74904382">
      <w:pPr>
        <w:keepNext w:val="0"/>
        <w:keepLines w:val="0"/>
        <w:widowControl/>
        <w:suppressLineNumbers w:val="0"/>
        <w:spacing w:line="360" w:lineRule="auto"/>
        <w:jc w:val="left"/>
        <w:rPr>
          <w:rFonts w:hint="eastAsia" w:ascii="宋体" w:hAnsi="宋体" w:eastAsia="宋体" w:cs="宋体"/>
          <w:b/>
          <w:bCs/>
          <w:color w:val="auto"/>
          <w:kern w:val="0"/>
          <w:sz w:val="24"/>
          <w:szCs w:val="24"/>
          <w:highlight w:val="none"/>
          <w:lang w:val="en-US" w:eastAsia="zh-CN" w:bidi="ar"/>
        </w:rPr>
      </w:pPr>
      <w:r>
        <w:rPr>
          <w:rFonts w:hint="eastAsia" w:ascii="宋体" w:hAnsi="宋体" w:eastAsia="宋体" w:cs="宋体"/>
          <w:b/>
          <w:bCs/>
          <w:color w:val="auto"/>
          <w:kern w:val="0"/>
          <w:sz w:val="24"/>
          <w:szCs w:val="24"/>
          <w:highlight w:val="none"/>
          <w:lang w:val="en-US" w:eastAsia="zh-CN" w:bidi="ar"/>
        </w:rPr>
        <w:t>附8：项目经理无在建承诺书（格式）</w:t>
      </w:r>
    </w:p>
    <w:p w14:paraId="0B7037CC">
      <w:pPr>
        <w:pStyle w:val="2"/>
        <w:spacing w:line="360" w:lineRule="auto"/>
        <w:rPr>
          <w:rFonts w:hint="eastAsia" w:ascii="宋体" w:hAnsi="宋体" w:eastAsia="宋体" w:cs="宋体"/>
          <w:b/>
          <w:bCs/>
          <w:color w:val="auto"/>
          <w:kern w:val="0"/>
          <w:sz w:val="24"/>
          <w:szCs w:val="24"/>
          <w:highlight w:val="none"/>
          <w:lang w:val="en-US" w:eastAsia="zh-CN" w:bidi="ar"/>
        </w:rPr>
      </w:pPr>
    </w:p>
    <w:p w14:paraId="61D67D69">
      <w:pPr>
        <w:snapToGrid/>
        <w:spacing w:line="360" w:lineRule="auto"/>
        <w:jc w:val="center"/>
        <w:rPr>
          <w:rFonts w:hint="eastAsia" w:ascii="宋体" w:hAnsi="宋体" w:eastAsia="宋体" w:cs="宋体"/>
          <w:b/>
          <w:bCs/>
          <w:color w:val="auto"/>
          <w:kern w:val="0"/>
          <w:sz w:val="24"/>
          <w:szCs w:val="24"/>
          <w:highlight w:val="none"/>
          <w:lang w:val="en-US" w:eastAsia="zh-CN" w:bidi="ar"/>
        </w:rPr>
      </w:pPr>
      <w:r>
        <w:rPr>
          <w:rFonts w:hint="eastAsia" w:ascii="宋体" w:hAnsi="宋体" w:eastAsia="宋体" w:cs="宋体"/>
          <w:b/>
          <w:bCs/>
          <w:color w:val="auto"/>
          <w:kern w:val="0"/>
          <w:sz w:val="24"/>
          <w:szCs w:val="24"/>
          <w:highlight w:val="none"/>
          <w:lang w:val="en-US" w:eastAsia="zh-CN" w:bidi="ar"/>
        </w:rPr>
        <w:t>项目经理无在建承诺书</w:t>
      </w:r>
    </w:p>
    <w:p w14:paraId="4E892A15">
      <w:pPr>
        <w:pStyle w:val="2"/>
        <w:rPr>
          <w:rFonts w:hint="eastAsia"/>
          <w:color w:val="auto"/>
          <w:lang w:val="en-US" w:eastAsia="zh-CN"/>
        </w:rPr>
      </w:pPr>
    </w:p>
    <w:p w14:paraId="31CEB758">
      <w:pPr>
        <w:snapToGrid/>
        <w:spacing w:line="360" w:lineRule="auto"/>
        <w:ind w:firstLine="420" w:firstLineChars="200"/>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现承诺我单位投入本工程的项目经理是本单位的在岗人员，且不在任何在建工程【时间从中标候选人公告 (为项目第一中标候选人的) 或中标 (成交) 公告之日起至完工验收或竣工验收之日止】 中担任任何管理职务。如我单位有不符合上述要求的，采购人有权取消我单位成交资格，并对建设主管部门将我单位记入不良记录不持异议。</w:t>
      </w:r>
    </w:p>
    <w:p w14:paraId="415B0CA7">
      <w:pPr>
        <w:snapToGrid w:val="0"/>
        <w:spacing w:before="120" w:beforeLines="50" w:after="50" w:line="360" w:lineRule="auto"/>
        <w:ind w:firstLine="4410" w:firstLineChars="2100"/>
        <w:rPr>
          <w:color w:val="auto"/>
          <w:szCs w:val="21"/>
          <w:highlight w:val="none"/>
        </w:rPr>
      </w:pPr>
    </w:p>
    <w:p w14:paraId="65D05041">
      <w:pPr>
        <w:snapToGrid w:val="0"/>
        <w:spacing w:before="120" w:beforeLines="50" w:after="50" w:line="360" w:lineRule="auto"/>
        <w:ind w:firstLine="4410" w:firstLineChars="2100"/>
        <w:rPr>
          <w:color w:val="auto"/>
          <w:szCs w:val="21"/>
          <w:highlight w:val="none"/>
        </w:rPr>
      </w:pPr>
    </w:p>
    <w:p w14:paraId="09D282E1">
      <w:pPr>
        <w:snapToGrid w:val="0"/>
        <w:spacing w:before="120" w:beforeLines="50" w:after="50" w:line="360" w:lineRule="auto"/>
        <w:ind w:firstLine="4410" w:firstLineChars="2100"/>
        <w:rPr>
          <w:color w:val="auto"/>
          <w:szCs w:val="21"/>
          <w:highlight w:val="none"/>
        </w:rPr>
      </w:pPr>
    </w:p>
    <w:p w14:paraId="14811279">
      <w:pPr>
        <w:snapToGrid w:val="0"/>
        <w:spacing w:before="120" w:beforeLines="50" w:after="50" w:line="360" w:lineRule="auto"/>
        <w:ind w:firstLine="4410" w:firstLineChars="2100"/>
        <w:rPr>
          <w:color w:val="auto"/>
          <w:szCs w:val="21"/>
          <w:highlight w:val="none"/>
        </w:rPr>
      </w:pPr>
      <w:r>
        <w:rPr>
          <w:color w:val="auto"/>
          <w:szCs w:val="21"/>
          <w:highlight w:val="none"/>
        </w:rPr>
        <w:t>供应商</w:t>
      </w:r>
      <w:r>
        <w:rPr>
          <w:rFonts w:hint="eastAsia"/>
          <w:color w:val="auto"/>
          <w:szCs w:val="21"/>
          <w:highlight w:val="none"/>
        </w:rPr>
        <w:t>名称（电子签章）</w:t>
      </w:r>
      <w:r>
        <w:rPr>
          <w:color w:val="auto"/>
          <w:szCs w:val="21"/>
          <w:highlight w:val="none"/>
        </w:rPr>
        <w:t>：</w:t>
      </w:r>
      <w:r>
        <w:rPr>
          <w:color w:val="auto"/>
          <w:szCs w:val="21"/>
          <w:highlight w:val="none"/>
          <w:u w:val="single"/>
        </w:rPr>
        <w:t xml:space="preserve">                </w:t>
      </w:r>
    </w:p>
    <w:p w14:paraId="5D466FDB">
      <w:pPr>
        <w:spacing w:line="360" w:lineRule="auto"/>
        <w:ind w:firstLine="1260" w:firstLineChars="600"/>
        <w:jc w:val="left"/>
        <w:rPr>
          <w:color w:val="auto"/>
          <w:highlight w:val="none"/>
        </w:rPr>
      </w:pPr>
    </w:p>
    <w:p w14:paraId="2FE8BD9B">
      <w:pPr>
        <w:spacing w:line="360" w:lineRule="auto"/>
        <w:ind w:firstLine="4515" w:firstLineChars="2150"/>
        <w:jc w:val="left"/>
        <w:rPr>
          <w:color w:val="auto"/>
          <w:highlight w:val="none"/>
        </w:rPr>
      </w:pPr>
      <w:r>
        <w:rPr>
          <w:color w:val="auto"/>
          <w:highlight w:val="none"/>
        </w:rPr>
        <w:t>日期：</w:t>
      </w:r>
      <w:r>
        <w:rPr>
          <w:color w:val="auto"/>
          <w:szCs w:val="21"/>
          <w:highlight w:val="none"/>
          <w:u w:val="single"/>
        </w:rPr>
        <w:t xml:space="preserve">         </w:t>
      </w:r>
      <w:r>
        <w:rPr>
          <w:color w:val="auto"/>
          <w:szCs w:val="21"/>
          <w:highlight w:val="none"/>
        </w:rPr>
        <w:t>年</w:t>
      </w:r>
      <w:r>
        <w:rPr>
          <w:color w:val="auto"/>
          <w:szCs w:val="21"/>
          <w:highlight w:val="none"/>
          <w:u w:val="single"/>
        </w:rPr>
        <w:t xml:space="preserve">        </w:t>
      </w:r>
      <w:r>
        <w:rPr>
          <w:color w:val="auto"/>
          <w:szCs w:val="21"/>
          <w:highlight w:val="none"/>
        </w:rPr>
        <w:t>月</w:t>
      </w:r>
      <w:r>
        <w:rPr>
          <w:color w:val="auto"/>
          <w:szCs w:val="21"/>
          <w:highlight w:val="none"/>
          <w:u w:val="single"/>
        </w:rPr>
        <w:t xml:space="preserve">        </w:t>
      </w:r>
      <w:r>
        <w:rPr>
          <w:color w:val="auto"/>
          <w:szCs w:val="21"/>
          <w:highlight w:val="none"/>
        </w:rPr>
        <w:t>日</w:t>
      </w:r>
    </w:p>
    <w:p w14:paraId="31A7B31F">
      <w:pPr>
        <w:spacing w:line="360" w:lineRule="auto"/>
        <w:ind w:firstLine="560" w:firstLineChars="200"/>
        <w:jc w:val="right"/>
        <w:rPr>
          <w:rFonts w:ascii="宋体" w:hAnsi="宋体" w:eastAsia="宋体"/>
          <w:color w:val="auto"/>
          <w:sz w:val="28"/>
          <w:szCs w:val="28"/>
          <w:highlight w:val="none"/>
        </w:rPr>
      </w:pPr>
    </w:p>
    <w:p w14:paraId="484B0BF6">
      <w:pPr>
        <w:spacing w:line="360" w:lineRule="auto"/>
        <w:ind w:firstLine="560" w:firstLineChars="200"/>
        <w:jc w:val="right"/>
        <w:rPr>
          <w:rFonts w:ascii="宋体" w:hAnsi="宋体" w:eastAsia="宋体"/>
          <w:color w:val="auto"/>
          <w:sz w:val="28"/>
          <w:szCs w:val="28"/>
          <w:highlight w:val="none"/>
        </w:rPr>
        <w:sectPr>
          <w:pgSz w:w="11906" w:h="16838"/>
          <w:pgMar w:top="1134" w:right="1134" w:bottom="1134" w:left="1134" w:header="851" w:footer="992" w:gutter="0"/>
          <w:pgNumType w:fmt="decimal"/>
          <w:cols w:space="425" w:num="1"/>
          <w:docGrid w:type="lines" w:linePitch="312" w:charSpace="0"/>
        </w:sectPr>
      </w:pPr>
    </w:p>
    <w:p w14:paraId="22B3A53C">
      <w:pPr>
        <w:keepNext w:val="0"/>
        <w:keepLines w:val="0"/>
        <w:widowControl/>
        <w:suppressLineNumbers w:val="0"/>
        <w:spacing w:line="360" w:lineRule="auto"/>
        <w:jc w:val="left"/>
        <w:rPr>
          <w:rFonts w:hint="eastAsia" w:ascii="宋体" w:hAnsi="宋体" w:eastAsia="宋体" w:cs="宋体"/>
          <w:b/>
          <w:bCs/>
          <w:color w:val="auto"/>
          <w:kern w:val="0"/>
          <w:sz w:val="24"/>
          <w:szCs w:val="24"/>
          <w:highlight w:val="none"/>
          <w:lang w:val="en-US" w:eastAsia="zh-CN" w:bidi="ar"/>
        </w:rPr>
      </w:pPr>
      <w:r>
        <w:rPr>
          <w:rFonts w:hint="eastAsia" w:ascii="宋体" w:hAnsi="宋体" w:eastAsia="宋体" w:cs="宋体"/>
          <w:b/>
          <w:bCs/>
          <w:color w:val="auto"/>
          <w:kern w:val="0"/>
          <w:sz w:val="24"/>
          <w:szCs w:val="24"/>
          <w:highlight w:val="none"/>
          <w:lang w:val="en-US" w:eastAsia="zh-CN" w:bidi="ar"/>
        </w:rPr>
        <w:t>附</w:t>
      </w:r>
      <w:r>
        <w:rPr>
          <w:rFonts w:hint="eastAsia" w:ascii="宋体" w:hAnsi="宋体" w:cs="宋体"/>
          <w:b/>
          <w:bCs/>
          <w:color w:val="auto"/>
          <w:kern w:val="0"/>
          <w:sz w:val="24"/>
          <w:szCs w:val="24"/>
          <w:highlight w:val="none"/>
          <w:lang w:val="en-US" w:eastAsia="zh-CN" w:bidi="ar"/>
        </w:rPr>
        <w:t>9：</w:t>
      </w:r>
      <w:r>
        <w:rPr>
          <w:rFonts w:hint="eastAsia" w:ascii="宋体" w:hAnsi="宋体" w:eastAsia="宋体" w:cs="宋体"/>
          <w:b/>
          <w:bCs/>
          <w:color w:val="auto"/>
          <w:kern w:val="0"/>
          <w:sz w:val="24"/>
          <w:szCs w:val="24"/>
          <w:highlight w:val="none"/>
          <w:lang w:val="en-US" w:eastAsia="zh-CN" w:bidi="ar"/>
        </w:rPr>
        <w:t>中小企业声明函（格式）</w:t>
      </w:r>
    </w:p>
    <w:p w14:paraId="080625EE">
      <w:pPr>
        <w:keepNext/>
        <w:keepLines/>
        <w:shd w:val="clear" w:color="auto" w:fill="auto"/>
        <w:spacing w:before="260" w:after="260" w:line="360" w:lineRule="auto"/>
        <w:jc w:val="center"/>
        <w:outlineLvl w:val="1"/>
        <w:rPr>
          <w:rFonts w:hint="eastAsia" w:ascii="宋体" w:hAnsi="宋体" w:eastAsia="宋体" w:cs="宋体"/>
          <w:b/>
          <w:bCs/>
          <w:color w:val="auto"/>
          <w:sz w:val="32"/>
          <w:szCs w:val="32"/>
          <w:highlight w:val="none"/>
        </w:rPr>
      </w:pPr>
      <w:bookmarkStart w:id="331" w:name="_Toc27420"/>
      <w:bookmarkStart w:id="332" w:name="_Toc25970"/>
      <w:bookmarkStart w:id="333" w:name="_Toc22821"/>
      <w:bookmarkStart w:id="334" w:name="_Toc28493"/>
      <w:r>
        <w:rPr>
          <w:rFonts w:hint="eastAsia" w:ascii="宋体" w:hAnsi="宋体" w:eastAsia="宋体" w:cs="宋体"/>
          <w:b/>
          <w:bCs/>
          <w:color w:val="auto"/>
          <w:sz w:val="32"/>
          <w:szCs w:val="32"/>
          <w:highlight w:val="none"/>
        </w:rPr>
        <w:t>中小企业声明函（工程）</w:t>
      </w:r>
      <w:bookmarkEnd w:id="331"/>
      <w:bookmarkEnd w:id="332"/>
      <w:bookmarkEnd w:id="333"/>
      <w:bookmarkEnd w:id="334"/>
    </w:p>
    <w:p w14:paraId="5D356A2A">
      <w:pPr>
        <w:shd w:val="clear" w:color="auto" w:fill="auto"/>
        <w:spacing w:line="360" w:lineRule="auto"/>
        <w:ind w:left="-426" w:right="142" w:firstLine="64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本公司（联合体）郑重声明，根据《政府采购促进中小企业发展管理办法》（财库﹝2020﹞46号）的规定，本公司（联合体）参加</w:t>
      </w:r>
      <w:r>
        <w:rPr>
          <w:rFonts w:hint="eastAsia" w:ascii="宋体" w:hAnsi="宋体" w:eastAsia="宋体" w:cs="宋体"/>
          <w:color w:val="auto"/>
          <w:sz w:val="24"/>
          <w:highlight w:val="none"/>
          <w:u w:val="single"/>
          <w:lang w:val="en-US" w:eastAsia="zh-CN"/>
        </w:rPr>
        <w:t xml:space="preserve"> </w:t>
      </w:r>
      <w:r>
        <w:rPr>
          <w:rFonts w:hint="eastAsia" w:ascii="宋体" w:hAnsi="宋体" w:cs="宋体"/>
          <w:color w:val="auto"/>
          <w:sz w:val="24"/>
          <w:highlight w:val="none"/>
          <w:u w:val="single"/>
          <w:lang w:val="en-US" w:eastAsia="zh-CN"/>
        </w:rPr>
        <w:t xml:space="preserve">      </w:t>
      </w:r>
      <w:r>
        <w:rPr>
          <w:rFonts w:hint="eastAsia" w:ascii="宋体" w:hAnsi="宋体" w:eastAsia="宋体" w:cs="宋体"/>
          <w:color w:val="auto"/>
          <w:sz w:val="24"/>
          <w:highlight w:val="none"/>
          <w:u w:val="single"/>
        </w:rPr>
        <w:t>（单位名称）</w:t>
      </w:r>
      <w:r>
        <w:rPr>
          <w:rFonts w:hint="eastAsia" w:ascii="宋体" w:hAnsi="宋体" w:eastAsia="宋体" w:cs="宋体"/>
          <w:color w:val="auto"/>
          <w:sz w:val="24"/>
          <w:highlight w:val="none"/>
        </w:rPr>
        <w:t>的</w:t>
      </w:r>
      <w:r>
        <w:rPr>
          <w:rFonts w:hint="eastAsia" w:ascii="宋体" w:hAnsi="宋体" w:eastAsia="宋体" w:cs="宋体"/>
          <w:color w:val="auto"/>
          <w:sz w:val="24"/>
          <w:highlight w:val="none"/>
          <w:u w:val="single"/>
          <w:lang w:val="en-US" w:eastAsia="zh-CN"/>
        </w:rPr>
        <w:t xml:space="preserve"> </w:t>
      </w:r>
      <w:r>
        <w:rPr>
          <w:rFonts w:hint="eastAsia" w:ascii="宋体" w:hAnsi="宋体" w:cs="宋体"/>
          <w:color w:val="auto"/>
          <w:sz w:val="24"/>
          <w:highlight w:val="none"/>
          <w:u w:val="single"/>
          <w:lang w:val="en-US" w:eastAsia="zh-CN"/>
        </w:rPr>
        <w:t xml:space="preserve">            </w:t>
      </w:r>
      <w:r>
        <w:rPr>
          <w:rFonts w:hint="eastAsia" w:ascii="宋体" w:hAnsi="宋体" w:eastAsia="宋体" w:cs="宋体"/>
          <w:color w:val="auto"/>
          <w:sz w:val="24"/>
          <w:highlight w:val="none"/>
          <w:u w:val="single"/>
        </w:rPr>
        <w:t>（项目名称）</w:t>
      </w:r>
      <w:r>
        <w:rPr>
          <w:rFonts w:hint="eastAsia" w:ascii="宋体" w:hAnsi="宋体" w:eastAsia="宋体" w:cs="宋体"/>
          <w:color w:val="auto"/>
          <w:sz w:val="24"/>
          <w:highlight w:val="none"/>
        </w:rPr>
        <w:t>采购活动，工程的施工单位全部为符合政策要求的中小企业。相关企业（含联合体中的中小企业、签订分包意向协议的中小企业）的具体情况如下：</w:t>
      </w:r>
    </w:p>
    <w:p w14:paraId="1C3A9BE0">
      <w:pPr>
        <w:numPr>
          <w:ilvl w:val="0"/>
          <w:numId w:val="3"/>
        </w:numPr>
        <w:shd w:val="clear" w:color="auto" w:fill="auto"/>
        <w:tabs>
          <w:tab w:val="left" w:pos="1384"/>
          <w:tab w:val="left" w:pos="4562"/>
          <w:tab w:val="left" w:pos="6803"/>
        </w:tabs>
        <w:spacing w:line="360" w:lineRule="auto"/>
        <w:ind w:left="-426" w:right="-58" w:firstLine="655"/>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u w:val="single"/>
        </w:rPr>
        <w:t>（标的名称）</w:t>
      </w:r>
      <w:r>
        <w:rPr>
          <w:rFonts w:hint="eastAsia" w:ascii="宋体" w:hAnsi="宋体" w:eastAsia="宋体" w:cs="宋体"/>
          <w:color w:val="auto"/>
          <w:sz w:val="24"/>
          <w:highlight w:val="none"/>
        </w:rPr>
        <w:t>，属于</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u w:val="single"/>
        </w:rPr>
        <w:t>（采购文件中明确的所属行业）</w:t>
      </w:r>
      <w:r>
        <w:rPr>
          <w:rFonts w:hint="eastAsia" w:ascii="宋体" w:hAnsi="宋体" w:eastAsia="宋体" w:cs="宋体"/>
          <w:color w:val="auto"/>
          <w:sz w:val="24"/>
          <w:highlight w:val="none"/>
        </w:rPr>
        <w:t>行业；施工单位为</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u w:val="single"/>
        </w:rPr>
        <w:t>（企业名称）</w:t>
      </w:r>
      <w:r>
        <w:rPr>
          <w:rFonts w:hint="eastAsia" w:ascii="宋体" w:hAnsi="宋体" w:eastAsia="宋体" w:cs="宋体"/>
          <w:color w:val="auto"/>
          <w:sz w:val="24"/>
          <w:highlight w:val="none"/>
        </w:rPr>
        <w:t>，从业人员</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人，营业收入为</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万元，资产总额为</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万元，属于</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u w:val="single"/>
        </w:rPr>
        <w:t>（中型企业、小型企业、微型企业）</w:t>
      </w:r>
      <w:r>
        <w:rPr>
          <w:rFonts w:hint="eastAsia" w:ascii="宋体" w:hAnsi="宋体" w:eastAsia="宋体" w:cs="宋体"/>
          <w:color w:val="auto"/>
          <w:sz w:val="24"/>
          <w:highlight w:val="none"/>
        </w:rPr>
        <w:t>；</w:t>
      </w:r>
    </w:p>
    <w:p w14:paraId="1893A728">
      <w:pPr>
        <w:numPr>
          <w:ilvl w:val="0"/>
          <w:numId w:val="3"/>
        </w:numPr>
        <w:shd w:val="clear" w:color="auto" w:fill="auto"/>
        <w:tabs>
          <w:tab w:val="left" w:pos="1065"/>
          <w:tab w:val="left" w:pos="6477"/>
        </w:tabs>
        <w:spacing w:line="360" w:lineRule="auto"/>
        <w:ind w:left="-426" w:leftChars="0" w:right="-58" w:firstLine="655" w:firstLineChars="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u w:val="single"/>
        </w:rPr>
        <w:t>（标的名称）</w:t>
      </w:r>
      <w:r>
        <w:rPr>
          <w:rFonts w:hint="eastAsia" w:ascii="宋体" w:hAnsi="宋体" w:eastAsia="宋体" w:cs="宋体"/>
          <w:color w:val="auto"/>
          <w:sz w:val="24"/>
          <w:highlight w:val="none"/>
        </w:rPr>
        <w:t>，属于</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u w:val="single"/>
        </w:rPr>
        <w:t>（采购文件中明确的所属行业）</w:t>
      </w:r>
      <w:r>
        <w:rPr>
          <w:rFonts w:hint="eastAsia" w:ascii="宋体" w:hAnsi="宋体" w:eastAsia="宋体" w:cs="宋体"/>
          <w:color w:val="auto"/>
          <w:sz w:val="24"/>
          <w:highlight w:val="none"/>
        </w:rPr>
        <w:t>行业；施工单位为</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u w:val="single"/>
        </w:rPr>
        <w:t>（企业名称）</w:t>
      </w:r>
      <w:r>
        <w:rPr>
          <w:rFonts w:hint="eastAsia" w:ascii="宋体" w:hAnsi="宋体" w:eastAsia="宋体" w:cs="宋体"/>
          <w:color w:val="auto"/>
          <w:sz w:val="24"/>
          <w:highlight w:val="none"/>
        </w:rPr>
        <w:t>，从业人员</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人，营业收入为</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万元，资产总额为</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万元，属于</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u w:val="single"/>
        </w:rPr>
        <w:t>（中型企业、小型企业、微型企业）</w:t>
      </w:r>
      <w:r>
        <w:rPr>
          <w:rFonts w:hint="eastAsia" w:ascii="宋体" w:hAnsi="宋体" w:eastAsia="宋体" w:cs="宋体"/>
          <w:color w:val="auto"/>
          <w:sz w:val="24"/>
          <w:highlight w:val="none"/>
        </w:rPr>
        <w:t>；</w:t>
      </w:r>
    </w:p>
    <w:p w14:paraId="75AEB7A9">
      <w:pPr>
        <w:shd w:val="clear" w:color="auto" w:fill="auto"/>
        <w:spacing w:line="360" w:lineRule="auto"/>
        <w:ind w:left="142" w:right="142"/>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w:t>
      </w:r>
    </w:p>
    <w:p w14:paraId="48BA1844">
      <w:pPr>
        <w:shd w:val="clear" w:color="auto" w:fill="auto"/>
        <w:spacing w:line="360" w:lineRule="auto"/>
        <w:ind w:left="-405" w:leftChars="-193" w:right="142" w:firstLine="453" w:firstLineChars="189"/>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以上企业，不属于大企业的分支机构，不存在控股股东为大企业的情形，也不存在与大企业的负责人为同一人的情形。</w:t>
      </w:r>
    </w:p>
    <w:p w14:paraId="1A405E3D">
      <w:pPr>
        <w:shd w:val="clear" w:color="auto" w:fill="auto"/>
        <w:spacing w:line="360" w:lineRule="auto"/>
        <w:ind w:left="-426" w:right="142" w:firstLine="567"/>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本企业对上述声明内容的真实性负责。如有虚假，将依法承担相应责任。</w:t>
      </w:r>
    </w:p>
    <w:p w14:paraId="37B7AFAB">
      <w:pPr>
        <w:shd w:val="clear" w:color="auto" w:fill="auto"/>
        <w:spacing w:line="360" w:lineRule="auto"/>
        <w:ind w:left="3960" w:right="1808"/>
        <w:contextualSpacing/>
        <w:rPr>
          <w:rFonts w:hint="eastAsia" w:ascii="宋体" w:hAnsi="宋体" w:eastAsia="宋体" w:cs="宋体"/>
          <w:color w:val="auto"/>
          <w:sz w:val="24"/>
          <w:highlight w:val="none"/>
        </w:rPr>
      </w:pPr>
    </w:p>
    <w:p w14:paraId="70C04738">
      <w:pPr>
        <w:shd w:val="clear" w:color="auto" w:fill="auto"/>
        <w:autoSpaceDE w:val="0"/>
        <w:autoSpaceDN w:val="0"/>
        <w:spacing w:line="360" w:lineRule="auto"/>
        <w:ind w:left="4335" w:leftChars="1950" w:hanging="240" w:hangingChars="1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供应商名称（电子签章）：</w:t>
      </w:r>
    </w:p>
    <w:p w14:paraId="347B3B44">
      <w:pPr>
        <w:shd w:val="clear" w:color="auto" w:fill="auto"/>
        <w:autoSpaceDE w:val="0"/>
        <w:autoSpaceDN w:val="0"/>
        <w:spacing w:line="360" w:lineRule="auto"/>
        <w:ind w:firstLine="6480" w:firstLineChars="2700"/>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日期：  年  月   日</w:t>
      </w:r>
    </w:p>
    <w:p w14:paraId="2F3BFA49">
      <w:pPr>
        <w:shd w:val="clear" w:color="auto" w:fill="auto"/>
        <w:spacing w:line="360" w:lineRule="auto"/>
        <w:ind w:left="3960" w:right="1808"/>
        <w:contextualSpacing/>
        <w:rPr>
          <w:rFonts w:hint="eastAsia" w:ascii="宋体" w:hAnsi="宋体" w:eastAsia="宋体" w:cs="宋体"/>
          <w:color w:val="auto"/>
          <w:sz w:val="24"/>
          <w:highlight w:val="none"/>
        </w:rPr>
      </w:pPr>
    </w:p>
    <w:p w14:paraId="08C4ED6D">
      <w:pPr>
        <w:shd w:val="clear" w:color="auto" w:fill="auto"/>
        <w:wordWrap w:val="0"/>
        <w:spacing w:line="360" w:lineRule="auto"/>
        <w:ind w:right="11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从业人员、营业收入、资产总额填报上一年度数据，无上一年度数据的新成立企业可不填报。</w:t>
      </w:r>
    </w:p>
    <w:p w14:paraId="42E6F900">
      <w:pPr>
        <w:shd w:val="clear" w:color="auto" w:fill="auto"/>
        <w:wordWrap w:val="0"/>
        <w:spacing w:line="360" w:lineRule="auto"/>
        <w:ind w:right="1809"/>
        <w:contextualSpacing/>
        <w:rPr>
          <w:rFonts w:hint="eastAsia" w:ascii="宋体" w:hAnsi="宋体" w:eastAsia="宋体" w:cs="宋体"/>
          <w:color w:val="auto"/>
          <w:sz w:val="24"/>
          <w:highlight w:val="none"/>
        </w:rPr>
      </w:pPr>
    </w:p>
    <w:p w14:paraId="6DD2422A">
      <w:pPr>
        <w:shd w:val="clear" w:color="auto" w:fill="auto"/>
        <w:spacing w:line="360" w:lineRule="auto"/>
        <w:rPr>
          <w:rFonts w:hint="eastAsia" w:ascii="宋体" w:hAnsi="宋体" w:eastAsia="宋体" w:cs="宋体"/>
          <w:color w:val="auto"/>
          <w:sz w:val="24"/>
          <w:highlight w:val="none"/>
        </w:rPr>
        <w:sectPr>
          <w:footerReference r:id="rId10" w:type="default"/>
          <w:pgSz w:w="11905" w:h="16838"/>
          <w:pgMar w:top="1440" w:right="1083" w:bottom="1440" w:left="1083" w:header="850" w:footer="992" w:gutter="0"/>
          <w:pgNumType w:fmt="decimal"/>
          <w:cols w:space="720" w:num="1"/>
          <w:titlePg/>
          <w:rtlGutter w:val="0"/>
          <w:docGrid w:type="lines" w:linePitch="317" w:charSpace="0"/>
        </w:sectPr>
      </w:pPr>
      <w:r>
        <w:rPr>
          <w:rFonts w:hint="eastAsia" w:ascii="宋体" w:hAnsi="宋体" w:eastAsia="宋体" w:cs="宋体"/>
          <w:color w:val="auto"/>
          <w:kern w:val="0"/>
          <w:sz w:val="24"/>
          <w:highlight w:val="none"/>
        </w:rPr>
        <w:t>注：享受《政府采购促进中小企业发展管理办法》（财库〔2020〕46号）规定的中小企业扶持政策的，采购人、采购代理机构应当随成交结果公开成交供应商的《中小企业声明函》。从业人员、营业收入、资产总额填报上一年度数据，无上一年度数据的新成立企业可不填报。</w:t>
      </w:r>
    </w:p>
    <w:p w14:paraId="5BE71E5D">
      <w:pPr>
        <w:shd w:val="clear" w:color="auto" w:fill="auto"/>
        <w:spacing w:line="360" w:lineRule="auto"/>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残疾人福利性单位声明函</w:t>
      </w:r>
    </w:p>
    <w:p w14:paraId="37933DB6">
      <w:pPr>
        <w:shd w:val="clear" w:color="auto" w:fill="auto"/>
        <w:spacing w:line="360" w:lineRule="auto"/>
        <w:rPr>
          <w:rFonts w:hint="eastAsia" w:ascii="宋体" w:hAnsi="宋体" w:eastAsia="宋体" w:cs="宋体"/>
          <w:color w:val="auto"/>
          <w:sz w:val="32"/>
          <w:szCs w:val="32"/>
          <w:highlight w:val="none"/>
        </w:rPr>
      </w:pPr>
    </w:p>
    <w:p w14:paraId="3A64A7D9">
      <w:pPr>
        <w:shd w:val="clear" w:color="auto" w:fill="auto"/>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本单位郑重声明，根据《财政部 民政部 中国残疾人联合会关于促进残疾人就业政府采购政策的通知》（财库〔2017〕141号）的规定，本单位为符合条件的残疾人福利性单位，且本单位参加</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单位的</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项目采购活动由本单位提供服务。</w:t>
      </w:r>
    </w:p>
    <w:p w14:paraId="2018E548">
      <w:pPr>
        <w:shd w:val="clear" w:color="auto" w:fill="auto"/>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本单位对上述声明的真实性负责。如有虚假，将依法承担相应责任。</w:t>
      </w:r>
    </w:p>
    <w:p w14:paraId="1EF781B4">
      <w:pPr>
        <w:shd w:val="clear" w:color="auto" w:fill="auto"/>
        <w:spacing w:line="360" w:lineRule="auto"/>
        <w:contextualSpacing/>
        <w:rPr>
          <w:rFonts w:hint="eastAsia" w:ascii="宋体" w:hAnsi="宋体" w:eastAsia="宋体" w:cs="宋体"/>
          <w:color w:val="auto"/>
          <w:sz w:val="24"/>
          <w:highlight w:val="none"/>
        </w:rPr>
      </w:pPr>
    </w:p>
    <w:p w14:paraId="336B33F2">
      <w:pPr>
        <w:shd w:val="clear" w:color="auto" w:fill="auto"/>
        <w:spacing w:line="360" w:lineRule="auto"/>
        <w:contextualSpacing/>
        <w:rPr>
          <w:rFonts w:hint="eastAsia" w:ascii="宋体" w:hAnsi="宋体" w:eastAsia="宋体" w:cs="宋体"/>
          <w:color w:val="auto"/>
          <w:sz w:val="24"/>
          <w:highlight w:val="none"/>
        </w:rPr>
      </w:pPr>
    </w:p>
    <w:p w14:paraId="3597C396">
      <w:pPr>
        <w:shd w:val="clear" w:color="auto" w:fill="auto"/>
        <w:spacing w:line="360" w:lineRule="auto"/>
        <w:contextualSpacing/>
        <w:rPr>
          <w:rFonts w:hint="eastAsia" w:ascii="宋体" w:hAnsi="宋体" w:eastAsia="宋体" w:cs="宋体"/>
          <w:color w:val="auto"/>
          <w:sz w:val="24"/>
          <w:highlight w:val="none"/>
        </w:rPr>
      </w:pPr>
    </w:p>
    <w:p w14:paraId="71D5373C">
      <w:pPr>
        <w:shd w:val="clear" w:color="auto" w:fill="auto"/>
        <w:spacing w:line="360" w:lineRule="auto"/>
        <w:ind w:firstLine="2400" w:firstLineChars="10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供应商名称（电子签章）：</w:t>
      </w:r>
    </w:p>
    <w:p w14:paraId="09E2B305">
      <w:pPr>
        <w:shd w:val="clear" w:color="auto" w:fill="auto"/>
        <w:spacing w:line="360" w:lineRule="auto"/>
        <w:ind w:firstLine="4320" w:firstLineChars="18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日  期：     年   月   日</w:t>
      </w:r>
    </w:p>
    <w:p w14:paraId="36C23AF0">
      <w:pPr>
        <w:shd w:val="clear" w:color="auto" w:fill="auto"/>
        <w:spacing w:line="360" w:lineRule="auto"/>
        <w:contextualSpacing/>
        <w:rPr>
          <w:rFonts w:hint="eastAsia" w:ascii="宋体" w:hAnsi="宋体" w:eastAsia="宋体" w:cs="宋体"/>
          <w:color w:val="auto"/>
          <w:sz w:val="24"/>
          <w:highlight w:val="none"/>
        </w:rPr>
      </w:pPr>
    </w:p>
    <w:p w14:paraId="1282DCFB">
      <w:pPr>
        <w:shd w:val="clear" w:color="auto" w:fill="auto"/>
        <w:spacing w:line="360" w:lineRule="auto"/>
        <w:contextualSpacing/>
        <w:rPr>
          <w:rFonts w:hint="eastAsia" w:ascii="宋体" w:hAnsi="宋体" w:eastAsia="宋体" w:cs="宋体"/>
          <w:color w:val="auto"/>
          <w:sz w:val="24"/>
          <w:highlight w:val="none"/>
        </w:rPr>
      </w:pPr>
    </w:p>
    <w:p w14:paraId="31ECAFD0">
      <w:pPr>
        <w:shd w:val="clear" w:color="auto" w:fill="auto"/>
        <w:spacing w:line="360" w:lineRule="auto"/>
        <w:contextualSpacing/>
        <w:rPr>
          <w:rFonts w:hint="eastAsia" w:ascii="宋体" w:hAnsi="宋体" w:eastAsia="宋体" w:cs="宋体"/>
          <w:color w:val="auto"/>
          <w:sz w:val="24"/>
          <w:highlight w:val="none"/>
        </w:rPr>
      </w:pPr>
    </w:p>
    <w:p w14:paraId="6F86264D">
      <w:pPr>
        <w:shd w:val="clear" w:color="auto" w:fill="auto"/>
        <w:spacing w:line="360" w:lineRule="auto"/>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注：请根据自己的真实情况出具《残疾人福利性单位声明函》。依法享受中小企业优惠政策的，采购人或者采购代理机构在公告中标结果时，同时公告其《残疾人福利性单位声明函》，接受社会监督。</w:t>
      </w:r>
    </w:p>
    <w:p w14:paraId="6921563C">
      <w:pPr>
        <w:shd w:val="clear" w:color="auto" w:fill="auto"/>
        <w:snapToGrid w:val="0"/>
        <w:spacing w:line="360" w:lineRule="auto"/>
        <w:ind w:firstLine="831" w:firstLineChars="396"/>
        <w:jc w:val="left"/>
        <w:rPr>
          <w:rFonts w:hint="eastAsia" w:ascii="宋体" w:hAnsi="宋体" w:eastAsia="宋体" w:cs="宋体"/>
          <w:color w:val="auto"/>
          <w:szCs w:val="21"/>
          <w:highlight w:val="none"/>
        </w:rPr>
      </w:pPr>
    </w:p>
    <w:p w14:paraId="1E4F8145">
      <w:pPr>
        <w:pStyle w:val="32"/>
        <w:spacing w:line="360" w:lineRule="auto"/>
        <w:rPr>
          <w:rFonts w:hint="eastAsia" w:ascii="宋体" w:hAnsi="宋体" w:eastAsia="宋体" w:cs="宋体"/>
          <w:b/>
          <w:color w:val="auto"/>
          <w:sz w:val="32"/>
          <w:szCs w:val="32"/>
          <w:highlight w:val="none"/>
        </w:rPr>
      </w:pPr>
    </w:p>
    <w:p w14:paraId="1E45461A">
      <w:pPr>
        <w:pStyle w:val="32"/>
        <w:spacing w:line="360" w:lineRule="auto"/>
        <w:rPr>
          <w:rFonts w:hint="eastAsia" w:ascii="宋体" w:hAnsi="宋体" w:eastAsia="宋体" w:cs="宋体"/>
          <w:b/>
          <w:color w:val="auto"/>
          <w:sz w:val="32"/>
          <w:szCs w:val="32"/>
          <w:highlight w:val="none"/>
        </w:rPr>
      </w:pPr>
    </w:p>
    <w:p w14:paraId="6634C288">
      <w:pPr>
        <w:pStyle w:val="32"/>
        <w:spacing w:line="360" w:lineRule="auto"/>
        <w:rPr>
          <w:rFonts w:hint="eastAsia" w:ascii="宋体" w:hAnsi="宋体" w:eastAsia="宋体" w:cs="宋体"/>
          <w:b/>
          <w:color w:val="auto"/>
          <w:sz w:val="32"/>
          <w:szCs w:val="32"/>
          <w:highlight w:val="none"/>
        </w:rPr>
      </w:pPr>
    </w:p>
    <w:p w14:paraId="58DC40B7">
      <w:pPr>
        <w:pStyle w:val="32"/>
        <w:spacing w:line="360" w:lineRule="auto"/>
        <w:rPr>
          <w:rFonts w:hint="eastAsia" w:ascii="宋体" w:hAnsi="宋体" w:eastAsia="宋体" w:cs="宋体"/>
          <w:b/>
          <w:color w:val="auto"/>
          <w:sz w:val="32"/>
          <w:szCs w:val="32"/>
          <w:highlight w:val="none"/>
        </w:rPr>
      </w:pPr>
    </w:p>
    <w:p w14:paraId="525F0BD7">
      <w:pPr>
        <w:pStyle w:val="32"/>
        <w:spacing w:line="360" w:lineRule="auto"/>
        <w:rPr>
          <w:rFonts w:hint="eastAsia" w:ascii="宋体" w:hAnsi="宋体" w:eastAsia="宋体" w:cs="宋体"/>
          <w:b/>
          <w:color w:val="auto"/>
          <w:sz w:val="32"/>
          <w:szCs w:val="32"/>
          <w:highlight w:val="none"/>
        </w:rPr>
      </w:pPr>
    </w:p>
    <w:p w14:paraId="0FBE2F39">
      <w:pPr>
        <w:pStyle w:val="32"/>
        <w:spacing w:line="360" w:lineRule="auto"/>
        <w:rPr>
          <w:rFonts w:hint="eastAsia" w:ascii="宋体" w:hAnsi="宋体" w:eastAsia="宋体" w:cs="宋体"/>
          <w:b/>
          <w:color w:val="auto"/>
          <w:sz w:val="32"/>
          <w:szCs w:val="32"/>
          <w:highlight w:val="none"/>
        </w:rPr>
      </w:pPr>
    </w:p>
    <w:p w14:paraId="486D3187">
      <w:pPr>
        <w:pStyle w:val="32"/>
        <w:spacing w:line="360" w:lineRule="auto"/>
        <w:rPr>
          <w:rFonts w:hint="eastAsia" w:ascii="宋体" w:hAnsi="宋体" w:eastAsia="宋体" w:cs="宋体"/>
          <w:b/>
          <w:color w:val="auto"/>
          <w:sz w:val="32"/>
          <w:szCs w:val="32"/>
          <w:highlight w:val="none"/>
        </w:rPr>
      </w:pPr>
    </w:p>
    <w:p w14:paraId="60CE8C75">
      <w:pPr>
        <w:pStyle w:val="32"/>
        <w:spacing w:line="360" w:lineRule="auto"/>
        <w:rPr>
          <w:rFonts w:hint="eastAsia" w:ascii="宋体" w:hAnsi="宋体" w:eastAsia="宋体" w:cs="宋体"/>
          <w:b/>
          <w:color w:val="auto"/>
          <w:sz w:val="32"/>
          <w:szCs w:val="32"/>
          <w:highlight w:val="none"/>
        </w:rPr>
      </w:pPr>
    </w:p>
    <w:p w14:paraId="42FE909F">
      <w:pPr>
        <w:snapToGrid w:val="0"/>
        <w:spacing w:beforeLines="50" w:after="50" w:line="360" w:lineRule="auto"/>
        <w:ind w:right="480"/>
        <w:jc w:val="left"/>
        <w:outlineLvl w:val="1"/>
        <w:rPr>
          <w:rFonts w:hint="eastAsia" w:ascii="宋体" w:hAnsi="宋体" w:eastAsia="宋体" w:cs="宋体"/>
          <w:b/>
          <w:color w:val="auto"/>
          <w:sz w:val="32"/>
          <w:szCs w:val="32"/>
          <w:highlight w:val="none"/>
        </w:rPr>
      </w:pPr>
      <w:bookmarkStart w:id="335" w:name="_Toc23281"/>
      <w:bookmarkStart w:id="336" w:name="_Toc154392657"/>
      <w:bookmarkStart w:id="337" w:name="_Toc14429"/>
      <w:bookmarkStart w:id="338" w:name="_Toc4270"/>
      <w:bookmarkStart w:id="339" w:name="_Toc4134"/>
      <w:bookmarkStart w:id="340" w:name="OLE_LINK19"/>
      <w:r>
        <w:rPr>
          <w:rFonts w:hint="eastAsia" w:ascii="宋体" w:hAnsi="宋体" w:eastAsia="宋体" w:cs="宋体"/>
          <w:b/>
          <w:bCs/>
          <w:color w:val="auto"/>
          <w:sz w:val="32"/>
          <w:szCs w:val="32"/>
          <w:highlight w:val="none"/>
        </w:rPr>
        <w:t>二、</w:t>
      </w:r>
      <w:r>
        <w:rPr>
          <w:rFonts w:hint="eastAsia" w:ascii="宋体" w:hAnsi="宋体" w:eastAsia="宋体" w:cs="宋体"/>
          <w:b/>
          <w:color w:val="auto"/>
          <w:sz w:val="32"/>
          <w:szCs w:val="32"/>
          <w:highlight w:val="none"/>
        </w:rPr>
        <w:t>报价文件格式</w:t>
      </w:r>
      <w:bookmarkEnd w:id="335"/>
      <w:bookmarkEnd w:id="336"/>
      <w:bookmarkEnd w:id="337"/>
      <w:bookmarkEnd w:id="338"/>
      <w:bookmarkEnd w:id="339"/>
    </w:p>
    <w:bookmarkEnd w:id="340"/>
    <w:p w14:paraId="3795512B">
      <w:pPr>
        <w:snapToGrid w:val="0"/>
        <w:spacing w:beforeLines="50" w:after="50" w:line="360" w:lineRule="auto"/>
        <w:jc w:val="center"/>
        <w:outlineLvl w:val="2"/>
        <w:rPr>
          <w:rFonts w:hint="eastAsia" w:ascii="宋体" w:hAnsi="宋体" w:eastAsia="宋体" w:cs="宋体"/>
          <w:b/>
          <w:color w:val="auto"/>
          <w:sz w:val="28"/>
          <w:szCs w:val="28"/>
          <w:highlight w:val="none"/>
        </w:rPr>
      </w:pPr>
      <w:bookmarkStart w:id="341" w:name="_Toc26081"/>
      <w:bookmarkStart w:id="342" w:name="_Toc20080"/>
      <w:bookmarkStart w:id="343" w:name="_Toc25556"/>
      <w:r>
        <w:rPr>
          <w:rFonts w:hint="eastAsia" w:ascii="宋体" w:hAnsi="宋体" w:cs="宋体"/>
          <w:b/>
          <w:color w:val="auto"/>
          <w:sz w:val="28"/>
          <w:szCs w:val="28"/>
          <w:highlight w:val="none"/>
          <w:lang w:val="en-US" w:eastAsia="zh-CN"/>
        </w:rPr>
        <w:t>1</w:t>
      </w:r>
      <w:r>
        <w:rPr>
          <w:rFonts w:hint="eastAsia" w:ascii="宋体" w:hAnsi="宋体" w:eastAsia="宋体" w:cs="宋体"/>
          <w:b/>
          <w:color w:val="auto"/>
          <w:sz w:val="32"/>
          <w:szCs w:val="32"/>
          <w:highlight w:val="none"/>
        </w:rPr>
        <w:t>、</w:t>
      </w:r>
      <w:r>
        <w:rPr>
          <w:rFonts w:hint="eastAsia" w:ascii="宋体" w:hAnsi="宋体" w:cs="宋体"/>
          <w:b/>
          <w:color w:val="auto"/>
          <w:sz w:val="32"/>
          <w:szCs w:val="32"/>
          <w:highlight w:val="none"/>
          <w:lang w:val="en-US" w:eastAsia="zh-CN"/>
        </w:rPr>
        <w:t>报价</w:t>
      </w:r>
      <w:r>
        <w:rPr>
          <w:rFonts w:hint="eastAsia" w:ascii="宋体" w:hAnsi="宋体" w:eastAsia="宋体" w:cs="宋体"/>
          <w:b/>
          <w:color w:val="auto"/>
          <w:sz w:val="32"/>
          <w:szCs w:val="32"/>
          <w:highlight w:val="none"/>
        </w:rPr>
        <w:t>文件封面格式：</w:t>
      </w:r>
      <w:bookmarkEnd w:id="341"/>
      <w:bookmarkEnd w:id="342"/>
      <w:bookmarkEnd w:id="343"/>
    </w:p>
    <w:p w14:paraId="0A3AF363">
      <w:pPr>
        <w:spacing w:after="120" w:line="360" w:lineRule="auto"/>
        <w:ind w:left="420" w:leftChars="200" w:firstLine="420" w:firstLineChars="200"/>
        <w:rPr>
          <w:rFonts w:hint="eastAsia" w:ascii="宋体" w:hAnsi="宋体" w:eastAsia="宋体" w:cs="宋体"/>
          <w:color w:val="auto"/>
          <w:sz w:val="32"/>
          <w:szCs w:val="32"/>
          <w:highlight w:val="none"/>
        </w:rPr>
      </w:pPr>
      <w:r>
        <w:rPr>
          <w:rFonts w:hint="eastAsia" w:ascii="宋体" w:hAnsi="宋体" w:eastAsia="宋体" w:cs="宋体"/>
          <w:color w:val="auto"/>
          <w:highlight w:val="none"/>
        </w:rPr>
        <w:t xml:space="preserve"> </w:t>
      </w:r>
    </w:p>
    <w:p w14:paraId="09AAF22C">
      <w:pPr>
        <w:snapToGrid w:val="0"/>
        <w:spacing w:beforeLines="50" w:after="50" w:line="360" w:lineRule="auto"/>
        <w:rPr>
          <w:rFonts w:hint="eastAsia" w:ascii="宋体" w:hAnsi="宋体" w:eastAsia="宋体" w:cs="宋体"/>
          <w:bCs/>
          <w:color w:val="auto"/>
          <w:sz w:val="32"/>
          <w:szCs w:val="32"/>
          <w:highlight w:val="none"/>
        </w:rPr>
      </w:pPr>
      <w:r>
        <w:rPr>
          <w:rFonts w:hint="eastAsia" w:ascii="宋体" w:hAnsi="宋体" w:eastAsia="宋体" w:cs="宋体"/>
          <w:color w:val="auto"/>
          <w:sz w:val="24"/>
          <w:highlight w:val="none"/>
        </w:rPr>
        <w:t xml:space="preserve">                                          </w:t>
      </w:r>
      <w:r>
        <w:rPr>
          <w:rFonts w:hint="eastAsia" w:ascii="宋体" w:hAnsi="宋体" w:eastAsia="宋体" w:cs="宋体"/>
          <w:color w:val="auto"/>
          <w:sz w:val="28"/>
          <w:szCs w:val="28"/>
          <w:highlight w:val="none"/>
        </w:rPr>
        <w:t xml:space="preserve"> 全流程电子文件</w:t>
      </w:r>
    </w:p>
    <w:p w14:paraId="0E52672B">
      <w:pPr>
        <w:snapToGrid w:val="0"/>
        <w:spacing w:beforeLines="50" w:after="5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w:t>
      </w:r>
    </w:p>
    <w:p w14:paraId="24683F68">
      <w:pPr>
        <w:snapToGrid w:val="0"/>
        <w:spacing w:beforeLines="50" w:after="5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w:t>
      </w:r>
    </w:p>
    <w:p w14:paraId="6239FD35">
      <w:pPr>
        <w:snapToGrid w:val="0"/>
        <w:spacing w:beforeLines="50" w:after="5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w:t>
      </w:r>
    </w:p>
    <w:p w14:paraId="45BBE166">
      <w:pPr>
        <w:spacing w:line="360" w:lineRule="auto"/>
        <w:jc w:val="center"/>
        <w:rPr>
          <w:rFonts w:hint="eastAsia" w:ascii="宋体" w:hAnsi="宋体" w:eastAsia="宋体" w:cs="宋体"/>
          <w:bCs/>
          <w:color w:val="auto"/>
          <w:sz w:val="44"/>
          <w:szCs w:val="44"/>
          <w:highlight w:val="none"/>
        </w:rPr>
      </w:pPr>
      <w:r>
        <w:rPr>
          <w:rFonts w:hint="eastAsia" w:ascii="宋体" w:hAnsi="宋体" w:eastAsia="宋体" w:cs="宋体"/>
          <w:bCs/>
          <w:color w:val="auto"/>
          <w:sz w:val="44"/>
          <w:szCs w:val="44"/>
          <w:highlight w:val="none"/>
        </w:rPr>
        <w:t xml:space="preserve"> 报 价 文 件</w:t>
      </w:r>
    </w:p>
    <w:p w14:paraId="407B9F3C">
      <w:pPr>
        <w:snapToGrid w:val="0"/>
        <w:spacing w:beforeLines="50" w:after="50" w:line="360" w:lineRule="auto"/>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 xml:space="preserve"> </w:t>
      </w:r>
    </w:p>
    <w:p w14:paraId="2E089601">
      <w:pPr>
        <w:snapToGrid w:val="0"/>
        <w:spacing w:beforeLines="50" w:after="50" w:line="360" w:lineRule="auto"/>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 xml:space="preserve"> </w:t>
      </w:r>
    </w:p>
    <w:p w14:paraId="7A4EE300">
      <w:pPr>
        <w:snapToGrid w:val="0"/>
        <w:spacing w:beforeLines="50" w:after="50" w:line="360" w:lineRule="auto"/>
        <w:rPr>
          <w:rFonts w:hint="eastAsia" w:ascii="宋体" w:hAnsi="宋体" w:eastAsia="宋体" w:cs="宋体"/>
          <w:bCs/>
          <w:color w:val="auto"/>
          <w:sz w:val="24"/>
          <w:szCs w:val="20"/>
          <w:highlight w:val="none"/>
        </w:rPr>
      </w:pPr>
      <w:r>
        <w:rPr>
          <w:rFonts w:hint="eastAsia" w:ascii="宋体" w:hAnsi="宋体" w:eastAsia="宋体" w:cs="宋体"/>
          <w:bCs/>
          <w:color w:val="auto"/>
          <w:sz w:val="24"/>
          <w:highlight w:val="none"/>
        </w:rPr>
        <w:t xml:space="preserve"> </w:t>
      </w:r>
    </w:p>
    <w:p w14:paraId="50348086">
      <w:pPr>
        <w:snapToGrid w:val="0"/>
        <w:spacing w:beforeLines="50" w:after="50" w:line="360" w:lineRule="auto"/>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项目名称：</w:t>
      </w:r>
    </w:p>
    <w:p w14:paraId="430D5D89">
      <w:pPr>
        <w:snapToGrid w:val="0"/>
        <w:spacing w:beforeLines="50" w:after="50" w:line="360" w:lineRule="auto"/>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项目编号：</w:t>
      </w:r>
    </w:p>
    <w:p w14:paraId="5FB84E37">
      <w:pPr>
        <w:snapToGrid w:val="0"/>
        <w:spacing w:beforeLines="50" w:after="50" w:line="360" w:lineRule="auto"/>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所竞分标：（如有则填写，无分标时填写“无”或者留空）</w:t>
      </w:r>
    </w:p>
    <w:p w14:paraId="128F806F">
      <w:pPr>
        <w:pStyle w:val="11"/>
        <w:snapToGrid w:val="0"/>
        <w:spacing w:before="50" w:after="50" w:line="360" w:lineRule="auto"/>
        <w:ind w:firstLine="0"/>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供应商名称：</w:t>
      </w:r>
    </w:p>
    <w:p w14:paraId="29E7B6C1">
      <w:pPr>
        <w:pStyle w:val="11"/>
        <w:snapToGrid w:val="0"/>
        <w:spacing w:before="50" w:after="50" w:line="360" w:lineRule="auto"/>
        <w:ind w:firstLine="720" w:firstLineChars="225"/>
        <w:rPr>
          <w:rFonts w:hint="eastAsia" w:ascii="宋体" w:hAnsi="宋体" w:eastAsia="宋体" w:cs="宋体"/>
          <w:bCs/>
          <w:color w:val="auto"/>
          <w:sz w:val="32"/>
          <w:szCs w:val="32"/>
          <w:highlight w:val="none"/>
        </w:rPr>
      </w:pPr>
    </w:p>
    <w:p w14:paraId="737AF06E">
      <w:pPr>
        <w:pStyle w:val="11"/>
        <w:snapToGrid w:val="0"/>
        <w:spacing w:before="50" w:after="50" w:line="360" w:lineRule="auto"/>
        <w:ind w:firstLine="1280" w:firstLineChars="400"/>
        <w:rPr>
          <w:rFonts w:hint="eastAsia" w:ascii="宋体" w:hAnsi="宋体" w:eastAsia="宋体" w:cs="宋体"/>
          <w:bCs/>
          <w:color w:val="auto"/>
          <w:sz w:val="32"/>
          <w:szCs w:val="32"/>
          <w:highlight w:val="none"/>
        </w:rPr>
      </w:pPr>
    </w:p>
    <w:p w14:paraId="0C0F73C8">
      <w:pPr>
        <w:pStyle w:val="11"/>
        <w:snapToGrid w:val="0"/>
        <w:spacing w:before="50" w:after="50" w:line="360" w:lineRule="auto"/>
        <w:ind w:firstLine="1280" w:firstLineChars="400"/>
        <w:rPr>
          <w:rFonts w:hint="eastAsia" w:ascii="宋体" w:hAnsi="宋体" w:eastAsia="宋体" w:cs="宋体"/>
          <w:bCs/>
          <w:color w:val="auto"/>
          <w:sz w:val="32"/>
          <w:szCs w:val="32"/>
          <w:highlight w:val="none"/>
        </w:rPr>
      </w:pPr>
    </w:p>
    <w:p w14:paraId="0F300A4C">
      <w:pPr>
        <w:snapToGrid w:val="0"/>
        <w:spacing w:beforeLines="50" w:after="50" w:line="360" w:lineRule="auto"/>
        <w:jc w:val="center"/>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年    月    日</w:t>
      </w:r>
    </w:p>
    <w:p w14:paraId="0B0E6EB8">
      <w:pPr>
        <w:snapToGrid w:val="0"/>
        <w:spacing w:beforeLines="50" w:after="50" w:line="360" w:lineRule="auto"/>
        <w:ind w:left="142"/>
        <w:jc w:val="center"/>
        <w:rPr>
          <w:rFonts w:hint="eastAsia" w:ascii="宋体" w:hAnsi="宋体" w:eastAsia="宋体" w:cs="宋体"/>
          <w:b/>
          <w:bCs/>
          <w:color w:val="auto"/>
          <w:sz w:val="28"/>
          <w:szCs w:val="28"/>
          <w:highlight w:val="none"/>
        </w:rPr>
      </w:pPr>
      <w:r>
        <w:rPr>
          <w:rFonts w:hint="eastAsia" w:ascii="宋体" w:hAnsi="宋体" w:eastAsia="宋体" w:cs="宋体"/>
          <w:color w:val="auto"/>
          <w:sz w:val="24"/>
          <w:highlight w:val="none"/>
        </w:rPr>
        <w:br w:type="page"/>
      </w:r>
      <w:r>
        <w:rPr>
          <w:rFonts w:hint="eastAsia" w:ascii="宋体" w:hAnsi="宋体" w:eastAsia="宋体" w:cs="宋体"/>
          <w:b/>
          <w:bCs/>
          <w:color w:val="auto"/>
          <w:sz w:val="28"/>
          <w:szCs w:val="28"/>
          <w:highlight w:val="none"/>
        </w:rPr>
        <w:t>2</w:t>
      </w:r>
      <w:r>
        <w:rPr>
          <w:rFonts w:hint="eastAsia" w:ascii="宋体" w:hAnsi="宋体" w:eastAsia="宋体" w:cs="宋体"/>
          <w:b/>
          <w:color w:val="auto"/>
          <w:sz w:val="28"/>
          <w:szCs w:val="28"/>
          <w:highlight w:val="none"/>
        </w:rPr>
        <w:t>．</w:t>
      </w:r>
      <w:r>
        <w:rPr>
          <w:rFonts w:hint="eastAsia" w:ascii="宋体" w:hAnsi="宋体" w:eastAsia="宋体" w:cs="宋体"/>
          <w:b/>
          <w:bCs/>
          <w:color w:val="auto"/>
          <w:sz w:val="28"/>
          <w:szCs w:val="28"/>
          <w:highlight w:val="none"/>
        </w:rPr>
        <w:t>报价文件目录</w:t>
      </w:r>
    </w:p>
    <w:p w14:paraId="4AD67E4F">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根据磋商文件规定及供应商提供的材料自行编写目录（部分格式后附）。</w:t>
      </w:r>
    </w:p>
    <w:p w14:paraId="22841ED1">
      <w:pPr>
        <w:spacing w:line="360" w:lineRule="auto"/>
        <w:ind w:firstLine="420" w:firstLineChars="200"/>
        <w:rPr>
          <w:rFonts w:ascii="宋体" w:hAnsi="宋体" w:eastAsia="宋体"/>
          <w:color w:val="auto"/>
          <w:szCs w:val="21"/>
          <w:highlight w:val="none"/>
        </w:rPr>
        <w:sectPr>
          <w:pgSz w:w="11906" w:h="16838"/>
          <w:pgMar w:top="1440" w:right="1134" w:bottom="1440" w:left="1418" w:header="851" w:footer="992" w:gutter="0"/>
          <w:pgNumType w:fmt="decimal"/>
          <w:cols w:space="425" w:num="1"/>
          <w:docGrid w:type="lines" w:linePitch="312" w:charSpace="0"/>
        </w:sectPr>
      </w:pPr>
    </w:p>
    <w:p w14:paraId="4C5E8FEC">
      <w:pPr>
        <w:spacing w:line="360" w:lineRule="auto"/>
        <w:jc w:val="center"/>
        <w:outlineLvl w:val="2"/>
        <w:rPr>
          <w:rFonts w:hint="default" w:ascii="宋体" w:hAnsi="宋体" w:eastAsia="宋体" w:cs="宋体"/>
          <w:b/>
          <w:bCs/>
          <w:color w:val="auto"/>
          <w:sz w:val="30"/>
          <w:szCs w:val="30"/>
          <w:highlight w:val="none"/>
          <w:lang w:val="en-US" w:eastAsia="zh-CN"/>
        </w:rPr>
      </w:pPr>
      <w:bookmarkStart w:id="344" w:name="_Toc31376"/>
      <w:bookmarkStart w:id="345" w:name="_Toc238"/>
      <w:bookmarkStart w:id="346" w:name="_Toc11317"/>
      <w:bookmarkStart w:id="347" w:name="_Toc154392660"/>
      <w:bookmarkStart w:id="348" w:name="_Toc27226"/>
      <w:r>
        <w:rPr>
          <w:rFonts w:hint="eastAsia" w:ascii="宋体" w:hAnsi="宋体" w:eastAsia="宋体" w:cs="宋体"/>
          <w:b/>
          <w:bCs/>
          <w:color w:val="auto"/>
          <w:sz w:val="30"/>
          <w:szCs w:val="30"/>
          <w:highlight w:val="none"/>
          <w:lang w:val="en-US" w:eastAsia="zh-CN"/>
        </w:rPr>
        <w:t>一、响应函及响应函附录</w:t>
      </w:r>
      <w:bookmarkEnd w:id="344"/>
    </w:p>
    <w:p w14:paraId="752C1475">
      <w:pPr>
        <w:keepNext w:val="0"/>
        <w:keepLines w:val="0"/>
        <w:widowControl/>
        <w:suppressLineNumbers w:val="0"/>
        <w:spacing w:line="360" w:lineRule="auto"/>
        <w:jc w:val="center"/>
        <w:rPr>
          <w:rFonts w:hint="eastAsia" w:ascii="宋体" w:hAnsi="宋体" w:eastAsia="宋体" w:cs="宋体"/>
          <w:color w:val="auto"/>
          <w:highlight w:val="none"/>
        </w:rPr>
      </w:pPr>
      <w:r>
        <w:rPr>
          <w:rFonts w:hint="eastAsia" w:ascii="宋体" w:hAnsi="宋体" w:cs="宋体"/>
          <w:b/>
          <w:bCs/>
          <w:color w:val="auto"/>
          <w:kern w:val="0"/>
          <w:sz w:val="24"/>
          <w:szCs w:val="24"/>
          <w:highlight w:val="none"/>
          <w:lang w:val="en-US" w:eastAsia="zh-CN" w:bidi="ar"/>
        </w:rPr>
        <w:t>（一）、响应</w:t>
      </w:r>
      <w:r>
        <w:rPr>
          <w:rFonts w:hint="eastAsia" w:ascii="宋体" w:hAnsi="宋体" w:eastAsia="宋体" w:cs="宋体"/>
          <w:b/>
          <w:bCs/>
          <w:color w:val="auto"/>
          <w:kern w:val="0"/>
          <w:sz w:val="24"/>
          <w:szCs w:val="24"/>
          <w:highlight w:val="none"/>
          <w:lang w:val="en-US" w:eastAsia="zh-CN" w:bidi="ar"/>
        </w:rPr>
        <w:t>函</w:t>
      </w:r>
    </w:p>
    <w:p w14:paraId="5B38A513">
      <w:pPr>
        <w:spacing w:line="360" w:lineRule="auto"/>
        <w:jc w:val="center"/>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 xml:space="preserve"> </w:t>
      </w:r>
    </w:p>
    <w:p w14:paraId="3F1B2158">
      <w:pPr>
        <w:pStyle w:val="2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致：</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（采购代理机构名称）</w:t>
      </w:r>
    </w:p>
    <w:p w14:paraId="60395D8E">
      <w:pPr>
        <w:pStyle w:val="20"/>
        <w:spacing w:line="360" w:lineRule="auto"/>
        <w:ind w:firstLine="420" w:firstLineChars="200"/>
        <w:rPr>
          <w:rFonts w:hint="eastAsia" w:ascii="宋体" w:hAnsi="宋体" w:eastAsia="宋体" w:cs="宋体"/>
          <w:color w:val="auto"/>
          <w:sz w:val="21"/>
          <w:szCs w:val="21"/>
          <w:highlight w:val="none"/>
        </w:rPr>
      </w:pPr>
    </w:p>
    <w:p w14:paraId="24360714">
      <w:pPr>
        <w:pStyle w:val="2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我方已仔细阅读了贵方组织的</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项目（项目编号：</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）的竞争性磋商采购文件的全部内容，现正式递交下述文件参加贵方组织的本次政府采购活动： </w:t>
      </w:r>
    </w:p>
    <w:p w14:paraId="0D042C75">
      <w:pPr>
        <w:pStyle w:val="20"/>
        <w:pageBreakBefore w:val="0"/>
        <w:kinsoku/>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一、报价文件电子版一份（包含按</w:t>
      </w:r>
      <w:r>
        <w:rPr>
          <w:rFonts w:hint="eastAsia" w:hAnsi="宋体" w:cs="宋体"/>
          <w:color w:val="auto"/>
          <w:sz w:val="21"/>
          <w:szCs w:val="21"/>
          <w:highlight w:val="none"/>
          <w:lang w:val="en-US" w:eastAsia="zh-CN"/>
        </w:rPr>
        <w:t>供应商</w:t>
      </w:r>
      <w:r>
        <w:rPr>
          <w:rFonts w:hint="eastAsia" w:ascii="宋体" w:hAnsi="宋体" w:eastAsia="宋体" w:cs="宋体"/>
          <w:color w:val="auto"/>
          <w:sz w:val="21"/>
          <w:szCs w:val="21"/>
          <w:highlight w:val="none"/>
        </w:rPr>
        <w:t>须知前附表要求提交的全部文件）；</w:t>
      </w:r>
    </w:p>
    <w:p w14:paraId="03935B5F">
      <w:pPr>
        <w:pStyle w:val="20"/>
        <w:pageBreakBefore w:val="0"/>
        <w:kinsoku/>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二、资格文件电子版一份（包含按</w:t>
      </w:r>
      <w:r>
        <w:rPr>
          <w:rFonts w:hint="eastAsia" w:hAnsi="宋体" w:cs="宋体"/>
          <w:color w:val="auto"/>
          <w:sz w:val="21"/>
          <w:szCs w:val="21"/>
          <w:highlight w:val="none"/>
          <w:lang w:val="en-US" w:eastAsia="zh-CN"/>
        </w:rPr>
        <w:t>供应商</w:t>
      </w:r>
      <w:r>
        <w:rPr>
          <w:rFonts w:hint="eastAsia" w:ascii="宋体" w:hAnsi="宋体" w:eastAsia="宋体" w:cs="宋体"/>
          <w:color w:val="auto"/>
          <w:sz w:val="21"/>
          <w:szCs w:val="21"/>
          <w:highlight w:val="none"/>
        </w:rPr>
        <w:t>须知前附表要求提交的全部文件）；</w:t>
      </w:r>
    </w:p>
    <w:p w14:paraId="02AE12D2">
      <w:pPr>
        <w:pStyle w:val="20"/>
        <w:pageBreakBefore w:val="0"/>
        <w:kinsoku/>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三、技术文件电子版一份（包含按</w:t>
      </w:r>
      <w:r>
        <w:rPr>
          <w:rFonts w:hint="eastAsia" w:hAnsi="宋体" w:cs="宋体"/>
          <w:color w:val="auto"/>
          <w:sz w:val="21"/>
          <w:szCs w:val="21"/>
          <w:highlight w:val="none"/>
          <w:lang w:val="en-US" w:eastAsia="zh-CN"/>
        </w:rPr>
        <w:t>供应商</w:t>
      </w:r>
      <w:r>
        <w:rPr>
          <w:rFonts w:hint="eastAsia" w:ascii="宋体" w:hAnsi="宋体" w:eastAsia="宋体" w:cs="宋体"/>
          <w:color w:val="auto"/>
          <w:sz w:val="21"/>
          <w:szCs w:val="21"/>
          <w:highlight w:val="none"/>
        </w:rPr>
        <w:t>须知前附表要求提交的全部文件）；</w:t>
      </w:r>
    </w:p>
    <w:p w14:paraId="0BD9A713">
      <w:pPr>
        <w:pStyle w:val="20"/>
        <w:pageBreakBefore w:val="0"/>
        <w:kinsoku/>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四、商务文件电子版一份（包含按</w:t>
      </w:r>
      <w:r>
        <w:rPr>
          <w:rFonts w:hint="eastAsia" w:hAnsi="宋体" w:cs="宋体"/>
          <w:color w:val="auto"/>
          <w:sz w:val="21"/>
          <w:szCs w:val="21"/>
          <w:highlight w:val="none"/>
          <w:lang w:val="en-US" w:eastAsia="zh-CN"/>
        </w:rPr>
        <w:t>供应商</w:t>
      </w:r>
      <w:r>
        <w:rPr>
          <w:rFonts w:hint="eastAsia" w:ascii="宋体" w:hAnsi="宋体" w:eastAsia="宋体" w:cs="宋体"/>
          <w:color w:val="auto"/>
          <w:sz w:val="21"/>
          <w:szCs w:val="21"/>
          <w:highlight w:val="none"/>
        </w:rPr>
        <w:t>须知前附表要求提交的全部文件）；</w:t>
      </w:r>
    </w:p>
    <w:p w14:paraId="7DF3DD65">
      <w:pPr>
        <w:pStyle w:val="2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据此函，签字人兹宣布：</w:t>
      </w:r>
    </w:p>
    <w:p w14:paraId="7B08DCFC">
      <w:pPr>
        <w:pStyle w:val="20"/>
        <w:spacing w:line="360" w:lineRule="auto"/>
        <w:ind w:firstLine="482"/>
        <w:rPr>
          <w:rFonts w:hint="eastAsia" w:ascii="宋体" w:hAnsi="宋体" w:eastAsia="宋体" w:cs="宋体"/>
          <w:color w:val="auto"/>
          <w:sz w:val="21"/>
          <w:szCs w:val="21"/>
          <w:highlight w:val="none"/>
        </w:rPr>
      </w:pPr>
      <w:r>
        <w:rPr>
          <w:rFonts w:hint="eastAsia" w:hAnsi="宋体" w:cs="宋体"/>
          <w:color w:val="auto"/>
          <w:sz w:val="21"/>
          <w:szCs w:val="21"/>
          <w:highlight w:val="none"/>
          <w:lang w:eastAsia="zh-CN"/>
        </w:rPr>
        <w:t>1.</w:t>
      </w:r>
      <w:r>
        <w:rPr>
          <w:rFonts w:hint="eastAsia" w:ascii="宋体" w:hAnsi="宋体" w:eastAsia="宋体" w:cs="宋体"/>
          <w:color w:val="auto"/>
          <w:sz w:val="21"/>
          <w:szCs w:val="21"/>
          <w:highlight w:val="none"/>
        </w:rPr>
        <w:t>我方愿意以（大写）人民币</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u w:val="single"/>
        </w:rPr>
        <w:t xml:space="preserve">          </w:t>
      </w:r>
      <w:r>
        <w:rPr>
          <w:rFonts w:hint="eastAsia" w:hAnsi="宋体" w:cs="宋体"/>
          <w:color w:val="auto"/>
          <w:sz w:val="21"/>
          <w:szCs w:val="21"/>
          <w:highlight w:val="none"/>
          <w:lang w:eastAsia="zh-CN"/>
        </w:rPr>
        <w:t>）</w:t>
      </w:r>
      <w:r>
        <w:rPr>
          <w:rFonts w:hint="eastAsia" w:ascii="宋体" w:hAnsi="宋体" w:eastAsia="宋体" w:cs="宋体"/>
          <w:color w:val="auto"/>
          <w:sz w:val="21"/>
          <w:szCs w:val="21"/>
          <w:highlight w:val="none"/>
        </w:rPr>
        <w:t>的竞标总报价，提供合同履行期限（无分标时填写）：</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，我方保证工程质量达到</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标准，提供本项目竞争性磋商采购文件第</w:t>
      </w:r>
      <w:r>
        <w:rPr>
          <w:rFonts w:hint="eastAsia" w:hAnsi="宋体" w:cs="宋体"/>
          <w:color w:val="auto"/>
          <w:sz w:val="21"/>
          <w:szCs w:val="21"/>
          <w:highlight w:val="none"/>
          <w:lang w:val="en-US" w:eastAsia="zh-CN"/>
        </w:rPr>
        <w:t>三</w:t>
      </w:r>
      <w:r>
        <w:rPr>
          <w:rFonts w:hint="eastAsia" w:ascii="宋体" w:hAnsi="宋体" w:eastAsia="宋体" w:cs="宋体"/>
          <w:color w:val="auto"/>
          <w:sz w:val="21"/>
          <w:szCs w:val="21"/>
          <w:highlight w:val="none"/>
        </w:rPr>
        <w:t>章“采购需求</w:t>
      </w:r>
      <w:r>
        <w:rPr>
          <w:rFonts w:hint="eastAsia" w:hAnsi="宋体" w:cs="宋体"/>
          <w:color w:val="auto"/>
          <w:sz w:val="21"/>
          <w:szCs w:val="21"/>
          <w:highlight w:val="none"/>
          <w:lang w:val="en-US" w:eastAsia="zh-CN"/>
        </w:rPr>
        <w:t>和说明</w:t>
      </w:r>
      <w:r>
        <w:rPr>
          <w:rFonts w:hint="eastAsia" w:ascii="宋体" w:hAnsi="宋体" w:eastAsia="宋体" w:cs="宋体"/>
          <w:color w:val="auto"/>
          <w:sz w:val="21"/>
          <w:szCs w:val="21"/>
          <w:highlight w:val="none"/>
        </w:rPr>
        <w:t>”中相应的采购内容。</w:t>
      </w:r>
    </w:p>
    <w:p w14:paraId="5D9F32BF">
      <w:pPr>
        <w:pStyle w:val="20"/>
        <w:spacing w:line="360" w:lineRule="auto"/>
        <w:ind w:firstLine="482"/>
        <w:rPr>
          <w:rFonts w:hint="eastAsia" w:ascii="宋体" w:hAnsi="宋体" w:eastAsia="宋体" w:cs="宋体"/>
          <w:color w:val="auto"/>
          <w:sz w:val="21"/>
          <w:szCs w:val="21"/>
          <w:highlight w:val="none"/>
        </w:rPr>
      </w:pPr>
      <w:r>
        <w:rPr>
          <w:rFonts w:hint="eastAsia" w:hAnsi="宋体" w:cs="宋体"/>
          <w:color w:val="auto"/>
          <w:sz w:val="21"/>
          <w:szCs w:val="21"/>
          <w:highlight w:val="none"/>
          <w:lang w:eastAsia="zh-CN"/>
        </w:rPr>
        <w:t>2.</w:t>
      </w:r>
      <w:r>
        <w:rPr>
          <w:rFonts w:hint="eastAsia" w:ascii="宋体" w:hAnsi="宋体" w:eastAsia="宋体" w:cs="宋体"/>
          <w:color w:val="auto"/>
          <w:sz w:val="21"/>
          <w:szCs w:val="21"/>
          <w:highlight w:val="none"/>
        </w:rPr>
        <w:t>我方同意自本项目竞争性磋商采购文件采购公告规定的递交响应文件截止时间起遵循本响应函，并承诺在第</w:t>
      </w:r>
      <w:r>
        <w:rPr>
          <w:rFonts w:hint="eastAsia" w:hAnsi="宋体" w:cs="宋体"/>
          <w:color w:val="auto"/>
          <w:sz w:val="21"/>
          <w:szCs w:val="21"/>
          <w:highlight w:val="none"/>
          <w:lang w:val="en-US" w:eastAsia="zh-CN"/>
        </w:rPr>
        <w:t>二</w:t>
      </w:r>
      <w:r>
        <w:rPr>
          <w:rFonts w:hint="eastAsia" w:ascii="宋体" w:hAnsi="宋体" w:eastAsia="宋体" w:cs="宋体"/>
          <w:color w:val="auto"/>
          <w:sz w:val="21"/>
          <w:szCs w:val="21"/>
          <w:highlight w:val="none"/>
        </w:rPr>
        <w:t>章“ 供应商须知”规定的响应有效期内不修改、撤销响应文件。</w:t>
      </w:r>
    </w:p>
    <w:p w14:paraId="291516A6">
      <w:pPr>
        <w:pStyle w:val="20"/>
        <w:spacing w:line="360" w:lineRule="auto"/>
        <w:ind w:firstLine="482"/>
        <w:rPr>
          <w:rFonts w:hint="eastAsia" w:ascii="宋体" w:hAnsi="宋体" w:eastAsia="宋体" w:cs="宋体"/>
          <w:color w:val="auto"/>
          <w:sz w:val="21"/>
          <w:szCs w:val="21"/>
          <w:highlight w:val="none"/>
        </w:rPr>
      </w:pPr>
      <w:r>
        <w:rPr>
          <w:rFonts w:hint="eastAsia" w:hAnsi="宋体" w:cs="宋体"/>
          <w:color w:val="auto"/>
          <w:sz w:val="21"/>
          <w:szCs w:val="21"/>
          <w:highlight w:val="none"/>
          <w:lang w:eastAsia="zh-CN"/>
        </w:rPr>
        <w:t>3.</w:t>
      </w:r>
      <w:r>
        <w:rPr>
          <w:rFonts w:hint="eastAsia" w:ascii="宋体" w:hAnsi="宋体" w:eastAsia="宋体" w:cs="宋体"/>
          <w:color w:val="auto"/>
          <w:sz w:val="21"/>
          <w:szCs w:val="21"/>
          <w:highlight w:val="none"/>
        </w:rPr>
        <w:t>我方在此声明，所递交的响应文件及有关资料内容完整、真实和准确。</w:t>
      </w:r>
    </w:p>
    <w:p w14:paraId="686BA42E">
      <w:pPr>
        <w:pStyle w:val="20"/>
        <w:spacing w:line="360" w:lineRule="auto"/>
        <w:ind w:firstLine="482"/>
        <w:rPr>
          <w:rFonts w:hint="eastAsia" w:ascii="宋体" w:hAnsi="宋体" w:eastAsia="宋体" w:cs="宋体"/>
          <w:color w:val="auto"/>
          <w:sz w:val="21"/>
          <w:szCs w:val="21"/>
          <w:highlight w:val="none"/>
        </w:rPr>
      </w:pPr>
      <w:r>
        <w:rPr>
          <w:rFonts w:hint="eastAsia" w:hAnsi="宋体" w:cs="宋体"/>
          <w:color w:val="auto"/>
          <w:sz w:val="21"/>
          <w:szCs w:val="21"/>
          <w:highlight w:val="none"/>
          <w:lang w:eastAsia="zh-CN"/>
        </w:rPr>
        <w:t>4.</w:t>
      </w:r>
      <w:r>
        <w:rPr>
          <w:rFonts w:hint="eastAsia" w:ascii="宋体" w:hAnsi="宋体" w:eastAsia="宋体" w:cs="宋体"/>
          <w:color w:val="auto"/>
          <w:sz w:val="21"/>
          <w:szCs w:val="21"/>
          <w:highlight w:val="none"/>
        </w:rPr>
        <w:t>如本项目采购内容涉及须符合国家强制规定的，我方承诺我方本次竞标均符合国家有关强制规定。</w:t>
      </w:r>
    </w:p>
    <w:p w14:paraId="63954BB4">
      <w:pPr>
        <w:pStyle w:val="20"/>
        <w:spacing w:line="360" w:lineRule="auto"/>
        <w:ind w:firstLine="482"/>
        <w:rPr>
          <w:rFonts w:hint="eastAsia" w:ascii="宋体" w:hAnsi="宋体" w:eastAsia="宋体" w:cs="宋体"/>
          <w:color w:val="auto"/>
          <w:sz w:val="21"/>
          <w:szCs w:val="21"/>
          <w:highlight w:val="none"/>
        </w:rPr>
      </w:pPr>
      <w:r>
        <w:rPr>
          <w:rFonts w:hint="eastAsia" w:hAnsi="宋体" w:cs="宋体"/>
          <w:color w:val="auto"/>
          <w:sz w:val="21"/>
          <w:szCs w:val="21"/>
          <w:highlight w:val="none"/>
          <w:lang w:eastAsia="zh-CN"/>
        </w:rPr>
        <w:t>5.</w:t>
      </w:r>
      <w:r>
        <w:rPr>
          <w:rFonts w:hint="eastAsia" w:ascii="宋体" w:hAnsi="宋体" w:eastAsia="宋体" w:cs="宋体"/>
          <w:color w:val="auto"/>
          <w:sz w:val="21"/>
          <w:szCs w:val="21"/>
          <w:highlight w:val="none"/>
        </w:rPr>
        <w:t>我方承诺未被列入失信被执行人、重大税收违法案件当事人名单、政府采购严重违法失信行为记录名单，并已经具备《中华人民共和国政府采购法》中规定的参加政府采购活动的供应商应当具备的条件：</w:t>
      </w:r>
    </w:p>
    <w:p w14:paraId="3B66ADF4">
      <w:pPr>
        <w:pStyle w:val="20"/>
        <w:numPr>
          <w:ilvl w:val="0"/>
          <w:numId w:val="4"/>
        </w:numPr>
        <w:tabs>
          <w:tab w:val="left" w:pos="945"/>
        </w:tabs>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具有独立承担民事责任的能力；</w:t>
      </w:r>
    </w:p>
    <w:p w14:paraId="59D7886D">
      <w:pPr>
        <w:pStyle w:val="20"/>
        <w:numPr>
          <w:ilvl w:val="0"/>
          <w:numId w:val="4"/>
        </w:numPr>
        <w:tabs>
          <w:tab w:val="left" w:pos="945"/>
        </w:tabs>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具有良好的商业信誉和健全的财务会计制度；</w:t>
      </w:r>
    </w:p>
    <w:p w14:paraId="65AF98A0">
      <w:pPr>
        <w:pStyle w:val="20"/>
        <w:numPr>
          <w:ilvl w:val="0"/>
          <w:numId w:val="4"/>
        </w:numPr>
        <w:tabs>
          <w:tab w:val="left" w:pos="945"/>
        </w:tabs>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具有履行合同所必需的设备和专业技术能力；</w:t>
      </w:r>
    </w:p>
    <w:p w14:paraId="771BD200">
      <w:pPr>
        <w:pStyle w:val="20"/>
        <w:numPr>
          <w:ilvl w:val="0"/>
          <w:numId w:val="4"/>
        </w:numPr>
        <w:tabs>
          <w:tab w:val="left" w:pos="945"/>
        </w:tabs>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有依法缴纳税收和社会保障资金的良好记录；</w:t>
      </w:r>
    </w:p>
    <w:p w14:paraId="724C10D3">
      <w:pPr>
        <w:pStyle w:val="20"/>
        <w:numPr>
          <w:ilvl w:val="0"/>
          <w:numId w:val="4"/>
        </w:numPr>
        <w:tabs>
          <w:tab w:val="left" w:pos="945"/>
        </w:tabs>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参加政府采购活动前三年内，在经营活动中没有重大违法记录；</w:t>
      </w:r>
    </w:p>
    <w:p w14:paraId="0CC27C97">
      <w:pPr>
        <w:pStyle w:val="20"/>
        <w:numPr>
          <w:ilvl w:val="0"/>
          <w:numId w:val="4"/>
        </w:numPr>
        <w:tabs>
          <w:tab w:val="left" w:pos="945"/>
        </w:tabs>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法律、行政法规规定的其他条件。</w:t>
      </w:r>
    </w:p>
    <w:p w14:paraId="17A74B2B">
      <w:pPr>
        <w:pStyle w:val="20"/>
        <w:spacing w:line="360" w:lineRule="auto"/>
        <w:ind w:firstLine="482"/>
        <w:rPr>
          <w:rFonts w:hint="eastAsia" w:ascii="宋体" w:hAnsi="宋体" w:eastAsia="宋体" w:cs="宋体"/>
          <w:color w:val="auto"/>
          <w:sz w:val="21"/>
          <w:szCs w:val="21"/>
          <w:highlight w:val="none"/>
        </w:rPr>
      </w:pPr>
      <w:r>
        <w:rPr>
          <w:rFonts w:hint="eastAsia" w:hAnsi="宋体" w:cs="宋体"/>
          <w:color w:val="auto"/>
          <w:sz w:val="21"/>
          <w:szCs w:val="21"/>
          <w:highlight w:val="none"/>
          <w:lang w:eastAsia="zh-CN"/>
        </w:rPr>
        <w:t>6.</w:t>
      </w:r>
      <w:r>
        <w:rPr>
          <w:rFonts w:hint="eastAsia" w:ascii="宋体" w:hAnsi="宋体" w:eastAsia="宋体" w:cs="宋体"/>
          <w:color w:val="auto"/>
          <w:sz w:val="21"/>
          <w:szCs w:val="21"/>
          <w:highlight w:val="none"/>
        </w:rPr>
        <w:t>如我方成交，我方承诺在收到成交通知书后，在成交通知书规定的期限内，根据竞争性磋商采购文件、我方的响应文件及有关澄清承诺书的要求按第</w:t>
      </w:r>
      <w:r>
        <w:rPr>
          <w:rFonts w:hint="eastAsia" w:hAnsi="宋体" w:cs="宋体"/>
          <w:color w:val="auto"/>
          <w:sz w:val="21"/>
          <w:szCs w:val="21"/>
          <w:highlight w:val="none"/>
          <w:lang w:eastAsia="zh-CN"/>
        </w:rPr>
        <w:t>七</w:t>
      </w:r>
      <w:r>
        <w:rPr>
          <w:rFonts w:hint="eastAsia" w:ascii="宋体" w:hAnsi="宋体" w:eastAsia="宋体" w:cs="宋体"/>
          <w:color w:val="auto"/>
          <w:sz w:val="21"/>
          <w:szCs w:val="21"/>
          <w:highlight w:val="none"/>
        </w:rPr>
        <w:t>章“</w:t>
      </w:r>
      <w:r>
        <w:rPr>
          <w:rFonts w:hint="eastAsia" w:ascii="宋体" w:hAnsi="宋体" w:eastAsia="宋体" w:cs="宋体"/>
          <w:color w:val="auto"/>
          <w:sz w:val="21"/>
          <w:szCs w:val="21"/>
          <w:highlight w:val="none"/>
          <w:lang w:val="en-US" w:eastAsia="zh-CN"/>
        </w:rPr>
        <w:t xml:space="preserve"> </w:t>
      </w:r>
      <w:r>
        <w:rPr>
          <w:rFonts w:hint="eastAsia" w:hAnsi="宋体" w:cs="宋体"/>
          <w:color w:val="auto"/>
          <w:sz w:val="21"/>
          <w:szCs w:val="21"/>
          <w:highlight w:val="none"/>
          <w:lang w:val="en-US" w:eastAsia="zh-CN"/>
        </w:rPr>
        <w:t>政府采购</w:t>
      </w:r>
      <w:r>
        <w:rPr>
          <w:rFonts w:hint="eastAsia" w:ascii="宋体" w:hAnsi="宋体" w:eastAsia="宋体" w:cs="宋体"/>
          <w:color w:val="auto"/>
          <w:sz w:val="21"/>
          <w:szCs w:val="21"/>
          <w:highlight w:val="none"/>
        </w:rPr>
        <w:t>合同</w:t>
      </w:r>
      <w:r>
        <w:rPr>
          <w:rFonts w:hint="eastAsia" w:hAnsi="宋体" w:cs="宋体"/>
          <w:color w:val="auto"/>
          <w:sz w:val="21"/>
          <w:szCs w:val="21"/>
          <w:highlight w:val="none"/>
          <w:lang w:val="en-US" w:eastAsia="zh-CN"/>
        </w:rPr>
        <w:t>书</w:t>
      </w:r>
      <w:r>
        <w:rPr>
          <w:rFonts w:hint="eastAsia" w:ascii="宋体" w:hAnsi="宋体" w:eastAsia="宋体" w:cs="宋体"/>
          <w:color w:val="auto"/>
          <w:sz w:val="21"/>
          <w:szCs w:val="21"/>
          <w:highlight w:val="none"/>
        </w:rPr>
        <w:t>”与采购人订立书面合同，并按照合同约定承担完成合同的责任和义务。</w:t>
      </w:r>
    </w:p>
    <w:p w14:paraId="28AC9152">
      <w:pPr>
        <w:pStyle w:val="20"/>
        <w:spacing w:line="360" w:lineRule="auto"/>
        <w:ind w:firstLine="482"/>
        <w:rPr>
          <w:rFonts w:hint="eastAsia" w:ascii="宋体" w:hAnsi="宋体" w:eastAsia="宋体" w:cs="宋体"/>
          <w:color w:val="auto"/>
          <w:sz w:val="21"/>
          <w:szCs w:val="21"/>
          <w:highlight w:val="none"/>
        </w:rPr>
      </w:pPr>
      <w:r>
        <w:rPr>
          <w:rFonts w:hint="eastAsia" w:hAnsi="宋体" w:cs="宋体"/>
          <w:color w:val="auto"/>
          <w:sz w:val="21"/>
          <w:szCs w:val="21"/>
          <w:highlight w:val="none"/>
          <w:lang w:eastAsia="zh-CN"/>
        </w:rPr>
        <w:t>7.</w:t>
      </w:r>
      <w:r>
        <w:rPr>
          <w:rFonts w:hint="eastAsia" w:ascii="宋体" w:hAnsi="宋体" w:eastAsia="宋体" w:cs="宋体"/>
          <w:color w:val="auto"/>
          <w:sz w:val="21"/>
          <w:szCs w:val="21"/>
          <w:highlight w:val="none"/>
        </w:rPr>
        <w:t>我方已详细审核竞争性磋商采购文件，我方知道必须放弃提出含糊不清或误解问题的权利。</w:t>
      </w:r>
    </w:p>
    <w:p w14:paraId="370288B0">
      <w:pPr>
        <w:pStyle w:val="20"/>
        <w:spacing w:line="360" w:lineRule="auto"/>
        <w:ind w:firstLine="482"/>
        <w:rPr>
          <w:rFonts w:hint="eastAsia" w:ascii="宋体" w:hAnsi="宋体" w:eastAsia="宋体" w:cs="宋体"/>
          <w:color w:val="auto"/>
          <w:sz w:val="21"/>
          <w:szCs w:val="21"/>
          <w:highlight w:val="none"/>
        </w:rPr>
      </w:pPr>
      <w:r>
        <w:rPr>
          <w:rFonts w:hint="eastAsia" w:hAnsi="宋体" w:cs="宋体"/>
          <w:color w:val="auto"/>
          <w:sz w:val="21"/>
          <w:szCs w:val="21"/>
          <w:highlight w:val="none"/>
          <w:lang w:eastAsia="zh-CN"/>
        </w:rPr>
        <w:t>8.</w:t>
      </w:r>
      <w:r>
        <w:rPr>
          <w:rFonts w:hint="eastAsia" w:ascii="宋体" w:hAnsi="宋体" w:eastAsia="宋体" w:cs="宋体"/>
          <w:color w:val="auto"/>
          <w:sz w:val="21"/>
          <w:szCs w:val="21"/>
          <w:highlight w:val="none"/>
        </w:rPr>
        <w:t>我方承诺满足竞争性磋商采购文件第</w:t>
      </w:r>
      <w:r>
        <w:rPr>
          <w:rFonts w:hint="eastAsia" w:hAnsi="宋体" w:cs="宋体"/>
          <w:color w:val="auto"/>
          <w:sz w:val="21"/>
          <w:szCs w:val="21"/>
          <w:highlight w:val="none"/>
          <w:lang w:eastAsia="zh-CN"/>
        </w:rPr>
        <w:t>七</w:t>
      </w:r>
      <w:r>
        <w:rPr>
          <w:rFonts w:hint="eastAsia" w:ascii="宋体" w:hAnsi="宋体" w:eastAsia="宋体" w:cs="宋体"/>
          <w:color w:val="auto"/>
          <w:sz w:val="21"/>
          <w:szCs w:val="21"/>
          <w:highlight w:val="none"/>
        </w:rPr>
        <w:t>章“</w:t>
      </w:r>
      <w:r>
        <w:rPr>
          <w:rFonts w:hint="eastAsia" w:ascii="宋体" w:hAnsi="宋体" w:eastAsia="宋体" w:cs="宋体"/>
          <w:color w:val="auto"/>
          <w:sz w:val="21"/>
          <w:szCs w:val="21"/>
          <w:highlight w:val="none"/>
          <w:lang w:val="en-US" w:eastAsia="zh-CN"/>
        </w:rPr>
        <w:t xml:space="preserve"> </w:t>
      </w:r>
      <w:r>
        <w:rPr>
          <w:rFonts w:hint="eastAsia" w:hAnsi="宋体" w:cs="宋体"/>
          <w:color w:val="auto"/>
          <w:sz w:val="21"/>
          <w:szCs w:val="21"/>
          <w:highlight w:val="none"/>
          <w:lang w:val="en-US" w:eastAsia="zh-CN"/>
        </w:rPr>
        <w:t>政府采购</w:t>
      </w:r>
      <w:r>
        <w:rPr>
          <w:rFonts w:hint="eastAsia" w:ascii="宋体" w:hAnsi="宋体" w:eastAsia="宋体" w:cs="宋体"/>
          <w:color w:val="auto"/>
          <w:sz w:val="21"/>
          <w:szCs w:val="21"/>
          <w:highlight w:val="none"/>
        </w:rPr>
        <w:t>合同</w:t>
      </w:r>
      <w:r>
        <w:rPr>
          <w:rFonts w:hint="eastAsia" w:hAnsi="宋体" w:cs="宋体"/>
          <w:color w:val="auto"/>
          <w:sz w:val="21"/>
          <w:szCs w:val="21"/>
          <w:highlight w:val="none"/>
          <w:lang w:val="en-US" w:eastAsia="zh-CN"/>
        </w:rPr>
        <w:t>书</w:t>
      </w:r>
      <w:r>
        <w:rPr>
          <w:rFonts w:hint="eastAsia" w:ascii="宋体" w:hAnsi="宋体" w:eastAsia="宋体" w:cs="宋体"/>
          <w:color w:val="auto"/>
          <w:sz w:val="21"/>
          <w:szCs w:val="21"/>
          <w:highlight w:val="none"/>
        </w:rPr>
        <w:t>”的条款，承担完成合同的责任和义务。</w:t>
      </w:r>
    </w:p>
    <w:p w14:paraId="1364009F">
      <w:pPr>
        <w:pStyle w:val="20"/>
        <w:spacing w:line="360" w:lineRule="auto"/>
        <w:ind w:firstLine="482"/>
        <w:rPr>
          <w:rFonts w:hint="eastAsia" w:ascii="宋体" w:hAnsi="宋体" w:eastAsia="宋体" w:cs="宋体"/>
          <w:color w:val="auto"/>
          <w:sz w:val="21"/>
          <w:szCs w:val="21"/>
          <w:highlight w:val="none"/>
        </w:rPr>
      </w:pPr>
      <w:r>
        <w:rPr>
          <w:rFonts w:hint="eastAsia" w:hAnsi="宋体" w:cs="宋体"/>
          <w:color w:val="auto"/>
          <w:sz w:val="21"/>
          <w:szCs w:val="21"/>
          <w:highlight w:val="none"/>
          <w:lang w:eastAsia="zh-CN"/>
        </w:rPr>
        <w:t>9.</w:t>
      </w:r>
      <w:r>
        <w:rPr>
          <w:rFonts w:hint="eastAsia" w:ascii="宋体" w:hAnsi="宋体" w:eastAsia="宋体" w:cs="宋体"/>
          <w:color w:val="auto"/>
          <w:sz w:val="21"/>
          <w:szCs w:val="21"/>
          <w:highlight w:val="none"/>
        </w:rPr>
        <w:t>我方同意应贵方要求提供与</w:t>
      </w:r>
      <w:r>
        <w:rPr>
          <w:rFonts w:hint="eastAsia" w:hAnsi="宋体" w:cs="宋体"/>
          <w:color w:val="auto"/>
          <w:sz w:val="21"/>
          <w:szCs w:val="21"/>
          <w:highlight w:val="none"/>
          <w:lang w:eastAsia="zh-CN"/>
        </w:rPr>
        <w:t>本次</w:t>
      </w:r>
      <w:r>
        <w:rPr>
          <w:rFonts w:hint="eastAsia" w:ascii="宋体" w:hAnsi="宋体" w:eastAsia="宋体" w:cs="宋体"/>
          <w:color w:val="auto"/>
          <w:sz w:val="21"/>
          <w:szCs w:val="21"/>
          <w:highlight w:val="none"/>
        </w:rPr>
        <w:t>竞标有关的任何数据或资料。若贵方需要，我方愿意提供我方作出的一切承诺的证明材料。</w:t>
      </w:r>
    </w:p>
    <w:p w14:paraId="29BFFE37">
      <w:pPr>
        <w:pStyle w:val="20"/>
        <w:spacing w:line="360" w:lineRule="auto"/>
        <w:ind w:firstLine="482"/>
        <w:rPr>
          <w:rFonts w:hint="eastAsia" w:ascii="宋体" w:hAnsi="宋体" w:eastAsia="宋体" w:cs="宋体"/>
          <w:color w:val="auto"/>
          <w:sz w:val="21"/>
          <w:szCs w:val="21"/>
          <w:highlight w:val="none"/>
        </w:rPr>
      </w:pPr>
      <w:r>
        <w:rPr>
          <w:rFonts w:hint="eastAsia" w:hAnsi="宋体" w:cs="宋体"/>
          <w:color w:val="auto"/>
          <w:sz w:val="21"/>
          <w:szCs w:val="21"/>
          <w:highlight w:val="none"/>
          <w:lang w:eastAsia="zh-CN"/>
        </w:rPr>
        <w:t>10.</w:t>
      </w:r>
      <w:r>
        <w:rPr>
          <w:rFonts w:hint="eastAsia" w:ascii="宋体" w:hAnsi="宋体" w:eastAsia="宋体" w:cs="宋体"/>
          <w:color w:val="auto"/>
          <w:sz w:val="21"/>
          <w:szCs w:val="21"/>
          <w:highlight w:val="none"/>
        </w:rPr>
        <w:t>我方完全理解贵方不一定接受响应报价最低的竞标人为成交供应商的行为。</w:t>
      </w:r>
    </w:p>
    <w:p w14:paraId="1F397441">
      <w:pPr>
        <w:pStyle w:val="20"/>
        <w:spacing w:line="360" w:lineRule="auto"/>
        <w:ind w:firstLine="482"/>
        <w:rPr>
          <w:rFonts w:hint="eastAsia" w:ascii="宋体" w:hAnsi="宋体" w:eastAsia="宋体" w:cs="宋体"/>
          <w:color w:val="auto"/>
          <w:sz w:val="21"/>
          <w:szCs w:val="21"/>
          <w:highlight w:val="none"/>
        </w:rPr>
      </w:pPr>
      <w:r>
        <w:rPr>
          <w:rFonts w:hint="eastAsia" w:hAnsi="宋体" w:cs="宋体"/>
          <w:color w:val="auto"/>
          <w:sz w:val="21"/>
          <w:szCs w:val="21"/>
          <w:highlight w:val="none"/>
          <w:lang w:eastAsia="zh-CN"/>
        </w:rPr>
        <w:t>11.</w:t>
      </w:r>
      <w:r>
        <w:rPr>
          <w:rFonts w:hint="eastAsia" w:ascii="宋体" w:hAnsi="宋体" w:eastAsia="宋体" w:cs="宋体"/>
          <w:color w:val="auto"/>
          <w:sz w:val="21"/>
          <w:szCs w:val="21"/>
          <w:highlight w:val="none"/>
        </w:rPr>
        <w:t>我方将严格遵守《中华人民共和国政府采购法》第七十七条的规定，即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44C5D1CF">
      <w:pPr>
        <w:pStyle w:val="20"/>
        <w:numPr>
          <w:ilvl w:val="0"/>
          <w:numId w:val="5"/>
        </w:numPr>
        <w:tabs>
          <w:tab w:val="left" w:pos="945"/>
        </w:tabs>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提供虚假材料谋取中标、成交的；</w:t>
      </w:r>
    </w:p>
    <w:p w14:paraId="6854BFC5">
      <w:pPr>
        <w:pStyle w:val="20"/>
        <w:numPr>
          <w:ilvl w:val="0"/>
          <w:numId w:val="5"/>
        </w:numPr>
        <w:tabs>
          <w:tab w:val="left" w:pos="945"/>
        </w:tabs>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采取不正当手段诋毁、排挤其他供应商的；</w:t>
      </w:r>
    </w:p>
    <w:p w14:paraId="48864916">
      <w:pPr>
        <w:pStyle w:val="20"/>
        <w:numPr>
          <w:ilvl w:val="0"/>
          <w:numId w:val="5"/>
        </w:numPr>
        <w:tabs>
          <w:tab w:val="left" w:pos="945"/>
        </w:tabs>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与采购人、其他供应商或者采购代理机构恶意串通的；</w:t>
      </w:r>
    </w:p>
    <w:p w14:paraId="182678C4">
      <w:pPr>
        <w:pStyle w:val="20"/>
        <w:numPr>
          <w:ilvl w:val="0"/>
          <w:numId w:val="5"/>
        </w:numPr>
        <w:tabs>
          <w:tab w:val="left" w:pos="945"/>
        </w:tabs>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向采购人、采购代理机构行贿或者提供其他不正当利益的；</w:t>
      </w:r>
    </w:p>
    <w:p w14:paraId="49EEA148">
      <w:pPr>
        <w:pStyle w:val="20"/>
        <w:numPr>
          <w:ilvl w:val="0"/>
          <w:numId w:val="5"/>
        </w:numPr>
        <w:tabs>
          <w:tab w:val="left" w:pos="945"/>
        </w:tabs>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在采购过程中与采购人进行协商</w:t>
      </w:r>
      <w:r>
        <w:rPr>
          <w:rFonts w:hint="eastAsia" w:ascii="宋体" w:hAnsi="宋体" w:eastAsia="宋体" w:cs="宋体"/>
          <w:color w:val="auto"/>
          <w:sz w:val="21"/>
          <w:szCs w:val="21"/>
          <w:highlight w:val="none"/>
          <w:lang w:eastAsia="zh-CN"/>
        </w:rPr>
        <w:t>磋商</w:t>
      </w:r>
      <w:r>
        <w:rPr>
          <w:rFonts w:hint="eastAsia" w:ascii="宋体" w:hAnsi="宋体" w:eastAsia="宋体" w:cs="宋体"/>
          <w:color w:val="auto"/>
          <w:sz w:val="21"/>
          <w:szCs w:val="21"/>
          <w:highlight w:val="none"/>
        </w:rPr>
        <w:t>的；</w:t>
      </w:r>
    </w:p>
    <w:p w14:paraId="27C9E34C">
      <w:pPr>
        <w:pStyle w:val="20"/>
        <w:numPr>
          <w:ilvl w:val="0"/>
          <w:numId w:val="5"/>
        </w:numPr>
        <w:tabs>
          <w:tab w:val="left" w:pos="945"/>
        </w:tabs>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拒绝有关部门监督检查或提供虚假情况的。</w:t>
      </w:r>
    </w:p>
    <w:p w14:paraId="76900F04">
      <w:pPr>
        <w:pStyle w:val="20"/>
        <w:numPr>
          <w:ilvl w:val="0"/>
          <w:numId w:val="0"/>
        </w:numPr>
        <w:tabs>
          <w:tab w:val="left" w:pos="945"/>
        </w:tabs>
        <w:spacing w:line="360" w:lineRule="auto"/>
        <w:ind w:left="420" w:left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12.与本磋商有关的一切正式往来信函请寄： </w:t>
      </w:r>
    </w:p>
    <w:p w14:paraId="06A45FF2">
      <w:pPr>
        <w:pStyle w:val="20"/>
        <w:spacing w:line="360" w:lineRule="auto"/>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地址：</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w:t>
      </w:r>
    </w:p>
    <w:p w14:paraId="7057D675">
      <w:pPr>
        <w:pStyle w:val="20"/>
        <w:spacing w:line="360" w:lineRule="auto"/>
        <w:ind w:firstLine="42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电话：</w:t>
      </w:r>
      <w:r>
        <w:rPr>
          <w:rFonts w:hint="eastAsia" w:ascii="宋体" w:hAnsi="宋体" w:eastAsia="宋体" w:cs="宋体"/>
          <w:color w:val="auto"/>
          <w:sz w:val="21"/>
          <w:szCs w:val="21"/>
          <w:highlight w:val="none"/>
          <w:u w:val="single"/>
        </w:rPr>
        <w:t xml:space="preserve">                                      　　　　　　　　　</w:t>
      </w:r>
    </w:p>
    <w:p w14:paraId="1499AA1B">
      <w:pPr>
        <w:pStyle w:val="20"/>
        <w:spacing w:line="360" w:lineRule="auto"/>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传真：</w:t>
      </w:r>
      <w:r>
        <w:rPr>
          <w:rFonts w:hint="eastAsia" w:ascii="宋体" w:hAnsi="宋体" w:eastAsia="宋体" w:cs="宋体"/>
          <w:color w:val="auto"/>
          <w:sz w:val="21"/>
          <w:szCs w:val="21"/>
          <w:highlight w:val="none"/>
          <w:u w:val="single"/>
        </w:rPr>
        <w:t>　　　　　　　　　　　　　　　　　　　　　　　　　　　　</w:t>
      </w:r>
    </w:p>
    <w:p w14:paraId="20592FE9">
      <w:pPr>
        <w:pStyle w:val="20"/>
        <w:spacing w:line="360" w:lineRule="auto"/>
        <w:ind w:firstLine="42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邮政编码：</w:t>
      </w:r>
      <w:r>
        <w:rPr>
          <w:rFonts w:hint="eastAsia" w:ascii="宋体" w:hAnsi="宋体" w:eastAsia="宋体" w:cs="宋体"/>
          <w:color w:val="auto"/>
          <w:sz w:val="21"/>
          <w:szCs w:val="21"/>
          <w:highlight w:val="none"/>
          <w:u w:val="single"/>
        </w:rPr>
        <w:t xml:space="preserve">                                                    </w:t>
      </w:r>
    </w:p>
    <w:p w14:paraId="78CA4FFC">
      <w:pPr>
        <w:pStyle w:val="20"/>
        <w:spacing w:line="360" w:lineRule="auto"/>
        <w:ind w:firstLine="42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开户名称：</w:t>
      </w:r>
      <w:r>
        <w:rPr>
          <w:rFonts w:hint="eastAsia" w:ascii="宋体" w:hAnsi="宋体" w:eastAsia="宋体" w:cs="宋体"/>
          <w:color w:val="auto"/>
          <w:sz w:val="21"/>
          <w:szCs w:val="21"/>
          <w:highlight w:val="none"/>
          <w:u w:val="single"/>
        </w:rPr>
        <w:t xml:space="preserve">                                                    </w:t>
      </w:r>
    </w:p>
    <w:p w14:paraId="4B55868B">
      <w:pPr>
        <w:pStyle w:val="20"/>
        <w:spacing w:line="360" w:lineRule="auto"/>
        <w:ind w:firstLine="42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开户银行：</w:t>
      </w:r>
      <w:r>
        <w:rPr>
          <w:rFonts w:hint="eastAsia" w:ascii="宋体" w:hAnsi="宋体" w:eastAsia="宋体" w:cs="宋体"/>
          <w:color w:val="auto"/>
          <w:sz w:val="21"/>
          <w:szCs w:val="21"/>
          <w:highlight w:val="none"/>
          <w:u w:val="single"/>
        </w:rPr>
        <w:t xml:space="preserve">                                                    </w:t>
      </w:r>
    </w:p>
    <w:p w14:paraId="7F49FAD8">
      <w:pPr>
        <w:pStyle w:val="20"/>
        <w:spacing w:line="360" w:lineRule="auto"/>
        <w:ind w:firstLine="42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银行账号：</w:t>
      </w:r>
      <w:r>
        <w:rPr>
          <w:rFonts w:hint="eastAsia" w:ascii="宋体" w:hAnsi="宋体" w:eastAsia="宋体" w:cs="宋体"/>
          <w:color w:val="auto"/>
          <w:sz w:val="21"/>
          <w:szCs w:val="21"/>
          <w:highlight w:val="none"/>
          <w:u w:val="single"/>
        </w:rPr>
        <w:t xml:space="preserve">                                                    </w:t>
      </w:r>
    </w:p>
    <w:p w14:paraId="6C3B38E4">
      <w:pPr>
        <w:pStyle w:val="18"/>
        <w:tabs>
          <w:tab w:val="left" w:pos="939"/>
        </w:tabs>
        <w:spacing w:line="360" w:lineRule="auto"/>
        <w:ind w:left="141" w:leftChars="67" w:firstLine="315" w:firstLineChars="15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特此承诺。</w:t>
      </w:r>
    </w:p>
    <w:p w14:paraId="61BBD658">
      <w:pPr>
        <w:spacing w:line="360" w:lineRule="auto"/>
        <w:contextualSpacing/>
        <w:jc w:val="left"/>
        <w:rPr>
          <w:rFonts w:hint="eastAsia" w:ascii="宋体" w:hAnsi="宋体" w:eastAsia="宋体" w:cs="宋体"/>
          <w:color w:val="auto"/>
          <w:sz w:val="21"/>
          <w:szCs w:val="21"/>
          <w:highlight w:val="none"/>
        </w:rPr>
      </w:pPr>
    </w:p>
    <w:p w14:paraId="269336FA">
      <w:pPr>
        <w:pStyle w:val="20"/>
        <w:spacing w:line="360" w:lineRule="auto"/>
        <w:ind w:firstLine="3570" w:firstLineChars="1700"/>
        <w:rPr>
          <w:rFonts w:hint="eastAsia" w:ascii="宋体" w:hAnsi="宋体" w:eastAsia="宋体" w:cs="宋体"/>
          <w:b w:val="0"/>
          <w:bCs/>
          <w:color w:val="auto"/>
          <w:sz w:val="21"/>
          <w:szCs w:val="21"/>
          <w:highlight w:val="none"/>
          <w:u w:val="single"/>
          <w:lang w:val="en-US" w:eastAsia="zh-CN"/>
        </w:rPr>
      </w:pPr>
      <w:r>
        <w:rPr>
          <w:rFonts w:hint="eastAsia" w:ascii="宋体" w:hAnsi="宋体" w:eastAsia="宋体" w:cs="宋体"/>
          <w:b w:val="0"/>
          <w:bCs/>
          <w:color w:val="auto"/>
          <w:sz w:val="21"/>
          <w:szCs w:val="21"/>
          <w:highlight w:val="none"/>
        </w:rPr>
        <w:t>供应商名称</w:t>
      </w:r>
      <w:r>
        <w:rPr>
          <w:rFonts w:hint="eastAsia" w:ascii="宋体" w:hAnsi="宋体" w:eastAsia="宋体" w:cs="宋体"/>
          <w:color w:val="auto"/>
          <w:kern w:val="0"/>
          <w:sz w:val="21"/>
          <w:szCs w:val="21"/>
          <w:highlight w:val="none"/>
        </w:rPr>
        <w:t>（电子签章）</w:t>
      </w:r>
      <w:r>
        <w:rPr>
          <w:rFonts w:hint="eastAsia" w:hAnsi="宋体" w:cs="宋体"/>
          <w:color w:val="auto"/>
          <w:kern w:val="0"/>
          <w:sz w:val="21"/>
          <w:szCs w:val="21"/>
          <w:highlight w:val="none"/>
          <w:lang w:eastAsia="zh-CN"/>
        </w:rPr>
        <w:t>：</w:t>
      </w:r>
      <w:r>
        <w:rPr>
          <w:rFonts w:hint="eastAsia" w:ascii="宋体" w:hAnsi="宋体" w:eastAsia="宋体" w:cs="宋体"/>
          <w:b w:val="0"/>
          <w:bCs/>
          <w:color w:val="auto"/>
          <w:sz w:val="21"/>
          <w:szCs w:val="21"/>
          <w:highlight w:val="none"/>
          <w:u w:val="single"/>
          <w:lang w:val="en-US" w:eastAsia="zh-CN"/>
        </w:rPr>
        <w:t xml:space="preserve">          </w:t>
      </w:r>
    </w:p>
    <w:p w14:paraId="116CE800">
      <w:pPr>
        <w:autoSpaceDE w:val="0"/>
        <w:autoSpaceDN w:val="0"/>
        <w:spacing w:line="360" w:lineRule="auto"/>
        <w:ind w:firstLine="5670" w:firstLineChars="2700"/>
        <w:rPr>
          <w:rFonts w:hint="eastAsia" w:ascii="宋体" w:hAnsi="宋体" w:eastAsia="宋体" w:cs="宋体"/>
          <w:color w:val="auto"/>
          <w:kern w:val="0"/>
          <w:sz w:val="21"/>
          <w:szCs w:val="21"/>
          <w:highlight w:val="none"/>
          <w:lang w:val="zh-CN"/>
        </w:rPr>
      </w:pPr>
      <w:r>
        <w:rPr>
          <w:rFonts w:hint="eastAsia" w:ascii="宋体" w:hAnsi="宋体" w:eastAsia="宋体" w:cs="宋体"/>
          <w:color w:val="auto"/>
          <w:kern w:val="0"/>
          <w:sz w:val="21"/>
          <w:szCs w:val="21"/>
          <w:highlight w:val="none"/>
          <w:lang w:val="zh-CN"/>
        </w:rPr>
        <w:t>日期：  年  月   日</w:t>
      </w:r>
    </w:p>
    <w:p w14:paraId="071EACF2">
      <w:pPr>
        <w:spacing w:line="360" w:lineRule="auto"/>
        <w:rPr>
          <w:rFonts w:hint="eastAsia" w:ascii="宋体" w:hAnsi="宋体" w:eastAsia="宋体" w:cs="宋体"/>
          <w:color w:val="auto"/>
          <w:highlight w:val="none"/>
        </w:rPr>
      </w:pPr>
    </w:p>
    <w:p w14:paraId="153B2ED6">
      <w:pPr>
        <w:pStyle w:val="2"/>
        <w:spacing w:line="360" w:lineRule="auto"/>
        <w:rPr>
          <w:rFonts w:hint="eastAsia" w:ascii="宋体" w:hAnsi="宋体" w:eastAsia="宋体" w:cs="宋体"/>
          <w:color w:val="auto"/>
          <w:highlight w:val="none"/>
        </w:rPr>
      </w:pPr>
    </w:p>
    <w:p w14:paraId="56C7BCE8">
      <w:pPr>
        <w:pStyle w:val="2"/>
        <w:spacing w:line="360" w:lineRule="auto"/>
        <w:rPr>
          <w:rFonts w:hint="eastAsia" w:ascii="宋体" w:hAnsi="宋体" w:eastAsia="宋体" w:cs="宋体"/>
          <w:color w:val="auto"/>
          <w:highlight w:val="none"/>
        </w:rPr>
      </w:pPr>
    </w:p>
    <w:p w14:paraId="460B54DA">
      <w:pPr>
        <w:pStyle w:val="2"/>
        <w:spacing w:line="360" w:lineRule="auto"/>
        <w:rPr>
          <w:rFonts w:hint="eastAsia" w:ascii="宋体" w:hAnsi="宋体" w:eastAsia="宋体" w:cs="宋体"/>
          <w:color w:val="auto"/>
          <w:highlight w:val="none"/>
        </w:rPr>
      </w:pPr>
    </w:p>
    <w:p w14:paraId="519D1394">
      <w:pPr>
        <w:pStyle w:val="2"/>
        <w:spacing w:line="360" w:lineRule="auto"/>
        <w:rPr>
          <w:rFonts w:hint="eastAsia" w:ascii="宋体" w:hAnsi="宋体" w:eastAsia="宋体" w:cs="宋体"/>
          <w:color w:val="auto"/>
          <w:highlight w:val="none"/>
        </w:rPr>
      </w:pPr>
    </w:p>
    <w:p w14:paraId="259F949D">
      <w:pPr>
        <w:pStyle w:val="2"/>
        <w:spacing w:line="360" w:lineRule="auto"/>
        <w:rPr>
          <w:rFonts w:hint="eastAsia" w:ascii="宋体" w:hAnsi="宋体" w:eastAsia="宋体" w:cs="宋体"/>
          <w:color w:val="auto"/>
          <w:highlight w:val="none"/>
        </w:rPr>
      </w:pPr>
    </w:p>
    <w:p w14:paraId="09FC8C60">
      <w:pPr>
        <w:pStyle w:val="2"/>
        <w:spacing w:line="360" w:lineRule="auto"/>
        <w:rPr>
          <w:rFonts w:hint="eastAsia" w:ascii="宋体" w:hAnsi="宋体" w:eastAsia="宋体" w:cs="宋体"/>
          <w:color w:val="auto"/>
          <w:highlight w:val="none"/>
        </w:rPr>
      </w:pPr>
    </w:p>
    <w:p w14:paraId="26C05476">
      <w:pPr>
        <w:pStyle w:val="2"/>
        <w:spacing w:line="360" w:lineRule="auto"/>
        <w:rPr>
          <w:rFonts w:hint="eastAsia" w:ascii="宋体" w:hAnsi="宋体" w:eastAsia="宋体" w:cs="宋体"/>
          <w:color w:val="auto"/>
          <w:highlight w:val="none"/>
        </w:rPr>
      </w:pPr>
    </w:p>
    <w:p w14:paraId="5E055527">
      <w:pPr>
        <w:pStyle w:val="20"/>
        <w:pageBreakBefore w:val="0"/>
        <w:kinsoku/>
        <w:overflowPunct/>
        <w:topLinePunct w:val="0"/>
        <w:bidi w:val="0"/>
        <w:spacing w:line="360" w:lineRule="auto"/>
        <w:jc w:val="center"/>
        <w:rPr>
          <w:rFonts w:hint="eastAsia" w:ascii="宋体" w:hAnsi="宋体" w:eastAsia="宋体" w:cs="宋体"/>
          <w:b/>
          <w:color w:val="auto"/>
          <w:sz w:val="30"/>
          <w:szCs w:val="30"/>
          <w:highlight w:val="none"/>
          <w:lang w:val="en-US" w:eastAsia="zh-CN"/>
        </w:rPr>
      </w:pPr>
      <w:r>
        <w:rPr>
          <w:rFonts w:hint="eastAsia" w:hAnsi="宋体" w:cs="宋体"/>
          <w:b/>
          <w:bCs/>
          <w:color w:val="auto"/>
          <w:sz w:val="30"/>
          <w:szCs w:val="30"/>
          <w:highlight w:val="none"/>
          <w:lang w:eastAsia="zh-CN"/>
        </w:rPr>
        <w:t>（</w:t>
      </w:r>
      <w:r>
        <w:rPr>
          <w:rFonts w:hint="eastAsia" w:hAnsi="宋体" w:cs="宋体"/>
          <w:b/>
          <w:bCs/>
          <w:color w:val="auto"/>
          <w:sz w:val="30"/>
          <w:szCs w:val="30"/>
          <w:highlight w:val="none"/>
          <w:lang w:val="en-US" w:eastAsia="zh-CN"/>
        </w:rPr>
        <w:t>二</w:t>
      </w:r>
      <w:r>
        <w:rPr>
          <w:rFonts w:hint="eastAsia" w:hAnsi="宋体" w:cs="宋体"/>
          <w:b/>
          <w:bCs/>
          <w:color w:val="auto"/>
          <w:sz w:val="30"/>
          <w:szCs w:val="30"/>
          <w:highlight w:val="none"/>
          <w:lang w:eastAsia="zh-CN"/>
        </w:rPr>
        <w:t>）</w:t>
      </w:r>
      <w:r>
        <w:rPr>
          <w:rFonts w:hint="eastAsia" w:ascii="宋体" w:hAnsi="宋体" w:eastAsia="宋体" w:cs="宋体"/>
          <w:b/>
          <w:bCs/>
          <w:color w:val="auto"/>
          <w:sz w:val="30"/>
          <w:szCs w:val="30"/>
          <w:highlight w:val="none"/>
        </w:rPr>
        <w:t>、投标函附录</w:t>
      </w:r>
      <w:r>
        <w:rPr>
          <w:rFonts w:hint="eastAsia" w:hAnsi="宋体" w:eastAsia="宋体" w:cs="宋体"/>
          <w:b/>
          <w:color w:val="auto"/>
          <w:kern w:val="0"/>
          <w:sz w:val="24"/>
          <w:highlight w:val="none"/>
          <w:lang w:val="en-US" w:eastAsia="zh-CN"/>
        </w:rPr>
        <w:t xml:space="preserve"> </w:t>
      </w:r>
    </w:p>
    <w:p w14:paraId="250193A9">
      <w:pPr>
        <w:pageBreakBefore w:val="0"/>
        <w:kinsoku/>
        <w:overflowPunct/>
        <w:topLinePunct w:val="0"/>
        <w:bidi w:val="0"/>
        <w:snapToGrid w:val="0"/>
        <w:spacing w:before="50" w:after="50"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项目名称：</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w:t>
      </w:r>
    </w:p>
    <w:p w14:paraId="4EAE6260">
      <w:pPr>
        <w:pageBreakBefore w:val="0"/>
        <w:kinsoku/>
        <w:overflowPunct/>
        <w:topLinePunct w:val="0"/>
        <w:bidi w:val="0"/>
        <w:snapToGrid w:val="0"/>
        <w:spacing w:before="50" w:after="50" w:line="360" w:lineRule="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项目编号：</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w:t>
      </w:r>
    </w:p>
    <w:p w14:paraId="38E0913F">
      <w:pPr>
        <w:spacing w:line="360" w:lineRule="auto"/>
        <w:rPr>
          <w:rFonts w:hint="eastAsia"/>
          <w:color w:val="auto"/>
          <w:highlight w:val="none"/>
        </w:rPr>
      </w:pPr>
    </w:p>
    <w:tbl>
      <w:tblPr>
        <w:tblStyle w:val="33"/>
        <w:tblW w:w="8944" w:type="dxa"/>
        <w:tblInd w:w="11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82"/>
        <w:gridCol w:w="2702"/>
        <w:gridCol w:w="1526"/>
        <w:gridCol w:w="3285"/>
        <w:gridCol w:w="749"/>
      </w:tblGrid>
      <w:tr w14:paraId="269D50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682" w:type="dxa"/>
            <w:vAlign w:val="top"/>
          </w:tcPr>
          <w:p w14:paraId="05A0C752">
            <w:pPr>
              <w:pStyle w:val="122"/>
              <w:autoSpaceDE w:val="0"/>
              <w:autoSpaceDN w:val="0"/>
              <w:spacing w:before="128" w:line="360" w:lineRule="auto"/>
              <w:ind w:left="109" w:right="100"/>
              <w:jc w:val="center"/>
              <w:rPr>
                <w:rStyle w:val="35"/>
                <w:rFonts w:hint="eastAsia" w:ascii="宋体" w:hAnsi="宋体" w:eastAsia="宋体" w:cs="宋体"/>
                <w:b/>
                <w:color w:val="auto"/>
                <w:kern w:val="0"/>
                <w:sz w:val="24"/>
                <w:szCs w:val="24"/>
                <w:highlight w:val="none"/>
                <w:lang w:val="zh-CN" w:eastAsia="en-US" w:bidi="zh-CN"/>
              </w:rPr>
            </w:pPr>
            <w:r>
              <w:rPr>
                <w:rStyle w:val="35"/>
                <w:rFonts w:hint="eastAsia" w:ascii="宋体" w:hAnsi="宋体" w:eastAsia="宋体" w:cs="宋体"/>
                <w:b/>
                <w:color w:val="auto"/>
                <w:kern w:val="0"/>
                <w:sz w:val="24"/>
                <w:szCs w:val="24"/>
                <w:highlight w:val="none"/>
                <w:lang w:val="zh-CN" w:eastAsia="en-US" w:bidi="zh-CN"/>
              </w:rPr>
              <w:t>序号</w:t>
            </w:r>
          </w:p>
        </w:tc>
        <w:tc>
          <w:tcPr>
            <w:tcW w:w="2702" w:type="dxa"/>
            <w:vAlign w:val="top"/>
          </w:tcPr>
          <w:p w14:paraId="5E8A9C47">
            <w:pPr>
              <w:pStyle w:val="122"/>
              <w:autoSpaceDE w:val="0"/>
              <w:autoSpaceDN w:val="0"/>
              <w:spacing w:before="128" w:line="360" w:lineRule="auto"/>
              <w:ind w:left="285" w:right="276"/>
              <w:jc w:val="center"/>
              <w:rPr>
                <w:rStyle w:val="35"/>
                <w:rFonts w:hint="eastAsia" w:ascii="宋体" w:hAnsi="宋体" w:eastAsia="宋体" w:cs="宋体"/>
                <w:b/>
                <w:color w:val="auto"/>
                <w:kern w:val="0"/>
                <w:sz w:val="24"/>
                <w:szCs w:val="24"/>
                <w:highlight w:val="none"/>
                <w:lang w:val="zh-CN" w:eastAsia="en-US" w:bidi="zh-CN"/>
              </w:rPr>
            </w:pPr>
            <w:r>
              <w:rPr>
                <w:rStyle w:val="35"/>
                <w:rFonts w:hint="eastAsia" w:ascii="宋体" w:hAnsi="宋体" w:eastAsia="宋体" w:cs="宋体"/>
                <w:b/>
                <w:color w:val="auto"/>
                <w:kern w:val="0"/>
                <w:sz w:val="24"/>
                <w:szCs w:val="24"/>
                <w:highlight w:val="none"/>
                <w:lang w:val="zh-CN" w:eastAsia="en-US" w:bidi="zh-CN"/>
              </w:rPr>
              <w:t>条款</w:t>
            </w:r>
            <w:r>
              <w:rPr>
                <w:rStyle w:val="35"/>
                <w:rFonts w:hint="eastAsia" w:ascii="宋体" w:hAnsi="宋体" w:eastAsia="宋体" w:cs="宋体"/>
                <w:b/>
                <w:color w:val="auto"/>
                <w:kern w:val="0"/>
                <w:sz w:val="24"/>
                <w:szCs w:val="24"/>
                <w:highlight w:val="none"/>
                <w:lang w:val="en-US" w:eastAsia="en-US" w:bidi="zh-CN"/>
              </w:rPr>
              <w:t>内容</w:t>
            </w:r>
          </w:p>
        </w:tc>
        <w:tc>
          <w:tcPr>
            <w:tcW w:w="1526" w:type="dxa"/>
            <w:vAlign w:val="top"/>
          </w:tcPr>
          <w:p w14:paraId="59B1C40E">
            <w:pPr>
              <w:pStyle w:val="122"/>
              <w:autoSpaceDE w:val="0"/>
              <w:autoSpaceDN w:val="0"/>
              <w:spacing w:before="128" w:line="360" w:lineRule="auto"/>
              <w:ind w:left="6"/>
              <w:jc w:val="center"/>
              <w:rPr>
                <w:rStyle w:val="35"/>
                <w:rFonts w:hint="eastAsia" w:ascii="宋体" w:hAnsi="宋体" w:eastAsia="宋体" w:cs="宋体"/>
                <w:b/>
                <w:color w:val="auto"/>
                <w:kern w:val="0"/>
                <w:sz w:val="24"/>
                <w:szCs w:val="24"/>
                <w:highlight w:val="none"/>
                <w:lang w:val="zh-CN" w:eastAsia="en-US" w:bidi="zh-CN"/>
              </w:rPr>
            </w:pPr>
            <w:r>
              <w:rPr>
                <w:rStyle w:val="35"/>
                <w:rFonts w:hint="eastAsia" w:ascii="宋体" w:hAnsi="宋体" w:eastAsia="宋体" w:cs="宋体"/>
                <w:b/>
                <w:color w:val="auto"/>
                <w:kern w:val="0"/>
                <w:sz w:val="24"/>
                <w:szCs w:val="24"/>
                <w:highlight w:val="none"/>
                <w:lang w:val="zh-CN" w:eastAsia="en-US" w:bidi="zh-CN"/>
              </w:rPr>
              <w:t>合同</w:t>
            </w:r>
            <w:r>
              <w:rPr>
                <w:rStyle w:val="35"/>
                <w:rFonts w:hint="eastAsia" w:ascii="宋体" w:hAnsi="宋体" w:eastAsia="宋体" w:cs="宋体"/>
                <w:b/>
                <w:color w:val="auto"/>
                <w:kern w:val="0"/>
                <w:sz w:val="24"/>
                <w:szCs w:val="24"/>
                <w:highlight w:val="none"/>
                <w:lang w:val="en-US" w:eastAsia="en-US" w:bidi="zh-CN"/>
              </w:rPr>
              <w:t>条款</w:t>
            </w:r>
          </w:p>
        </w:tc>
        <w:tc>
          <w:tcPr>
            <w:tcW w:w="3285" w:type="dxa"/>
            <w:vAlign w:val="top"/>
          </w:tcPr>
          <w:p w14:paraId="3CDE180C">
            <w:pPr>
              <w:pStyle w:val="122"/>
              <w:autoSpaceDE w:val="0"/>
              <w:autoSpaceDN w:val="0"/>
              <w:spacing w:before="128" w:line="360" w:lineRule="auto"/>
              <w:ind w:right="1358"/>
              <w:jc w:val="center"/>
              <w:rPr>
                <w:rStyle w:val="35"/>
                <w:rFonts w:hint="eastAsia" w:ascii="宋体" w:hAnsi="宋体" w:eastAsia="宋体" w:cs="宋体"/>
                <w:b/>
                <w:color w:val="auto"/>
                <w:kern w:val="0"/>
                <w:sz w:val="24"/>
                <w:szCs w:val="24"/>
                <w:highlight w:val="none"/>
                <w:lang w:val="zh-CN" w:eastAsia="en-US" w:bidi="zh-CN"/>
              </w:rPr>
            </w:pPr>
            <w:r>
              <w:rPr>
                <w:rStyle w:val="35"/>
                <w:rFonts w:hint="eastAsia" w:ascii="宋体" w:hAnsi="宋体" w:eastAsia="宋体" w:cs="宋体"/>
                <w:b/>
                <w:color w:val="auto"/>
                <w:kern w:val="0"/>
                <w:sz w:val="24"/>
                <w:szCs w:val="24"/>
                <w:highlight w:val="none"/>
                <w:lang w:val="en-US" w:eastAsia="en-US" w:bidi="zh-CN"/>
              </w:rPr>
              <w:t xml:space="preserve"> 约定</w:t>
            </w:r>
            <w:r>
              <w:rPr>
                <w:rStyle w:val="35"/>
                <w:rFonts w:hint="eastAsia" w:ascii="宋体" w:hAnsi="宋体" w:eastAsia="宋体" w:cs="宋体"/>
                <w:b/>
                <w:color w:val="auto"/>
                <w:kern w:val="0"/>
                <w:sz w:val="24"/>
                <w:szCs w:val="24"/>
                <w:highlight w:val="none"/>
                <w:lang w:val="zh-CN" w:eastAsia="en-US" w:bidi="zh-CN"/>
              </w:rPr>
              <w:t>内容</w:t>
            </w:r>
          </w:p>
        </w:tc>
        <w:tc>
          <w:tcPr>
            <w:tcW w:w="749" w:type="dxa"/>
            <w:vAlign w:val="top"/>
          </w:tcPr>
          <w:p w14:paraId="195E192F">
            <w:pPr>
              <w:pStyle w:val="122"/>
              <w:autoSpaceDE w:val="0"/>
              <w:autoSpaceDN w:val="0"/>
              <w:spacing w:before="128" w:line="360" w:lineRule="auto"/>
              <w:ind w:left="158"/>
              <w:jc w:val="left"/>
              <w:rPr>
                <w:rStyle w:val="35"/>
                <w:rFonts w:hint="eastAsia" w:ascii="宋体" w:hAnsi="宋体" w:eastAsia="宋体" w:cs="宋体"/>
                <w:b/>
                <w:color w:val="auto"/>
                <w:kern w:val="0"/>
                <w:sz w:val="24"/>
                <w:szCs w:val="24"/>
                <w:highlight w:val="none"/>
                <w:lang w:val="zh-CN" w:eastAsia="en-US" w:bidi="zh-CN"/>
              </w:rPr>
            </w:pPr>
            <w:r>
              <w:rPr>
                <w:rStyle w:val="35"/>
                <w:rFonts w:hint="eastAsia" w:ascii="宋体" w:hAnsi="宋体" w:eastAsia="宋体" w:cs="宋体"/>
                <w:b/>
                <w:color w:val="auto"/>
                <w:kern w:val="0"/>
                <w:sz w:val="24"/>
                <w:szCs w:val="24"/>
                <w:highlight w:val="none"/>
                <w:lang w:val="zh-CN" w:eastAsia="en-US" w:bidi="zh-CN"/>
              </w:rPr>
              <w:t>备注</w:t>
            </w:r>
          </w:p>
        </w:tc>
      </w:tr>
      <w:tr w14:paraId="0AD4FF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682" w:type="dxa"/>
            <w:vAlign w:val="top"/>
          </w:tcPr>
          <w:p w14:paraId="7D6276B4">
            <w:pPr>
              <w:pStyle w:val="122"/>
              <w:autoSpaceDE w:val="0"/>
              <w:autoSpaceDN w:val="0"/>
              <w:spacing w:before="128" w:line="360" w:lineRule="auto"/>
              <w:ind w:left="109" w:right="100"/>
              <w:jc w:val="center"/>
              <w:rPr>
                <w:rStyle w:val="35"/>
                <w:rFonts w:hint="eastAsia" w:ascii="宋体" w:hAnsi="宋体" w:eastAsia="宋体" w:cs="宋体"/>
                <w:b w:val="0"/>
                <w:bCs/>
                <w:color w:val="auto"/>
                <w:kern w:val="0"/>
                <w:sz w:val="24"/>
                <w:szCs w:val="24"/>
                <w:highlight w:val="none"/>
                <w:lang w:val="en-US" w:eastAsia="en-US" w:bidi="zh-CN"/>
              </w:rPr>
            </w:pPr>
            <w:r>
              <w:rPr>
                <w:rStyle w:val="35"/>
                <w:rFonts w:hint="eastAsia" w:ascii="宋体" w:hAnsi="宋体" w:eastAsia="宋体" w:cs="宋体"/>
                <w:b w:val="0"/>
                <w:bCs/>
                <w:color w:val="auto"/>
                <w:kern w:val="0"/>
                <w:sz w:val="24"/>
                <w:szCs w:val="24"/>
                <w:highlight w:val="none"/>
                <w:lang w:val="en-US" w:eastAsia="en-US" w:bidi="zh-CN"/>
              </w:rPr>
              <w:t>1</w:t>
            </w:r>
          </w:p>
        </w:tc>
        <w:tc>
          <w:tcPr>
            <w:tcW w:w="2702" w:type="dxa"/>
            <w:vAlign w:val="top"/>
          </w:tcPr>
          <w:p w14:paraId="18C81045">
            <w:pPr>
              <w:pStyle w:val="122"/>
              <w:keepNext w:val="0"/>
              <w:keepLines w:val="0"/>
              <w:pageBreakBefore w:val="0"/>
              <w:widowControl w:val="0"/>
              <w:kinsoku/>
              <w:wordWrap/>
              <w:overflowPunct/>
              <w:topLinePunct w:val="0"/>
              <w:autoSpaceDE w:val="0"/>
              <w:autoSpaceDN w:val="0"/>
              <w:bidi w:val="0"/>
              <w:adjustRightInd/>
              <w:snapToGrid/>
              <w:spacing w:before="128" w:line="360" w:lineRule="auto"/>
              <w:ind w:left="285" w:right="276"/>
              <w:jc w:val="center"/>
              <w:textAlignment w:val="auto"/>
              <w:outlineLvl w:val="9"/>
              <w:rPr>
                <w:rStyle w:val="35"/>
                <w:rFonts w:hint="eastAsia" w:ascii="宋体" w:hAnsi="宋体" w:eastAsia="宋体" w:cs="宋体"/>
                <w:b w:val="0"/>
                <w:bCs/>
                <w:color w:val="auto"/>
                <w:kern w:val="0"/>
                <w:sz w:val="24"/>
                <w:szCs w:val="24"/>
                <w:highlight w:val="none"/>
                <w:lang w:val="en-US" w:eastAsia="en-US" w:bidi="zh-CN"/>
              </w:rPr>
            </w:pPr>
            <w:r>
              <w:rPr>
                <w:rStyle w:val="35"/>
                <w:rFonts w:hint="eastAsia" w:ascii="宋体" w:hAnsi="宋体" w:eastAsia="宋体" w:cs="宋体"/>
                <w:b w:val="0"/>
                <w:bCs/>
                <w:color w:val="auto"/>
                <w:kern w:val="0"/>
                <w:sz w:val="24"/>
                <w:szCs w:val="24"/>
                <w:highlight w:val="none"/>
                <w:lang w:val="en-US" w:eastAsia="en-US" w:bidi="zh-CN"/>
              </w:rPr>
              <w:t>项目经理</w:t>
            </w:r>
          </w:p>
        </w:tc>
        <w:tc>
          <w:tcPr>
            <w:tcW w:w="1526" w:type="dxa"/>
            <w:vAlign w:val="top"/>
          </w:tcPr>
          <w:p w14:paraId="41A05590">
            <w:pPr>
              <w:pStyle w:val="122"/>
              <w:autoSpaceDE w:val="0"/>
              <w:autoSpaceDN w:val="0"/>
              <w:spacing w:before="128" w:line="360" w:lineRule="auto"/>
              <w:ind w:left="6"/>
              <w:jc w:val="center"/>
              <w:rPr>
                <w:rStyle w:val="35"/>
                <w:rFonts w:hint="eastAsia" w:ascii="宋体" w:hAnsi="宋体" w:eastAsia="宋体" w:cs="宋体"/>
                <w:b w:val="0"/>
                <w:bCs/>
                <w:color w:val="auto"/>
                <w:kern w:val="0"/>
                <w:sz w:val="24"/>
                <w:szCs w:val="24"/>
                <w:highlight w:val="none"/>
                <w:lang w:val="zh-CN" w:eastAsia="en-US" w:bidi="zh-CN"/>
              </w:rPr>
            </w:pPr>
            <w:r>
              <w:rPr>
                <w:rStyle w:val="35"/>
                <w:rFonts w:hint="eastAsia" w:ascii="宋体" w:hAnsi="宋体" w:eastAsia="宋体" w:cs="宋体"/>
                <w:color w:val="auto"/>
                <w:kern w:val="0"/>
                <w:sz w:val="24"/>
                <w:szCs w:val="24"/>
                <w:highlight w:val="none"/>
                <w:lang w:val="en-US" w:eastAsia="en-US" w:bidi="zh-CN"/>
              </w:rPr>
              <w:t>专用条款</w:t>
            </w:r>
          </w:p>
        </w:tc>
        <w:tc>
          <w:tcPr>
            <w:tcW w:w="3285" w:type="dxa"/>
            <w:vAlign w:val="top"/>
          </w:tcPr>
          <w:p w14:paraId="1A5111DA">
            <w:pPr>
              <w:pStyle w:val="122"/>
              <w:autoSpaceDE w:val="0"/>
              <w:autoSpaceDN w:val="0"/>
              <w:spacing w:before="128" w:line="360" w:lineRule="auto"/>
              <w:ind w:right="1358"/>
              <w:jc w:val="center"/>
              <w:rPr>
                <w:rStyle w:val="35"/>
                <w:rFonts w:hint="eastAsia" w:ascii="宋体" w:hAnsi="宋体" w:eastAsia="宋体" w:cs="宋体"/>
                <w:b w:val="0"/>
                <w:bCs/>
                <w:color w:val="auto"/>
                <w:kern w:val="0"/>
                <w:sz w:val="24"/>
                <w:szCs w:val="24"/>
                <w:highlight w:val="none"/>
                <w:lang w:val="en-US" w:eastAsia="en-US" w:bidi="zh-CN"/>
              </w:rPr>
            </w:pPr>
            <w:r>
              <w:rPr>
                <w:rStyle w:val="35"/>
                <w:rFonts w:hint="eastAsia" w:ascii="宋体" w:hAnsi="宋体" w:eastAsia="宋体" w:cs="宋体"/>
                <w:b w:val="0"/>
                <w:bCs/>
                <w:color w:val="auto"/>
                <w:kern w:val="0"/>
                <w:sz w:val="24"/>
                <w:szCs w:val="24"/>
                <w:highlight w:val="none"/>
                <w:lang w:val="en-US" w:eastAsia="en-US" w:bidi="zh-CN"/>
              </w:rPr>
              <w:t>姓名：</w:t>
            </w:r>
            <w:r>
              <w:rPr>
                <w:rStyle w:val="35"/>
                <w:rFonts w:hint="eastAsia" w:ascii="宋体" w:hAnsi="宋体" w:eastAsia="宋体" w:cs="宋体"/>
                <w:b w:val="0"/>
                <w:bCs/>
                <w:color w:val="auto"/>
                <w:kern w:val="0"/>
                <w:sz w:val="24"/>
                <w:szCs w:val="24"/>
                <w:highlight w:val="none"/>
                <w:u w:val="single"/>
                <w:lang w:val="zh-CN" w:eastAsia="en-US" w:bidi="zh-CN"/>
              </w:rPr>
              <w:t xml:space="preserve"> </w:t>
            </w:r>
            <w:r>
              <w:rPr>
                <w:rStyle w:val="35"/>
                <w:rFonts w:hint="eastAsia" w:ascii="宋体" w:hAnsi="宋体" w:eastAsia="宋体" w:cs="宋体"/>
                <w:b w:val="0"/>
                <w:bCs/>
                <w:color w:val="auto"/>
                <w:kern w:val="0"/>
                <w:sz w:val="24"/>
                <w:szCs w:val="24"/>
                <w:highlight w:val="none"/>
                <w:u w:val="single"/>
                <w:lang w:val="zh-CN" w:eastAsia="en-US" w:bidi="zh-CN"/>
              </w:rPr>
              <w:tab/>
            </w:r>
            <w:r>
              <w:rPr>
                <w:rStyle w:val="35"/>
                <w:rFonts w:hint="eastAsia" w:ascii="宋体" w:hAnsi="宋体" w:eastAsia="宋体" w:cs="宋体"/>
                <w:b w:val="0"/>
                <w:bCs/>
                <w:color w:val="auto"/>
                <w:kern w:val="0"/>
                <w:sz w:val="24"/>
                <w:szCs w:val="24"/>
                <w:highlight w:val="none"/>
                <w:u w:val="single"/>
                <w:lang w:val="en-US" w:eastAsia="en-US" w:bidi="zh-CN"/>
              </w:rPr>
              <w:t xml:space="preserve">          </w:t>
            </w:r>
          </w:p>
        </w:tc>
        <w:tc>
          <w:tcPr>
            <w:tcW w:w="749" w:type="dxa"/>
            <w:vAlign w:val="top"/>
          </w:tcPr>
          <w:p w14:paraId="47B6FDB2">
            <w:pPr>
              <w:pStyle w:val="122"/>
              <w:autoSpaceDE w:val="0"/>
              <w:autoSpaceDN w:val="0"/>
              <w:spacing w:before="128" w:line="360" w:lineRule="auto"/>
              <w:ind w:left="158"/>
              <w:jc w:val="left"/>
              <w:rPr>
                <w:rStyle w:val="35"/>
                <w:rFonts w:hint="eastAsia" w:ascii="宋体" w:hAnsi="宋体" w:eastAsia="宋体" w:cs="宋体"/>
                <w:b/>
                <w:color w:val="auto"/>
                <w:kern w:val="0"/>
                <w:sz w:val="24"/>
                <w:szCs w:val="24"/>
                <w:highlight w:val="none"/>
                <w:lang w:val="zh-CN" w:eastAsia="en-US" w:bidi="zh-CN"/>
              </w:rPr>
            </w:pPr>
          </w:p>
        </w:tc>
      </w:tr>
      <w:tr w14:paraId="1019E9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682" w:type="dxa"/>
            <w:vAlign w:val="top"/>
          </w:tcPr>
          <w:p w14:paraId="2399C759">
            <w:pPr>
              <w:pStyle w:val="122"/>
              <w:autoSpaceDE w:val="0"/>
              <w:autoSpaceDN w:val="0"/>
              <w:spacing w:before="128" w:line="360" w:lineRule="auto"/>
              <w:ind w:left="109" w:right="100"/>
              <w:jc w:val="center"/>
              <w:rPr>
                <w:rStyle w:val="35"/>
                <w:rFonts w:hint="eastAsia" w:ascii="宋体" w:hAnsi="宋体" w:eastAsia="宋体" w:cs="宋体"/>
                <w:b w:val="0"/>
                <w:bCs/>
                <w:color w:val="auto"/>
                <w:kern w:val="0"/>
                <w:sz w:val="24"/>
                <w:szCs w:val="24"/>
                <w:highlight w:val="none"/>
                <w:lang w:val="en-US" w:eastAsia="en-US" w:bidi="zh-CN"/>
              </w:rPr>
            </w:pPr>
            <w:r>
              <w:rPr>
                <w:rStyle w:val="35"/>
                <w:rFonts w:hint="eastAsia" w:ascii="宋体" w:hAnsi="宋体" w:eastAsia="宋体" w:cs="宋体"/>
                <w:b w:val="0"/>
                <w:bCs/>
                <w:color w:val="auto"/>
                <w:kern w:val="0"/>
                <w:sz w:val="24"/>
                <w:szCs w:val="24"/>
                <w:highlight w:val="none"/>
                <w:lang w:val="en-US" w:eastAsia="en-US" w:bidi="zh-CN"/>
              </w:rPr>
              <w:t>2</w:t>
            </w:r>
          </w:p>
        </w:tc>
        <w:tc>
          <w:tcPr>
            <w:tcW w:w="2702" w:type="dxa"/>
            <w:vAlign w:val="top"/>
          </w:tcPr>
          <w:p w14:paraId="1F36A998">
            <w:pPr>
              <w:pStyle w:val="122"/>
              <w:keepNext w:val="0"/>
              <w:keepLines w:val="0"/>
              <w:pageBreakBefore w:val="0"/>
              <w:widowControl w:val="0"/>
              <w:kinsoku/>
              <w:wordWrap/>
              <w:overflowPunct/>
              <w:topLinePunct w:val="0"/>
              <w:autoSpaceDE w:val="0"/>
              <w:autoSpaceDN w:val="0"/>
              <w:bidi w:val="0"/>
              <w:adjustRightInd/>
              <w:snapToGrid/>
              <w:spacing w:before="128" w:line="360" w:lineRule="auto"/>
              <w:ind w:left="285" w:right="276"/>
              <w:jc w:val="center"/>
              <w:textAlignment w:val="auto"/>
              <w:outlineLvl w:val="9"/>
              <w:rPr>
                <w:rStyle w:val="35"/>
                <w:rFonts w:hint="eastAsia" w:ascii="宋体" w:hAnsi="宋体" w:eastAsia="宋体" w:cs="宋体"/>
                <w:b w:val="0"/>
                <w:bCs/>
                <w:color w:val="auto"/>
                <w:kern w:val="0"/>
                <w:sz w:val="24"/>
                <w:szCs w:val="24"/>
                <w:highlight w:val="none"/>
                <w:lang w:val="en-US" w:eastAsia="en-US" w:bidi="zh-CN"/>
              </w:rPr>
            </w:pPr>
            <w:r>
              <w:rPr>
                <w:rStyle w:val="35"/>
                <w:rFonts w:hint="eastAsia" w:ascii="宋体" w:hAnsi="宋体" w:eastAsia="宋体" w:cs="宋体"/>
                <w:b w:val="0"/>
                <w:bCs/>
                <w:color w:val="auto"/>
                <w:kern w:val="0"/>
                <w:sz w:val="24"/>
                <w:szCs w:val="24"/>
                <w:highlight w:val="none"/>
                <w:lang w:val="en-US" w:eastAsia="en-US" w:bidi="zh-CN"/>
              </w:rPr>
              <w:t>竞标有效期</w:t>
            </w:r>
          </w:p>
        </w:tc>
        <w:tc>
          <w:tcPr>
            <w:tcW w:w="1526" w:type="dxa"/>
            <w:vAlign w:val="top"/>
          </w:tcPr>
          <w:p w14:paraId="5A143A9D">
            <w:pPr>
              <w:pStyle w:val="122"/>
              <w:autoSpaceDE w:val="0"/>
              <w:autoSpaceDN w:val="0"/>
              <w:spacing w:before="128" w:line="360" w:lineRule="auto"/>
              <w:ind w:left="6"/>
              <w:jc w:val="center"/>
              <w:rPr>
                <w:rStyle w:val="35"/>
                <w:rFonts w:hint="eastAsia" w:ascii="宋体" w:hAnsi="宋体" w:eastAsia="宋体" w:cs="宋体"/>
                <w:b w:val="0"/>
                <w:bCs/>
                <w:color w:val="auto"/>
                <w:kern w:val="0"/>
                <w:sz w:val="24"/>
                <w:szCs w:val="24"/>
                <w:highlight w:val="none"/>
                <w:lang w:val="zh-CN" w:eastAsia="en-US" w:bidi="zh-CN"/>
              </w:rPr>
            </w:pPr>
          </w:p>
        </w:tc>
        <w:tc>
          <w:tcPr>
            <w:tcW w:w="3285" w:type="dxa"/>
            <w:vAlign w:val="top"/>
          </w:tcPr>
          <w:p w14:paraId="372A08E4">
            <w:pPr>
              <w:pStyle w:val="122"/>
              <w:autoSpaceDE w:val="0"/>
              <w:autoSpaceDN w:val="0"/>
              <w:spacing w:before="128" w:line="360" w:lineRule="auto"/>
              <w:ind w:right="1358"/>
              <w:jc w:val="center"/>
              <w:rPr>
                <w:rStyle w:val="35"/>
                <w:rFonts w:hint="eastAsia" w:ascii="宋体" w:hAnsi="宋体" w:eastAsia="宋体" w:cs="宋体"/>
                <w:b w:val="0"/>
                <w:bCs/>
                <w:color w:val="auto"/>
                <w:kern w:val="0"/>
                <w:sz w:val="24"/>
                <w:szCs w:val="24"/>
                <w:highlight w:val="none"/>
                <w:lang w:val="en-US" w:eastAsia="en-US" w:bidi="zh-CN"/>
              </w:rPr>
            </w:pPr>
            <w:r>
              <w:rPr>
                <w:rStyle w:val="35"/>
                <w:rFonts w:hint="eastAsia" w:ascii="宋体" w:hAnsi="宋体" w:eastAsia="宋体" w:cs="宋体"/>
                <w:b w:val="0"/>
                <w:bCs/>
                <w:color w:val="auto"/>
                <w:kern w:val="0"/>
                <w:sz w:val="24"/>
                <w:szCs w:val="24"/>
                <w:highlight w:val="none"/>
                <w:u w:val="single"/>
                <w:lang w:val="zh-CN" w:eastAsia="en-US" w:bidi="zh-CN"/>
              </w:rPr>
              <w:t xml:space="preserve"> </w:t>
            </w:r>
            <w:r>
              <w:rPr>
                <w:rStyle w:val="35"/>
                <w:rFonts w:hint="eastAsia" w:ascii="宋体" w:hAnsi="宋体" w:eastAsia="宋体" w:cs="宋体"/>
                <w:b w:val="0"/>
                <w:bCs/>
                <w:color w:val="auto"/>
                <w:kern w:val="0"/>
                <w:sz w:val="24"/>
                <w:szCs w:val="24"/>
                <w:highlight w:val="none"/>
                <w:u w:val="single"/>
                <w:lang w:val="zh-CN" w:eastAsia="en-US" w:bidi="zh-CN"/>
              </w:rPr>
              <w:tab/>
            </w:r>
            <w:r>
              <w:rPr>
                <w:rStyle w:val="35"/>
                <w:rFonts w:hint="eastAsia" w:ascii="宋体" w:hAnsi="宋体" w:eastAsia="宋体" w:cs="宋体"/>
                <w:b w:val="0"/>
                <w:bCs/>
                <w:color w:val="auto"/>
                <w:kern w:val="0"/>
                <w:sz w:val="24"/>
                <w:szCs w:val="24"/>
                <w:highlight w:val="none"/>
                <w:u w:val="single"/>
                <w:lang w:val="en-US" w:eastAsia="en-US" w:bidi="zh-CN"/>
              </w:rPr>
              <w:t xml:space="preserve"> </w:t>
            </w:r>
            <w:r>
              <w:rPr>
                <w:rStyle w:val="35"/>
                <w:rFonts w:hint="eastAsia" w:ascii="宋体" w:hAnsi="宋体" w:eastAsia="宋体" w:cs="宋体"/>
                <w:b w:val="0"/>
                <w:bCs/>
                <w:color w:val="auto"/>
                <w:kern w:val="0"/>
                <w:sz w:val="24"/>
                <w:szCs w:val="24"/>
                <w:highlight w:val="none"/>
                <w:u w:val="none"/>
                <w:lang w:val="en-US" w:eastAsia="en-US" w:bidi="zh-CN"/>
              </w:rPr>
              <w:t>日历天</w:t>
            </w:r>
          </w:p>
        </w:tc>
        <w:tc>
          <w:tcPr>
            <w:tcW w:w="749" w:type="dxa"/>
            <w:vAlign w:val="top"/>
          </w:tcPr>
          <w:p w14:paraId="44DE2841">
            <w:pPr>
              <w:pStyle w:val="122"/>
              <w:autoSpaceDE w:val="0"/>
              <w:autoSpaceDN w:val="0"/>
              <w:spacing w:before="128" w:line="360" w:lineRule="auto"/>
              <w:ind w:left="158"/>
              <w:jc w:val="left"/>
              <w:rPr>
                <w:rStyle w:val="35"/>
                <w:rFonts w:hint="eastAsia" w:ascii="宋体" w:hAnsi="宋体" w:eastAsia="宋体" w:cs="宋体"/>
                <w:b/>
                <w:color w:val="auto"/>
                <w:kern w:val="0"/>
                <w:sz w:val="24"/>
                <w:szCs w:val="24"/>
                <w:highlight w:val="none"/>
                <w:lang w:val="zh-CN" w:eastAsia="en-US" w:bidi="zh-CN"/>
              </w:rPr>
            </w:pPr>
          </w:p>
        </w:tc>
      </w:tr>
      <w:tr w14:paraId="4E92D3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682" w:type="dxa"/>
            <w:vAlign w:val="top"/>
          </w:tcPr>
          <w:p w14:paraId="488652D7">
            <w:pPr>
              <w:pStyle w:val="122"/>
              <w:autoSpaceDE w:val="0"/>
              <w:autoSpaceDN w:val="0"/>
              <w:spacing w:before="128" w:line="360" w:lineRule="auto"/>
              <w:ind w:left="109" w:right="100"/>
              <w:jc w:val="center"/>
              <w:rPr>
                <w:rStyle w:val="35"/>
                <w:rFonts w:hint="eastAsia" w:ascii="宋体" w:hAnsi="宋体" w:eastAsia="宋体" w:cs="宋体"/>
                <w:b w:val="0"/>
                <w:bCs/>
                <w:color w:val="auto"/>
                <w:kern w:val="0"/>
                <w:sz w:val="24"/>
                <w:szCs w:val="24"/>
                <w:highlight w:val="none"/>
                <w:lang w:val="en-US" w:eastAsia="en-US" w:bidi="zh-CN"/>
              </w:rPr>
            </w:pPr>
            <w:r>
              <w:rPr>
                <w:rStyle w:val="35"/>
                <w:rFonts w:hint="eastAsia" w:ascii="宋体" w:hAnsi="宋体" w:eastAsia="宋体" w:cs="宋体"/>
                <w:b w:val="0"/>
                <w:bCs/>
                <w:color w:val="auto"/>
                <w:kern w:val="0"/>
                <w:sz w:val="24"/>
                <w:szCs w:val="24"/>
                <w:highlight w:val="none"/>
                <w:lang w:val="en-US" w:eastAsia="en-US" w:bidi="zh-CN"/>
              </w:rPr>
              <w:t>3</w:t>
            </w:r>
          </w:p>
        </w:tc>
        <w:tc>
          <w:tcPr>
            <w:tcW w:w="2702" w:type="dxa"/>
            <w:vAlign w:val="top"/>
          </w:tcPr>
          <w:p w14:paraId="5210614C">
            <w:pPr>
              <w:pStyle w:val="122"/>
              <w:keepNext w:val="0"/>
              <w:keepLines w:val="0"/>
              <w:pageBreakBefore w:val="0"/>
              <w:widowControl w:val="0"/>
              <w:kinsoku/>
              <w:wordWrap/>
              <w:overflowPunct/>
              <w:topLinePunct w:val="0"/>
              <w:autoSpaceDE w:val="0"/>
              <w:autoSpaceDN w:val="0"/>
              <w:bidi w:val="0"/>
              <w:adjustRightInd/>
              <w:snapToGrid/>
              <w:spacing w:before="128" w:line="360" w:lineRule="auto"/>
              <w:ind w:right="276"/>
              <w:jc w:val="center"/>
              <w:textAlignment w:val="auto"/>
              <w:outlineLvl w:val="9"/>
              <w:rPr>
                <w:rStyle w:val="35"/>
                <w:rFonts w:hint="eastAsia" w:ascii="宋体" w:hAnsi="宋体" w:eastAsia="宋体" w:cs="宋体"/>
                <w:b w:val="0"/>
                <w:bCs/>
                <w:color w:val="auto"/>
                <w:kern w:val="0"/>
                <w:sz w:val="24"/>
                <w:szCs w:val="24"/>
                <w:highlight w:val="none"/>
                <w:lang w:val="en-US" w:eastAsia="en-US" w:bidi="zh-CN"/>
              </w:rPr>
            </w:pPr>
            <w:r>
              <w:rPr>
                <w:rStyle w:val="35"/>
                <w:rFonts w:hint="eastAsia" w:ascii="宋体" w:hAnsi="宋体" w:eastAsia="宋体" w:cs="宋体"/>
                <w:b w:val="0"/>
                <w:bCs/>
                <w:color w:val="auto"/>
                <w:kern w:val="0"/>
                <w:sz w:val="24"/>
                <w:szCs w:val="24"/>
                <w:highlight w:val="none"/>
                <w:lang w:val="en-US" w:eastAsia="en-US" w:bidi="zh-CN"/>
              </w:rPr>
              <w:t xml:space="preserve">  合同履行期限（工期）</w:t>
            </w:r>
          </w:p>
        </w:tc>
        <w:tc>
          <w:tcPr>
            <w:tcW w:w="1526" w:type="dxa"/>
            <w:vAlign w:val="top"/>
          </w:tcPr>
          <w:p w14:paraId="5AA59E31">
            <w:pPr>
              <w:pStyle w:val="122"/>
              <w:autoSpaceDE w:val="0"/>
              <w:autoSpaceDN w:val="0"/>
              <w:spacing w:before="128" w:line="360" w:lineRule="auto"/>
              <w:ind w:left="6"/>
              <w:jc w:val="center"/>
              <w:rPr>
                <w:rStyle w:val="35"/>
                <w:rFonts w:hint="eastAsia" w:ascii="宋体" w:hAnsi="宋体" w:eastAsia="宋体" w:cs="宋体"/>
                <w:b w:val="0"/>
                <w:bCs/>
                <w:color w:val="auto"/>
                <w:kern w:val="0"/>
                <w:sz w:val="24"/>
                <w:szCs w:val="24"/>
                <w:highlight w:val="none"/>
                <w:lang w:val="zh-CN" w:eastAsia="en-US" w:bidi="zh-CN"/>
              </w:rPr>
            </w:pPr>
          </w:p>
        </w:tc>
        <w:tc>
          <w:tcPr>
            <w:tcW w:w="3285" w:type="dxa"/>
            <w:vAlign w:val="top"/>
          </w:tcPr>
          <w:p w14:paraId="31E37152">
            <w:pPr>
              <w:pStyle w:val="122"/>
              <w:autoSpaceDE w:val="0"/>
              <w:autoSpaceDN w:val="0"/>
              <w:spacing w:before="128" w:line="360" w:lineRule="auto"/>
              <w:ind w:right="1358"/>
              <w:jc w:val="center"/>
              <w:rPr>
                <w:rStyle w:val="35"/>
                <w:rFonts w:hint="eastAsia" w:ascii="宋体" w:hAnsi="宋体" w:eastAsia="宋体" w:cs="宋体"/>
                <w:b w:val="0"/>
                <w:bCs/>
                <w:color w:val="auto"/>
                <w:kern w:val="0"/>
                <w:sz w:val="24"/>
                <w:szCs w:val="24"/>
                <w:highlight w:val="none"/>
                <w:lang w:val="en-US" w:eastAsia="en-US" w:bidi="zh-CN"/>
              </w:rPr>
            </w:pPr>
            <w:r>
              <w:rPr>
                <w:rStyle w:val="35"/>
                <w:rFonts w:hint="eastAsia" w:ascii="宋体" w:hAnsi="宋体" w:eastAsia="宋体" w:cs="宋体"/>
                <w:b w:val="0"/>
                <w:bCs/>
                <w:color w:val="auto"/>
                <w:kern w:val="0"/>
                <w:sz w:val="24"/>
                <w:szCs w:val="24"/>
                <w:highlight w:val="none"/>
                <w:u w:val="single"/>
                <w:lang w:val="zh-CN" w:eastAsia="en-US" w:bidi="zh-CN"/>
              </w:rPr>
              <w:t xml:space="preserve"> </w:t>
            </w:r>
            <w:r>
              <w:rPr>
                <w:rStyle w:val="35"/>
                <w:rFonts w:hint="eastAsia" w:ascii="宋体" w:hAnsi="宋体" w:eastAsia="宋体" w:cs="宋体"/>
                <w:b w:val="0"/>
                <w:bCs/>
                <w:color w:val="auto"/>
                <w:kern w:val="0"/>
                <w:sz w:val="24"/>
                <w:szCs w:val="24"/>
                <w:highlight w:val="none"/>
                <w:u w:val="single"/>
                <w:lang w:val="zh-CN" w:eastAsia="en-US" w:bidi="zh-CN"/>
              </w:rPr>
              <w:tab/>
            </w:r>
            <w:r>
              <w:rPr>
                <w:rStyle w:val="35"/>
                <w:rFonts w:hint="eastAsia" w:ascii="宋体" w:hAnsi="宋体" w:eastAsia="宋体" w:cs="宋体"/>
                <w:b w:val="0"/>
                <w:bCs/>
                <w:color w:val="auto"/>
                <w:kern w:val="0"/>
                <w:sz w:val="24"/>
                <w:szCs w:val="24"/>
                <w:highlight w:val="none"/>
                <w:u w:val="single"/>
                <w:lang w:val="en-US" w:eastAsia="en-US" w:bidi="zh-CN"/>
              </w:rPr>
              <w:t xml:space="preserve"> </w:t>
            </w:r>
            <w:r>
              <w:rPr>
                <w:rStyle w:val="35"/>
                <w:rFonts w:hint="eastAsia" w:ascii="宋体" w:hAnsi="宋体" w:eastAsia="宋体" w:cs="宋体"/>
                <w:b w:val="0"/>
                <w:bCs/>
                <w:color w:val="auto"/>
                <w:kern w:val="0"/>
                <w:sz w:val="24"/>
                <w:szCs w:val="24"/>
                <w:highlight w:val="none"/>
                <w:u w:val="none"/>
                <w:lang w:val="en-US" w:eastAsia="en-US" w:bidi="zh-CN"/>
              </w:rPr>
              <w:t>日历天</w:t>
            </w:r>
          </w:p>
        </w:tc>
        <w:tc>
          <w:tcPr>
            <w:tcW w:w="749" w:type="dxa"/>
            <w:vAlign w:val="top"/>
          </w:tcPr>
          <w:p w14:paraId="393B525D">
            <w:pPr>
              <w:pStyle w:val="122"/>
              <w:autoSpaceDE w:val="0"/>
              <w:autoSpaceDN w:val="0"/>
              <w:spacing w:before="128" w:line="360" w:lineRule="auto"/>
              <w:ind w:left="158"/>
              <w:jc w:val="left"/>
              <w:rPr>
                <w:rStyle w:val="35"/>
                <w:rFonts w:hint="eastAsia" w:ascii="宋体" w:hAnsi="宋体" w:eastAsia="宋体" w:cs="宋体"/>
                <w:b/>
                <w:color w:val="auto"/>
                <w:kern w:val="0"/>
                <w:sz w:val="24"/>
                <w:szCs w:val="24"/>
                <w:highlight w:val="none"/>
                <w:lang w:val="zh-CN" w:eastAsia="en-US" w:bidi="zh-CN"/>
              </w:rPr>
            </w:pPr>
          </w:p>
        </w:tc>
      </w:tr>
      <w:tr w14:paraId="469060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682" w:type="dxa"/>
            <w:vAlign w:val="top"/>
          </w:tcPr>
          <w:p w14:paraId="5A69ECD6">
            <w:pPr>
              <w:pStyle w:val="122"/>
              <w:autoSpaceDE w:val="0"/>
              <w:autoSpaceDN w:val="0"/>
              <w:spacing w:before="151" w:line="360" w:lineRule="auto"/>
              <w:ind w:left="9"/>
              <w:jc w:val="center"/>
              <w:rPr>
                <w:rStyle w:val="35"/>
                <w:rFonts w:hint="eastAsia" w:ascii="宋体" w:hAnsi="宋体" w:eastAsia="宋体" w:cs="宋体"/>
                <w:b w:val="0"/>
                <w:bCs/>
                <w:color w:val="auto"/>
                <w:kern w:val="0"/>
                <w:sz w:val="24"/>
                <w:szCs w:val="24"/>
                <w:highlight w:val="none"/>
                <w:lang w:val="zh-CN" w:eastAsia="en-US" w:bidi="zh-CN"/>
              </w:rPr>
            </w:pPr>
            <w:r>
              <w:rPr>
                <w:rStyle w:val="35"/>
                <w:rFonts w:hint="eastAsia" w:ascii="宋体" w:hAnsi="宋体" w:eastAsia="宋体" w:cs="宋体"/>
                <w:b w:val="0"/>
                <w:bCs/>
                <w:color w:val="auto"/>
                <w:kern w:val="0"/>
                <w:sz w:val="24"/>
                <w:szCs w:val="24"/>
                <w:highlight w:val="none"/>
                <w:lang w:val="en-US" w:eastAsia="en-US" w:bidi="zh-CN"/>
              </w:rPr>
              <w:t>4</w:t>
            </w:r>
          </w:p>
        </w:tc>
        <w:tc>
          <w:tcPr>
            <w:tcW w:w="2702" w:type="dxa"/>
            <w:vAlign w:val="top"/>
          </w:tcPr>
          <w:p w14:paraId="241DA124">
            <w:pPr>
              <w:pStyle w:val="122"/>
              <w:keepNext w:val="0"/>
              <w:keepLines w:val="0"/>
              <w:pageBreakBefore w:val="0"/>
              <w:widowControl w:val="0"/>
              <w:kinsoku/>
              <w:wordWrap/>
              <w:overflowPunct/>
              <w:topLinePunct w:val="0"/>
              <w:autoSpaceDE w:val="0"/>
              <w:autoSpaceDN w:val="0"/>
              <w:bidi w:val="0"/>
              <w:adjustRightInd/>
              <w:snapToGrid/>
              <w:spacing w:before="128" w:line="360" w:lineRule="auto"/>
              <w:ind w:left="283" w:right="276"/>
              <w:jc w:val="center"/>
              <w:textAlignment w:val="auto"/>
              <w:outlineLvl w:val="9"/>
              <w:rPr>
                <w:rStyle w:val="35"/>
                <w:rFonts w:hint="eastAsia" w:ascii="宋体" w:hAnsi="宋体" w:eastAsia="宋体" w:cs="宋体"/>
                <w:b w:val="0"/>
                <w:bCs/>
                <w:color w:val="auto"/>
                <w:kern w:val="0"/>
                <w:sz w:val="24"/>
                <w:szCs w:val="24"/>
                <w:highlight w:val="none"/>
                <w:lang w:val="zh-CN" w:eastAsia="en-US" w:bidi="zh-CN"/>
              </w:rPr>
            </w:pPr>
            <w:r>
              <w:rPr>
                <w:rStyle w:val="35"/>
                <w:rFonts w:hint="eastAsia" w:ascii="宋体" w:hAnsi="宋体" w:eastAsia="宋体" w:cs="宋体"/>
                <w:b w:val="0"/>
                <w:bCs/>
                <w:color w:val="auto"/>
                <w:kern w:val="0"/>
                <w:sz w:val="24"/>
                <w:szCs w:val="24"/>
                <w:highlight w:val="none"/>
                <w:lang w:val="zh-CN" w:eastAsia="en-US" w:bidi="zh-CN"/>
              </w:rPr>
              <w:t>缺陷责任期</w:t>
            </w:r>
          </w:p>
        </w:tc>
        <w:tc>
          <w:tcPr>
            <w:tcW w:w="1526" w:type="dxa"/>
            <w:vAlign w:val="top"/>
          </w:tcPr>
          <w:p w14:paraId="23E27BB7">
            <w:pPr>
              <w:pStyle w:val="122"/>
              <w:autoSpaceDE w:val="0"/>
              <w:autoSpaceDN w:val="0"/>
              <w:spacing w:before="151" w:line="360" w:lineRule="auto"/>
              <w:ind w:left="6"/>
              <w:jc w:val="center"/>
              <w:rPr>
                <w:rStyle w:val="35"/>
                <w:rFonts w:hint="eastAsia" w:ascii="宋体" w:hAnsi="宋体" w:eastAsia="宋体" w:cs="宋体"/>
                <w:b w:val="0"/>
                <w:bCs/>
                <w:color w:val="auto"/>
                <w:kern w:val="0"/>
                <w:sz w:val="24"/>
                <w:szCs w:val="24"/>
                <w:highlight w:val="none"/>
                <w:lang w:val="en-US" w:eastAsia="en-US" w:bidi="zh-CN"/>
              </w:rPr>
            </w:pPr>
            <w:r>
              <w:rPr>
                <w:rStyle w:val="35"/>
                <w:rFonts w:hint="eastAsia" w:ascii="宋体" w:hAnsi="宋体" w:eastAsia="宋体" w:cs="宋体"/>
                <w:b w:val="0"/>
                <w:bCs/>
                <w:color w:val="auto"/>
                <w:kern w:val="0"/>
                <w:sz w:val="24"/>
                <w:szCs w:val="24"/>
                <w:highlight w:val="none"/>
                <w:lang w:val="en-US" w:eastAsia="en-US" w:bidi="zh-CN"/>
              </w:rPr>
              <w:t>专用条款</w:t>
            </w:r>
          </w:p>
        </w:tc>
        <w:tc>
          <w:tcPr>
            <w:tcW w:w="3285" w:type="dxa"/>
            <w:vAlign w:val="top"/>
          </w:tcPr>
          <w:p w14:paraId="7F60592A">
            <w:pPr>
              <w:pStyle w:val="122"/>
              <w:tabs>
                <w:tab w:val="left" w:pos="2520"/>
              </w:tabs>
              <w:autoSpaceDE w:val="0"/>
              <w:autoSpaceDN w:val="0"/>
              <w:spacing w:before="128" w:line="360" w:lineRule="auto"/>
              <w:ind w:left="106"/>
              <w:jc w:val="left"/>
              <w:rPr>
                <w:rStyle w:val="35"/>
                <w:rFonts w:hint="eastAsia" w:ascii="宋体" w:hAnsi="宋体" w:eastAsia="宋体" w:cs="宋体"/>
                <w:b w:val="0"/>
                <w:bCs/>
                <w:color w:val="auto"/>
                <w:kern w:val="0"/>
                <w:sz w:val="24"/>
                <w:szCs w:val="24"/>
                <w:highlight w:val="none"/>
                <w:lang w:val="zh-CN" w:bidi="zh-CN"/>
              </w:rPr>
            </w:pPr>
          </w:p>
        </w:tc>
        <w:tc>
          <w:tcPr>
            <w:tcW w:w="749" w:type="dxa"/>
            <w:vAlign w:val="top"/>
          </w:tcPr>
          <w:p w14:paraId="4DE351DE">
            <w:pPr>
              <w:pStyle w:val="122"/>
              <w:autoSpaceDE w:val="0"/>
              <w:autoSpaceDN w:val="0"/>
              <w:spacing w:line="360" w:lineRule="auto"/>
              <w:jc w:val="left"/>
              <w:rPr>
                <w:rStyle w:val="35"/>
                <w:rFonts w:hint="eastAsia" w:ascii="宋体" w:hAnsi="宋体" w:eastAsia="宋体" w:cs="宋体"/>
                <w:color w:val="auto"/>
                <w:kern w:val="0"/>
                <w:sz w:val="24"/>
                <w:szCs w:val="24"/>
                <w:highlight w:val="none"/>
                <w:lang w:val="zh-CN" w:bidi="zh-CN"/>
              </w:rPr>
            </w:pPr>
          </w:p>
        </w:tc>
      </w:tr>
      <w:tr w14:paraId="448577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8" w:hRule="atLeast"/>
        </w:trPr>
        <w:tc>
          <w:tcPr>
            <w:tcW w:w="682" w:type="dxa"/>
            <w:vAlign w:val="top"/>
          </w:tcPr>
          <w:p w14:paraId="738A31E2">
            <w:pPr>
              <w:pStyle w:val="122"/>
              <w:autoSpaceDE w:val="0"/>
              <w:autoSpaceDN w:val="0"/>
              <w:spacing w:before="151" w:line="360" w:lineRule="auto"/>
              <w:ind w:left="9"/>
              <w:jc w:val="center"/>
              <w:rPr>
                <w:rStyle w:val="35"/>
                <w:rFonts w:hint="default" w:ascii="宋体" w:hAnsi="宋体" w:eastAsia="宋体" w:cs="宋体"/>
                <w:color w:val="auto"/>
                <w:kern w:val="0"/>
                <w:sz w:val="24"/>
                <w:szCs w:val="24"/>
                <w:highlight w:val="none"/>
                <w:lang w:val="en-US" w:eastAsia="en-US" w:bidi="zh-CN"/>
              </w:rPr>
            </w:pPr>
            <w:r>
              <w:rPr>
                <w:rStyle w:val="35"/>
                <w:rFonts w:hint="eastAsia" w:ascii="宋体" w:hAnsi="宋体" w:cs="宋体"/>
                <w:color w:val="auto"/>
                <w:kern w:val="0"/>
                <w:sz w:val="24"/>
                <w:szCs w:val="24"/>
                <w:highlight w:val="none"/>
                <w:lang w:val="en-US" w:eastAsia="en-US" w:bidi="zh-CN"/>
              </w:rPr>
              <w:t>5</w:t>
            </w:r>
          </w:p>
        </w:tc>
        <w:tc>
          <w:tcPr>
            <w:tcW w:w="2702" w:type="dxa"/>
            <w:vAlign w:val="center"/>
          </w:tcPr>
          <w:p w14:paraId="6F7E5F73">
            <w:pPr>
              <w:pStyle w:val="144"/>
              <w:shd w:val="clear"/>
              <w:spacing w:line="360" w:lineRule="auto"/>
              <w:jc w:val="center"/>
              <w:rPr>
                <w:rStyle w:val="35"/>
                <w:rFonts w:hint="eastAsia" w:ascii="宋体" w:hAnsi="宋体" w:eastAsia="宋体" w:cs="宋体"/>
                <w:color w:val="auto"/>
                <w:kern w:val="0"/>
                <w:sz w:val="24"/>
                <w:szCs w:val="24"/>
                <w:highlight w:val="none"/>
                <w:lang w:val="zh-CN" w:eastAsia="en-US" w:bidi="zh-CN"/>
              </w:rPr>
            </w:pPr>
            <w:bookmarkStart w:id="349" w:name="OLE_LINK30"/>
            <w:r>
              <w:rPr>
                <w:rFonts w:hint="eastAsia" w:ascii="Times New Roman" w:hAnsi="Times New Roman" w:cs="宋体"/>
                <w:color w:val="auto"/>
                <w:sz w:val="24"/>
                <w:szCs w:val="24"/>
                <w:highlight w:val="none"/>
              </w:rPr>
              <w:t>逾期竣工</w:t>
            </w:r>
            <w:bookmarkEnd w:id="349"/>
            <w:r>
              <w:rPr>
                <w:rFonts w:hint="eastAsia" w:ascii="Times New Roman" w:hAnsi="Times New Roman" w:cs="宋体"/>
                <w:color w:val="auto"/>
                <w:sz w:val="24"/>
                <w:szCs w:val="24"/>
                <w:highlight w:val="none"/>
              </w:rPr>
              <w:t>违约金</w:t>
            </w:r>
          </w:p>
        </w:tc>
        <w:tc>
          <w:tcPr>
            <w:tcW w:w="1526" w:type="dxa"/>
            <w:vAlign w:val="top"/>
          </w:tcPr>
          <w:p w14:paraId="60FE4BB3">
            <w:pPr>
              <w:autoSpaceDE w:val="0"/>
              <w:autoSpaceDN w:val="0"/>
              <w:spacing w:before="151" w:line="360" w:lineRule="auto"/>
              <w:ind w:left="6"/>
              <w:jc w:val="center"/>
              <w:rPr>
                <w:rStyle w:val="35"/>
                <w:rFonts w:hint="eastAsia" w:ascii="宋体" w:hAnsi="宋体" w:eastAsia="宋体" w:cs="宋体"/>
                <w:color w:val="auto"/>
                <w:kern w:val="0"/>
                <w:sz w:val="24"/>
                <w:szCs w:val="24"/>
                <w:highlight w:val="none"/>
                <w:lang w:val="en-US" w:eastAsia="en-US" w:bidi="zh-CN"/>
              </w:rPr>
            </w:pPr>
            <w:r>
              <w:rPr>
                <w:rStyle w:val="35"/>
                <w:rFonts w:hint="eastAsia" w:ascii="宋体" w:hAnsi="宋体" w:eastAsia="宋体" w:cs="宋体"/>
                <w:color w:val="auto"/>
                <w:kern w:val="0"/>
                <w:sz w:val="24"/>
                <w:szCs w:val="24"/>
                <w:highlight w:val="none"/>
                <w:lang w:val="en-US" w:eastAsia="en-US" w:bidi="zh-CN"/>
              </w:rPr>
              <w:t>专用条款</w:t>
            </w:r>
          </w:p>
        </w:tc>
        <w:tc>
          <w:tcPr>
            <w:tcW w:w="3285" w:type="dxa"/>
            <w:vAlign w:val="top"/>
          </w:tcPr>
          <w:p w14:paraId="06ED2E5E">
            <w:pPr>
              <w:pStyle w:val="122"/>
              <w:tabs>
                <w:tab w:val="left" w:pos="2520"/>
              </w:tabs>
              <w:autoSpaceDE w:val="0"/>
              <w:autoSpaceDN w:val="0"/>
              <w:spacing w:before="128" w:line="360" w:lineRule="auto"/>
              <w:ind w:left="106"/>
              <w:jc w:val="left"/>
              <w:rPr>
                <w:rStyle w:val="35"/>
                <w:rFonts w:hint="eastAsia" w:ascii="宋体" w:hAnsi="宋体" w:eastAsia="宋体" w:cs="宋体"/>
                <w:color w:val="auto"/>
                <w:kern w:val="0"/>
                <w:sz w:val="24"/>
                <w:szCs w:val="24"/>
                <w:highlight w:val="none"/>
                <w:lang w:val="zh-CN" w:eastAsia="zh-CN" w:bidi="zh-CN"/>
              </w:rPr>
            </w:pPr>
          </w:p>
        </w:tc>
        <w:tc>
          <w:tcPr>
            <w:tcW w:w="749" w:type="dxa"/>
            <w:vAlign w:val="top"/>
          </w:tcPr>
          <w:p w14:paraId="563B0C04">
            <w:pPr>
              <w:pStyle w:val="122"/>
              <w:autoSpaceDE w:val="0"/>
              <w:autoSpaceDN w:val="0"/>
              <w:spacing w:line="360" w:lineRule="auto"/>
              <w:jc w:val="left"/>
              <w:rPr>
                <w:rStyle w:val="35"/>
                <w:rFonts w:hint="eastAsia" w:ascii="宋体" w:hAnsi="宋体" w:eastAsia="宋体" w:cs="宋体"/>
                <w:color w:val="auto"/>
                <w:kern w:val="0"/>
                <w:sz w:val="24"/>
                <w:szCs w:val="24"/>
                <w:highlight w:val="none"/>
                <w:lang w:val="zh-CN" w:bidi="zh-CN"/>
              </w:rPr>
            </w:pPr>
          </w:p>
        </w:tc>
      </w:tr>
      <w:tr w14:paraId="3E2F08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682" w:type="dxa"/>
            <w:vAlign w:val="top"/>
          </w:tcPr>
          <w:p w14:paraId="34400B99">
            <w:pPr>
              <w:pStyle w:val="122"/>
              <w:autoSpaceDE w:val="0"/>
              <w:autoSpaceDN w:val="0"/>
              <w:spacing w:before="151" w:line="360" w:lineRule="auto"/>
              <w:ind w:left="9"/>
              <w:jc w:val="center"/>
              <w:rPr>
                <w:rStyle w:val="35"/>
                <w:rFonts w:hint="eastAsia" w:ascii="宋体" w:hAnsi="宋体" w:eastAsia="宋体" w:cs="宋体"/>
                <w:color w:val="auto"/>
                <w:kern w:val="0"/>
                <w:sz w:val="24"/>
                <w:szCs w:val="24"/>
                <w:highlight w:val="none"/>
                <w:lang w:val="en-US" w:eastAsia="en-US" w:bidi="zh-CN"/>
              </w:rPr>
            </w:pPr>
            <w:r>
              <w:rPr>
                <w:rStyle w:val="35"/>
                <w:rFonts w:hint="eastAsia" w:ascii="宋体" w:hAnsi="宋体" w:cs="宋体"/>
                <w:color w:val="auto"/>
                <w:kern w:val="0"/>
                <w:sz w:val="24"/>
                <w:szCs w:val="24"/>
                <w:highlight w:val="none"/>
                <w:lang w:val="en-US" w:eastAsia="en-US" w:bidi="zh-CN"/>
              </w:rPr>
              <w:t>6</w:t>
            </w:r>
          </w:p>
        </w:tc>
        <w:tc>
          <w:tcPr>
            <w:tcW w:w="2702" w:type="dxa"/>
            <w:vAlign w:val="center"/>
          </w:tcPr>
          <w:p w14:paraId="46D83B76">
            <w:pPr>
              <w:pStyle w:val="144"/>
              <w:shd w:val="clear"/>
              <w:spacing w:line="360" w:lineRule="auto"/>
              <w:jc w:val="center"/>
              <w:rPr>
                <w:rStyle w:val="35"/>
                <w:rFonts w:hint="eastAsia" w:ascii="宋体" w:hAnsi="宋体" w:eastAsia="宋体" w:cs="宋体"/>
                <w:color w:val="auto"/>
                <w:kern w:val="0"/>
                <w:sz w:val="24"/>
                <w:szCs w:val="24"/>
                <w:highlight w:val="none"/>
                <w:lang w:val="zh-CN" w:eastAsia="en-US" w:bidi="zh-CN"/>
              </w:rPr>
            </w:pPr>
            <w:r>
              <w:rPr>
                <w:rFonts w:hint="eastAsia" w:ascii="Times New Roman" w:hAnsi="Times New Roman" w:cs="宋体"/>
                <w:color w:val="auto"/>
                <w:sz w:val="24"/>
                <w:szCs w:val="24"/>
                <w:highlight w:val="none"/>
              </w:rPr>
              <w:t>逾期竣工违约金最高限额</w:t>
            </w:r>
          </w:p>
        </w:tc>
        <w:tc>
          <w:tcPr>
            <w:tcW w:w="1526" w:type="dxa"/>
            <w:vAlign w:val="top"/>
          </w:tcPr>
          <w:p w14:paraId="1C76CDA9">
            <w:pPr>
              <w:autoSpaceDE w:val="0"/>
              <w:autoSpaceDN w:val="0"/>
              <w:spacing w:before="151" w:line="360" w:lineRule="auto"/>
              <w:ind w:left="6"/>
              <w:jc w:val="center"/>
              <w:rPr>
                <w:rStyle w:val="35"/>
                <w:rFonts w:hint="eastAsia" w:ascii="宋体" w:hAnsi="宋体" w:eastAsia="宋体" w:cs="宋体"/>
                <w:color w:val="auto"/>
                <w:kern w:val="0"/>
                <w:sz w:val="24"/>
                <w:szCs w:val="24"/>
                <w:highlight w:val="none"/>
                <w:lang w:val="zh-CN" w:eastAsia="en-US" w:bidi="zh-CN"/>
              </w:rPr>
            </w:pPr>
            <w:r>
              <w:rPr>
                <w:rStyle w:val="35"/>
                <w:rFonts w:hint="eastAsia" w:ascii="宋体" w:hAnsi="宋体" w:eastAsia="宋体" w:cs="宋体"/>
                <w:color w:val="auto"/>
                <w:kern w:val="0"/>
                <w:sz w:val="24"/>
                <w:szCs w:val="24"/>
                <w:highlight w:val="none"/>
                <w:lang w:val="en-US" w:eastAsia="en-US" w:bidi="zh-CN"/>
              </w:rPr>
              <w:t>专用条款</w:t>
            </w:r>
          </w:p>
        </w:tc>
        <w:tc>
          <w:tcPr>
            <w:tcW w:w="3285" w:type="dxa"/>
            <w:vAlign w:val="top"/>
          </w:tcPr>
          <w:p w14:paraId="5B759205">
            <w:pPr>
              <w:pStyle w:val="122"/>
              <w:tabs>
                <w:tab w:val="left" w:pos="2520"/>
              </w:tabs>
              <w:autoSpaceDE w:val="0"/>
              <w:autoSpaceDN w:val="0"/>
              <w:spacing w:before="128" w:line="360" w:lineRule="auto"/>
              <w:ind w:left="106"/>
              <w:jc w:val="left"/>
              <w:rPr>
                <w:rStyle w:val="35"/>
                <w:rFonts w:hint="eastAsia" w:ascii="宋体" w:hAnsi="宋体" w:eastAsia="宋体" w:cs="宋体"/>
                <w:color w:val="auto"/>
                <w:kern w:val="0"/>
                <w:sz w:val="24"/>
                <w:szCs w:val="24"/>
                <w:highlight w:val="none"/>
                <w:lang w:val="zh-CN" w:eastAsia="zh-CN" w:bidi="zh-CN"/>
              </w:rPr>
            </w:pPr>
          </w:p>
        </w:tc>
        <w:tc>
          <w:tcPr>
            <w:tcW w:w="749" w:type="dxa"/>
            <w:vAlign w:val="top"/>
          </w:tcPr>
          <w:p w14:paraId="26162A52">
            <w:pPr>
              <w:pStyle w:val="122"/>
              <w:autoSpaceDE w:val="0"/>
              <w:autoSpaceDN w:val="0"/>
              <w:spacing w:line="360" w:lineRule="auto"/>
              <w:jc w:val="left"/>
              <w:rPr>
                <w:rStyle w:val="35"/>
                <w:rFonts w:hint="eastAsia" w:ascii="宋体" w:hAnsi="宋体" w:eastAsia="宋体" w:cs="宋体"/>
                <w:color w:val="auto"/>
                <w:kern w:val="0"/>
                <w:sz w:val="24"/>
                <w:szCs w:val="24"/>
                <w:highlight w:val="none"/>
                <w:lang w:val="zh-CN" w:bidi="zh-CN"/>
              </w:rPr>
            </w:pPr>
          </w:p>
        </w:tc>
      </w:tr>
      <w:tr w14:paraId="409EBD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682" w:type="dxa"/>
            <w:vAlign w:val="top"/>
          </w:tcPr>
          <w:p w14:paraId="2FDC9BD0">
            <w:pPr>
              <w:pStyle w:val="122"/>
              <w:autoSpaceDE w:val="0"/>
              <w:autoSpaceDN w:val="0"/>
              <w:spacing w:before="154" w:line="360" w:lineRule="auto"/>
              <w:ind w:left="9"/>
              <w:jc w:val="center"/>
              <w:rPr>
                <w:rStyle w:val="35"/>
                <w:rFonts w:hint="default" w:ascii="宋体" w:hAnsi="宋体" w:eastAsia="宋体" w:cs="宋体"/>
                <w:color w:val="auto"/>
                <w:kern w:val="0"/>
                <w:sz w:val="24"/>
                <w:szCs w:val="24"/>
                <w:highlight w:val="none"/>
                <w:lang w:val="en-US" w:eastAsia="en-US" w:bidi="zh-CN"/>
              </w:rPr>
            </w:pPr>
            <w:r>
              <w:rPr>
                <w:rStyle w:val="35"/>
                <w:rFonts w:hint="eastAsia" w:ascii="宋体" w:hAnsi="宋体" w:cs="宋体"/>
                <w:color w:val="auto"/>
                <w:kern w:val="0"/>
                <w:sz w:val="24"/>
                <w:szCs w:val="24"/>
                <w:highlight w:val="none"/>
                <w:lang w:val="en-US" w:eastAsia="en-US" w:bidi="zh-CN"/>
              </w:rPr>
              <w:t>7</w:t>
            </w:r>
          </w:p>
        </w:tc>
        <w:tc>
          <w:tcPr>
            <w:tcW w:w="2702" w:type="dxa"/>
            <w:vAlign w:val="top"/>
          </w:tcPr>
          <w:p w14:paraId="64AFDF10">
            <w:pPr>
              <w:pStyle w:val="122"/>
              <w:keepNext w:val="0"/>
              <w:keepLines w:val="0"/>
              <w:pageBreakBefore w:val="0"/>
              <w:widowControl w:val="0"/>
              <w:kinsoku/>
              <w:wordWrap/>
              <w:overflowPunct/>
              <w:topLinePunct w:val="0"/>
              <w:autoSpaceDE w:val="0"/>
              <w:autoSpaceDN w:val="0"/>
              <w:bidi w:val="0"/>
              <w:adjustRightInd/>
              <w:snapToGrid/>
              <w:spacing w:before="130" w:line="360" w:lineRule="auto"/>
              <w:ind w:left="285" w:right="276"/>
              <w:jc w:val="center"/>
              <w:textAlignment w:val="auto"/>
              <w:outlineLvl w:val="9"/>
              <w:rPr>
                <w:rStyle w:val="35"/>
                <w:rFonts w:hint="eastAsia" w:ascii="宋体" w:hAnsi="宋体" w:eastAsia="宋体" w:cs="宋体"/>
                <w:color w:val="auto"/>
                <w:kern w:val="0"/>
                <w:sz w:val="24"/>
                <w:szCs w:val="24"/>
                <w:highlight w:val="none"/>
                <w:lang w:val="en-US" w:eastAsia="en-US" w:bidi="zh-CN"/>
              </w:rPr>
            </w:pPr>
            <w:r>
              <w:rPr>
                <w:rStyle w:val="35"/>
                <w:rFonts w:hint="eastAsia" w:ascii="宋体" w:hAnsi="宋体" w:eastAsia="宋体" w:cs="宋体"/>
                <w:color w:val="auto"/>
                <w:kern w:val="0"/>
                <w:sz w:val="24"/>
                <w:szCs w:val="24"/>
                <w:highlight w:val="none"/>
                <w:lang w:val="en-US" w:eastAsia="en-US" w:bidi="zh-CN"/>
              </w:rPr>
              <w:t>质量标准</w:t>
            </w:r>
          </w:p>
        </w:tc>
        <w:tc>
          <w:tcPr>
            <w:tcW w:w="1526" w:type="dxa"/>
            <w:vAlign w:val="top"/>
          </w:tcPr>
          <w:p w14:paraId="7229E0CE">
            <w:pPr>
              <w:autoSpaceDE w:val="0"/>
              <w:autoSpaceDN w:val="0"/>
              <w:spacing w:before="130" w:line="360" w:lineRule="auto"/>
              <w:ind w:left="6"/>
              <w:jc w:val="center"/>
              <w:rPr>
                <w:rStyle w:val="35"/>
                <w:rFonts w:hint="eastAsia" w:ascii="宋体" w:hAnsi="宋体" w:eastAsia="宋体" w:cs="宋体"/>
                <w:color w:val="auto"/>
                <w:kern w:val="0"/>
                <w:sz w:val="24"/>
                <w:szCs w:val="24"/>
                <w:highlight w:val="none"/>
                <w:lang w:val="zh-CN" w:eastAsia="en-US" w:bidi="zh-CN"/>
              </w:rPr>
            </w:pPr>
            <w:r>
              <w:rPr>
                <w:rStyle w:val="35"/>
                <w:rFonts w:hint="eastAsia" w:ascii="宋体" w:hAnsi="宋体" w:eastAsia="宋体" w:cs="宋体"/>
                <w:color w:val="auto"/>
                <w:kern w:val="0"/>
                <w:sz w:val="24"/>
                <w:szCs w:val="24"/>
                <w:highlight w:val="none"/>
                <w:lang w:val="en-US" w:eastAsia="en-US" w:bidi="zh-CN"/>
              </w:rPr>
              <w:t>专用条款</w:t>
            </w:r>
          </w:p>
        </w:tc>
        <w:tc>
          <w:tcPr>
            <w:tcW w:w="3285" w:type="dxa"/>
            <w:vAlign w:val="top"/>
          </w:tcPr>
          <w:p w14:paraId="281C25DF">
            <w:pPr>
              <w:pStyle w:val="122"/>
              <w:tabs>
                <w:tab w:val="left" w:pos="528"/>
              </w:tabs>
              <w:autoSpaceDE w:val="0"/>
              <w:autoSpaceDN w:val="0"/>
              <w:spacing w:before="130" w:line="360" w:lineRule="auto"/>
              <w:ind w:left="106"/>
              <w:jc w:val="left"/>
              <w:rPr>
                <w:rStyle w:val="35"/>
                <w:rFonts w:hint="eastAsia" w:ascii="宋体" w:hAnsi="宋体" w:eastAsia="宋体" w:cs="宋体"/>
                <w:color w:val="auto"/>
                <w:kern w:val="0"/>
                <w:sz w:val="24"/>
                <w:szCs w:val="24"/>
                <w:highlight w:val="none"/>
                <w:lang w:val="zh-CN" w:eastAsia="en-US" w:bidi="zh-CN"/>
              </w:rPr>
            </w:pPr>
          </w:p>
        </w:tc>
        <w:tc>
          <w:tcPr>
            <w:tcW w:w="749" w:type="dxa"/>
            <w:vAlign w:val="top"/>
          </w:tcPr>
          <w:p w14:paraId="2B5D3F30">
            <w:pPr>
              <w:pStyle w:val="122"/>
              <w:autoSpaceDE w:val="0"/>
              <w:autoSpaceDN w:val="0"/>
              <w:spacing w:line="360" w:lineRule="auto"/>
              <w:jc w:val="left"/>
              <w:rPr>
                <w:rStyle w:val="35"/>
                <w:rFonts w:hint="eastAsia" w:ascii="宋体" w:hAnsi="宋体" w:eastAsia="宋体" w:cs="宋体"/>
                <w:color w:val="auto"/>
                <w:kern w:val="0"/>
                <w:sz w:val="24"/>
                <w:szCs w:val="24"/>
                <w:highlight w:val="none"/>
                <w:lang w:val="zh-CN" w:eastAsia="en-US" w:bidi="zh-CN"/>
              </w:rPr>
            </w:pPr>
          </w:p>
        </w:tc>
      </w:tr>
      <w:tr w14:paraId="7FEB6F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682" w:type="dxa"/>
            <w:vAlign w:val="top"/>
          </w:tcPr>
          <w:p w14:paraId="6340AECD">
            <w:pPr>
              <w:pStyle w:val="122"/>
              <w:autoSpaceDE w:val="0"/>
              <w:autoSpaceDN w:val="0"/>
              <w:spacing w:before="151" w:line="360" w:lineRule="auto"/>
              <w:ind w:left="9"/>
              <w:jc w:val="center"/>
              <w:rPr>
                <w:rStyle w:val="35"/>
                <w:rFonts w:hint="eastAsia" w:ascii="宋体" w:hAnsi="宋体" w:eastAsia="宋体" w:cs="宋体"/>
                <w:color w:val="auto"/>
                <w:kern w:val="0"/>
                <w:sz w:val="24"/>
                <w:szCs w:val="24"/>
                <w:highlight w:val="none"/>
                <w:lang w:val="en-US" w:eastAsia="en-US" w:bidi="zh-CN"/>
              </w:rPr>
            </w:pPr>
            <w:r>
              <w:rPr>
                <w:rStyle w:val="35"/>
                <w:rFonts w:hint="eastAsia" w:ascii="宋体" w:hAnsi="宋体" w:cs="宋体"/>
                <w:color w:val="auto"/>
                <w:kern w:val="0"/>
                <w:sz w:val="24"/>
                <w:szCs w:val="24"/>
                <w:highlight w:val="none"/>
                <w:lang w:val="en-US" w:eastAsia="en-US" w:bidi="zh-CN"/>
              </w:rPr>
              <w:t>8</w:t>
            </w:r>
          </w:p>
        </w:tc>
        <w:tc>
          <w:tcPr>
            <w:tcW w:w="2702" w:type="dxa"/>
            <w:vAlign w:val="top"/>
          </w:tcPr>
          <w:p w14:paraId="6B11B2ED">
            <w:pPr>
              <w:pStyle w:val="122"/>
              <w:keepNext w:val="0"/>
              <w:keepLines w:val="0"/>
              <w:pageBreakBefore w:val="0"/>
              <w:widowControl w:val="0"/>
              <w:kinsoku/>
              <w:wordWrap/>
              <w:overflowPunct/>
              <w:topLinePunct w:val="0"/>
              <w:autoSpaceDE w:val="0"/>
              <w:autoSpaceDN w:val="0"/>
              <w:bidi w:val="0"/>
              <w:adjustRightInd/>
              <w:snapToGrid/>
              <w:spacing w:before="128" w:line="360" w:lineRule="auto"/>
              <w:ind w:left="283" w:right="276"/>
              <w:jc w:val="center"/>
              <w:textAlignment w:val="auto"/>
              <w:outlineLvl w:val="9"/>
              <w:rPr>
                <w:rStyle w:val="35"/>
                <w:rFonts w:hint="eastAsia" w:ascii="宋体" w:hAnsi="宋体" w:eastAsia="宋体" w:cs="宋体"/>
                <w:color w:val="auto"/>
                <w:kern w:val="0"/>
                <w:sz w:val="24"/>
                <w:szCs w:val="24"/>
                <w:highlight w:val="none"/>
                <w:lang w:val="en-US" w:eastAsia="en-US" w:bidi="zh-CN"/>
              </w:rPr>
            </w:pPr>
            <w:r>
              <w:rPr>
                <w:rFonts w:hint="eastAsia" w:ascii="宋体" w:hAnsi="宋体" w:eastAsia="宋体" w:cs="宋体"/>
                <w:color w:val="auto"/>
                <w:sz w:val="24"/>
                <w:szCs w:val="24"/>
                <w:highlight w:val="none"/>
              </w:rPr>
              <w:t>预付款金额</w:t>
            </w:r>
          </w:p>
        </w:tc>
        <w:tc>
          <w:tcPr>
            <w:tcW w:w="1526" w:type="dxa"/>
            <w:vAlign w:val="top"/>
          </w:tcPr>
          <w:p w14:paraId="7D27AC6F">
            <w:pPr>
              <w:autoSpaceDE w:val="0"/>
              <w:autoSpaceDN w:val="0"/>
              <w:spacing w:before="128" w:line="360" w:lineRule="auto"/>
              <w:ind w:left="6"/>
              <w:jc w:val="center"/>
              <w:rPr>
                <w:rStyle w:val="35"/>
                <w:rFonts w:hint="eastAsia" w:ascii="宋体" w:hAnsi="宋体" w:eastAsia="宋体" w:cs="宋体"/>
                <w:color w:val="auto"/>
                <w:kern w:val="0"/>
                <w:sz w:val="24"/>
                <w:szCs w:val="24"/>
                <w:highlight w:val="none"/>
                <w:lang w:val="zh-CN" w:eastAsia="en-US" w:bidi="zh-CN"/>
              </w:rPr>
            </w:pPr>
            <w:r>
              <w:rPr>
                <w:rStyle w:val="35"/>
                <w:rFonts w:hint="eastAsia" w:ascii="宋体" w:hAnsi="宋体" w:eastAsia="宋体" w:cs="宋体"/>
                <w:color w:val="auto"/>
                <w:kern w:val="0"/>
                <w:sz w:val="24"/>
                <w:szCs w:val="24"/>
                <w:highlight w:val="none"/>
                <w:lang w:val="en-US" w:eastAsia="en-US" w:bidi="zh-CN"/>
              </w:rPr>
              <w:t>专用条款</w:t>
            </w:r>
          </w:p>
        </w:tc>
        <w:tc>
          <w:tcPr>
            <w:tcW w:w="3285" w:type="dxa"/>
            <w:vAlign w:val="top"/>
          </w:tcPr>
          <w:p w14:paraId="56E400E7">
            <w:pPr>
              <w:pStyle w:val="122"/>
              <w:tabs>
                <w:tab w:val="left" w:pos="423"/>
              </w:tabs>
              <w:autoSpaceDE w:val="0"/>
              <w:autoSpaceDN w:val="0"/>
              <w:spacing w:before="128" w:line="360" w:lineRule="auto"/>
              <w:ind w:left="106"/>
              <w:jc w:val="left"/>
              <w:rPr>
                <w:rStyle w:val="35"/>
                <w:rFonts w:hint="eastAsia" w:ascii="宋体" w:hAnsi="宋体" w:eastAsia="宋体" w:cs="宋体"/>
                <w:color w:val="auto"/>
                <w:kern w:val="0"/>
                <w:sz w:val="24"/>
                <w:szCs w:val="24"/>
                <w:highlight w:val="none"/>
                <w:lang w:val="zh-CN" w:eastAsia="en-US" w:bidi="zh-CN"/>
              </w:rPr>
            </w:pPr>
          </w:p>
        </w:tc>
        <w:tc>
          <w:tcPr>
            <w:tcW w:w="749" w:type="dxa"/>
            <w:vAlign w:val="top"/>
          </w:tcPr>
          <w:p w14:paraId="744E14E8">
            <w:pPr>
              <w:pStyle w:val="122"/>
              <w:autoSpaceDE w:val="0"/>
              <w:autoSpaceDN w:val="0"/>
              <w:spacing w:line="360" w:lineRule="auto"/>
              <w:jc w:val="left"/>
              <w:rPr>
                <w:rStyle w:val="35"/>
                <w:rFonts w:hint="eastAsia" w:ascii="宋体" w:hAnsi="宋体" w:eastAsia="宋体" w:cs="宋体"/>
                <w:color w:val="auto"/>
                <w:kern w:val="0"/>
                <w:sz w:val="24"/>
                <w:szCs w:val="24"/>
                <w:highlight w:val="none"/>
                <w:lang w:val="zh-CN" w:eastAsia="en-US" w:bidi="zh-CN"/>
              </w:rPr>
            </w:pPr>
          </w:p>
        </w:tc>
      </w:tr>
      <w:tr w14:paraId="23CD18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682" w:type="dxa"/>
            <w:vAlign w:val="top"/>
          </w:tcPr>
          <w:p w14:paraId="5F9D3353">
            <w:pPr>
              <w:pStyle w:val="122"/>
              <w:autoSpaceDE w:val="0"/>
              <w:autoSpaceDN w:val="0"/>
              <w:spacing w:before="151" w:line="360" w:lineRule="auto"/>
              <w:ind w:left="9"/>
              <w:jc w:val="center"/>
              <w:rPr>
                <w:rStyle w:val="35"/>
                <w:rFonts w:hint="eastAsia" w:ascii="宋体" w:hAnsi="宋体" w:eastAsia="宋体" w:cs="宋体"/>
                <w:color w:val="auto"/>
                <w:kern w:val="0"/>
                <w:sz w:val="24"/>
                <w:szCs w:val="24"/>
                <w:highlight w:val="none"/>
                <w:lang w:val="en-US" w:eastAsia="en-US" w:bidi="zh-CN"/>
              </w:rPr>
            </w:pPr>
            <w:r>
              <w:rPr>
                <w:rStyle w:val="35"/>
                <w:rFonts w:hint="eastAsia" w:ascii="宋体" w:hAnsi="宋体" w:cs="宋体"/>
                <w:color w:val="auto"/>
                <w:kern w:val="0"/>
                <w:sz w:val="24"/>
                <w:szCs w:val="24"/>
                <w:highlight w:val="none"/>
                <w:lang w:val="en-US" w:eastAsia="en-US" w:bidi="zh-CN"/>
              </w:rPr>
              <w:t>9</w:t>
            </w:r>
          </w:p>
        </w:tc>
        <w:tc>
          <w:tcPr>
            <w:tcW w:w="2702" w:type="dxa"/>
            <w:vAlign w:val="top"/>
          </w:tcPr>
          <w:p w14:paraId="43429E69">
            <w:pPr>
              <w:pStyle w:val="122"/>
              <w:keepNext w:val="0"/>
              <w:keepLines w:val="0"/>
              <w:pageBreakBefore w:val="0"/>
              <w:widowControl w:val="0"/>
              <w:kinsoku/>
              <w:wordWrap/>
              <w:overflowPunct/>
              <w:topLinePunct w:val="0"/>
              <w:autoSpaceDE w:val="0"/>
              <w:autoSpaceDN w:val="0"/>
              <w:bidi w:val="0"/>
              <w:adjustRightInd/>
              <w:snapToGrid/>
              <w:spacing w:before="128" w:line="360" w:lineRule="auto"/>
              <w:ind w:left="283" w:right="276"/>
              <w:jc w:val="center"/>
              <w:textAlignment w:val="auto"/>
              <w:outlineLvl w:val="9"/>
              <w:rPr>
                <w:rStyle w:val="35"/>
                <w:rFonts w:hint="eastAsia" w:ascii="宋体" w:hAnsi="宋体" w:eastAsia="宋体" w:cs="宋体"/>
                <w:color w:val="auto"/>
                <w:kern w:val="0"/>
                <w:sz w:val="24"/>
                <w:szCs w:val="24"/>
                <w:highlight w:val="none"/>
                <w:lang w:val="en-US" w:eastAsia="en-US" w:bidi="zh-CN"/>
              </w:rPr>
            </w:pPr>
            <w:r>
              <w:rPr>
                <w:rStyle w:val="35"/>
                <w:rFonts w:hint="eastAsia" w:ascii="宋体" w:hAnsi="宋体" w:eastAsia="宋体" w:cs="宋体"/>
                <w:color w:val="auto"/>
                <w:kern w:val="0"/>
                <w:sz w:val="24"/>
                <w:szCs w:val="24"/>
                <w:highlight w:val="none"/>
                <w:lang w:val="zh-CN" w:eastAsia="en-US" w:bidi="zh-CN"/>
              </w:rPr>
              <w:t>质量保证金金额</w:t>
            </w:r>
          </w:p>
        </w:tc>
        <w:tc>
          <w:tcPr>
            <w:tcW w:w="1526" w:type="dxa"/>
            <w:vAlign w:val="top"/>
          </w:tcPr>
          <w:p w14:paraId="5F45D0F4">
            <w:pPr>
              <w:autoSpaceDE w:val="0"/>
              <w:autoSpaceDN w:val="0"/>
              <w:spacing w:before="128" w:line="360" w:lineRule="auto"/>
              <w:ind w:left="6"/>
              <w:jc w:val="center"/>
              <w:rPr>
                <w:rStyle w:val="35"/>
                <w:rFonts w:hint="eastAsia" w:ascii="宋体" w:hAnsi="宋体" w:eastAsia="宋体" w:cs="宋体"/>
                <w:color w:val="auto"/>
                <w:kern w:val="0"/>
                <w:sz w:val="24"/>
                <w:szCs w:val="24"/>
                <w:highlight w:val="none"/>
                <w:lang w:val="en-US" w:eastAsia="en-US" w:bidi="zh-CN"/>
              </w:rPr>
            </w:pPr>
            <w:r>
              <w:rPr>
                <w:rStyle w:val="35"/>
                <w:rFonts w:hint="eastAsia" w:ascii="宋体" w:hAnsi="宋体" w:eastAsia="宋体" w:cs="宋体"/>
                <w:color w:val="auto"/>
                <w:kern w:val="0"/>
                <w:sz w:val="24"/>
                <w:szCs w:val="24"/>
                <w:highlight w:val="none"/>
                <w:lang w:val="en-US" w:eastAsia="en-US" w:bidi="zh-CN"/>
              </w:rPr>
              <w:t>专用条款</w:t>
            </w:r>
          </w:p>
        </w:tc>
        <w:tc>
          <w:tcPr>
            <w:tcW w:w="3285" w:type="dxa"/>
            <w:vAlign w:val="top"/>
          </w:tcPr>
          <w:p w14:paraId="3D50C6A0">
            <w:pPr>
              <w:pStyle w:val="122"/>
              <w:tabs>
                <w:tab w:val="left" w:pos="423"/>
              </w:tabs>
              <w:autoSpaceDE w:val="0"/>
              <w:autoSpaceDN w:val="0"/>
              <w:spacing w:before="128" w:line="360" w:lineRule="auto"/>
              <w:ind w:left="106"/>
              <w:jc w:val="left"/>
              <w:rPr>
                <w:rStyle w:val="35"/>
                <w:rFonts w:hint="eastAsia" w:ascii="宋体" w:hAnsi="宋体" w:eastAsia="宋体" w:cs="宋体"/>
                <w:color w:val="auto"/>
                <w:kern w:val="0"/>
                <w:sz w:val="24"/>
                <w:szCs w:val="24"/>
                <w:highlight w:val="none"/>
                <w:u w:val="single"/>
                <w:lang w:val="zh-CN" w:eastAsia="en-US" w:bidi="zh-CN"/>
              </w:rPr>
            </w:pPr>
          </w:p>
        </w:tc>
        <w:tc>
          <w:tcPr>
            <w:tcW w:w="749" w:type="dxa"/>
            <w:vAlign w:val="top"/>
          </w:tcPr>
          <w:p w14:paraId="62C7D417">
            <w:pPr>
              <w:pStyle w:val="122"/>
              <w:autoSpaceDE w:val="0"/>
              <w:autoSpaceDN w:val="0"/>
              <w:spacing w:line="360" w:lineRule="auto"/>
              <w:jc w:val="left"/>
              <w:rPr>
                <w:rStyle w:val="35"/>
                <w:rFonts w:hint="eastAsia" w:ascii="宋体" w:hAnsi="宋体" w:eastAsia="宋体" w:cs="宋体"/>
                <w:color w:val="auto"/>
                <w:kern w:val="0"/>
                <w:sz w:val="24"/>
                <w:szCs w:val="24"/>
                <w:highlight w:val="none"/>
                <w:lang w:val="zh-CN" w:eastAsia="en-US" w:bidi="zh-CN"/>
              </w:rPr>
            </w:pPr>
          </w:p>
        </w:tc>
      </w:tr>
      <w:tr w14:paraId="37617B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8944" w:type="dxa"/>
            <w:gridSpan w:val="5"/>
            <w:vAlign w:val="top"/>
          </w:tcPr>
          <w:p w14:paraId="6EF44007">
            <w:pPr>
              <w:keepNext w:val="0"/>
              <w:keepLines w:val="0"/>
              <w:pageBreakBefore w:val="0"/>
              <w:widowControl/>
              <w:suppressLineNumbers w:val="0"/>
              <w:kinsoku/>
              <w:wordWrap/>
              <w:overflowPunct/>
              <w:topLinePunct w:val="0"/>
              <w:bidi w:val="0"/>
              <w:adjustRightInd/>
              <w:snapToGrid/>
              <w:spacing w:line="360" w:lineRule="auto"/>
              <w:ind w:left="210" w:leftChars="100" w:firstLine="240" w:firstLineChars="100"/>
              <w:jc w:val="left"/>
              <w:textAlignment w:val="auto"/>
              <w:outlineLvl w:val="9"/>
              <w:rPr>
                <w:rStyle w:val="35"/>
                <w:rFonts w:hint="eastAsia" w:ascii="宋体" w:hAnsi="宋体" w:eastAsia="宋体" w:cs="宋体"/>
                <w:color w:val="auto"/>
                <w:kern w:val="0"/>
                <w:sz w:val="24"/>
                <w:szCs w:val="24"/>
                <w:highlight w:val="none"/>
                <w:lang w:val="zh-CN" w:bidi="zh-CN"/>
              </w:rPr>
            </w:pPr>
            <w:r>
              <w:rPr>
                <w:rFonts w:hint="eastAsia" w:ascii="宋体" w:hAnsi="宋体" w:eastAsia="宋体" w:cs="宋体"/>
                <w:color w:val="auto"/>
                <w:kern w:val="0"/>
                <w:sz w:val="24"/>
                <w:szCs w:val="24"/>
                <w:highlight w:val="none"/>
                <w:lang w:val="en-US" w:eastAsia="zh-CN" w:bidi="ar"/>
              </w:rPr>
              <w:t>说明：供应商在响应磋商文件中规定的实质性要求和条件的基础上，可做出其他有利于采购人的承诺。此类承诺可在本表中予以补充填写。</w:t>
            </w:r>
          </w:p>
        </w:tc>
      </w:tr>
    </w:tbl>
    <w:p w14:paraId="622AD098">
      <w:pPr>
        <w:pStyle w:val="122"/>
        <w:autoSpaceDE w:val="0"/>
        <w:autoSpaceDN w:val="0"/>
        <w:spacing w:line="360" w:lineRule="auto"/>
        <w:ind w:firstLine="200" w:firstLineChars="100"/>
        <w:jc w:val="left"/>
        <w:rPr>
          <w:rStyle w:val="35"/>
          <w:rFonts w:hint="eastAsia" w:ascii="Times New Roman" w:hAnsi="宋体" w:cs="宋体"/>
          <w:color w:val="auto"/>
          <w:kern w:val="0"/>
          <w:sz w:val="20"/>
          <w:highlight w:val="none"/>
          <w:lang w:val="zh-CN" w:bidi="zh-CN"/>
        </w:rPr>
      </w:pPr>
    </w:p>
    <w:p w14:paraId="724131A2">
      <w:pPr>
        <w:pageBreakBefore w:val="0"/>
        <w:tabs>
          <w:tab w:val="left" w:pos="2008"/>
        </w:tabs>
        <w:kinsoku/>
        <w:overflowPunct/>
        <w:topLinePunct w:val="0"/>
        <w:bidi w:val="0"/>
        <w:snapToGrid w:val="0"/>
        <w:spacing w:line="360" w:lineRule="auto"/>
        <w:rPr>
          <w:rFonts w:hint="eastAsia" w:ascii="宋体" w:hAnsi="宋体" w:eastAsia="宋体" w:cs="宋体"/>
          <w:color w:val="auto"/>
          <w:kern w:val="0"/>
          <w:sz w:val="24"/>
          <w:highlight w:val="none"/>
          <w:lang w:val="zh-CN"/>
        </w:rPr>
      </w:pPr>
    </w:p>
    <w:p w14:paraId="674CB76B">
      <w:pPr>
        <w:pageBreakBefore w:val="0"/>
        <w:kinsoku/>
        <w:overflowPunct/>
        <w:topLinePunct w:val="0"/>
        <w:bidi w:val="0"/>
        <w:snapToGrid w:val="0"/>
        <w:spacing w:line="360" w:lineRule="auto"/>
        <w:ind w:firstLine="5040" w:firstLineChars="2100"/>
        <w:rPr>
          <w:rFonts w:hint="eastAsia" w:ascii="宋体" w:hAnsi="宋体" w:eastAsia="宋体" w:cs="宋体"/>
          <w:color w:val="auto"/>
          <w:kern w:val="0"/>
          <w:sz w:val="24"/>
          <w:highlight w:val="none"/>
          <w:lang w:val="zh-CN"/>
        </w:rPr>
      </w:pPr>
    </w:p>
    <w:p w14:paraId="36FF5416">
      <w:pPr>
        <w:pStyle w:val="20"/>
        <w:spacing w:line="360" w:lineRule="auto"/>
        <w:ind w:firstLine="4080" w:firstLineChars="1700"/>
        <w:rPr>
          <w:rFonts w:hint="eastAsia" w:ascii="宋体" w:hAnsi="宋体" w:eastAsia="宋体" w:cs="宋体"/>
          <w:b w:val="0"/>
          <w:bCs/>
          <w:color w:val="auto"/>
          <w:sz w:val="24"/>
          <w:szCs w:val="24"/>
          <w:highlight w:val="none"/>
          <w:u w:val="single"/>
          <w:lang w:val="en-US" w:eastAsia="zh-CN"/>
        </w:rPr>
      </w:pPr>
      <w:r>
        <w:rPr>
          <w:rFonts w:hint="eastAsia" w:ascii="宋体" w:hAnsi="宋体" w:eastAsia="宋体" w:cs="宋体"/>
          <w:b w:val="0"/>
          <w:bCs/>
          <w:color w:val="auto"/>
          <w:sz w:val="24"/>
          <w:szCs w:val="24"/>
          <w:highlight w:val="none"/>
        </w:rPr>
        <w:t>供应商名称</w:t>
      </w:r>
      <w:r>
        <w:rPr>
          <w:rFonts w:hint="eastAsia" w:ascii="宋体" w:hAnsi="宋体" w:eastAsia="宋体" w:cs="宋体"/>
          <w:color w:val="auto"/>
          <w:kern w:val="0"/>
          <w:sz w:val="24"/>
          <w:highlight w:val="none"/>
        </w:rPr>
        <w:t>（电子签章）</w:t>
      </w:r>
      <w:r>
        <w:rPr>
          <w:rFonts w:hint="eastAsia" w:hAnsi="宋体" w:cs="宋体"/>
          <w:color w:val="auto"/>
          <w:kern w:val="0"/>
          <w:sz w:val="24"/>
          <w:highlight w:val="none"/>
          <w:lang w:eastAsia="zh-CN"/>
        </w:rPr>
        <w:t>：</w:t>
      </w:r>
      <w:r>
        <w:rPr>
          <w:rFonts w:hint="eastAsia" w:ascii="宋体" w:hAnsi="宋体" w:eastAsia="宋体" w:cs="宋体"/>
          <w:b w:val="0"/>
          <w:bCs/>
          <w:color w:val="auto"/>
          <w:sz w:val="24"/>
          <w:szCs w:val="24"/>
          <w:highlight w:val="none"/>
          <w:u w:val="single"/>
          <w:lang w:val="en-US" w:eastAsia="zh-CN"/>
        </w:rPr>
        <w:t xml:space="preserve">          </w:t>
      </w:r>
    </w:p>
    <w:p w14:paraId="62D7AA55">
      <w:pPr>
        <w:autoSpaceDE w:val="0"/>
        <w:autoSpaceDN w:val="0"/>
        <w:spacing w:line="360" w:lineRule="auto"/>
        <w:ind w:firstLine="6480" w:firstLineChars="2700"/>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日期：  年  月   日</w:t>
      </w:r>
    </w:p>
    <w:p w14:paraId="1B9B1139">
      <w:pPr>
        <w:pStyle w:val="71"/>
        <w:spacing w:line="360" w:lineRule="auto"/>
        <w:rPr>
          <w:rFonts w:hint="eastAsia" w:ascii="宋体" w:hAnsi="宋体" w:eastAsia="宋体" w:cs="宋体"/>
          <w:b/>
          <w:bCs/>
          <w:color w:val="auto"/>
          <w:kern w:val="0"/>
          <w:sz w:val="24"/>
          <w:szCs w:val="24"/>
          <w:highlight w:val="none"/>
          <w:lang w:val="en-US" w:eastAsia="zh-CN" w:bidi="ar"/>
        </w:rPr>
      </w:pPr>
    </w:p>
    <w:p w14:paraId="29C23CFE">
      <w:pPr>
        <w:pStyle w:val="71"/>
        <w:spacing w:line="360" w:lineRule="auto"/>
        <w:rPr>
          <w:rFonts w:hint="eastAsia" w:ascii="宋体" w:hAnsi="宋体" w:eastAsia="宋体" w:cs="宋体"/>
          <w:b/>
          <w:bCs/>
          <w:color w:val="auto"/>
          <w:kern w:val="0"/>
          <w:sz w:val="24"/>
          <w:szCs w:val="24"/>
          <w:highlight w:val="none"/>
          <w:lang w:val="en-US" w:eastAsia="zh-CN" w:bidi="ar"/>
        </w:rPr>
      </w:pPr>
    </w:p>
    <w:p w14:paraId="6A730F37">
      <w:pPr>
        <w:pStyle w:val="71"/>
        <w:spacing w:line="360" w:lineRule="auto"/>
        <w:rPr>
          <w:rFonts w:hint="eastAsia" w:ascii="宋体" w:hAnsi="宋体" w:eastAsia="宋体" w:cs="宋体"/>
          <w:b/>
          <w:bCs/>
          <w:color w:val="auto"/>
          <w:kern w:val="0"/>
          <w:sz w:val="24"/>
          <w:szCs w:val="24"/>
          <w:highlight w:val="none"/>
          <w:lang w:val="en-US" w:eastAsia="zh-CN" w:bidi="ar"/>
        </w:rPr>
      </w:pPr>
    </w:p>
    <w:p w14:paraId="5F586FCE">
      <w:pPr>
        <w:pStyle w:val="71"/>
        <w:spacing w:line="360" w:lineRule="auto"/>
        <w:rPr>
          <w:rFonts w:hint="eastAsia" w:ascii="宋体" w:hAnsi="宋体" w:eastAsia="宋体" w:cs="宋体"/>
          <w:b/>
          <w:bCs/>
          <w:color w:val="auto"/>
          <w:kern w:val="0"/>
          <w:sz w:val="24"/>
          <w:szCs w:val="24"/>
          <w:highlight w:val="none"/>
          <w:lang w:val="en-US" w:eastAsia="zh-CN" w:bidi="ar"/>
        </w:rPr>
      </w:pPr>
    </w:p>
    <w:p w14:paraId="6E3A8495">
      <w:pPr>
        <w:pStyle w:val="71"/>
        <w:spacing w:line="360" w:lineRule="auto"/>
        <w:rPr>
          <w:rFonts w:hint="eastAsia" w:ascii="宋体" w:hAnsi="宋体" w:eastAsia="宋体" w:cs="宋体"/>
          <w:b/>
          <w:bCs/>
          <w:color w:val="auto"/>
          <w:kern w:val="0"/>
          <w:sz w:val="24"/>
          <w:szCs w:val="24"/>
          <w:highlight w:val="none"/>
          <w:lang w:val="en-US" w:eastAsia="zh-CN" w:bidi="ar"/>
        </w:rPr>
      </w:pPr>
    </w:p>
    <w:p w14:paraId="72962DFE">
      <w:pPr>
        <w:spacing w:line="360" w:lineRule="auto"/>
        <w:jc w:val="center"/>
        <w:outlineLvl w:val="2"/>
        <w:rPr>
          <w:rFonts w:hint="eastAsia" w:ascii="宋体" w:hAnsi="宋体" w:eastAsia="宋体" w:cs="宋体"/>
          <w:b/>
          <w:bCs/>
          <w:color w:val="auto"/>
          <w:sz w:val="30"/>
          <w:szCs w:val="30"/>
          <w:highlight w:val="none"/>
          <w:lang w:val="en-US" w:eastAsia="zh-CN"/>
        </w:rPr>
      </w:pPr>
      <w:bookmarkStart w:id="350" w:name="_Toc19841"/>
      <w:r>
        <w:rPr>
          <w:rFonts w:hint="eastAsia" w:ascii="宋体" w:hAnsi="宋体" w:eastAsia="宋体" w:cs="宋体"/>
          <w:b/>
          <w:bCs/>
          <w:color w:val="auto"/>
          <w:sz w:val="30"/>
          <w:szCs w:val="30"/>
          <w:highlight w:val="none"/>
          <w:lang w:val="en-US" w:eastAsia="zh-CN"/>
        </w:rPr>
        <w:t>二、</w:t>
      </w:r>
      <w:r>
        <w:rPr>
          <w:rFonts w:hint="eastAsia" w:ascii="宋体" w:hAnsi="宋体" w:eastAsia="宋体" w:cs="宋体"/>
          <w:b/>
          <w:bCs/>
          <w:color w:val="auto"/>
          <w:sz w:val="30"/>
          <w:szCs w:val="30"/>
          <w:highlight w:val="none"/>
          <w:lang w:val="zh-CN" w:eastAsia="zh-CN"/>
        </w:rPr>
        <w:t>响应报价表</w:t>
      </w:r>
      <w:bookmarkEnd w:id="350"/>
    </w:p>
    <w:p w14:paraId="37F9589D">
      <w:pPr>
        <w:spacing w:line="360" w:lineRule="auto"/>
        <w:jc w:val="cente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 </w:t>
      </w:r>
    </w:p>
    <w:p w14:paraId="0C644AB2">
      <w:pPr>
        <w:snapToGrid w:val="0"/>
        <w:spacing w:before="50" w:after="5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项目名称：</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         </w:t>
      </w:r>
    </w:p>
    <w:p w14:paraId="31E5416D">
      <w:pPr>
        <w:snapToGrid w:val="0"/>
        <w:spacing w:before="50" w:after="50" w:line="360" w:lineRule="auto"/>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项目编号：</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       </w:t>
      </w:r>
    </w:p>
    <w:p w14:paraId="2D7C1622">
      <w:pPr>
        <w:snapToGrid w:val="0"/>
        <w:spacing w:before="50" w:after="50" w:line="360" w:lineRule="auto"/>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供应商名称：</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                      </w:t>
      </w:r>
    </w:p>
    <w:tbl>
      <w:tblPr>
        <w:tblStyle w:val="33"/>
        <w:tblW w:w="87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68"/>
        <w:gridCol w:w="3060"/>
        <w:gridCol w:w="2520"/>
      </w:tblGrid>
      <w:tr w14:paraId="15B16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2" w:hRule="atLeast"/>
        </w:trPr>
        <w:tc>
          <w:tcPr>
            <w:tcW w:w="3168" w:type="dxa"/>
            <w:vAlign w:val="center"/>
          </w:tcPr>
          <w:p w14:paraId="086DAB1F">
            <w:pPr>
              <w:autoSpaceDE w:val="0"/>
              <w:autoSpaceDN w:val="0"/>
              <w:adjustRightInd w:val="0"/>
              <w:spacing w:line="36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项目内容</w:t>
            </w:r>
          </w:p>
        </w:tc>
        <w:tc>
          <w:tcPr>
            <w:tcW w:w="3060" w:type="dxa"/>
            <w:vAlign w:val="center"/>
          </w:tcPr>
          <w:p w14:paraId="2CE7A738">
            <w:pPr>
              <w:autoSpaceDE w:val="0"/>
              <w:autoSpaceDN w:val="0"/>
              <w:adjustRightInd w:val="0"/>
              <w:spacing w:line="36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金额</w:t>
            </w:r>
          </w:p>
        </w:tc>
        <w:tc>
          <w:tcPr>
            <w:tcW w:w="2520" w:type="dxa"/>
            <w:vAlign w:val="center"/>
          </w:tcPr>
          <w:p w14:paraId="34767E17">
            <w:pPr>
              <w:autoSpaceDE w:val="0"/>
              <w:autoSpaceDN w:val="0"/>
              <w:adjustRightInd w:val="0"/>
              <w:spacing w:line="36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备注</w:t>
            </w:r>
          </w:p>
        </w:tc>
      </w:tr>
      <w:tr w14:paraId="7BDB1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3" w:hRule="atLeast"/>
        </w:trPr>
        <w:tc>
          <w:tcPr>
            <w:tcW w:w="3168" w:type="dxa"/>
            <w:vAlign w:val="center"/>
          </w:tcPr>
          <w:p w14:paraId="6DD826E3">
            <w:pPr>
              <w:autoSpaceDE w:val="0"/>
              <w:autoSpaceDN w:val="0"/>
              <w:adjustRightInd w:val="0"/>
              <w:spacing w:line="360" w:lineRule="auto"/>
              <w:ind w:left="200"/>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磋商总报价（大写）</w:t>
            </w:r>
          </w:p>
        </w:tc>
        <w:tc>
          <w:tcPr>
            <w:tcW w:w="3060" w:type="dxa"/>
            <w:vAlign w:val="center"/>
          </w:tcPr>
          <w:p w14:paraId="7B3DED42">
            <w:pPr>
              <w:autoSpaceDE w:val="0"/>
              <w:autoSpaceDN w:val="0"/>
              <w:adjustRightInd w:val="0"/>
              <w:spacing w:line="360" w:lineRule="auto"/>
              <w:jc w:val="center"/>
              <w:rPr>
                <w:rFonts w:hint="eastAsia" w:ascii="宋体" w:hAnsi="宋体" w:eastAsia="宋体" w:cs="宋体"/>
                <w:color w:val="auto"/>
                <w:kern w:val="0"/>
                <w:szCs w:val="21"/>
                <w:highlight w:val="none"/>
              </w:rPr>
            </w:pPr>
          </w:p>
        </w:tc>
        <w:tc>
          <w:tcPr>
            <w:tcW w:w="2520" w:type="dxa"/>
            <w:vAlign w:val="center"/>
          </w:tcPr>
          <w:p w14:paraId="0C1815EE">
            <w:pPr>
              <w:autoSpaceDE w:val="0"/>
              <w:autoSpaceDN w:val="0"/>
              <w:adjustRightInd w:val="0"/>
              <w:spacing w:line="360" w:lineRule="auto"/>
              <w:jc w:val="center"/>
              <w:rPr>
                <w:rFonts w:hint="eastAsia" w:ascii="宋体" w:hAnsi="宋体" w:eastAsia="宋体" w:cs="宋体"/>
                <w:color w:val="auto"/>
                <w:kern w:val="0"/>
                <w:szCs w:val="21"/>
                <w:highlight w:val="none"/>
              </w:rPr>
            </w:pPr>
          </w:p>
        </w:tc>
      </w:tr>
      <w:tr w14:paraId="6F371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3" w:hRule="atLeast"/>
        </w:trPr>
        <w:tc>
          <w:tcPr>
            <w:tcW w:w="3168" w:type="dxa"/>
            <w:vAlign w:val="center"/>
          </w:tcPr>
          <w:p w14:paraId="6225C75C">
            <w:pPr>
              <w:autoSpaceDE w:val="0"/>
              <w:autoSpaceDN w:val="0"/>
              <w:adjustRightInd w:val="0"/>
              <w:spacing w:line="36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磋商总报价（小写）</w:t>
            </w:r>
          </w:p>
        </w:tc>
        <w:tc>
          <w:tcPr>
            <w:tcW w:w="3060" w:type="dxa"/>
            <w:vAlign w:val="center"/>
          </w:tcPr>
          <w:p w14:paraId="43BDFED4">
            <w:pPr>
              <w:autoSpaceDE w:val="0"/>
              <w:autoSpaceDN w:val="0"/>
              <w:adjustRightInd w:val="0"/>
              <w:spacing w:line="360" w:lineRule="auto"/>
              <w:jc w:val="center"/>
              <w:rPr>
                <w:rFonts w:hint="eastAsia" w:ascii="宋体" w:hAnsi="宋体" w:eastAsia="宋体" w:cs="宋体"/>
                <w:color w:val="auto"/>
                <w:kern w:val="0"/>
                <w:szCs w:val="21"/>
                <w:highlight w:val="none"/>
              </w:rPr>
            </w:pPr>
          </w:p>
        </w:tc>
        <w:tc>
          <w:tcPr>
            <w:tcW w:w="2520" w:type="dxa"/>
            <w:vAlign w:val="center"/>
          </w:tcPr>
          <w:p w14:paraId="3551A2AA">
            <w:pPr>
              <w:autoSpaceDE w:val="0"/>
              <w:autoSpaceDN w:val="0"/>
              <w:adjustRightInd w:val="0"/>
              <w:spacing w:line="360" w:lineRule="auto"/>
              <w:jc w:val="center"/>
              <w:rPr>
                <w:rFonts w:hint="eastAsia" w:ascii="宋体" w:hAnsi="宋体" w:eastAsia="宋体" w:cs="宋体"/>
                <w:color w:val="auto"/>
                <w:kern w:val="0"/>
                <w:szCs w:val="21"/>
                <w:highlight w:val="none"/>
              </w:rPr>
            </w:pPr>
          </w:p>
        </w:tc>
      </w:tr>
      <w:tr w14:paraId="0B62A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3" w:hRule="atLeast"/>
        </w:trPr>
        <w:tc>
          <w:tcPr>
            <w:tcW w:w="3168" w:type="dxa"/>
            <w:vAlign w:val="center"/>
          </w:tcPr>
          <w:p w14:paraId="7B928953">
            <w:pPr>
              <w:autoSpaceDE w:val="0"/>
              <w:autoSpaceDN w:val="0"/>
              <w:spacing w:line="360" w:lineRule="auto"/>
              <w:ind w:left="108"/>
              <w:jc w:val="center"/>
              <w:rPr>
                <w:rFonts w:hint="eastAsia" w:ascii="宋体" w:hAnsi="宋体" w:eastAsia="宋体" w:cs="宋体"/>
                <w:color w:val="auto"/>
                <w:kern w:val="0"/>
                <w:szCs w:val="21"/>
                <w:highlight w:val="none"/>
              </w:rPr>
            </w:pPr>
            <w:r>
              <w:rPr>
                <w:rFonts w:hint="eastAsia" w:ascii="宋体" w:hAnsi="宋体" w:eastAsia="宋体" w:cs="宋体"/>
                <w:color w:val="auto"/>
                <w:szCs w:val="21"/>
                <w:highlight w:val="none"/>
              </w:rPr>
              <w:t>合同履行期限（</w:t>
            </w:r>
            <w:r>
              <w:rPr>
                <w:rFonts w:hint="eastAsia" w:ascii="宋体" w:hAnsi="宋体" w:eastAsia="宋体" w:cs="宋体"/>
                <w:color w:val="auto"/>
                <w:kern w:val="0"/>
                <w:szCs w:val="21"/>
                <w:highlight w:val="none"/>
              </w:rPr>
              <w:t>工期）</w:t>
            </w:r>
          </w:p>
        </w:tc>
        <w:tc>
          <w:tcPr>
            <w:tcW w:w="5580" w:type="dxa"/>
            <w:gridSpan w:val="2"/>
            <w:vAlign w:val="center"/>
          </w:tcPr>
          <w:p w14:paraId="484ED80A">
            <w:pPr>
              <w:autoSpaceDE w:val="0"/>
              <w:autoSpaceDN w:val="0"/>
              <w:spacing w:line="360" w:lineRule="auto"/>
              <w:ind w:left="108"/>
              <w:jc w:val="center"/>
              <w:rPr>
                <w:rFonts w:hint="eastAsia" w:ascii="宋体" w:hAnsi="宋体" w:eastAsia="宋体" w:cs="宋体"/>
                <w:color w:val="auto"/>
                <w:kern w:val="0"/>
                <w:szCs w:val="21"/>
                <w:highlight w:val="none"/>
              </w:rPr>
            </w:pPr>
          </w:p>
        </w:tc>
      </w:tr>
      <w:tr w14:paraId="3F546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3" w:hRule="atLeast"/>
        </w:trPr>
        <w:tc>
          <w:tcPr>
            <w:tcW w:w="3168" w:type="dxa"/>
            <w:vAlign w:val="center"/>
          </w:tcPr>
          <w:p w14:paraId="6C3B1DCD">
            <w:pPr>
              <w:autoSpaceDE w:val="0"/>
              <w:autoSpaceDN w:val="0"/>
              <w:spacing w:line="360" w:lineRule="auto"/>
              <w:ind w:left="108"/>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承诺工程质量</w:t>
            </w:r>
          </w:p>
        </w:tc>
        <w:tc>
          <w:tcPr>
            <w:tcW w:w="5580" w:type="dxa"/>
            <w:gridSpan w:val="2"/>
            <w:vAlign w:val="center"/>
          </w:tcPr>
          <w:p w14:paraId="0983C003">
            <w:pPr>
              <w:autoSpaceDE w:val="0"/>
              <w:autoSpaceDN w:val="0"/>
              <w:spacing w:line="360" w:lineRule="auto"/>
              <w:ind w:left="108"/>
              <w:jc w:val="center"/>
              <w:rPr>
                <w:rFonts w:hint="eastAsia" w:ascii="宋体" w:hAnsi="宋体" w:eastAsia="宋体" w:cs="宋体"/>
                <w:color w:val="auto"/>
                <w:kern w:val="0"/>
                <w:szCs w:val="21"/>
                <w:highlight w:val="none"/>
              </w:rPr>
            </w:pPr>
          </w:p>
        </w:tc>
      </w:tr>
    </w:tbl>
    <w:p w14:paraId="4508DD9D">
      <w:pPr>
        <w:snapToGrid w:val="0"/>
        <w:spacing w:before="50" w:after="50" w:line="360" w:lineRule="auto"/>
        <w:ind w:firstLine="480" w:firstLineChars="200"/>
        <w:jc w:val="left"/>
        <w:rPr>
          <w:rFonts w:hint="eastAsia" w:ascii="宋体" w:hAnsi="宋体" w:eastAsia="宋体" w:cs="宋体"/>
          <w:color w:val="auto"/>
          <w:kern w:val="0"/>
          <w:sz w:val="24"/>
          <w:highlight w:val="none"/>
          <w:lang w:val="zh-CN"/>
        </w:rPr>
      </w:pPr>
    </w:p>
    <w:p w14:paraId="0EC92588">
      <w:pPr>
        <w:keepNext w:val="0"/>
        <w:keepLines w:val="0"/>
        <w:pageBreakBefore w:val="0"/>
        <w:widowControl w:val="0"/>
        <w:kinsoku/>
        <w:wordWrap/>
        <w:overflowPunct/>
        <w:topLinePunct w:val="0"/>
        <w:autoSpaceDE/>
        <w:autoSpaceDN/>
        <w:bidi w:val="0"/>
        <w:adjustRightInd/>
        <w:snapToGrid w:val="0"/>
        <w:spacing w:before="50" w:after="50" w:line="360" w:lineRule="auto"/>
        <w:ind w:firstLine="480" w:firstLineChars="200"/>
        <w:jc w:val="left"/>
        <w:textAlignment w:val="auto"/>
        <w:outlineLvl w:val="9"/>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 xml:space="preserve">注： </w:t>
      </w:r>
    </w:p>
    <w:p w14:paraId="2BCCFD29">
      <w:pPr>
        <w:keepNext w:val="0"/>
        <w:keepLines w:val="0"/>
        <w:pageBreakBefore w:val="0"/>
        <w:widowControl w:val="0"/>
        <w:kinsoku/>
        <w:wordWrap/>
        <w:overflowPunct/>
        <w:topLinePunct w:val="0"/>
        <w:autoSpaceDE/>
        <w:autoSpaceDN/>
        <w:bidi w:val="0"/>
        <w:adjustRightInd/>
        <w:snapToGrid w:val="0"/>
        <w:spacing w:before="50" w:after="50" w:line="360" w:lineRule="auto"/>
        <w:ind w:firstLine="480" w:firstLineChars="200"/>
        <w:jc w:val="left"/>
        <w:textAlignment w:val="auto"/>
        <w:outlineLvl w:val="9"/>
        <w:rPr>
          <w:rFonts w:hint="eastAsia" w:ascii="宋体" w:hAnsi="宋体" w:eastAsia="宋体" w:cs="宋体"/>
          <w:color w:val="auto"/>
          <w:kern w:val="0"/>
          <w:sz w:val="24"/>
          <w:highlight w:val="none"/>
          <w:lang w:val="zh-CN"/>
        </w:rPr>
      </w:pPr>
      <w:r>
        <w:rPr>
          <w:rFonts w:hint="eastAsia" w:ascii="宋体" w:hAnsi="宋体" w:cs="宋体"/>
          <w:color w:val="auto"/>
          <w:kern w:val="0"/>
          <w:sz w:val="24"/>
          <w:highlight w:val="none"/>
          <w:lang w:val="zh-CN"/>
        </w:rPr>
        <w:t>1.</w:t>
      </w:r>
      <w:r>
        <w:rPr>
          <w:rFonts w:hint="eastAsia" w:ascii="宋体" w:hAnsi="宋体" w:eastAsia="宋体" w:cs="宋体"/>
          <w:color w:val="auto"/>
          <w:kern w:val="0"/>
          <w:sz w:val="24"/>
          <w:highlight w:val="none"/>
          <w:lang w:val="zh-CN"/>
        </w:rPr>
        <w:t xml:space="preserve"> 供应商需按本表格式填写，不得自行更改，也不得留空</w:t>
      </w:r>
      <w:r>
        <w:rPr>
          <w:rFonts w:hint="eastAsia" w:ascii="宋体" w:hAnsi="宋体" w:cs="宋体"/>
          <w:color w:val="auto"/>
          <w:kern w:val="0"/>
          <w:sz w:val="24"/>
          <w:highlight w:val="none"/>
          <w:lang w:val="zh-CN"/>
        </w:rPr>
        <w:t>，</w:t>
      </w:r>
      <w:r>
        <w:rPr>
          <w:rFonts w:hint="eastAsia" w:ascii="宋体" w:hAnsi="宋体" w:eastAsia="宋体" w:cs="宋体"/>
          <w:color w:val="auto"/>
          <w:kern w:val="0"/>
          <w:sz w:val="24"/>
          <w:highlight w:val="none"/>
          <w:lang w:val="zh-CN"/>
        </w:rPr>
        <w:t xml:space="preserve"> 如有多分标，按分标分别提供响应报价表</w:t>
      </w:r>
      <w:r>
        <w:rPr>
          <w:rFonts w:hint="eastAsia" w:ascii="宋体" w:hAnsi="宋体" w:eastAsia="宋体" w:cs="宋体"/>
          <w:b/>
          <w:color w:val="auto"/>
          <w:kern w:val="0"/>
          <w:sz w:val="24"/>
          <w:highlight w:val="none"/>
          <w:lang w:val="zh-CN"/>
        </w:rPr>
        <w:t>。</w:t>
      </w:r>
    </w:p>
    <w:p w14:paraId="72D44F08">
      <w:pPr>
        <w:keepNext w:val="0"/>
        <w:keepLines w:val="0"/>
        <w:pageBreakBefore w:val="0"/>
        <w:widowControl w:val="0"/>
        <w:kinsoku/>
        <w:wordWrap/>
        <w:overflowPunct/>
        <w:topLinePunct w:val="0"/>
        <w:autoSpaceDE/>
        <w:autoSpaceDN/>
        <w:bidi w:val="0"/>
        <w:adjustRightInd/>
        <w:snapToGrid w:val="0"/>
        <w:spacing w:before="50" w:after="50" w:line="360" w:lineRule="auto"/>
        <w:ind w:firstLine="480" w:firstLineChars="200"/>
        <w:jc w:val="left"/>
        <w:textAlignment w:val="auto"/>
        <w:outlineLvl w:val="9"/>
        <w:rPr>
          <w:rFonts w:hint="eastAsia" w:ascii="宋体" w:hAnsi="宋体" w:eastAsia="宋体" w:cs="宋体"/>
          <w:b/>
          <w:color w:val="auto"/>
          <w:kern w:val="0"/>
          <w:sz w:val="24"/>
          <w:highlight w:val="none"/>
          <w:lang w:val="zh-CN"/>
        </w:rPr>
      </w:pPr>
      <w:r>
        <w:rPr>
          <w:rFonts w:hint="eastAsia" w:ascii="宋体" w:hAnsi="宋体" w:cs="宋体"/>
          <w:color w:val="auto"/>
          <w:kern w:val="0"/>
          <w:sz w:val="24"/>
          <w:highlight w:val="none"/>
          <w:lang w:val="zh-CN"/>
        </w:rPr>
        <w:t>2.</w:t>
      </w:r>
      <w:r>
        <w:rPr>
          <w:rFonts w:hint="eastAsia" w:ascii="宋体" w:hAnsi="宋体" w:eastAsia="宋体" w:cs="宋体"/>
          <w:color w:val="auto"/>
          <w:kern w:val="0"/>
          <w:sz w:val="24"/>
          <w:highlight w:val="none"/>
          <w:lang w:val="zh-CN"/>
        </w:rPr>
        <w:t>如为联合体响应的，“供应商名称”处必须列明联合体各方名称，并标注联合体牵头人名称，且盖章处须加盖联合体各方公章，</w:t>
      </w:r>
      <w:r>
        <w:rPr>
          <w:rFonts w:hint="eastAsia" w:ascii="宋体" w:hAnsi="宋体" w:eastAsia="宋体" w:cs="宋体"/>
          <w:b/>
          <w:color w:val="auto"/>
          <w:kern w:val="0"/>
          <w:sz w:val="24"/>
          <w:highlight w:val="none"/>
          <w:lang w:val="zh-CN"/>
        </w:rPr>
        <w:t>否则其响应作无效响应处理。</w:t>
      </w:r>
    </w:p>
    <w:p w14:paraId="3615D7C8">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left"/>
        <w:textAlignment w:val="auto"/>
        <w:outlineLvl w:val="9"/>
        <w:rPr>
          <w:rFonts w:hint="eastAsia" w:ascii="宋体" w:hAnsi="宋体" w:eastAsia="宋体" w:cs="宋体"/>
          <w:color w:val="auto"/>
          <w:kern w:val="0"/>
          <w:sz w:val="24"/>
          <w:highlight w:val="none"/>
          <w:lang w:val="zh-CN"/>
        </w:rPr>
      </w:pPr>
    </w:p>
    <w:p w14:paraId="5FD20036">
      <w:pPr>
        <w:autoSpaceDE w:val="0"/>
        <w:autoSpaceDN w:val="0"/>
        <w:spacing w:line="360" w:lineRule="auto"/>
        <w:ind w:left="4335" w:leftChars="1950" w:hanging="240" w:hangingChars="100"/>
        <w:rPr>
          <w:rFonts w:hint="eastAsia" w:ascii="宋体" w:hAnsi="宋体" w:eastAsia="宋体" w:cs="宋体"/>
          <w:color w:val="auto"/>
          <w:kern w:val="0"/>
          <w:sz w:val="24"/>
          <w:highlight w:val="none"/>
        </w:rPr>
      </w:pPr>
    </w:p>
    <w:p w14:paraId="6A1B81AF">
      <w:pPr>
        <w:pStyle w:val="2"/>
        <w:spacing w:line="360" w:lineRule="auto"/>
        <w:rPr>
          <w:rFonts w:hint="eastAsia" w:ascii="宋体" w:hAnsi="宋体" w:eastAsia="宋体" w:cs="宋体"/>
          <w:color w:val="auto"/>
          <w:kern w:val="0"/>
          <w:sz w:val="24"/>
          <w:highlight w:val="none"/>
        </w:rPr>
      </w:pPr>
    </w:p>
    <w:p w14:paraId="48D3B378">
      <w:pPr>
        <w:pStyle w:val="2"/>
        <w:spacing w:line="360" w:lineRule="auto"/>
        <w:rPr>
          <w:rFonts w:hint="eastAsia" w:ascii="宋体" w:hAnsi="宋体" w:eastAsia="宋体" w:cs="宋体"/>
          <w:color w:val="auto"/>
          <w:kern w:val="0"/>
          <w:sz w:val="24"/>
          <w:highlight w:val="none"/>
        </w:rPr>
      </w:pPr>
    </w:p>
    <w:p w14:paraId="7D0DD632">
      <w:pPr>
        <w:pStyle w:val="2"/>
        <w:spacing w:line="360" w:lineRule="auto"/>
        <w:rPr>
          <w:rFonts w:hint="eastAsia" w:ascii="宋体" w:hAnsi="宋体" w:eastAsia="宋体" w:cs="宋体"/>
          <w:color w:val="auto"/>
          <w:kern w:val="0"/>
          <w:sz w:val="24"/>
          <w:highlight w:val="none"/>
        </w:rPr>
      </w:pPr>
    </w:p>
    <w:p w14:paraId="680C97D4">
      <w:pPr>
        <w:pStyle w:val="20"/>
        <w:spacing w:line="360" w:lineRule="auto"/>
        <w:ind w:firstLine="4080" w:firstLineChars="1700"/>
        <w:rPr>
          <w:rFonts w:hint="eastAsia" w:ascii="宋体" w:hAnsi="宋体" w:eastAsia="宋体" w:cs="宋体"/>
          <w:b w:val="0"/>
          <w:bCs/>
          <w:color w:val="auto"/>
          <w:sz w:val="24"/>
          <w:szCs w:val="24"/>
          <w:highlight w:val="none"/>
          <w:u w:val="single"/>
          <w:lang w:val="en-US" w:eastAsia="zh-CN"/>
        </w:rPr>
      </w:pPr>
      <w:r>
        <w:rPr>
          <w:rFonts w:hint="eastAsia" w:ascii="宋体" w:hAnsi="宋体" w:eastAsia="宋体" w:cs="宋体"/>
          <w:b w:val="0"/>
          <w:bCs/>
          <w:color w:val="auto"/>
          <w:sz w:val="24"/>
          <w:szCs w:val="24"/>
          <w:highlight w:val="none"/>
        </w:rPr>
        <w:t>供应商名称</w:t>
      </w:r>
      <w:r>
        <w:rPr>
          <w:rFonts w:hint="eastAsia" w:ascii="宋体" w:hAnsi="宋体" w:eastAsia="宋体" w:cs="宋体"/>
          <w:color w:val="auto"/>
          <w:kern w:val="0"/>
          <w:sz w:val="24"/>
          <w:highlight w:val="none"/>
        </w:rPr>
        <w:t>（电子签章）</w:t>
      </w:r>
      <w:r>
        <w:rPr>
          <w:rFonts w:hint="eastAsia" w:hAnsi="宋体" w:cs="宋体"/>
          <w:color w:val="auto"/>
          <w:kern w:val="0"/>
          <w:sz w:val="24"/>
          <w:highlight w:val="none"/>
          <w:lang w:eastAsia="zh-CN"/>
        </w:rPr>
        <w:t>：</w:t>
      </w:r>
      <w:r>
        <w:rPr>
          <w:rFonts w:hint="eastAsia" w:ascii="宋体" w:hAnsi="宋体" w:eastAsia="宋体" w:cs="宋体"/>
          <w:b w:val="0"/>
          <w:bCs/>
          <w:color w:val="auto"/>
          <w:sz w:val="24"/>
          <w:szCs w:val="24"/>
          <w:highlight w:val="none"/>
          <w:u w:val="single"/>
          <w:lang w:val="en-US" w:eastAsia="zh-CN"/>
        </w:rPr>
        <w:t xml:space="preserve">          </w:t>
      </w:r>
    </w:p>
    <w:p w14:paraId="7A585CE5">
      <w:pPr>
        <w:pStyle w:val="20"/>
        <w:spacing w:line="360" w:lineRule="auto"/>
        <w:ind w:firstLine="6360" w:firstLineChars="2650"/>
        <w:rPr>
          <w:rFonts w:hint="eastAsia" w:ascii="宋体" w:hAnsi="宋体" w:eastAsia="宋体" w:cs="宋体"/>
          <w:color w:val="auto"/>
          <w:sz w:val="24"/>
          <w:highlight w:val="none"/>
          <w:lang w:val="zh-CN"/>
        </w:rPr>
        <w:sectPr>
          <w:pgSz w:w="11910" w:h="16840"/>
          <w:pgMar w:top="1340" w:right="1500" w:bottom="280" w:left="1680" w:header="720" w:footer="720" w:gutter="0"/>
          <w:pgNumType w:fmt="decimal"/>
          <w:cols w:space="720" w:num="1"/>
        </w:sectPr>
      </w:pPr>
      <w:r>
        <w:rPr>
          <w:rFonts w:hint="eastAsia" w:ascii="宋体" w:hAnsi="宋体" w:eastAsia="宋体" w:cs="宋体"/>
          <w:color w:val="auto"/>
          <w:sz w:val="24"/>
          <w:highlight w:val="none"/>
          <w:lang w:val="zh-CN"/>
        </w:rPr>
        <w:t>日期：  年  月   日</w:t>
      </w:r>
    </w:p>
    <w:p w14:paraId="3BCD18E9">
      <w:pPr>
        <w:spacing w:line="360" w:lineRule="auto"/>
        <w:jc w:val="center"/>
        <w:outlineLvl w:val="2"/>
        <w:rPr>
          <w:rFonts w:hint="eastAsia" w:ascii="宋体" w:hAnsi="宋体" w:eastAsia="宋体" w:cs="宋体"/>
          <w:b/>
          <w:bCs/>
          <w:color w:val="auto"/>
          <w:sz w:val="30"/>
          <w:szCs w:val="30"/>
          <w:highlight w:val="none"/>
        </w:rPr>
      </w:pPr>
      <w:bookmarkStart w:id="351" w:name="_Toc30766"/>
      <w:r>
        <w:rPr>
          <w:rFonts w:hint="eastAsia" w:ascii="宋体" w:hAnsi="宋体" w:cs="宋体"/>
          <w:b/>
          <w:bCs/>
          <w:color w:val="auto"/>
          <w:sz w:val="30"/>
          <w:szCs w:val="30"/>
          <w:highlight w:val="none"/>
          <w:lang w:val="en-US" w:eastAsia="zh-CN"/>
        </w:rPr>
        <w:t>三</w:t>
      </w:r>
      <w:r>
        <w:rPr>
          <w:rFonts w:hint="eastAsia" w:ascii="宋体" w:hAnsi="宋体" w:eastAsia="宋体" w:cs="宋体"/>
          <w:b/>
          <w:bCs/>
          <w:color w:val="auto"/>
          <w:sz w:val="30"/>
          <w:szCs w:val="30"/>
          <w:highlight w:val="none"/>
          <w:lang w:val="en-US" w:eastAsia="zh-CN"/>
        </w:rPr>
        <w:t>、</w:t>
      </w:r>
      <w:r>
        <w:rPr>
          <w:rFonts w:hint="eastAsia" w:ascii="宋体" w:hAnsi="宋体" w:eastAsia="宋体" w:cs="宋体"/>
          <w:b/>
          <w:bCs/>
          <w:color w:val="auto"/>
          <w:sz w:val="30"/>
          <w:szCs w:val="30"/>
          <w:highlight w:val="none"/>
        </w:rPr>
        <w:t>已标价的工程量清单</w:t>
      </w:r>
      <w:bookmarkEnd w:id="345"/>
      <w:bookmarkEnd w:id="346"/>
      <w:bookmarkEnd w:id="347"/>
      <w:bookmarkEnd w:id="348"/>
      <w:bookmarkEnd w:id="351"/>
    </w:p>
    <w:p w14:paraId="7C0A3065">
      <w:pPr>
        <w:keepNext/>
        <w:keepLines/>
        <w:spacing w:before="280" w:after="290" w:line="360" w:lineRule="auto"/>
        <w:outlineLvl w:val="3"/>
        <w:rPr>
          <w:rFonts w:hint="eastAsia" w:ascii="宋体" w:hAnsi="宋体" w:eastAsia="宋体" w:cs="宋体"/>
          <w:bCs/>
          <w:color w:val="auto"/>
          <w:sz w:val="44"/>
          <w:szCs w:val="44"/>
          <w:highlight w:val="none"/>
        </w:rPr>
      </w:pPr>
      <w:r>
        <w:rPr>
          <w:rFonts w:hint="eastAsia" w:ascii="宋体" w:hAnsi="宋体" w:eastAsia="宋体" w:cs="宋体"/>
          <w:b/>
          <w:bCs/>
          <w:color w:val="auto"/>
          <w:sz w:val="28"/>
          <w:szCs w:val="28"/>
          <w:highlight w:val="none"/>
        </w:rPr>
        <w:t xml:space="preserve"> </w:t>
      </w:r>
      <w:r>
        <w:rPr>
          <w:rFonts w:hint="eastAsia" w:ascii="宋体" w:hAnsi="宋体" w:eastAsia="宋体" w:cs="宋体"/>
          <w:bCs/>
          <w:color w:val="auto"/>
          <w:sz w:val="44"/>
          <w:szCs w:val="44"/>
          <w:highlight w:val="none"/>
        </w:rPr>
        <w:t xml:space="preserve"> </w:t>
      </w:r>
    </w:p>
    <w:p w14:paraId="18832B91">
      <w:pPr>
        <w:adjustRightInd w:val="0"/>
        <w:snapToGrid w:val="0"/>
        <w:spacing w:line="360" w:lineRule="auto"/>
        <w:ind w:firstLine="7040" w:firstLineChars="1600"/>
        <w:jc w:val="center"/>
        <w:rPr>
          <w:rFonts w:hint="eastAsia" w:ascii="宋体" w:hAnsi="宋体" w:eastAsia="宋体" w:cs="宋体"/>
          <w:bCs/>
          <w:color w:val="auto"/>
          <w:sz w:val="44"/>
          <w:szCs w:val="44"/>
          <w:highlight w:val="none"/>
        </w:rPr>
      </w:pPr>
      <w:r>
        <w:rPr>
          <w:rFonts w:hint="eastAsia" w:ascii="宋体" w:hAnsi="宋体" w:eastAsia="宋体" w:cs="宋体"/>
          <w:bCs/>
          <w:color w:val="auto"/>
          <w:sz w:val="44"/>
          <w:szCs w:val="44"/>
          <w:highlight w:val="none"/>
        </w:rPr>
        <w:t xml:space="preserve"> </w:t>
      </w:r>
    </w:p>
    <w:p w14:paraId="149B3221">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highlight w:val="none"/>
        </w:rPr>
        <w:t>备注：已标价工程量清单应严格按照另册发放的“工程量清单”给出的表格和内容填报。</w:t>
      </w:r>
    </w:p>
    <w:p w14:paraId="2145FF9B">
      <w:pPr>
        <w:pStyle w:val="20"/>
        <w:spacing w:line="360" w:lineRule="auto"/>
        <w:ind w:firstLine="880" w:firstLineChars="200"/>
        <w:rPr>
          <w:rFonts w:hint="eastAsia" w:ascii="宋体" w:hAnsi="宋体" w:eastAsia="宋体" w:cs="宋体"/>
          <w:b/>
          <w:color w:val="auto"/>
          <w:kern w:val="2"/>
          <w:sz w:val="30"/>
          <w:szCs w:val="30"/>
          <w:highlight w:val="none"/>
        </w:rPr>
      </w:pPr>
      <w:r>
        <w:rPr>
          <w:rFonts w:hint="eastAsia" w:ascii="宋体" w:hAnsi="宋体" w:eastAsia="宋体" w:cs="宋体"/>
          <w:bCs/>
          <w:color w:val="auto"/>
          <w:sz w:val="44"/>
          <w:szCs w:val="44"/>
          <w:highlight w:val="none"/>
        </w:rPr>
        <w:br w:type="page"/>
      </w:r>
      <w:r>
        <w:rPr>
          <w:rFonts w:hint="eastAsia" w:ascii="宋体" w:hAnsi="宋体" w:eastAsia="宋体" w:cs="宋体"/>
          <w:b/>
          <w:color w:val="auto"/>
          <w:kern w:val="2"/>
          <w:sz w:val="30"/>
          <w:szCs w:val="30"/>
          <w:highlight w:val="none"/>
        </w:rPr>
        <w:t>四、供应商针对报价需要说明的其他文件和说明</w:t>
      </w:r>
    </w:p>
    <w:p w14:paraId="6B2ACE4E">
      <w:pPr>
        <w:autoSpaceDE w:val="0"/>
        <w:autoSpaceDN w:val="0"/>
        <w:spacing w:line="360" w:lineRule="auto"/>
        <w:rPr>
          <w:rFonts w:hint="default" w:ascii="宋体" w:hAnsi="宋体" w:eastAsia="宋体" w:cs="宋体"/>
          <w:color w:val="auto"/>
          <w:kern w:val="0"/>
          <w:sz w:val="24"/>
          <w:highlight w:val="none"/>
          <w:lang w:val="en-US" w:eastAsia="zh-CN"/>
        </w:rPr>
      </w:pPr>
      <w:r>
        <w:rPr>
          <w:rFonts w:hint="eastAsia" w:ascii="宋体" w:hAnsi="宋体" w:cs="宋体"/>
          <w:color w:val="auto"/>
          <w:kern w:val="0"/>
          <w:sz w:val="24"/>
          <w:highlight w:val="none"/>
          <w:lang w:val="en-US" w:eastAsia="zh-CN"/>
        </w:rPr>
        <w:t xml:space="preserve">       如有，请提供。（格式自拟）</w:t>
      </w:r>
    </w:p>
    <w:p w14:paraId="7142F0BB">
      <w:pPr>
        <w:autoSpaceDE w:val="0"/>
        <w:autoSpaceDN w:val="0"/>
        <w:spacing w:line="360" w:lineRule="auto"/>
        <w:ind w:left="4335" w:leftChars="1950" w:hanging="240" w:hangingChars="100"/>
        <w:rPr>
          <w:rFonts w:hint="eastAsia" w:ascii="宋体" w:hAnsi="宋体" w:eastAsia="宋体" w:cs="宋体"/>
          <w:color w:val="auto"/>
          <w:kern w:val="0"/>
          <w:sz w:val="24"/>
          <w:highlight w:val="none"/>
        </w:rPr>
      </w:pPr>
    </w:p>
    <w:p w14:paraId="48D90F2B">
      <w:pPr>
        <w:pStyle w:val="20"/>
        <w:spacing w:line="360" w:lineRule="auto"/>
        <w:ind w:firstLine="4080" w:firstLineChars="1700"/>
        <w:rPr>
          <w:rFonts w:hint="eastAsia" w:ascii="宋体" w:hAnsi="宋体" w:eastAsia="宋体" w:cs="宋体"/>
          <w:b w:val="0"/>
          <w:bCs/>
          <w:color w:val="auto"/>
          <w:sz w:val="24"/>
          <w:szCs w:val="24"/>
          <w:highlight w:val="none"/>
          <w:u w:val="single"/>
          <w:lang w:val="en-US" w:eastAsia="zh-CN"/>
        </w:rPr>
      </w:pPr>
      <w:r>
        <w:rPr>
          <w:rFonts w:hint="eastAsia" w:ascii="宋体" w:hAnsi="宋体" w:eastAsia="宋体" w:cs="宋体"/>
          <w:b w:val="0"/>
          <w:bCs/>
          <w:color w:val="auto"/>
          <w:sz w:val="24"/>
          <w:szCs w:val="24"/>
          <w:highlight w:val="none"/>
        </w:rPr>
        <w:t>供应商名称</w:t>
      </w:r>
      <w:r>
        <w:rPr>
          <w:rFonts w:hint="eastAsia" w:ascii="宋体" w:hAnsi="宋体" w:eastAsia="宋体" w:cs="宋体"/>
          <w:color w:val="auto"/>
          <w:kern w:val="0"/>
          <w:sz w:val="24"/>
          <w:highlight w:val="none"/>
        </w:rPr>
        <w:t>（电子签章）</w:t>
      </w:r>
      <w:r>
        <w:rPr>
          <w:rFonts w:hint="eastAsia" w:ascii="宋体" w:hAnsi="宋体" w:eastAsia="宋体" w:cs="宋体"/>
          <w:b w:val="0"/>
          <w:bCs/>
          <w:color w:val="auto"/>
          <w:sz w:val="24"/>
          <w:szCs w:val="24"/>
          <w:highlight w:val="none"/>
        </w:rPr>
        <w:t>:</w:t>
      </w:r>
      <w:r>
        <w:rPr>
          <w:rFonts w:hint="eastAsia" w:ascii="宋体" w:hAnsi="宋体" w:eastAsia="宋体" w:cs="宋体"/>
          <w:b w:val="0"/>
          <w:bCs/>
          <w:color w:val="auto"/>
          <w:sz w:val="24"/>
          <w:szCs w:val="24"/>
          <w:highlight w:val="none"/>
          <w:u w:val="single"/>
          <w:lang w:val="en-US" w:eastAsia="zh-CN"/>
        </w:rPr>
        <w:t xml:space="preserve">          </w:t>
      </w:r>
    </w:p>
    <w:p w14:paraId="4CA4C3AE">
      <w:pPr>
        <w:pStyle w:val="21"/>
        <w:spacing w:line="360" w:lineRule="auto"/>
        <w:ind w:left="5250"/>
        <w:rPr>
          <w:rFonts w:hint="eastAsia" w:ascii="宋体" w:hAnsi="宋体" w:eastAsia="宋体" w:cs="宋体"/>
          <w:color w:val="auto"/>
          <w:highlight w:val="none"/>
        </w:rPr>
      </w:pPr>
      <w:r>
        <w:rPr>
          <w:rFonts w:hint="eastAsia" w:ascii="宋体" w:hAnsi="宋体" w:eastAsia="宋体" w:cs="宋体"/>
          <w:color w:val="auto"/>
          <w:sz w:val="24"/>
          <w:highlight w:val="none"/>
        </w:rPr>
        <w:t xml:space="preserve">          </w:t>
      </w:r>
      <w:r>
        <w:rPr>
          <w:rFonts w:hint="eastAsia" w:ascii="宋体" w:hAnsi="宋体" w:eastAsia="宋体" w:cs="宋体"/>
          <w:color w:val="auto"/>
          <w:sz w:val="24"/>
          <w:highlight w:val="none"/>
          <w:lang w:val="zh-CN"/>
        </w:rPr>
        <w:t>日期</w:t>
      </w:r>
      <w:r>
        <w:rPr>
          <w:rFonts w:hint="eastAsia" w:ascii="宋体" w:hAnsi="宋体" w:eastAsia="宋体" w:cs="宋体"/>
          <w:color w:val="auto"/>
          <w:sz w:val="24"/>
          <w:highlight w:val="none"/>
        </w:rPr>
        <w:t xml:space="preserve">：  </w:t>
      </w:r>
      <w:r>
        <w:rPr>
          <w:rFonts w:hint="eastAsia" w:ascii="宋体" w:hAnsi="宋体" w:eastAsia="宋体" w:cs="宋体"/>
          <w:color w:val="auto"/>
          <w:sz w:val="24"/>
          <w:highlight w:val="none"/>
          <w:lang w:val="zh-CN"/>
        </w:rPr>
        <w:t>年</w:t>
      </w:r>
      <w:r>
        <w:rPr>
          <w:rFonts w:hint="eastAsia" w:ascii="宋体" w:hAnsi="宋体" w:eastAsia="宋体" w:cs="宋体"/>
          <w:color w:val="auto"/>
          <w:sz w:val="24"/>
          <w:highlight w:val="none"/>
        </w:rPr>
        <w:t xml:space="preserve">  </w:t>
      </w:r>
      <w:r>
        <w:rPr>
          <w:rFonts w:hint="eastAsia" w:ascii="宋体" w:hAnsi="宋体" w:eastAsia="宋体" w:cs="宋体"/>
          <w:color w:val="auto"/>
          <w:sz w:val="24"/>
          <w:highlight w:val="none"/>
          <w:lang w:val="zh-CN"/>
        </w:rPr>
        <w:t>月</w:t>
      </w:r>
      <w:r>
        <w:rPr>
          <w:rFonts w:hint="eastAsia" w:ascii="宋体" w:hAnsi="宋体" w:eastAsia="宋体" w:cs="宋体"/>
          <w:color w:val="auto"/>
          <w:sz w:val="24"/>
          <w:highlight w:val="none"/>
        </w:rPr>
        <w:t xml:space="preserve">   </w:t>
      </w:r>
      <w:r>
        <w:rPr>
          <w:rFonts w:hint="eastAsia" w:ascii="宋体" w:hAnsi="宋体" w:eastAsia="宋体" w:cs="宋体"/>
          <w:color w:val="auto"/>
          <w:sz w:val="24"/>
          <w:highlight w:val="none"/>
          <w:lang w:val="zh-CN"/>
        </w:rPr>
        <w:t>日</w:t>
      </w:r>
    </w:p>
    <w:p w14:paraId="49B4E9F4">
      <w:pPr>
        <w:pStyle w:val="32"/>
        <w:spacing w:line="360" w:lineRule="auto"/>
        <w:rPr>
          <w:rFonts w:hint="eastAsia" w:ascii="宋体" w:hAnsi="宋体" w:eastAsia="宋体" w:cs="宋体"/>
          <w:b/>
          <w:color w:val="auto"/>
          <w:sz w:val="32"/>
          <w:szCs w:val="32"/>
          <w:highlight w:val="none"/>
        </w:rPr>
      </w:pPr>
      <w:r>
        <w:rPr>
          <w:rFonts w:hint="eastAsia" w:ascii="宋体" w:hAnsi="宋体" w:eastAsia="宋体" w:cs="宋体"/>
          <w:color w:val="auto"/>
          <w:sz w:val="24"/>
          <w:highlight w:val="none"/>
        </w:rPr>
        <w:br w:type="page"/>
      </w:r>
    </w:p>
    <w:p w14:paraId="79A73E0A">
      <w:pPr>
        <w:pStyle w:val="4"/>
        <w:spacing w:line="360" w:lineRule="auto"/>
        <w:jc w:val="left"/>
        <w:rPr>
          <w:rFonts w:hint="eastAsia" w:ascii="宋体" w:hAnsi="宋体" w:eastAsia="宋体" w:cs="宋体"/>
          <w:color w:val="auto"/>
          <w:highlight w:val="none"/>
        </w:rPr>
      </w:pPr>
      <w:bookmarkStart w:id="352" w:name="_Toc30310"/>
      <w:bookmarkStart w:id="353" w:name="_Toc27011"/>
      <w:bookmarkStart w:id="354" w:name="_Toc173351828"/>
      <w:bookmarkStart w:id="355" w:name="_Toc4825"/>
      <w:bookmarkStart w:id="356" w:name="_Toc182"/>
      <w:r>
        <w:rPr>
          <w:rFonts w:hint="eastAsia" w:ascii="宋体" w:hAnsi="宋体" w:eastAsia="宋体" w:cs="宋体"/>
          <w:color w:val="auto"/>
          <w:highlight w:val="none"/>
        </w:rPr>
        <w:t>三、商务技术文件格式</w:t>
      </w:r>
      <w:bookmarkEnd w:id="352"/>
      <w:bookmarkEnd w:id="353"/>
      <w:bookmarkEnd w:id="354"/>
      <w:bookmarkEnd w:id="355"/>
      <w:bookmarkEnd w:id="356"/>
    </w:p>
    <w:p w14:paraId="0F10F19F">
      <w:pPr>
        <w:snapToGrid w:val="0"/>
        <w:spacing w:beforeLines="50" w:after="50" w:line="360" w:lineRule="auto"/>
        <w:jc w:val="center"/>
        <w:outlineLvl w:val="2"/>
        <w:rPr>
          <w:rFonts w:hint="eastAsia" w:ascii="宋体" w:hAnsi="宋体" w:eastAsia="宋体" w:cs="宋体"/>
          <w:b/>
          <w:color w:val="auto"/>
          <w:sz w:val="24"/>
          <w:highlight w:val="none"/>
        </w:rPr>
      </w:pPr>
      <w:bookmarkStart w:id="357" w:name="_Toc9013"/>
      <w:bookmarkStart w:id="358" w:name="_Toc16647"/>
      <w:bookmarkStart w:id="359" w:name="_Toc18056"/>
      <w:r>
        <w:rPr>
          <w:rFonts w:hint="eastAsia" w:ascii="宋体" w:hAnsi="宋体" w:cs="宋体"/>
          <w:b/>
          <w:color w:val="auto"/>
          <w:sz w:val="32"/>
          <w:szCs w:val="32"/>
          <w:highlight w:val="none"/>
          <w:lang w:val="en-US" w:eastAsia="zh-CN"/>
        </w:rPr>
        <w:t>1</w:t>
      </w:r>
      <w:r>
        <w:rPr>
          <w:rFonts w:hint="eastAsia" w:ascii="宋体" w:hAnsi="宋体" w:eastAsia="宋体" w:cs="宋体"/>
          <w:b/>
          <w:color w:val="auto"/>
          <w:sz w:val="32"/>
          <w:szCs w:val="32"/>
          <w:highlight w:val="none"/>
        </w:rPr>
        <w:t>、</w:t>
      </w:r>
      <w:r>
        <w:rPr>
          <w:rFonts w:hint="eastAsia" w:ascii="宋体" w:hAnsi="宋体" w:cs="宋体"/>
          <w:b/>
          <w:color w:val="auto"/>
          <w:sz w:val="32"/>
          <w:szCs w:val="32"/>
          <w:highlight w:val="none"/>
          <w:lang w:val="en-US" w:eastAsia="zh-CN"/>
        </w:rPr>
        <w:t>商务技术</w:t>
      </w:r>
      <w:r>
        <w:rPr>
          <w:rFonts w:hint="eastAsia" w:ascii="宋体" w:hAnsi="宋体" w:eastAsia="宋体" w:cs="宋体"/>
          <w:b/>
          <w:color w:val="auto"/>
          <w:sz w:val="32"/>
          <w:szCs w:val="32"/>
          <w:highlight w:val="none"/>
        </w:rPr>
        <w:t>文件封面格式：</w:t>
      </w:r>
      <w:bookmarkEnd w:id="357"/>
      <w:bookmarkEnd w:id="358"/>
      <w:bookmarkEnd w:id="359"/>
    </w:p>
    <w:p w14:paraId="44F027C7">
      <w:pPr>
        <w:snapToGrid w:val="0"/>
        <w:spacing w:beforeLines="50" w:after="50" w:line="360" w:lineRule="auto"/>
        <w:jc w:val="right"/>
        <w:rPr>
          <w:rFonts w:hint="eastAsia" w:ascii="宋体" w:hAnsi="宋体" w:eastAsia="宋体" w:cs="宋体"/>
          <w:color w:val="auto"/>
          <w:sz w:val="28"/>
          <w:szCs w:val="28"/>
          <w:highlight w:val="none"/>
        </w:rPr>
      </w:pPr>
    </w:p>
    <w:p w14:paraId="0368DFD3">
      <w:pPr>
        <w:snapToGrid w:val="0"/>
        <w:spacing w:beforeLines="50" w:after="50" w:line="360" w:lineRule="auto"/>
        <w:jc w:val="right"/>
        <w:rPr>
          <w:rFonts w:hint="eastAsia" w:ascii="宋体" w:hAnsi="宋体" w:eastAsia="宋体" w:cs="宋体"/>
          <w:bCs/>
          <w:color w:val="auto"/>
          <w:sz w:val="32"/>
          <w:szCs w:val="32"/>
          <w:highlight w:val="none"/>
        </w:rPr>
      </w:pPr>
      <w:r>
        <w:rPr>
          <w:rFonts w:hint="eastAsia" w:ascii="宋体" w:hAnsi="宋体" w:eastAsia="宋体" w:cs="宋体"/>
          <w:color w:val="auto"/>
          <w:sz w:val="28"/>
          <w:szCs w:val="28"/>
          <w:highlight w:val="none"/>
        </w:rPr>
        <w:t>全流程电子文件</w:t>
      </w:r>
    </w:p>
    <w:p w14:paraId="6682FB5E">
      <w:pPr>
        <w:spacing w:line="360" w:lineRule="auto"/>
        <w:ind w:firstLine="420" w:firstLineChars="200"/>
        <w:rPr>
          <w:rFonts w:hint="eastAsia" w:ascii="宋体" w:hAnsi="宋体" w:eastAsia="宋体" w:cs="宋体"/>
          <w:color w:val="auto"/>
          <w:szCs w:val="21"/>
          <w:highlight w:val="none"/>
        </w:rPr>
      </w:pPr>
    </w:p>
    <w:p w14:paraId="37738A8C">
      <w:pPr>
        <w:spacing w:line="360" w:lineRule="auto"/>
        <w:ind w:firstLine="420" w:firstLineChars="200"/>
        <w:rPr>
          <w:rFonts w:hint="eastAsia" w:ascii="宋体" w:hAnsi="宋体" w:eastAsia="宋体" w:cs="宋体"/>
          <w:color w:val="auto"/>
          <w:szCs w:val="21"/>
          <w:highlight w:val="none"/>
        </w:rPr>
      </w:pPr>
    </w:p>
    <w:p w14:paraId="08D43046">
      <w:pPr>
        <w:spacing w:line="360" w:lineRule="auto"/>
        <w:jc w:val="center"/>
        <w:rPr>
          <w:rFonts w:hint="eastAsia" w:ascii="宋体" w:hAnsi="宋体" w:eastAsia="宋体" w:cs="宋体"/>
          <w:bCs/>
          <w:color w:val="auto"/>
          <w:sz w:val="44"/>
          <w:szCs w:val="44"/>
          <w:highlight w:val="none"/>
          <w:lang w:eastAsia="zh-CN"/>
        </w:rPr>
      </w:pPr>
      <w:r>
        <w:rPr>
          <w:rFonts w:hint="eastAsia" w:ascii="宋体" w:hAnsi="宋体" w:eastAsia="宋体" w:cs="宋体"/>
          <w:bCs/>
          <w:color w:val="auto"/>
          <w:sz w:val="44"/>
          <w:szCs w:val="44"/>
          <w:highlight w:val="none"/>
        </w:rPr>
        <w:t>商务技术文件</w:t>
      </w:r>
      <w:r>
        <w:rPr>
          <w:rFonts w:hint="eastAsia" w:ascii="宋体" w:hAnsi="宋体" w:eastAsia="宋体" w:cs="宋体"/>
          <w:bCs/>
          <w:color w:val="auto"/>
          <w:sz w:val="44"/>
          <w:szCs w:val="44"/>
          <w:highlight w:val="none"/>
          <w:lang w:val="en-US" w:eastAsia="zh-CN"/>
        </w:rPr>
        <w:t xml:space="preserve"> </w:t>
      </w:r>
    </w:p>
    <w:p w14:paraId="606FFB49">
      <w:pPr>
        <w:spacing w:line="360" w:lineRule="auto"/>
        <w:ind w:firstLine="420" w:firstLineChars="200"/>
        <w:rPr>
          <w:rFonts w:hint="eastAsia" w:ascii="宋体" w:hAnsi="宋体" w:eastAsia="宋体" w:cs="宋体"/>
          <w:color w:val="auto"/>
          <w:szCs w:val="21"/>
          <w:highlight w:val="none"/>
        </w:rPr>
      </w:pPr>
    </w:p>
    <w:p w14:paraId="5303AC35">
      <w:pPr>
        <w:spacing w:line="360" w:lineRule="auto"/>
        <w:ind w:firstLine="420" w:firstLineChars="200"/>
        <w:rPr>
          <w:rFonts w:hint="eastAsia" w:ascii="宋体" w:hAnsi="宋体" w:eastAsia="宋体" w:cs="宋体"/>
          <w:color w:val="auto"/>
          <w:szCs w:val="21"/>
          <w:highlight w:val="none"/>
        </w:rPr>
      </w:pPr>
    </w:p>
    <w:p w14:paraId="4E332DFC">
      <w:pPr>
        <w:spacing w:line="360" w:lineRule="auto"/>
        <w:ind w:firstLine="420" w:firstLineChars="200"/>
        <w:rPr>
          <w:rFonts w:hint="eastAsia" w:ascii="宋体" w:hAnsi="宋体" w:eastAsia="宋体" w:cs="宋体"/>
          <w:color w:val="auto"/>
          <w:szCs w:val="21"/>
          <w:highlight w:val="none"/>
        </w:rPr>
      </w:pPr>
    </w:p>
    <w:p w14:paraId="4506B8B5">
      <w:pPr>
        <w:snapToGrid w:val="0"/>
        <w:spacing w:beforeLines="50" w:after="50" w:line="360" w:lineRule="auto"/>
        <w:rPr>
          <w:rFonts w:hint="eastAsia" w:ascii="宋体" w:hAnsi="宋体" w:eastAsia="宋体" w:cs="宋体"/>
          <w:bCs/>
          <w:color w:val="auto"/>
          <w:sz w:val="32"/>
          <w:szCs w:val="32"/>
          <w:highlight w:val="none"/>
        </w:rPr>
      </w:pPr>
    </w:p>
    <w:p w14:paraId="5CC8DAD2">
      <w:pPr>
        <w:snapToGrid w:val="0"/>
        <w:spacing w:beforeLines="50" w:after="50" w:line="360" w:lineRule="auto"/>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项目名称：</w:t>
      </w:r>
    </w:p>
    <w:p w14:paraId="0EB4941B">
      <w:pPr>
        <w:snapToGrid w:val="0"/>
        <w:spacing w:beforeLines="50" w:after="50" w:line="360" w:lineRule="auto"/>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项目编号：</w:t>
      </w:r>
    </w:p>
    <w:p w14:paraId="16821A34">
      <w:pPr>
        <w:snapToGrid w:val="0"/>
        <w:spacing w:beforeLines="50" w:after="50" w:line="360" w:lineRule="auto"/>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所竞分标（如有则填写，无分标时填写“无”或者留空）：</w:t>
      </w:r>
    </w:p>
    <w:p w14:paraId="57CDDE0A">
      <w:pPr>
        <w:snapToGrid w:val="0"/>
        <w:spacing w:beforeLines="50" w:after="50" w:line="360" w:lineRule="auto"/>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供应商名称：</w:t>
      </w:r>
    </w:p>
    <w:p w14:paraId="55D0C576">
      <w:pPr>
        <w:snapToGrid w:val="0"/>
        <w:spacing w:beforeLines="50" w:after="50" w:line="360" w:lineRule="auto"/>
        <w:rPr>
          <w:rFonts w:hint="eastAsia" w:ascii="宋体" w:hAnsi="宋体" w:eastAsia="宋体" w:cs="宋体"/>
          <w:bCs/>
          <w:color w:val="auto"/>
          <w:sz w:val="32"/>
          <w:szCs w:val="32"/>
          <w:highlight w:val="none"/>
        </w:rPr>
      </w:pPr>
    </w:p>
    <w:p w14:paraId="517DE113">
      <w:pPr>
        <w:snapToGrid w:val="0"/>
        <w:spacing w:beforeLines="50" w:after="50" w:line="360" w:lineRule="auto"/>
        <w:rPr>
          <w:rFonts w:hint="eastAsia" w:ascii="宋体" w:hAnsi="宋体" w:eastAsia="宋体" w:cs="宋体"/>
          <w:bCs/>
          <w:color w:val="auto"/>
          <w:sz w:val="32"/>
          <w:szCs w:val="32"/>
          <w:highlight w:val="none"/>
        </w:rPr>
      </w:pPr>
    </w:p>
    <w:p w14:paraId="04AC5B07">
      <w:pPr>
        <w:snapToGrid w:val="0"/>
        <w:spacing w:beforeLines="50" w:after="50" w:line="360" w:lineRule="auto"/>
        <w:rPr>
          <w:rFonts w:hint="eastAsia" w:ascii="宋体" w:hAnsi="宋体" w:eastAsia="宋体" w:cs="宋体"/>
          <w:bCs/>
          <w:color w:val="auto"/>
          <w:sz w:val="32"/>
          <w:szCs w:val="32"/>
          <w:highlight w:val="none"/>
        </w:rPr>
      </w:pPr>
    </w:p>
    <w:p w14:paraId="708C35D3">
      <w:pPr>
        <w:snapToGrid w:val="0"/>
        <w:spacing w:beforeLines="50" w:after="50" w:line="360" w:lineRule="auto"/>
        <w:jc w:val="center"/>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年</w:t>
      </w:r>
      <w:r>
        <w:rPr>
          <w:rFonts w:hint="eastAsia" w:ascii="宋体" w:hAnsi="宋体" w:eastAsia="宋体" w:cs="宋体"/>
          <w:bCs/>
          <w:color w:val="auto"/>
          <w:sz w:val="32"/>
          <w:szCs w:val="32"/>
          <w:highlight w:val="none"/>
          <w:lang w:val="en-US" w:eastAsia="zh-CN"/>
        </w:rPr>
        <w:t xml:space="preserve">   </w:t>
      </w:r>
      <w:r>
        <w:rPr>
          <w:rFonts w:hint="eastAsia" w:ascii="宋体" w:hAnsi="宋体" w:eastAsia="宋体" w:cs="宋体"/>
          <w:bCs/>
          <w:color w:val="auto"/>
          <w:sz w:val="32"/>
          <w:szCs w:val="32"/>
          <w:highlight w:val="none"/>
        </w:rPr>
        <w:t>月</w:t>
      </w:r>
      <w:r>
        <w:rPr>
          <w:rFonts w:hint="eastAsia" w:ascii="宋体" w:hAnsi="宋体" w:eastAsia="宋体" w:cs="宋体"/>
          <w:bCs/>
          <w:color w:val="auto"/>
          <w:sz w:val="32"/>
          <w:szCs w:val="32"/>
          <w:highlight w:val="none"/>
          <w:lang w:val="en-US" w:eastAsia="zh-CN"/>
        </w:rPr>
        <w:t xml:space="preserve">    </w:t>
      </w:r>
      <w:r>
        <w:rPr>
          <w:rFonts w:hint="eastAsia" w:ascii="宋体" w:hAnsi="宋体" w:eastAsia="宋体" w:cs="宋体"/>
          <w:bCs/>
          <w:color w:val="auto"/>
          <w:sz w:val="32"/>
          <w:szCs w:val="32"/>
          <w:highlight w:val="none"/>
        </w:rPr>
        <w:t>日</w:t>
      </w:r>
    </w:p>
    <w:p w14:paraId="55381E2E">
      <w:pPr>
        <w:snapToGrid w:val="0"/>
        <w:spacing w:beforeLines="50" w:after="50" w:line="360" w:lineRule="auto"/>
        <w:rPr>
          <w:rFonts w:hint="eastAsia" w:ascii="宋体" w:hAnsi="宋体" w:eastAsia="宋体" w:cs="宋体"/>
          <w:bCs/>
          <w:color w:val="auto"/>
          <w:sz w:val="32"/>
          <w:szCs w:val="32"/>
          <w:highlight w:val="none"/>
        </w:rPr>
        <w:sectPr>
          <w:pgSz w:w="11906" w:h="16838"/>
          <w:pgMar w:top="1134" w:right="1134" w:bottom="1134" w:left="1134" w:header="851" w:footer="992" w:gutter="0"/>
          <w:pgNumType w:fmt="decimal"/>
          <w:cols w:space="425" w:num="1"/>
          <w:docGrid w:type="lines" w:linePitch="312" w:charSpace="0"/>
        </w:sectPr>
      </w:pPr>
    </w:p>
    <w:p w14:paraId="0A80D02F">
      <w:pPr>
        <w:spacing w:line="360" w:lineRule="auto"/>
        <w:jc w:val="center"/>
        <w:rPr>
          <w:rFonts w:hint="eastAsia" w:ascii="宋体" w:hAnsi="宋体" w:eastAsia="宋体" w:cs="宋体"/>
          <w:b/>
          <w:color w:val="auto"/>
          <w:sz w:val="32"/>
          <w:szCs w:val="32"/>
          <w:highlight w:val="none"/>
        </w:rPr>
      </w:pPr>
      <w:r>
        <w:rPr>
          <w:rFonts w:hint="eastAsia" w:ascii="宋体" w:hAnsi="宋体" w:cs="宋体"/>
          <w:b/>
          <w:color w:val="auto"/>
          <w:sz w:val="32"/>
          <w:szCs w:val="32"/>
          <w:highlight w:val="none"/>
          <w:lang w:val="en-US" w:eastAsia="zh-CN"/>
        </w:rPr>
        <w:t>2、</w:t>
      </w:r>
      <w:r>
        <w:rPr>
          <w:rFonts w:hint="eastAsia" w:ascii="宋体" w:hAnsi="宋体" w:eastAsia="宋体" w:cs="宋体"/>
          <w:b/>
          <w:color w:val="auto"/>
          <w:sz w:val="32"/>
          <w:szCs w:val="32"/>
          <w:highlight w:val="none"/>
        </w:rPr>
        <w:t>商务技术文件目录</w:t>
      </w:r>
    </w:p>
    <w:p w14:paraId="6962B15D">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根据磋商文件规定及供应商提供的材料自行编写目录（部分格式后附）。</w:t>
      </w:r>
    </w:p>
    <w:p w14:paraId="00DA112A">
      <w:pPr>
        <w:spacing w:line="360" w:lineRule="auto"/>
        <w:ind w:firstLine="420" w:firstLineChars="200"/>
        <w:rPr>
          <w:rFonts w:ascii="宋体" w:hAnsi="宋体" w:eastAsia="宋体"/>
          <w:color w:val="auto"/>
          <w:szCs w:val="21"/>
          <w:highlight w:val="none"/>
        </w:rPr>
      </w:pPr>
    </w:p>
    <w:p w14:paraId="1B69F3E1">
      <w:pPr>
        <w:spacing w:line="360" w:lineRule="auto"/>
        <w:ind w:firstLine="420" w:firstLineChars="200"/>
        <w:rPr>
          <w:rFonts w:ascii="宋体" w:hAnsi="宋体" w:eastAsia="宋体"/>
          <w:color w:val="auto"/>
          <w:szCs w:val="21"/>
          <w:highlight w:val="none"/>
        </w:rPr>
      </w:pPr>
    </w:p>
    <w:p w14:paraId="02B81607">
      <w:pPr>
        <w:spacing w:line="360" w:lineRule="auto"/>
        <w:ind w:firstLine="420" w:firstLineChars="200"/>
        <w:rPr>
          <w:rFonts w:ascii="宋体" w:hAnsi="宋体" w:eastAsia="宋体"/>
          <w:color w:val="auto"/>
          <w:szCs w:val="21"/>
          <w:highlight w:val="none"/>
        </w:rPr>
      </w:pPr>
    </w:p>
    <w:p w14:paraId="070C85E5">
      <w:pPr>
        <w:spacing w:line="360" w:lineRule="auto"/>
        <w:ind w:firstLine="420" w:firstLineChars="200"/>
        <w:rPr>
          <w:rFonts w:ascii="宋体" w:hAnsi="宋体" w:eastAsia="宋体"/>
          <w:color w:val="auto"/>
          <w:szCs w:val="21"/>
          <w:highlight w:val="none"/>
        </w:rPr>
      </w:pPr>
    </w:p>
    <w:p w14:paraId="1C459E6A">
      <w:pPr>
        <w:spacing w:line="360" w:lineRule="auto"/>
        <w:ind w:firstLine="420" w:firstLineChars="200"/>
        <w:rPr>
          <w:rFonts w:ascii="宋体" w:hAnsi="宋体" w:eastAsia="宋体"/>
          <w:color w:val="auto"/>
          <w:szCs w:val="21"/>
          <w:highlight w:val="none"/>
        </w:rPr>
      </w:pPr>
    </w:p>
    <w:p w14:paraId="469CD51C">
      <w:pPr>
        <w:spacing w:line="360" w:lineRule="auto"/>
        <w:ind w:firstLine="420" w:firstLineChars="200"/>
        <w:rPr>
          <w:rFonts w:ascii="宋体" w:hAnsi="宋体" w:eastAsia="宋体"/>
          <w:color w:val="auto"/>
          <w:szCs w:val="21"/>
          <w:highlight w:val="none"/>
        </w:rPr>
      </w:pPr>
    </w:p>
    <w:p w14:paraId="7B5C2956">
      <w:pPr>
        <w:spacing w:line="360" w:lineRule="auto"/>
        <w:ind w:firstLine="420" w:firstLineChars="200"/>
        <w:rPr>
          <w:rFonts w:ascii="宋体" w:hAnsi="宋体" w:eastAsia="宋体"/>
          <w:color w:val="auto"/>
          <w:szCs w:val="21"/>
          <w:highlight w:val="none"/>
        </w:rPr>
      </w:pPr>
    </w:p>
    <w:p w14:paraId="39747DC6">
      <w:pPr>
        <w:spacing w:line="360" w:lineRule="auto"/>
        <w:ind w:firstLine="420" w:firstLineChars="200"/>
        <w:rPr>
          <w:rFonts w:ascii="宋体" w:hAnsi="宋体" w:eastAsia="宋体"/>
          <w:color w:val="auto"/>
          <w:szCs w:val="21"/>
          <w:highlight w:val="none"/>
        </w:rPr>
      </w:pPr>
    </w:p>
    <w:p w14:paraId="5247C3D4">
      <w:pPr>
        <w:spacing w:line="360" w:lineRule="auto"/>
        <w:ind w:firstLine="420" w:firstLineChars="200"/>
        <w:rPr>
          <w:rFonts w:ascii="宋体" w:hAnsi="宋体" w:eastAsia="宋体"/>
          <w:color w:val="auto"/>
          <w:szCs w:val="21"/>
          <w:highlight w:val="none"/>
        </w:rPr>
      </w:pPr>
    </w:p>
    <w:p w14:paraId="48443B03">
      <w:pPr>
        <w:spacing w:line="360" w:lineRule="auto"/>
        <w:ind w:firstLine="420" w:firstLineChars="200"/>
        <w:rPr>
          <w:rFonts w:ascii="宋体" w:hAnsi="宋体" w:eastAsia="宋体"/>
          <w:color w:val="auto"/>
          <w:szCs w:val="21"/>
          <w:highlight w:val="none"/>
        </w:rPr>
      </w:pPr>
    </w:p>
    <w:p w14:paraId="282FE7BB">
      <w:pPr>
        <w:spacing w:line="360" w:lineRule="auto"/>
        <w:ind w:firstLine="420" w:firstLineChars="200"/>
        <w:rPr>
          <w:rFonts w:ascii="宋体" w:hAnsi="宋体" w:eastAsia="宋体"/>
          <w:color w:val="auto"/>
          <w:szCs w:val="21"/>
          <w:highlight w:val="none"/>
        </w:rPr>
      </w:pPr>
    </w:p>
    <w:p w14:paraId="07C38B96">
      <w:pPr>
        <w:spacing w:line="360" w:lineRule="auto"/>
        <w:ind w:firstLine="420" w:firstLineChars="200"/>
        <w:rPr>
          <w:rFonts w:ascii="宋体" w:hAnsi="宋体" w:eastAsia="宋体"/>
          <w:color w:val="auto"/>
          <w:szCs w:val="21"/>
          <w:highlight w:val="none"/>
        </w:rPr>
      </w:pPr>
    </w:p>
    <w:p w14:paraId="7D25366E">
      <w:pPr>
        <w:spacing w:line="360" w:lineRule="auto"/>
        <w:ind w:firstLine="420" w:firstLineChars="200"/>
        <w:rPr>
          <w:rFonts w:ascii="宋体" w:hAnsi="宋体" w:eastAsia="宋体"/>
          <w:color w:val="auto"/>
          <w:szCs w:val="21"/>
          <w:highlight w:val="none"/>
        </w:rPr>
      </w:pPr>
    </w:p>
    <w:p w14:paraId="42C47DD8">
      <w:pPr>
        <w:spacing w:line="360" w:lineRule="auto"/>
        <w:ind w:firstLine="420" w:firstLineChars="200"/>
        <w:rPr>
          <w:rFonts w:ascii="宋体" w:hAnsi="宋体" w:eastAsia="宋体"/>
          <w:color w:val="auto"/>
          <w:szCs w:val="21"/>
          <w:highlight w:val="none"/>
        </w:rPr>
      </w:pPr>
    </w:p>
    <w:p w14:paraId="2081DFD5">
      <w:pPr>
        <w:spacing w:line="360" w:lineRule="auto"/>
        <w:ind w:firstLine="420" w:firstLineChars="200"/>
        <w:rPr>
          <w:rFonts w:ascii="宋体" w:hAnsi="宋体" w:eastAsia="宋体"/>
          <w:color w:val="auto"/>
          <w:szCs w:val="21"/>
          <w:highlight w:val="none"/>
        </w:rPr>
      </w:pPr>
    </w:p>
    <w:p w14:paraId="17706680">
      <w:pPr>
        <w:spacing w:line="360" w:lineRule="auto"/>
        <w:ind w:firstLine="420" w:firstLineChars="200"/>
        <w:rPr>
          <w:rFonts w:ascii="宋体" w:hAnsi="宋体" w:eastAsia="宋体"/>
          <w:color w:val="auto"/>
          <w:szCs w:val="21"/>
          <w:highlight w:val="none"/>
        </w:rPr>
      </w:pPr>
    </w:p>
    <w:p w14:paraId="1304B58E">
      <w:pPr>
        <w:spacing w:line="360" w:lineRule="auto"/>
        <w:ind w:firstLine="420" w:firstLineChars="200"/>
        <w:rPr>
          <w:rFonts w:ascii="宋体" w:hAnsi="宋体" w:eastAsia="宋体"/>
          <w:color w:val="auto"/>
          <w:szCs w:val="21"/>
          <w:highlight w:val="none"/>
        </w:rPr>
      </w:pPr>
    </w:p>
    <w:p w14:paraId="2BBF2C8F">
      <w:pPr>
        <w:spacing w:line="360" w:lineRule="auto"/>
        <w:ind w:firstLine="420" w:firstLineChars="200"/>
        <w:rPr>
          <w:rFonts w:ascii="宋体" w:hAnsi="宋体" w:eastAsia="宋体"/>
          <w:color w:val="auto"/>
          <w:szCs w:val="21"/>
          <w:highlight w:val="none"/>
        </w:rPr>
      </w:pPr>
    </w:p>
    <w:p w14:paraId="2E52FADC">
      <w:pPr>
        <w:spacing w:line="360" w:lineRule="auto"/>
        <w:ind w:firstLine="420" w:firstLineChars="200"/>
        <w:rPr>
          <w:rFonts w:ascii="宋体" w:hAnsi="宋体" w:eastAsia="宋体"/>
          <w:color w:val="auto"/>
          <w:szCs w:val="21"/>
          <w:highlight w:val="none"/>
        </w:rPr>
      </w:pPr>
    </w:p>
    <w:p w14:paraId="73784E20">
      <w:pPr>
        <w:spacing w:line="360" w:lineRule="auto"/>
        <w:ind w:firstLine="420" w:firstLineChars="200"/>
        <w:rPr>
          <w:rFonts w:ascii="宋体" w:hAnsi="宋体" w:eastAsia="宋体"/>
          <w:color w:val="auto"/>
          <w:szCs w:val="21"/>
          <w:highlight w:val="none"/>
        </w:rPr>
      </w:pPr>
    </w:p>
    <w:p w14:paraId="11B8A422">
      <w:pPr>
        <w:spacing w:line="360" w:lineRule="auto"/>
        <w:ind w:firstLine="420" w:firstLineChars="200"/>
        <w:rPr>
          <w:rFonts w:ascii="宋体" w:hAnsi="宋体" w:eastAsia="宋体"/>
          <w:color w:val="auto"/>
          <w:szCs w:val="21"/>
          <w:highlight w:val="none"/>
        </w:rPr>
      </w:pPr>
    </w:p>
    <w:p w14:paraId="661F60DF">
      <w:pPr>
        <w:spacing w:line="360" w:lineRule="auto"/>
        <w:ind w:firstLine="420" w:firstLineChars="200"/>
        <w:rPr>
          <w:rFonts w:ascii="宋体" w:hAnsi="宋体" w:eastAsia="宋体"/>
          <w:color w:val="auto"/>
          <w:szCs w:val="21"/>
          <w:highlight w:val="none"/>
        </w:rPr>
      </w:pPr>
    </w:p>
    <w:p w14:paraId="3AC3DF4E">
      <w:pPr>
        <w:spacing w:line="360" w:lineRule="auto"/>
        <w:ind w:firstLine="420" w:firstLineChars="200"/>
        <w:rPr>
          <w:rFonts w:ascii="宋体" w:hAnsi="宋体" w:eastAsia="宋体"/>
          <w:color w:val="auto"/>
          <w:szCs w:val="21"/>
          <w:highlight w:val="none"/>
        </w:rPr>
      </w:pPr>
    </w:p>
    <w:p w14:paraId="0A7A9CCA">
      <w:pPr>
        <w:spacing w:line="360" w:lineRule="auto"/>
        <w:ind w:firstLine="420" w:firstLineChars="200"/>
        <w:rPr>
          <w:rFonts w:ascii="宋体" w:hAnsi="宋体" w:eastAsia="宋体"/>
          <w:color w:val="auto"/>
          <w:szCs w:val="21"/>
          <w:highlight w:val="none"/>
        </w:rPr>
      </w:pPr>
    </w:p>
    <w:p w14:paraId="74B2D5B4">
      <w:pPr>
        <w:pStyle w:val="32"/>
        <w:spacing w:line="360" w:lineRule="auto"/>
        <w:rPr>
          <w:color w:val="auto"/>
          <w:highlight w:val="none"/>
        </w:rPr>
      </w:pPr>
    </w:p>
    <w:p w14:paraId="3300925F">
      <w:pPr>
        <w:spacing w:line="360" w:lineRule="auto"/>
        <w:ind w:firstLine="420" w:firstLineChars="200"/>
        <w:rPr>
          <w:rFonts w:ascii="宋体" w:hAnsi="宋体" w:eastAsia="宋体"/>
          <w:color w:val="auto"/>
          <w:szCs w:val="21"/>
          <w:highlight w:val="none"/>
        </w:rPr>
      </w:pPr>
    </w:p>
    <w:p w14:paraId="7227930D">
      <w:pPr>
        <w:spacing w:line="360" w:lineRule="auto"/>
        <w:ind w:firstLine="420" w:firstLineChars="200"/>
        <w:rPr>
          <w:rFonts w:ascii="宋体" w:hAnsi="宋体" w:eastAsia="宋体"/>
          <w:color w:val="auto"/>
          <w:szCs w:val="21"/>
          <w:highlight w:val="none"/>
        </w:rPr>
      </w:pPr>
    </w:p>
    <w:p w14:paraId="4BFD31F3">
      <w:pPr>
        <w:spacing w:line="360" w:lineRule="auto"/>
        <w:ind w:firstLine="420" w:firstLineChars="200"/>
        <w:rPr>
          <w:rFonts w:ascii="宋体" w:hAnsi="宋体" w:eastAsia="宋体"/>
          <w:color w:val="auto"/>
          <w:szCs w:val="21"/>
          <w:highlight w:val="none"/>
        </w:rPr>
      </w:pPr>
    </w:p>
    <w:p w14:paraId="50D34D1E">
      <w:pPr>
        <w:adjustRightInd w:val="0"/>
        <w:snapToGrid w:val="0"/>
        <w:spacing w:line="360" w:lineRule="auto"/>
        <w:jc w:val="left"/>
        <w:rPr>
          <w:rFonts w:hint="eastAsia" w:ascii="宋体" w:hAnsi="宋体" w:eastAsia="宋体" w:cs="方正小标宋简体"/>
          <w:b/>
          <w:bCs/>
          <w:color w:val="auto"/>
          <w:sz w:val="32"/>
          <w:szCs w:val="32"/>
          <w:highlight w:val="none"/>
        </w:rPr>
      </w:pPr>
      <w:r>
        <w:rPr>
          <w:rFonts w:hint="eastAsia" w:ascii="宋体" w:hAnsi="宋体" w:eastAsia="宋体" w:cs="方正小标宋简体"/>
          <w:b/>
          <w:bCs/>
          <w:color w:val="auto"/>
          <w:sz w:val="32"/>
          <w:szCs w:val="32"/>
          <w:highlight w:val="none"/>
          <w:lang w:eastAsia="zh-CN"/>
        </w:rPr>
        <w:t>一、</w:t>
      </w:r>
      <w:r>
        <w:rPr>
          <w:rFonts w:hint="eastAsia" w:ascii="宋体" w:hAnsi="宋体" w:eastAsia="宋体" w:cs="方正小标宋简体"/>
          <w:b/>
          <w:bCs/>
          <w:color w:val="auto"/>
          <w:sz w:val="32"/>
          <w:szCs w:val="32"/>
          <w:highlight w:val="none"/>
        </w:rPr>
        <w:t>无串通竞标行为的承诺函</w:t>
      </w:r>
    </w:p>
    <w:p w14:paraId="78427505">
      <w:pPr>
        <w:spacing w:line="360" w:lineRule="auto"/>
        <w:ind w:firstLine="640" w:firstLineChars="200"/>
        <w:contextualSpacing/>
        <w:rPr>
          <w:rFonts w:hint="eastAsia" w:ascii="宋体" w:hAnsi="宋体" w:cs="宋体"/>
          <w:color w:val="auto"/>
          <w:sz w:val="32"/>
          <w:szCs w:val="32"/>
          <w:highlight w:val="none"/>
        </w:rPr>
      </w:pPr>
    </w:p>
    <w:p w14:paraId="1A22CB9A">
      <w:pPr>
        <w:spacing w:line="360" w:lineRule="auto"/>
        <w:ind w:firstLine="482" w:firstLineChars="200"/>
        <w:contextualSpacing/>
        <w:rPr>
          <w:rFonts w:hint="eastAsia" w:ascii="宋体" w:hAnsi="宋体" w:cs="宋体"/>
          <w:b/>
          <w:bCs/>
          <w:color w:val="auto"/>
          <w:sz w:val="24"/>
          <w:highlight w:val="none"/>
        </w:rPr>
      </w:pPr>
      <w:r>
        <w:rPr>
          <w:rFonts w:hint="eastAsia" w:ascii="宋体" w:hAnsi="宋体" w:cs="宋体"/>
          <w:b/>
          <w:bCs/>
          <w:color w:val="auto"/>
          <w:sz w:val="24"/>
          <w:highlight w:val="none"/>
        </w:rPr>
        <w:t>一、我方承诺无下列相互串通竞标的情形：</w:t>
      </w:r>
    </w:p>
    <w:p w14:paraId="480D40B5">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1.不同供应商的响应文件由同一单位或者个人编制；或不同</w:t>
      </w:r>
      <w:r>
        <w:rPr>
          <w:rFonts w:hint="eastAsia" w:ascii="宋体" w:hAnsi="宋体" w:cs="宋体"/>
          <w:color w:val="auto"/>
          <w:sz w:val="24"/>
          <w:highlight w:val="none"/>
          <w:lang w:val="en-US" w:eastAsia="zh-CN"/>
        </w:rPr>
        <w:t>供应商</w:t>
      </w:r>
      <w:r>
        <w:rPr>
          <w:rFonts w:hint="eastAsia" w:ascii="宋体" w:hAnsi="宋体" w:eastAsia="宋体" w:cs="宋体"/>
          <w:color w:val="auto"/>
          <w:sz w:val="24"/>
          <w:highlight w:val="none"/>
          <w:lang w:val="en-US" w:eastAsia="zh-CN"/>
        </w:rPr>
        <w:t>报名的</w:t>
      </w:r>
      <w:r>
        <w:rPr>
          <w:rFonts w:hint="default" w:ascii="宋体" w:hAnsi="宋体" w:eastAsia="宋体" w:cs="宋体"/>
          <w:color w:val="auto"/>
          <w:sz w:val="24"/>
          <w:highlight w:val="none"/>
          <w:lang w:val="en-US" w:eastAsia="zh-CN"/>
        </w:rPr>
        <w:t>IP地址一致的</w:t>
      </w:r>
      <w:r>
        <w:rPr>
          <w:rFonts w:hint="eastAsia" w:ascii="宋体" w:hAnsi="宋体" w:eastAsia="宋体" w:cs="宋体"/>
          <w:color w:val="auto"/>
          <w:sz w:val="24"/>
          <w:highlight w:val="none"/>
          <w:lang w:val="en-US" w:eastAsia="zh-CN"/>
        </w:rPr>
        <w:t>；</w:t>
      </w:r>
    </w:p>
    <w:p w14:paraId="4AC19CF8">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2.不同供应商委托同一单位或者个人办理竞标事宜；</w:t>
      </w:r>
    </w:p>
    <w:p w14:paraId="1BCB4426">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3.不同供应商的响应文件载明的项目管理员为同一个人；</w:t>
      </w:r>
    </w:p>
    <w:p w14:paraId="25725062">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4.不</w:t>
      </w:r>
      <w:r>
        <w:rPr>
          <w:rFonts w:hint="eastAsia" w:ascii="宋体" w:hAnsi="宋体" w:cs="宋体"/>
          <w:color w:val="auto"/>
          <w:spacing w:val="-6"/>
          <w:sz w:val="24"/>
          <w:highlight w:val="none"/>
        </w:rPr>
        <w:t>同供应商的响应文件异常一致或者竞标报价呈规律性差异；</w:t>
      </w:r>
    </w:p>
    <w:p w14:paraId="7184C364">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5.不同供应商的响应文件相互混装；</w:t>
      </w:r>
    </w:p>
    <w:p w14:paraId="483D32B1">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6.不同供应商的磋商保证金从同一单位或者个人账户转出。</w:t>
      </w:r>
    </w:p>
    <w:p w14:paraId="1264571F">
      <w:pPr>
        <w:spacing w:line="360" w:lineRule="auto"/>
        <w:ind w:firstLine="482" w:firstLineChars="200"/>
        <w:contextualSpacing/>
        <w:rPr>
          <w:rFonts w:hint="eastAsia" w:ascii="宋体" w:hAnsi="宋体" w:cs="宋体"/>
          <w:b/>
          <w:bCs/>
          <w:color w:val="auto"/>
          <w:sz w:val="24"/>
          <w:highlight w:val="none"/>
        </w:rPr>
      </w:pPr>
      <w:r>
        <w:rPr>
          <w:rFonts w:hint="eastAsia" w:ascii="宋体" w:hAnsi="宋体" w:cs="宋体"/>
          <w:b/>
          <w:bCs/>
          <w:color w:val="auto"/>
          <w:sz w:val="24"/>
          <w:highlight w:val="none"/>
        </w:rPr>
        <w:t>二、我方承诺无下列恶意串通的情形：</w:t>
      </w:r>
    </w:p>
    <w:p w14:paraId="65658E2D">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1.供应商直接或者间接从采购人或者采购代理机构处获得其他供应商的相关信息并修改其响应文件；</w:t>
      </w:r>
    </w:p>
    <w:p w14:paraId="6C9535A0">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2.供应商按照采购人或者采购代理机构的授意撤换、修改响应文件；</w:t>
      </w:r>
    </w:p>
    <w:p w14:paraId="4BCBFDDE">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3.供</w:t>
      </w:r>
      <w:r>
        <w:rPr>
          <w:rFonts w:hint="eastAsia" w:ascii="宋体" w:hAnsi="宋体" w:cs="宋体"/>
          <w:color w:val="auto"/>
          <w:spacing w:val="-6"/>
          <w:sz w:val="24"/>
          <w:highlight w:val="none"/>
        </w:rPr>
        <w:t>应商之间协商报价、技术方案等响应文件的实质性内容；</w:t>
      </w:r>
    </w:p>
    <w:p w14:paraId="03A96D3B">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4.属于同一集团、协会、商会等组织成员的供应商按照该组织要求协同参加政府采购活动；</w:t>
      </w:r>
    </w:p>
    <w:p w14:paraId="1B46C1F0">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5.供应商之间事先约定一致抬高或者压低竞标报价，或者在竞争性磋商项目中事先约定轮流以高价位或者低价位成交，或者事先约定由某一特定供应商成交，然后再参加竞标；</w:t>
      </w:r>
    </w:p>
    <w:p w14:paraId="5F73092E">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6.供应商之间商定部分供应商放弃参加政府采购活动或者放弃成交；</w:t>
      </w:r>
    </w:p>
    <w:p w14:paraId="10CF3AF2">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7.供应商与采购人或者采购代理机构之间、供应商相互之间，为</w:t>
      </w:r>
      <w:r>
        <w:rPr>
          <w:rFonts w:hint="eastAsia" w:ascii="宋体" w:hAnsi="宋体" w:cs="宋体"/>
          <w:color w:val="auto"/>
          <w:spacing w:val="-6"/>
          <w:sz w:val="24"/>
          <w:highlight w:val="none"/>
        </w:rPr>
        <w:t>谋求特定供应商成交或者排斥其他供应商的其他串通行为。</w:t>
      </w:r>
    </w:p>
    <w:p w14:paraId="3E4189D1">
      <w:pPr>
        <w:spacing w:line="360" w:lineRule="auto"/>
        <w:ind w:firstLine="480" w:firstLineChars="200"/>
        <w:contextualSpacing/>
        <w:rPr>
          <w:rFonts w:hint="eastAsia" w:ascii="宋体" w:hAnsi="宋体" w:cs="宋体"/>
          <w:color w:val="auto"/>
          <w:sz w:val="24"/>
          <w:highlight w:val="none"/>
        </w:rPr>
      </w:pPr>
    </w:p>
    <w:p w14:paraId="305AD792">
      <w:pPr>
        <w:spacing w:line="360" w:lineRule="auto"/>
        <w:ind w:firstLine="482" w:firstLineChars="200"/>
        <w:contextualSpacing/>
        <w:rPr>
          <w:rFonts w:hint="eastAsia" w:ascii="宋体" w:hAnsi="宋体" w:cs="宋体"/>
          <w:b/>
          <w:bCs/>
          <w:color w:val="auto"/>
          <w:sz w:val="24"/>
          <w:highlight w:val="none"/>
        </w:rPr>
      </w:pPr>
      <w:r>
        <w:rPr>
          <w:rFonts w:hint="eastAsia" w:ascii="宋体" w:hAnsi="宋体" w:cs="宋体"/>
          <w:b/>
          <w:bCs/>
          <w:color w:val="auto"/>
          <w:sz w:val="24"/>
          <w:highlight w:val="none"/>
        </w:rPr>
        <w:t>以上情形一经核查属实，我方愿意承担一切后果，并不再寻求任何旨在减轻或者免除法律责任的辩解。</w:t>
      </w:r>
    </w:p>
    <w:p w14:paraId="49CD404A">
      <w:pPr>
        <w:spacing w:line="360" w:lineRule="auto"/>
        <w:contextualSpacing/>
        <w:rPr>
          <w:rFonts w:hint="eastAsia" w:ascii="宋体" w:hAnsi="宋体" w:cs="宋体"/>
          <w:color w:val="auto"/>
          <w:sz w:val="24"/>
          <w:highlight w:val="none"/>
        </w:rPr>
      </w:pPr>
    </w:p>
    <w:p w14:paraId="4B6C953D">
      <w:pPr>
        <w:spacing w:line="360" w:lineRule="auto"/>
        <w:ind w:right="1575" w:rightChars="750"/>
        <w:jc w:val="center"/>
        <w:rPr>
          <w:rFonts w:ascii="宋体" w:hAnsi="宋体" w:eastAsia="宋体"/>
          <w:color w:val="auto"/>
          <w:szCs w:val="21"/>
          <w:highlight w:val="none"/>
        </w:rPr>
      </w:pPr>
      <w:r>
        <w:rPr>
          <w:rFonts w:hint="eastAsia" w:ascii="宋体" w:hAnsi="宋体" w:eastAsia="宋体" w:cs="宋体"/>
          <w:color w:val="auto"/>
          <w:highlight w:val="none"/>
        </w:rPr>
        <w:t>供应商名称（电子签章）：</w:t>
      </w:r>
      <w:r>
        <w:rPr>
          <w:rFonts w:hint="eastAsia" w:ascii="宋体" w:hAnsi="宋体" w:eastAsia="宋体" w:cs="宋体"/>
          <w:color w:val="auto"/>
          <w:highlight w:val="none"/>
          <w:u w:val="single"/>
        </w:rPr>
        <w:t xml:space="preserve">               </w:t>
      </w:r>
    </w:p>
    <w:p w14:paraId="5EDCF0C5">
      <w:pPr>
        <w:spacing w:line="360" w:lineRule="auto"/>
        <w:ind w:firstLine="420" w:firstLineChars="200"/>
        <w:jc w:val="center"/>
        <w:rPr>
          <w:rFonts w:ascii="宋体" w:hAnsi="宋体" w:eastAsia="宋体"/>
          <w:color w:val="auto"/>
          <w:sz w:val="28"/>
          <w:szCs w:val="28"/>
          <w:highlight w:val="none"/>
        </w:rPr>
      </w:pPr>
      <w:r>
        <w:rPr>
          <w:rFonts w:hint="eastAsia" w:ascii="宋体" w:hAnsi="宋体" w:eastAsia="宋体"/>
          <w:color w:val="auto"/>
          <w:szCs w:val="21"/>
          <w:highlight w:val="none"/>
        </w:rPr>
        <w:t>日期：</w:t>
      </w:r>
      <w:r>
        <w:rPr>
          <w:rFonts w:ascii="宋体" w:hAnsi="宋体" w:eastAsia="宋体" w:cs="Times New Roman"/>
          <w:color w:val="auto"/>
          <w:szCs w:val="21"/>
          <w:highlight w:val="none"/>
        </w:rPr>
        <w:t>___</w:t>
      </w:r>
      <w:r>
        <w:rPr>
          <w:rFonts w:hint="eastAsia" w:ascii="宋体" w:hAnsi="宋体" w:eastAsia="宋体"/>
          <w:color w:val="auto"/>
          <w:szCs w:val="21"/>
          <w:highlight w:val="none"/>
        </w:rPr>
        <w:t>年</w:t>
      </w:r>
      <w:r>
        <w:rPr>
          <w:rFonts w:ascii="宋体" w:hAnsi="宋体" w:eastAsia="宋体" w:cs="Times New Roman"/>
          <w:color w:val="auto"/>
          <w:szCs w:val="21"/>
          <w:highlight w:val="none"/>
        </w:rPr>
        <w:t>___</w:t>
      </w:r>
      <w:r>
        <w:rPr>
          <w:rFonts w:hint="eastAsia" w:ascii="宋体" w:hAnsi="宋体" w:eastAsia="宋体"/>
          <w:color w:val="auto"/>
          <w:szCs w:val="21"/>
          <w:highlight w:val="none"/>
        </w:rPr>
        <w:t>月</w:t>
      </w:r>
      <w:r>
        <w:rPr>
          <w:rFonts w:ascii="宋体" w:hAnsi="宋体" w:eastAsia="宋体" w:cs="Times New Roman"/>
          <w:color w:val="auto"/>
          <w:szCs w:val="21"/>
          <w:highlight w:val="none"/>
        </w:rPr>
        <w:t>___</w:t>
      </w:r>
      <w:r>
        <w:rPr>
          <w:rFonts w:hint="eastAsia" w:ascii="宋体" w:hAnsi="宋体" w:eastAsia="宋体"/>
          <w:color w:val="auto"/>
          <w:szCs w:val="21"/>
          <w:highlight w:val="none"/>
        </w:rPr>
        <w:t>日</w:t>
      </w:r>
    </w:p>
    <w:p w14:paraId="0C46087C">
      <w:pPr>
        <w:spacing w:line="360" w:lineRule="auto"/>
        <w:ind w:firstLine="560" w:firstLineChars="200"/>
        <w:jc w:val="right"/>
        <w:rPr>
          <w:rFonts w:ascii="宋体" w:hAnsi="宋体" w:eastAsia="宋体"/>
          <w:color w:val="auto"/>
          <w:sz w:val="28"/>
          <w:szCs w:val="28"/>
          <w:highlight w:val="none"/>
        </w:rPr>
      </w:pPr>
    </w:p>
    <w:p w14:paraId="2F03FD06">
      <w:pPr>
        <w:numPr>
          <w:ilvl w:val="0"/>
          <w:numId w:val="1"/>
        </w:numPr>
        <w:adjustRightInd w:val="0"/>
        <w:snapToGrid w:val="0"/>
        <w:spacing w:line="360" w:lineRule="auto"/>
        <w:ind w:left="0" w:leftChars="0" w:firstLine="643" w:firstLineChars="200"/>
        <w:jc w:val="left"/>
        <w:rPr>
          <w:rFonts w:hint="eastAsia" w:ascii="宋体" w:hAnsi="宋体" w:eastAsia="宋体" w:cs="方正小标宋简体"/>
          <w:b/>
          <w:bCs/>
          <w:color w:val="auto"/>
          <w:sz w:val="32"/>
          <w:szCs w:val="32"/>
          <w:highlight w:val="none"/>
          <w:lang w:val="en-US" w:eastAsia="zh-CN"/>
        </w:rPr>
      </w:pPr>
      <w:r>
        <w:rPr>
          <w:rFonts w:hint="eastAsia" w:ascii="宋体" w:hAnsi="宋体" w:eastAsia="宋体" w:cs="方正小标宋简体"/>
          <w:b/>
          <w:bCs/>
          <w:color w:val="auto"/>
          <w:sz w:val="32"/>
          <w:szCs w:val="32"/>
          <w:highlight w:val="none"/>
          <w:lang w:val="en-US" w:eastAsia="zh-CN"/>
        </w:rPr>
        <w:t>商务条款偏离表</w:t>
      </w:r>
    </w:p>
    <w:p w14:paraId="09D9576C">
      <w:pPr>
        <w:pStyle w:val="2"/>
        <w:widowControl w:val="0"/>
        <w:numPr>
          <w:ilvl w:val="0"/>
          <w:numId w:val="0"/>
        </w:numPr>
        <w:spacing w:line="360" w:lineRule="auto"/>
        <w:jc w:val="both"/>
        <w:rPr>
          <w:rFonts w:hint="eastAsia"/>
          <w:color w:val="auto"/>
          <w:highlight w:val="none"/>
        </w:rPr>
      </w:pPr>
    </w:p>
    <w:p w14:paraId="1D35EA70">
      <w:pPr>
        <w:spacing w:line="360" w:lineRule="auto"/>
        <w:jc w:val="center"/>
        <w:rPr>
          <w:rFonts w:hint="eastAsia" w:ascii="宋体" w:hAnsi="宋体" w:eastAsia="宋体" w:cs="宋体"/>
          <w:bCs/>
          <w:color w:val="auto"/>
          <w:sz w:val="44"/>
          <w:szCs w:val="44"/>
          <w:highlight w:val="none"/>
        </w:rPr>
      </w:pPr>
      <w:r>
        <w:rPr>
          <w:rFonts w:hint="eastAsia" w:ascii="宋体" w:hAnsi="宋体" w:eastAsia="宋体" w:cs="宋体"/>
          <w:bCs/>
          <w:color w:val="auto"/>
          <w:sz w:val="44"/>
          <w:szCs w:val="44"/>
          <w:highlight w:val="none"/>
        </w:rPr>
        <w:t>商务条款偏离表</w:t>
      </w:r>
    </w:p>
    <w:p w14:paraId="58D510CB">
      <w:pPr>
        <w:spacing w:line="360" w:lineRule="auto"/>
        <w:rPr>
          <w:rFonts w:hint="eastAsia" w:ascii="宋体" w:hAnsi="宋体" w:eastAsia="宋体" w:cs="宋体"/>
          <w:color w:val="auto"/>
          <w:sz w:val="32"/>
          <w:szCs w:val="32"/>
          <w:highlight w:val="none"/>
        </w:rPr>
      </w:pPr>
    </w:p>
    <w:p w14:paraId="3BCD358F">
      <w:pPr>
        <w:spacing w:line="360" w:lineRule="auto"/>
        <w:contextualSpacing/>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采购项目编号：</w:t>
      </w:r>
      <w:r>
        <w:rPr>
          <w:rFonts w:hint="eastAsia" w:ascii="宋体" w:hAnsi="宋体" w:eastAsia="宋体" w:cs="宋体"/>
          <w:color w:val="auto"/>
          <w:sz w:val="24"/>
          <w:highlight w:val="none"/>
          <w:u w:val="single"/>
        </w:rPr>
        <w:t xml:space="preserve">               </w:t>
      </w:r>
    </w:p>
    <w:p w14:paraId="656EFD53">
      <w:pPr>
        <w:spacing w:line="360" w:lineRule="auto"/>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采购项目名称：</w:t>
      </w:r>
      <w:r>
        <w:rPr>
          <w:rFonts w:hint="eastAsia" w:ascii="宋体" w:hAnsi="宋体" w:eastAsia="宋体" w:cs="宋体"/>
          <w:color w:val="auto"/>
          <w:sz w:val="24"/>
          <w:highlight w:val="none"/>
          <w:u w:val="single"/>
        </w:rPr>
        <w:t xml:space="preserve">                 </w:t>
      </w:r>
    </w:p>
    <w:p w14:paraId="1E2B0DBA">
      <w:pPr>
        <w:spacing w:line="360" w:lineRule="auto"/>
        <w:contextualSpacing/>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分标号</w:t>
      </w:r>
      <w:r>
        <w:rPr>
          <w:rFonts w:hint="eastAsia" w:ascii="宋体" w:hAnsi="宋体" w:eastAsia="宋体" w:cs="宋体"/>
          <w:color w:val="auto"/>
          <w:szCs w:val="21"/>
          <w:highlight w:val="none"/>
        </w:rPr>
        <w:t>（此处有分标时填写具体分标号，无分标时填写“无”）</w:t>
      </w:r>
      <w:r>
        <w:rPr>
          <w:rFonts w:hint="eastAsia" w:ascii="宋体" w:hAnsi="宋体" w:eastAsia="宋体" w:cs="宋体"/>
          <w:color w:val="auto"/>
          <w:sz w:val="24"/>
          <w:highlight w:val="none"/>
        </w:rPr>
        <w:t>：</w:t>
      </w:r>
      <w:r>
        <w:rPr>
          <w:rFonts w:hint="eastAsia" w:ascii="宋体" w:hAnsi="宋体" w:eastAsia="宋体" w:cs="宋体"/>
          <w:color w:val="auto"/>
          <w:sz w:val="24"/>
          <w:highlight w:val="none"/>
          <w:u w:val="single"/>
        </w:rPr>
        <w:t xml:space="preserve">                       </w:t>
      </w:r>
    </w:p>
    <w:tbl>
      <w:tblPr>
        <w:tblStyle w:val="33"/>
        <w:tblpPr w:leftFromText="180" w:rightFromText="180" w:vertAnchor="text" w:horzAnchor="margin" w:tblpXSpec="center" w:tblpY="94"/>
        <w:tblW w:w="94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1"/>
        <w:gridCol w:w="3926"/>
        <w:gridCol w:w="3589"/>
        <w:gridCol w:w="1274"/>
      </w:tblGrid>
      <w:tr w14:paraId="70925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691" w:type="dxa"/>
            <w:tcBorders>
              <w:top w:val="single" w:color="auto" w:sz="4" w:space="0"/>
              <w:left w:val="single" w:color="auto" w:sz="4" w:space="0"/>
              <w:bottom w:val="single" w:color="auto" w:sz="4" w:space="0"/>
              <w:right w:val="single" w:color="auto" w:sz="4" w:space="0"/>
            </w:tcBorders>
            <w:vAlign w:val="center"/>
          </w:tcPr>
          <w:p w14:paraId="723375D0">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项号</w:t>
            </w:r>
          </w:p>
        </w:tc>
        <w:tc>
          <w:tcPr>
            <w:tcW w:w="3926" w:type="dxa"/>
            <w:tcBorders>
              <w:top w:val="single" w:color="auto" w:sz="4" w:space="0"/>
              <w:left w:val="single" w:color="auto" w:sz="4" w:space="0"/>
              <w:bottom w:val="single" w:color="auto" w:sz="4" w:space="0"/>
              <w:right w:val="single" w:color="auto" w:sz="4" w:space="0"/>
            </w:tcBorders>
            <w:vAlign w:val="center"/>
          </w:tcPr>
          <w:p w14:paraId="5C300224">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竞争性磋商采购文件的商务需求</w:t>
            </w:r>
          </w:p>
        </w:tc>
        <w:tc>
          <w:tcPr>
            <w:tcW w:w="3589" w:type="dxa"/>
            <w:tcBorders>
              <w:top w:val="single" w:color="auto" w:sz="4" w:space="0"/>
              <w:left w:val="single" w:color="auto" w:sz="4" w:space="0"/>
              <w:bottom w:val="single" w:color="auto" w:sz="4" w:space="0"/>
              <w:right w:val="single" w:color="auto" w:sz="4" w:space="0"/>
            </w:tcBorders>
            <w:vAlign w:val="center"/>
          </w:tcPr>
          <w:p w14:paraId="72DC9653">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响应文件承诺的商务条款</w:t>
            </w:r>
          </w:p>
        </w:tc>
        <w:tc>
          <w:tcPr>
            <w:tcW w:w="1274" w:type="dxa"/>
            <w:tcBorders>
              <w:top w:val="single" w:color="auto" w:sz="4" w:space="0"/>
              <w:left w:val="single" w:color="auto" w:sz="4" w:space="0"/>
              <w:bottom w:val="single" w:color="auto" w:sz="4" w:space="0"/>
              <w:right w:val="single" w:color="auto" w:sz="4" w:space="0"/>
            </w:tcBorders>
            <w:vAlign w:val="center"/>
          </w:tcPr>
          <w:p w14:paraId="30286D94">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偏离说明</w:t>
            </w:r>
          </w:p>
        </w:tc>
      </w:tr>
      <w:tr w14:paraId="55F5B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0" w:hRule="atLeast"/>
        </w:trPr>
        <w:tc>
          <w:tcPr>
            <w:tcW w:w="691" w:type="dxa"/>
            <w:tcBorders>
              <w:top w:val="single" w:color="auto" w:sz="4" w:space="0"/>
              <w:left w:val="single" w:color="auto" w:sz="4" w:space="0"/>
              <w:bottom w:val="single" w:color="auto" w:sz="4" w:space="0"/>
              <w:right w:val="single" w:color="auto" w:sz="4" w:space="0"/>
            </w:tcBorders>
            <w:vAlign w:val="top"/>
          </w:tcPr>
          <w:p w14:paraId="4BE29DA6">
            <w:pPr>
              <w:spacing w:line="360" w:lineRule="auto"/>
              <w:rPr>
                <w:rFonts w:hint="eastAsia" w:ascii="宋体" w:hAnsi="宋体" w:eastAsia="宋体" w:cs="宋体"/>
                <w:color w:val="auto"/>
                <w:szCs w:val="21"/>
                <w:highlight w:val="none"/>
              </w:rPr>
            </w:pPr>
          </w:p>
        </w:tc>
        <w:tc>
          <w:tcPr>
            <w:tcW w:w="3926" w:type="dxa"/>
            <w:tcBorders>
              <w:top w:val="single" w:color="auto" w:sz="4" w:space="0"/>
              <w:left w:val="single" w:color="auto" w:sz="4" w:space="0"/>
              <w:bottom w:val="single" w:color="auto" w:sz="4" w:space="0"/>
              <w:right w:val="single" w:color="auto" w:sz="4" w:space="0"/>
            </w:tcBorders>
            <w:vAlign w:val="top"/>
          </w:tcPr>
          <w:p w14:paraId="4C0E574F">
            <w:pPr>
              <w:spacing w:line="360" w:lineRule="auto"/>
              <w:rPr>
                <w:rFonts w:hint="eastAsia" w:ascii="宋体" w:hAnsi="宋体" w:eastAsia="宋体" w:cs="宋体"/>
                <w:color w:val="auto"/>
                <w:szCs w:val="21"/>
                <w:highlight w:val="none"/>
              </w:rPr>
            </w:pPr>
          </w:p>
        </w:tc>
        <w:tc>
          <w:tcPr>
            <w:tcW w:w="3589" w:type="dxa"/>
            <w:tcBorders>
              <w:top w:val="single" w:color="auto" w:sz="4" w:space="0"/>
              <w:left w:val="single" w:color="auto" w:sz="4" w:space="0"/>
              <w:bottom w:val="single" w:color="auto" w:sz="4" w:space="0"/>
              <w:right w:val="single" w:color="auto" w:sz="4" w:space="0"/>
            </w:tcBorders>
            <w:vAlign w:val="top"/>
          </w:tcPr>
          <w:p w14:paraId="1F646A19">
            <w:pPr>
              <w:spacing w:line="360" w:lineRule="auto"/>
              <w:rPr>
                <w:rFonts w:hint="eastAsia" w:ascii="宋体" w:hAnsi="宋体" w:eastAsia="宋体" w:cs="宋体"/>
                <w:color w:val="auto"/>
                <w:szCs w:val="21"/>
                <w:highlight w:val="none"/>
              </w:rPr>
            </w:pPr>
          </w:p>
        </w:tc>
        <w:tc>
          <w:tcPr>
            <w:tcW w:w="1274" w:type="dxa"/>
            <w:tcBorders>
              <w:top w:val="single" w:color="auto" w:sz="4" w:space="0"/>
              <w:left w:val="single" w:color="auto" w:sz="4" w:space="0"/>
              <w:bottom w:val="single" w:color="auto" w:sz="4" w:space="0"/>
              <w:right w:val="single" w:color="auto" w:sz="4" w:space="0"/>
            </w:tcBorders>
            <w:vAlign w:val="top"/>
          </w:tcPr>
          <w:p w14:paraId="112EC01B">
            <w:pPr>
              <w:spacing w:line="360" w:lineRule="auto"/>
              <w:rPr>
                <w:rFonts w:hint="eastAsia" w:ascii="宋体" w:hAnsi="宋体" w:eastAsia="宋体" w:cs="宋体"/>
                <w:color w:val="auto"/>
                <w:szCs w:val="21"/>
                <w:highlight w:val="none"/>
              </w:rPr>
            </w:pPr>
          </w:p>
        </w:tc>
      </w:tr>
      <w:tr w14:paraId="09F12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0" w:hRule="atLeast"/>
        </w:trPr>
        <w:tc>
          <w:tcPr>
            <w:tcW w:w="691" w:type="dxa"/>
            <w:tcBorders>
              <w:top w:val="single" w:color="auto" w:sz="4" w:space="0"/>
              <w:left w:val="single" w:color="auto" w:sz="4" w:space="0"/>
              <w:bottom w:val="single" w:color="auto" w:sz="4" w:space="0"/>
              <w:right w:val="single" w:color="auto" w:sz="4" w:space="0"/>
            </w:tcBorders>
            <w:vAlign w:val="top"/>
          </w:tcPr>
          <w:p w14:paraId="308B14D9">
            <w:pPr>
              <w:spacing w:line="360" w:lineRule="auto"/>
              <w:rPr>
                <w:rFonts w:hint="eastAsia" w:ascii="宋体" w:hAnsi="宋体" w:eastAsia="宋体" w:cs="宋体"/>
                <w:color w:val="auto"/>
                <w:szCs w:val="21"/>
                <w:highlight w:val="none"/>
              </w:rPr>
            </w:pPr>
          </w:p>
        </w:tc>
        <w:tc>
          <w:tcPr>
            <w:tcW w:w="3926" w:type="dxa"/>
            <w:tcBorders>
              <w:top w:val="single" w:color="auto" w:sz="4" w:space="0"/>
              <w:left w:val="single" w:color="auto" w:sz="4" w:space="0"/>
              <w:bottom w:val="single" w:color="auto" w:sz="4" w:space="0"/>
              <w:right w:val="single" w:color="auto" w:sz="4" w:space="0"/>
            </w:tcBorders>
            <w:vAlign w:val="top"/>
          </w:tcPr>
          <w:p w14:paraId="4ED7FBD6">
            <w:pPr>
              <w:spacing w:line="360" w:lineRule="auto"/>
              <w:rPr>
                <w:rFonts w:hint="eastAsia" w:ascii="宋体" w:hAnsi="宋体" w:eastAsia="宋体" w:cs="宋体"/>
                <w:color w:val="auto"/>
                <w:szCs w:val="21"/>
                <w:highlight w:val="none"/>
              </w:rPr>
            </w:pPr>
          </w:p>
        </w:tc>
        <w:tc>
          <w:tcPr>
            <w:tcW w:w="3589" w:type="dxa"/>
            <w:tcBorders>
              <w:top w:val="single" w:color="auto" w:sz="4" w:space="0"/>
              <w:left w:val="single" w:color="auto" w:sz="4" w:space="0"/>
              <w:bottom w:val="single" w:color="auto" w:sz="4" w:space="0"/>
              <w:right w:val="single" w:color="auto" w:sz="4" w:space="0"/>
            </w:tcBorders>
            <w:vAlign w:val="top"/>
          </w:tcPr>
          <w:p w14:paraId="3AC8C6D2">
            <w:pPr>
              <w:spacing w:line="360" w:lineRule="auto"/>
              <w:rPr>
                <w:rFonts w:hint="eastAsia" w:ascii="宋体" w:hAnsi="宋体" w:eastAsia="宋体" w:cs="宋体"/>
                <w:color w:val="auto"/>
                <w:szCs w:val="21"/>
                <w:highlight w:val="none"/>
              </w:rPr>
            </w:pPr>
          </w:p>
        </w:tc>
        <w:tc>
          <w:tcPr>
            <w:tcW w:w="1274" w:type="dxa"/>
            <w:tcBorders>
              <w:top w:val="single" w:color="auto" w:sz="4" w:space="0"/>
              <w:left w:val="single" w:color="auto" w:sz="4" w:space="0"/>
              <w:bottom w:val="single" w:color="auto" w:sz="4" w:space="0"/>
              <w:right w:val="single" w:color="auto" w:sz="4" w:space="0"/>
            </w:tcBorders>
            <w:vAlign w:val="top"/>
          </w:tcPr>
          <w:p w14:paraId="51D9A12E">
            <w:pPr>
              <w:spacing w:line="360" w:lineRule="auto"/>
              <w:rPr>
                <w:rFonts w:hint="eastAsia" w:ascii="宋体" w:hAnsi="宋体" w:eastAsia="宋体" w:cs="宋体"/>
                <w:color w:val="auto"/>
                <w:szCs w:val="21"/>
                <w:highlight w:val="none"/>
              </w:rPr>
            </w:pPr>
          </w:p>
        </w:tc>
      </w:tr>
      <w:tr w14:paraId="316D3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9" w:hRule="atLeast"/>
        </w:trPr>
        <w:tc>
          <w:tcPr>
            <w:tcW w:w="691" w:type="dxa"/>
            <w:tcBorders>
              <w:top w:val="single" w:color="auto" w:sz="4" w:space="0"/>
              <w:left w:val="single" w:color="auto" w:sz="4" w:space="0"/>
              <w:bottom w:val="single" w:color="auto" w:sz="4" w:space="0"/>
              <w:right w:val="single" w:color="auto" w:sz="4" w:space="0"/>
            </w:tcBorders>
            <w:vAlign w:val="top"/>
          </w:tcPr>
          <w:p w14:paraId="0F3DB33F">
            <w:pPr>
              <w:spacing w:line="360" w:lineRule="auto"/>
              <w:rPr>
                <w:rFonts w:hint="eastAsia" w:ascii="宋体" w:hAnsi="宋体" w:eastAsia="宋体" w:cs="宋体"/>
                <w:color w:val="auto"/>
                <w:szCs w:val="21"/>
                <w:highlight w:val="none"/>
              </w:rPr>
            </w:pPr>
          </w:p>
        </w:tc>
        <w:tc>
          <w:tcPr>
            <w:tcW w:w="3926" w:type="dxa"/>
            <w:tcBorders>
              <w:top w:val="single" w:color="auto" w:sz="4" w:space="0"/>
              <w:left w:val="single" w:color="auto" w:sz="4" w:space="0"/>
              <w:bottom w:val="single" w:color="auto" w:sz="4" w:space="0"/>
              <w:right w:val="single" w:color="auto" w:sz="4" w:space="0"/>
            </w:tcBorders>
            <w:vAlign w:val="top"/>
          </w:tcPr>
          <w:p w14:paraId="0530C4F0">
            <w:pPr>
              <w:spacing w:line="360" w:lineRule="auto"/>
              <w:rPr>
                <w:rFonts w:hint="eastAsia" w:ascii="宋体" w:hAnsi="宋体" w:eastAsia="宋体" w:cs="宋体"/>
                <w:color w:val="auto"/>
                <w:szCs w:val="21"/>
                <w:highlight w:val="none"/>
              </w:rPr>
            </w:pPr>
          </w:p>
        </w:tc>
        <w:tc>
          <w:tcPr>
            <w:tcW w:w="3589" w:type="dxa"/>
            <w:tcBorders>
              <w:top w:val="single" w:color="auto" w:sz="4" w:space="0"/>
              <w:left w:val="single" w:color="auto" w:sz="4" w:space="0"/>
              <w:bottom w:val="single" w:color="auto" w:sz="4" w:space="0"/>
              <w:right w:val="single" w:color="auto" w:sz="4" w:space="0"/>
            </w:tcBorders>
            <w:vAlign w:val="top"/>
          </w:tcPr>
          <w:p w14:paraId="19AFEAA0">
            <w:pPr>
              <w:spacing w:line="360" w:lineRule="auto"/>
              <w:rPr>
                <w:rFonts w:hint="eastAsia" w:ascii="宋体" w:hAnsi="宋体" w:eastAsia="宋体" w:cs="宋体"/>
                <w:color w:val="auto"/>
                <w:szCs w:val="21"/>
                <w:highlight w:val="none"/>
              </w:rPr>
            </w:pPr>
          </w:p>
        </w:tc>
        <w:tc>
          <w:tcPr>
            <w:tcW w:w="1274" w:type="dxa"/>
            <w:tcBorders>
              <w:top w:val="single" w:color="auto" w:sz="4" w:space="0"/>
              <w:left w:val="single" w:color="auto" w:sz="4" w:space="0"/>
              <w:bottom w:val="single" w:color="auto" w:sz="4" w:space="0"/>
              <w:right w:val="single" w:color="auto" w:sz="4" w:space="0"/>
            </w:tcBorders>
            <w:vAlign w:val="top"/>
          </w:tcPr>
          <w:p w14:paraId="5239817C">
            <w:pPr>
              <w:spacing w:line="360" w:lineRule="auto"/>
              <w:rPr>
                <w:rFonts w:hint="eastAsia" w:ascii="宋体" w:hAnsi="宋体" w:eastAsia="宋体" w:cs="宋体"/>
                <w:color w:val="auto"/>
                <w:szCs w:val="21"/>
                <w:highlight w:val="none"/>
              </w:rPr>
            </w:pPr>
          </w:p>
        </w:tc>
      </w:tr>
    </w:tbl>
    <w:p w14:paraId="28A7397E">
      <w:pPr>
        <w:pStyle w:val="16"/>
        <w:spacing w:line="360" w:lineRule="auto"/>
        <w:ind w:firstLine="0" w:firstLineChars="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w:t>
      </w:r>
    </w:p>
    <w:p w14:paraId="51FC2DAE">
      <w:pPr>
        <w:pStyle w:val="16"/>
        <w:spacing w:line="360" w:lineRule="auto"/>
        <w:ind w:firstLine="0" w:firstLineChars="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1.说明：应对照磋商文件“第</w:t>
      </w:r>
      <w:r>
        <w:rPr>
          <w:rFonts w:hint="eastAsia" w:ascii="宋体" w:hAnsi="宋体" w:eastAsia="宋体" w:cs="宋体"/>
          <w:color w:val="auto"/>
          <w:sz w:val="24"/>
          <w:szCs w:val="24"/>
          <w:highlight w:val="none"/>
          <w:lang w:val="en-US" w:eastAsia="zh-CN"/>
        </w:rPr>
        <w:t>三</w:t>
      </w:r>
      <w:r>
        <w:rPr>
          <w:rFonts w:hint="eastAsia" w:ascii="宋体" w:hAnsi="宋体" w:eastAsia="宋体" w:cs="宋体"/>
          <w:color w:val="auto"/>
          <w:sz w:val="24"/>
          <w:szCs w:val="24"/>
          <w:highlight w:val="none"/>
        </w:rPr>
        <w:t>章 采购需求</w:t>
      </w:r>
      <w:r>
        <w:rPr>
          <w:rFonts w:hint="eastAsia" w:ascii="宋体" w:hAnsi="宋体" w:eastAsia="宋体" w:cs="宋体"/>
          <w:color w:val="auto"/>
          <w:sz w:val="24"/>
          <w:szCs w:val="24"/>
          <w:highlight w:val="none"/>
          <w:lang w:val="en-US" w:eastAsia="zh-CN"/>
        </w:rPr>
        <w:t>和说明</w:t>
      </w:r>
      <w:r>
        <w:rPr>
          <w:rFonts w:hint="eastAsia" w:ascii="宋体" w:hAnsi="宋体" w:eastAsia="宋体" w:cs="宋体"/>
          <w:color w:val="auto"/>
          <w:sz w:val="24"/>
          <w:szCs w:val="24"/>
          <w:highlight w:val="none"/>
        </w:rPr>
        <w:t>”中的商务条款逐条作出明确响应，并作出偏离说明。</w:t>
      </w:r>
    </w:p>
    <w:p w14:paraId="1295CA5F">
      <w:pPr>
        <w:pStyle w:val="16"/>
        <w:spacing w:line="360" w:lineRule="auto"/>
        <w:ind w:firstLine="0" w:firstLineChars="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2.供应商应根据自身的承诺，对照磋商文件要求，在“偏离说明”中注明“正偏离”、“负偏离”或者“无偏离”。既不属于“正偏离”也不属于“负偏离”即为“无偏离”。 当响应文件的商务内容低于竞争性磋商采购文件要求时，竞标人应当如实写明“负偏离”，否则视为虚假应标</w:t>
      </w:r>
    </w:p>
    <w:p w14:paraId="4AE1351D">
      <w:pPr>
        <w:spacing w:line="360" w:lineRule="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3.表格内容均需按要求填写，不得留空，否则按竞标无效处理。</w:t>
      </w:r>
    </w:p>
    <w:p w14:paraId="22A8B220">
      <w:pPr>
        <w:pStyle w:val="2"/>
        <w:spacing w:line="360" w:lineRule="auto"/>
        <w:rPr>
          <w:rFonts w:hint="eastAsia"/>
          <w:color w:val="auto"/>
          <w:highlight w:val="none"/>
        </w:rPr>
      </w:pPr>
    </w:p>
    <w:p w14:paraId="24080F6F">
      <w:pPr>
        <w:pStyle w:val="20"/>
        <w:spacing w:line="360" w:lineRule="auto"/>
        <w:ind w:firstLine="4080" w:firstLineChars="1700"/>
        <w:rPr>
          <w:rFonts w:hint="eastAsia" w:ascii="宋体" w:hAnsi="宋体" w:eastAsia="宋体" w:cs="宋体"/>
          <w:b w:val="0"/>
          <w:bCs/>
          <w:color w:val="auto"/>
          <w:sz w:val="24"/>
          <w:szCs w:val="24"/>
          <w:highlight w:val="none"/>
          <w:u w:val="single"/>
          <w:lang w:val="en-US" w:eastAsia="zh-CN"/>
        </w:rPr>
      </w:pPr>
      <w:r>
        <w:rPr>
          <w:rFonts w:hint="eastAsia" w:ascii="宋体" w:hAnsi="宋体" w:eastAsia="宋体" w:cs="宋体"/>
          <w:b w:val="0"/>
          <w:bCs/>
          <w:color w:val="auto"/>
          <w:sz w:val="24"/>
          <w:szCs w:val="24"/>
          <w:highlight w:val="none"/>
        </w:rPr>
        <w:t>供应商名称</w:t>
      </w:r>
      <w:r>
        <w:rPr>
          <w:rFonts w:hint="eastAsia" w:ascii="宋体" w:hAnsi="宋体" w:eastAsia="宋体" w:cs="宋体"/>
          <w:color w:val="auto"/>
          <w:kern w:val="0"/>
          <w:sz w:val="24"/>
          <w:highlight w:val="none"/>
        </w:rPr>
        <w:t>（电子签章）</w:t>
      </w:r>
      <w:r>
        <w:rPr>
          <w:rFonts w:hint="eastAsia" w:ascii="宋体" w:hAnsi="宋体" w:eastAsia="宋体" w:cs="宋体"/>
          <w:b w:val="0"/>
          <w:bCs/>
          <w:color w:val="auto"/>
          <w:sz w:val="24"/>
          <w:szCs w:val="24"/>
          <w:highlight w:val="none"/>
        </w:rPr>
        <w:t>:</w:t>
      </w:r>
      <w:r>
        <w:rPr>
          <w:rFonts w:hint="eastAsia" w:ascii="宋体" w:hAnsi="宋体" w:eastAsia="宋体" w:cs="宋体"/>
          <w:b w:val="0"/>
          <w:bCs/>
          <w:color w:val="auto"/>
          <w:sz w:val="24"/>
          <w:szCs w:val="24"/>
          <w:highlight w:val="none"/>
          <w:u w:val="single"/>
          <w:lang w:val="en-US" w:eastAsia="zh-CN"/>
        </w:rPr>
        <w:t xml:space="preserve">          </w:t>
      </w:r>
    </w:p>
    <w:p w14:paraId="40B58AD3">
      <w:pPr>
        <w:spacing w:line="360" w:lineRule="auto"/>
        <w:contextualSpacing/>
        <w:jc w:val="center"/>
        <w:rPr>
          <w:rFonts w:hint="eastAsia" w:ascii="宋体" w:hAnsi="宋体" w:eastAsia="宋体" w:cs="宋体"/>
          <w:b/>
          <w:color w:val="auto"/>
          <w:sz w:val="24"/>
          <w:highlight w:val="none"/>
        </w:rPr>
      </w:pPr>
      <w:r>
        <w:rPr>
          <w:rFonts w:hint="eastAsia" w:ascii="宋体" w:hAnsi="宋体" w:eastAsia="宋体" w:cs="宋体"/>
          <w:color w:val="auto"/>
          <w:kern w:val="0"/>
          <w:sz w:val="24"/>
          <w:highlight w:val="none"/>
          <w:lang w:val="zh-CN"/>
        </w:rPr>
        <w:t xml:space="preserve">                                                   日期：  年  月   日</w:t>
      </w:r>
    </w:p>
    <w:p w14:paraId="19D2D235">
      <w:pPr>
        <w:pStyle w:val="2"/>
        <w:widowControl w:val="0"/>
        <w:numPr>
          <w:ilvl w:val="0"/>
          <w:numId w:val="0"/>
        </w:numPr>
        <w:spacing w:line="360" w:lineRule="auto"/>
        <w:jc w:val="both"/>
        <w:rPr>
          <w:rFonts w:hint="eastAsia"/>
          <w:color w:val="auto"/>
          <w:highlight w:val="none"/>
        </w:rPr>
        <w:sectPr>
          <w:pgSz w:w="11906" w:h="16838"/>
          <w:pgMar w:top="1134" w:right="1134" w:bottom="1134" w:left="1134" w:header="851" w:footer="992" w:gutter="0"/>
          <w:pgNumType w:fmt="decimal"/>
          <w:cols w:space="425" w:num="1"/>
          <w:docGrid w:type="lines" w:linePitch="312" w:charSpace="0"/>
        </w:sectPr>
      </w:pPr>
    </w:p>
    <w:p w14:paraId="27BA749D">
      <w:pPr>
        <w:pStyle w:val="32"/>
        <w:spacing w:line="360" w:lineRule="auto"/>
        <w:rPr>
          <w:rFonts w:hint="eastAsia" w:ascii="宋体" w:hAnsi="宋体" w:eastAsia="宋体" w:cs="宋体"/>
          <w:color w:val="auto"/>
          <w:kern w:val="0"/>
          <w:sz w:val="24"/>
          <w:szCs w:val="24"/>
          <w:highlight w:val="none"/>
          <w:lang w:val="en-US" w:eastAsia="zh-CN" w:bidi="ar"/>
        </w:rPr>
      </w:pPr>
    </w:p>
    <w:p w14:paraId="05FCB56E">
      <w:pPr>
        <w:adjustRightInd w:val="0"/>
        <w:snapToGrid w:val="0"/>
        <w:spacing w:line="360" w:lineRule="auto"/>
        <w:jc w:val="left"/>
        <w:rPr>
          <w:rFonts w:hint="eastAsia" w:ascii="宋体" w:hAnsi="宋体"/>
          <w:b/>
          <w:color w:val="auto"/>
          <w:sz w:val="32"/>
          <w:szCs w:val="32"/>
          <w:highlight w:val="none"/>
        </w:rPr>
      </w:pPr>
      <w:r>
        <w:rPr>
          <w:rFonts w:hint="eastAsia" w:ascii="宋体" w:hAnsi="宋体" w:cs="方正小标宋简体"/>
          <w:b/>
          <w:bCs/>
          <w:color w:val="auto"/>
          <w:sz w:val="32"/>
          <w:szCs w:val="32"/>
          <w:highlight w:val="none"/>
          <w:lang w:val="en-US" w:eastAsia="zh-CN"/>
        </w:rPr>
        <w:t>三</w:t>
      </w:r>
      <w:r>
        <w:rPr>
          <w:rFonts w:hint="eastAsia" w:ascii="宋体" w:hAnsi="宋体" w:cs="方正小标宋简体"/>
          <w:b/>
          <w:bCs/>
          <w:color w:val="auto"/>
          <w:sz w:val="32"/>
          <w:szCs w:val="32"/>
          <w:highlight w:val="none"/>
          <w:lang w:eastAsia="zh-CN"/>
        </w:rPr>
        <w:t>、</w:t>
      </w:r>
      <w:r>
        <w:rPr>
          <w:rFonts w:hint="eastAsia" w:ascii="宋体" w:hAnsi="宋体" w:eastAsia="宋体" w:cs="方正小标宋简体"/>
          <w:b/>
          <w:bCs/>
          <w:color w:val="auto"/>
          <w:sz w:val="32"/>
          <w:szCs w:val="32"/>
          <w:highlight w:val="none"/>
        </w:rPr>
        <w:t>项目管理机构配备情况表及项目经理、技术负责人简历表</w:t>
      </w:r>
    </w:p>
    <w:p w14:paraId="21F4FBB6">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b/>
          <w:bCs/>
          <w:color w:val="auto"/>
          <w:kern w:val="0"/>
          <w:sz w:val="32"/>
          <w:szCs w:val="32"/>
          <w:highlight w:val="none"/>
          <w:lang w:val="en-US" w:eastAsia="zh-CN" w:bidi="ar"/>
        </w:rPr>
      </w:pPr>
    </w:p>
    <w:p w14:paraId="63E5D711">
      <w:pPr>
        <w:snapToGrid w:val="0"/>
        <w:spacing w:beforeLines="50" w:after="50" w:line="360" w:lineRule="auto"/>
        <w:jc w:val="cente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（一）项目管理机构配备情况表</w:t>
      </w:r>
    </w:p>
    <w:p w14:paraId="20507BCE">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b/>
          <w:bCs/>
          <w:color w:val="auto"/>
          <w:kern w:val="0"/>
          <w:sz w:val="32"/>
          <w:szCs w:val="32"/>
          <w:highlight w:val="none"/>
          <w:lang w:val="en-US" w:eastAsia="zh-CN" w:bidi="ar"/>
        </w:rPr>
      </w:pPr>
    </w:p>
    <w:p w14:paraId="5108788C">
      <w:pPr>
        <w:spacing w:line="360" w:lineRule="auto"/>
        <w:rPr>
          <w:rFonts w:hint="eastAsia" w:ascii="宋体" w:hAnsi="宋体" w:eastAsia="宋体" w:cs="宋体"/>
          <w:b/>
          <w:color w:val="auto"/>
          <w:highlight w:val="none"/>
        </w:rPr>
      </w:pPr>
      <w:r>
        <w:rPr>
          <w:rFonts w:hint="eastAsia" w:ascii="宋体" w:hAnsi="宋体" w:eastAsia="宋体" w:cs="宋体"/>
          <w:color w:val="auto"/>
          <w:highlight w:val="none"/>
          <w:u w:val="single"/>
        </w:rPr>
        <w:t xml:space="preserve">{项目名称}     </w:t>
      </w:r>
      <w:r>
        <w:rPr>
          <w:rFonts w:hint="eastAsia" w:ascii="宋体" w:hAnsi="宋体" w:eastAsia="宋体" w:cs="宋体"/>
          <w:color w:val="auto"/>
          <w:highlight w:val="none"/>
        </w:rPr>
        <w:t xml:space="preserve">工程 </w:t>
      </w:r>
    </w:p>
    <w:tbl>
      <w:tblPr>
        <w:tblStyle w:val="33"/>
        <w:tblW w:w="9692"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46"/>
        <w:gridCol w:w="816"/>
        <w:gridCol w:w="816"/>
        <w:gridCol w:w="1190"/>
        <w:gridCol w:w="670"/>
        <w:gridCol w:w="706"/>
        <w:gridCol w:w="750"/>
        <w:gridCol w:w="1276"/>
        <w:gridCol w:w="850"/>
        <w:gridCol w:w="1172"/>
      </w:tblGrid>
      <w:tr w14:paraId="16777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446" w:type="dxa"/>
            <w:vMerge w:val="restart"/>
            <w:vAlign w:val="center"/>
          </w:tcPr>
          <w:p w14:paraId="30D16901">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岗位</w:t>
            </w:r>
          </w:p>
        </w:tc>
        <w:tc>
          <w:tcPr>
            <w:tcW w:w="816" w:type="dxa"/>
            <w:vMerge w:val="restart"/>
            <w:vAlign w:val="center"/>
          </w:tcPr>
          <w:p w14:paraId="13D47C66">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姓名</w:t>
            </w:r>
          </w:p>
        </w:tc>
        <w:tc>
          <w:tcPr>
            <w:tcW w:w="816" w:type="dxa"/>
            <w:vMerge w:val="restart"/>
            <w:vAlign w:val="center"/>
          </w:tcPr>
          <w:p w14:paraId="4C250271">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职称</w:t>
            </w:r>
          </w:p>
        </w:tc>
        <w:tc>
          <w:tcPr>
            <w:tcW w:w="4592" w:type="dxa"/>
            <w:gridSpan w:val="5"/>
            <w:vAlign w:val="center"/>
          </w:tcPr>
          <w:p w14:paraId="162949D9">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执业或职业资格证明</w:t>
            </w:r>
          </w:p>
        </w:tc>
        <w:tc>
          <w:tcPr>
            <w:tcW w:w="2022" w:type="dxa"/>
            <w:gridSpan w:val="2"/>
            <w:vAlign w:val="center"/>
          </w:tcPr>
          <w:p w14:paraId="66BF304B">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承担完工工程情况</w:t>
            </w:r>
          </w:p>
        </w:tc>
      </w:tr>
      <w:tr w14:paraId="52D80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446" w:type="dxa"/>
            <w:vMerge w:val="continue"/>
            <w:vAlign w:val="top"/>
          </w:tcPr>
          <w:p w14:paraId="1214A304">
            <w:pPr>
              <w:spacing w:line="360" w:lineRule="auto"/>
              <w:jc w:val="center"/>
              <w:rPr>
                <w:rFonts w:hint="eastAsia" w:ascii="宋体" w:hAnsi="宋体" w:eastAsia="宋体" w:cs="宋体"/>
                <w:color w:val="auto"/>
                <w:szCs w:val="21"/>
                <w:highlight w:val="none"/>
              </w:rPr>
            </w:pPr>
          </w:p>
        </w:tc>
        <w:tc>
          <w:tcPr>
            <w:tcW w:w="816" w:type="dxa"/>
            <w:vMerge w:val="continue"/>
            <w:vAlign w:val="top"/>
          </w:tcPr>
          <w:p w14:paraId="21424ED8">
            <w:pPr>
              <w:spacing w:line="360" w:lineRule="auto"/>
              <w:jc w:val="center"/>
              <w:rPr>
                <w:rFonts w:hint="eastAsia" w:ascii="宋体" w:hAnsi="宋体" w:eastAsia="宋体" w:cs="宋体"/>
                <w:color w:val="auto"/>
                <w:szCs w:val="21"/>
                <w:highlight w:val="none"/>
              </w:rPr>
            </w:pPr>
          </w:p>
        </w:tc>
        <w:tc>
          <w:tcPr>
            <w:tcW w:w="816" w:type="dxa"/>
            <w:vMerge w:val="continue"/>
            <w:vAlign w:val="top"/>
          </w:tcPr>
          <w:p w14:paraId="14DBE258">
            <w:pPr>
              <w:spacing w:line="360" w:lineRule="auto"/>
              <w:jc w:val="center"/>
              <w:rPr>
                <w:rFonts w:hint="eastAsia" w:ascii="宋体" w:hAnsi="宋体" w:eastAsia="宋体" w:cs="宋体"/>
                <w:color w:val="auto"/>
                <w:szCs w:val="21"/>
                <w:highlight w:val="none"/>
              </w:rPr>
            </w:pPr>
          </w:p>
        </w:tc>
        <w:tc>
          <w:tcPr>
            <w:tcW w:w="1190" w:type="dxa"/>
            <w:vAlign w:val="center"/>
          </w:tcPr>
          <w:p w14:paraId="101C49A0">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证书名称</w:t>
            </w:r>
          </w:p>
        </w:tc>
        <w:tc>
          <w:tcPr>
            <w:tcW w:w="670" w:type="dxa"/>
            <w:vAlign w:val="center"/>
          </w:tcPr>
          <w:p w14:paraId="689A7914">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级别</w:t>
            </w:r>
          </w:p>
        </w:tc>
        <w:tc>
          <w:tcPr>
            <w:tcW w:w="706" w:type="dxa"/>
            <w:vAlign w:val="center"/>
          </w:tcPr>
          <w:p w14:paraId="5C2559F7">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证号</w:t>
            </w:r>
          </w:p>
        </w:tc>
        <w:tc>
          <w:tcPr>
            <w:tcW w:w="750" w:type="dxa"/>
            <w:vAlign w:val="center"/>
          </w:tcPr>
          <w:p w14:paraId="551CB0D8">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专业</w:t>
            </w:r>
          </w:p>
        </w:tc>
        <w:tc>
          <w:tcPr>
            <w:tcW w:w="1276" w:type="dxa"/>
            <w:vAlign w:val="center"/>
          </w:tcPr>
          <w:p w14:paraId="7D91277C">
            <w:pPr>
              <w:spacing w:line="360" w:lineRule="auto"/>
              <w:jc w:val="center"/>
              <w:rPr>
                <w:rFonts w:hint="eastAsia" w:ascii="宋体" w:hAnsi="宋体" w:eastAsia="宋体" w:cs="宋体"/>
                <w:color w:val="auto"/>
                <w:szCs w:val="21"/>
                <w:highlight w:val="none"/>
              </w:rPr>
            </w:pPr>
            <w:bookmarkStart w:id="360" w:name="_Toc251052196"/>
            <w:r>
              <w:rPr>
                <w:rFonts w:hint="eastAsia" w:ascii="宋体" w:hAnsi="宋体" w:eastAsia="宋体" w:cs="宋体"/>
                <w:color w:val="auto"/>
                <w:szCs w:val="21"/>
                <w:highlight w:val="none"/>
              </w:rPr>
              <w:t>原服务单位</w:t>
            </w:r>
            <w:bookmarkEnd w:id="360"/>
          </w:p>
        </w:tc>
        <w:tc>
          <w:tcPr>
            <w:tcW w:w="850" w:type="dxa"/>
            <w:vAlign w:val="center"/>
          </w:tcPr>
          <w:p w14:paraId="60641243">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项目数</w:t>
            </w:r>
          </w:p>
        </w:tc>
        <w:tc>
          <w:tcPr>
            <w:tcW w:w="1172" w:type="dxa"/>
            <w:vAlign w:val="center"/>
          </w:tcPr>
          <w:p w14:paraId="562F74A7">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主要项目名称</w:t>
            </w:r>
          </w:p>
        </w:tc>
      </w:tr>
      <w:tr w14:paraId="6823B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446" w:type="dxa"/>
            <w:vAlign w:val="center"/>
          </w:tcPr>
          <w:p w14:paraId="10687B08">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项目经理</w:t>
            </w:r>
          </w:p>
        </w:tc>
        <w:tc>
          <w:tcPr>
            <w:tcW w:w="816" w:type="dxa"/>
            <w:vAlign w:val="top"/>
          </w:tcPr>
          <w:p w14:paraId="2035E2E6">
            <w:pPr>
              <w:spacing w:line="360" w:lineRule="auto"/>
              <w:rPr>
                <w:rFonts w:hint="eastAsia" w:ascii="宋体" w:hAnsi="宋体" w:eastAsia="宋体" w:cs="宋体"/>
                <w:color w:val="auto"/>
                <w:szCs w:val="21"/>
                <w:highlight w:val="none"/>
              </w:rPr>
            </w:pPr>
          </w:p>
        </w:tc>
        <w:tc>
          <w:tcPr>
            <w:tcW w:w="816" w:type="dxa"/>
            <w:vAlign w:val="top"/>
          </w:tcPr>
          <w:p w14:paraId="7A725EE0">
            <w:pPr>
              <w:spacing w:line="360" w:lineRule="auto"/>
              <w:rPr>
                <w:rFonts w:hint="eastAsia" w:ascii="宋体" w:hAnsi="宋体" w:eastAsia="宋体" w:cs="宋体"/>
                <w:color w:val="auto"/>
                <w:szCs w:val="21"/>
                <w:highlight w:val="none"/>
              </w:rPr>
            </w:pPr>
          </w:p>
        </w:tc>
        <w:tc>
          <w:tcPr>
            <w:tcW w:w="1190" w:type="dxa"/>
            <w:vAlign w:val="top"/>
          </w:tcPr>
          <w:p w14:paraId="0C0D4CE6">
            <w:pPr>
              <w:spacing w:line="360" w:lineRule="auto"/>
              <w:rPr>
                <w:rFonts w:hint="eastAsia" w:ascii="宋体" w:hAnsi="宋体" w:eastAsia="宋体" w:cs="宋体"/>
                <w:color w:val="auto"/>
                <w:szCs w:val="21"/>
                <w:highlight w:val="none"/>
              </w:rPr>
            </w:pPr>
          </w:p>
        </w:tc>
        <w:tc>
          <w:tcPr>
            <w:tcW w:w="670" w:type="dxa"/>
            <w:vAlign w:val="top"/>
          </w:tcPr>
          <w:p w14:paraId="207A3F6C">
            <w:pPr>
              <w:spacing w:line="360" w:lineRule="auto"/>
              <w:rPr>
                <w:rFonts w:hint="eastAsia" w:ascii="宋体" w:hAnsi="宋体" w:eastAsia="宋体" w:cs="宋体"/>
                <w:color w:val="auto"/>
                <w:szCs w:val="21"/>
                <w:highlight w:val="none"/>
              </w:rPr>
            </w:pPr>
          </w:p>
        </w:tc>
        <w:tc>
          <w:tcPr>
            <w:tcW w:w="706" w:type="dxa"/>
            <w:vAlign w:val="top"/>
          </w:tcPr>
          <w:p w14:paraId="0E342C23">
            <w:pPr>
              <w:spacing w:line="360" w:lineRule="auto"/>
              <w:rPr>
                <w:rFonts w:hint="eastAsia" w:ascii="宋体" w:hAnsi="宋体" w:eastAsia="宋体" w:cs="宋体"/>
                <w:color w:val="auto"/>
                <w:szCs w:val="21"/>
                <w:highlight w:val="none"/>
              </w:rPr>
            </w:pPr>
          </w:p>
        </w:tc>
        <w:tc>
          <w:tcPr>
            <w:tcW w:w="750" w:type="dxa"/>
            <w:vAlign w:val="top"/>
          </w:tcPr>
          <w:p w14:paraId="187AAD7C">
            <w:pPr>
              <w:spacing w:line="360" w:lineRule="auto"/>
              <w:rPr>
                <w:rFonts w:hint="eastAsia" w:ascii="宋体" w:hAnsi="宋体" w:eastAsia="宋体" w:cs="宋体"/>
                <w:color w:val="auto"/>
                <w:szCs w:val="21"/>
                <w:highlight w:val="none"/>
              </w:rPr>
            </w:pPr>
          </w:p>
        </w:tc>
        <w:tc>
          <w:tcPr>
            <w:tcW w:w="1276" w:type="dxa"/>
            <w:vAlign w:val="top"/>
          </w:tcPr>
          <w:p w14:paraId="18C4C0D3">
            <w:pPr>
              <w:spacing w:line="360" w:lineRule="auto"/>
              <w:rPr>
                <w:rFonts w:hint="eastAsia" w:ascii="宋体" w:hAnsi="宋体" w:eastAsia="宋体" w:cs="宋体"/>
                <w:color w:val="auto"/>
                <w:szCs w:val="21"/>
                <w:highlight w:val="none"/>
              </w:rPr>
            </w:pPr>
          </w:p>
        </w:tc>
        <w:tc>
          <w:tcPr>
            <w:tcW w:w="850" w:type="dxa"/>
            <w:vAlign w:val="top"/>
          </w:tcPr>
          <w:p w14:paraId="64B99549">
            <w:pPr>
              <w:spacing w:line="360" w:lineRule="auto"/>
              <w:rPr>
                <w:rFonts w:hint="eastAsia" w:ascii="宋体" w:hAnsi="宋体" w:eastAsia="宋体" w:cs="宋体"/>
                <w:color w:val="auto"/>
                <w:szCs w:val="21"/>
                <w:highlight w:val="none"/>
              </w:rPr>
            </w:pPr>
          </w:p>
        </w:tc>
        <w:tc>
          <w:tcPr>
            <w:tcW w:w="1172" w:type="dxa"/>
            <w:vAlign w:val="top"/>
          </w:tcPr>
          <w:p w14:paraId="05D2DCA3">
            <w:pPr>
              <w:spacing w:line="360" w:lineRule="auto"/>
              <w:rPr>
                <w:rFonts w:hint="eastAsia" w:ascii="宋体" w:hAnsi="宋体" w:eastAsia="宋体" w:cs="宋体"/>
                <w:color w:val="auto"/>
                <w:szCs w:val="21"/>
                <w:highlight w:val="none"/>
              </w:rPr>
            </w:pPr>
          </w:p>
        </w:tc>
      </w:tr>
      <w:tr w14:paraId="11A10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446" w:type="dxa"/>
            <w:vAlign w:val="center"/>
          </w:tcPr>
          <w:p w14:paraId="2C599A99">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技术负责人</w:t>
            </w:r>
          </w:p>
        </w:tc>
        <w:tc>
          <w:tcPr>
            <w:tcW w:w="816" w:type="dxa"/>
            <w:vAlign w:val="top"/>
          </w:tcPr>
          <w:p w14:paraId="2C35948B">
            <w:pPr>
              <w:spacing w:line="360" w:lineRule="auto"/>
              <w:rPr>
                <w:rFonts w:hint="eastAsia" w:ascii="宋体" w:hAnsi="宋体" w:eastAsia="宋体" w:cs="宋体"/>
                <w:color w:val="auto"/>
                <w:szCs w:val="21"/>
                <w:highlight w:val="none"/>
              </w:rPr>
            </w:pPr>
          </w:p>
        </w:tc>
        <w:tc>
          <w:tcPr>
            <w:tcW w:w="816" w:type="dxa"/>
            <w:vAlign w:val="top"/>
          </w:tcPr>
          <w:p w14:paraId="1AF82D26">
            <w:pPr>
              <w:spacing w:line="360" w:lineRule="auto"/>
              <w:rPr>
                <w:rFonts w:hint="eastAsia" w:ascii="宋体" w:hAnsi="宋体" w:eastAsia="宋体" w:cs="宋体"/>
                <w:color w:val="auto"/>
                <w:szCs w:val="21"/>
                <w:highlight w:val="none"/>
              </w:rPr>
            </w:pPr>
          </w:p>
        </w:tc>
        <w:tc>
          <w:tcPr>
            <w:tcW w:w="1190" w:type="dxa"/>
            <w:vAlign w:val="top"/>
          </w:tcPr>
          <w:p w14:paraId="48140EAD">
            <w:pPr>
              <w:spacing w:line="360" w:lineRule="auto"/>
              <w:rPr>
                <w:rFonts w:hint="eastAsia" w:ascii="宋体" w:hAnsi="宋体" w:eastAsia="宋体" w:cs="宋体"/>
                <w:color w:val="auto"/>
                <w:szCs w:val="21"/>
                <w:highlight w:val="none"/>
              </w:rPr>
            </w:pPr>
          </w:p>
        </w:tc>
        <w:tc>
          <w:tcPr>
            <w:tcW w:w="670" w:type="dxa"/>
            <w:vAlign w:val="top"/>
          </w:tcPr>
          <w:p w14:paraId="3A629C4C">
            <w:pPr>
              <w:spacing w:line="360" w:lineRule="auto"/>
              <w:rPr>
                <w:rFonts w:hint="eastAsia" w:ascii="宋体" w:hAnsi="宋体" w:eastAsia="宋体" w:cs="宋体"/>
                <w:color w:val="auto"/>
                <w:szCs w:val="21"/>
                <w:highlight w:val="none"/>
              </w:rPr>
            </w:pPr>
          </w:p>
        </w:tc>
        <w:tc>
          <w:tcPr>
            <w:tcW w:w="706" w:type="dxa"/>
            <w:vAlign w:val="top"/>
          </w:tcPr>
          <w:p w14:paraId="0ABE6BB6">
            <w:pPr>
              <w:spacing w:line="360" w:lineRule="auto"/>
              <w:rPr>
                <w:rFonts w:hint="eastAsia" w:ascii="宋体" w:hAnsi="宋体" w:eastAsia="宋体" w:cs="宋体"/>
                <w:color w:val="auto"/>
                <w:szCs w:val="21"/>
                <w:highlight w:val="none"/>
              </w:rPr>
            </w:pPr>
          </w:p>
        </w:tc>
        <w:tc>
          <w:tcPr>
            <w:tcW w:w="750" w:type="dxa"/>
            <w:vAlign w:val="top"/>
          </w:tcPr>
          <w:p w14:paraId="7748C329">
            <w:pPr>
              <w:spacing w:line="360" w:lineRule="auto"/>
              <w:rPr>
                <w:rFonts w:hint="eastAsia" w:ascii="宋体" w:hAnsi="宋体" w:eastAsia="宋体" w:cs="宋体"/>
                <w:color w:val="auto"/>
                <w:szCs w:val="21"/>
                <w:highlight w:val="none"/>
              </w:rPr>
            </w:pPr>
          </w:p>
        </w:tc>
        <w:tc>
          <w:tcPr>
            <w:tcW w:w="1276" w:type="dxa"/>
            <w:vAlign w:val="top"/>
          </w:tcPr>
          <w:p w14:paraId="63090FA2">
            <w:pPr>
              <w:spacing w:line="360" w:lineRule="auto"/>
              <w:rPr>
                <w:rFonts w:hint="eastAsia" w:ascii="宋体" w:hAnsi="宋体" w:eastAsia="宋体" w:cs="宋体"/>
                <w:color w:val="auto"/>
                <w:szCs w:val="21"/>
                <w:highlight w:val="none"/>
              </w:rPr>
            </w:pPr>
          </w:p>
        </w:tc>
        <w:tc>
          <w:tcPr>
            <w:tcW w:w="850" w:type="dxa"/>
            <w:vAlign w:val="top"/>
          </w:tcPr>
          <w:p w14:paraId="70DBCE99">
            <w:pPr>
              <w:spacing w:line="360" w:lineRule="auto"/>
              <w:rPr>
                <w:rFonts w:hint="eastAsia" w:ascii="宋体" w:hAnsi="宋体" w:eastAsia="宋体" w:cs="宋体"/>
                <w:color w:val="auto"/>
                <w:szCs w:val="21"/>
                <w:highlight w:val="none"/>
              </w:rPr>
            </w:pPr>
          </w:p>
        </w:tc>
        <w:tc>
          <w:tcPr>
            <w:tcW w:w="1172" w:type="dxa"/>
            <w:vAlign w:val="top"/>
          </w:tcPr>
          <w:p w14:paraId="56421246">
            <w:pPr>
              <w:spacing w:line="360" w:lineRule="auto"/>
              <w:rPr>
                <w:rFonts w:hint="eastAsia" w:ascii="宋体" w:hAnsi="宋体" w:eastAsia="宋体" w:cs="宋体"/>
                <w:color w:val="auto"/>
                <w:szCs w:val="21"/>
                <w:highlight w:val="none"/>
              </w:rPr>
            </w:pPr>
          </w:p>
        </w:tc>
      </w:tr>
      <w:tr w14:paraId="7AFE3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446" w:type="dxa"/>
            <w:vAlign w:val="center"/>
          </w:tcPr>
          <w:p w14:paraId="3A3E4FDB">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施工员</w:t>
            </w:r>
          </w:p>
        </w:tc>
        <w:tc>
          <w:tcPr>
            <w:tcW w:w="816" w:type="dxa"/>
            <w:vAlign w:val="top"/>
          </w:tcPr>
          <w:p w14:paraId="74E08105">
            <w:pPr>
              <w:spacing w:line="360" w:lineRule="auto"/>
              <w:rPr>
                <w:rFonts w:hint="eastAsia" w:ascii="宋体" w:hAnsi="宋体" w:eastAsia="宋体" w:cs="宋体"/>
                <w:color w:val="auto"/>
                <w:szCs w:val="21"/>
                <w:highlight w:val="none"/>
              </w:rPr>
            </w:pPr>
          </w:p>
        </w:tc>
        <w:tc>
          <w:tcPr>
            <w:tcW w:w="816" w:type="dxa"/>
            <w:vAlign w:val="top"/>
          </w:tcPr>
          <w:p w14:paraId="613605F8">
            <w:pPr>
              <w:spacing w:line="360" w:lineRule="auto"/>
              <w:rPr>
                <w:rFonts w:hint="eastAsia" w:ascii="宋体" w:hAnsi="宋体" w:eastAsia="宋体" w:cs="宋体"/>
                <w:color w:val="auto"/>
                <w:szCs w:val="21"/>
                <w:highlight w:val="none"/>
              </w:rPr>
            </w:pPr>
          </w:p>
        </w:tc>
        <w:tc>
          <w:tcPr>
            <w:tcW w:w="1190" w:type="dxa"/>
            <w:vAlign w:val="top"/>
          </w:tcPr>
          <w:p w14:paraId="5BE0E210">
            <w:pPr>
              <w:spacing w:line="360" w:lineRule="auto"/>
              <w:rPr>
                <w:rFonts w:hint="eastAsia" w:ascii="宋体" w:hAnsi="宋体" w:eastAsia="宋体" w:cs="宋体"/>
                <w:color w:val="auto"/>
                <w:szCs w:val="21"/>
                <w:highlight w:val="none"/>
              </w:rPr>
            </w:pPr>
          </w:p>
        </w:tc>
        <w:tc>
          <w:tcPr>
            <w:tcW w:w="670" w:type="dxa"/>
            <w:vAlign w:val="top"/>
          </w:tcPr>
          <w:p w14:paraId="7577BF3C">
            <w:pPr>
              <w:spacing w:line="360" w:lineRule="auto"/>
              <w:rPr>
                <w:rFonts w:hint="eastAsia" w:ascii="宋体" w:hAnsi="宋体" w:eastAsia="宋体" w:cs="宋体"/>
                <w:color w:val="auto"/>
                <w:szCs w:val="21"/>
                <w:highlight w:val="none"/>
              </w:rPr>
            </w:pPr>
          </w:p>
        </w:tc>
        <w:tc>
          <w:tcPr>
            <w:tcW w:w="706" w:type="dxa"/>
            <w:vAlign w:val="top"/>
          </w:tcPr>
          <w:p w14:paraId="6EAD926B">
            <w:pPr>
              <w:spacing w:line="360" w:lineRule="auto"/>
              <w:rPr>
                <w:rFonts w:hint="eastAsia" w:ascii="宋体" w:hAnsi="宋体" w:eastAsia="宋体" w:cs="宋体"/>
                <w:color w:val="auto"/>
                <w:szCs w:val="21"/>
                <w:highlight w:val="none"/>
              </w:rPr>
            </w:pPr>
          </w:p>
        </w:tc>
        <w:tc>
          <w:tcPr>
            <w:tcW w:w="750" w:type="dxa"/>
            <w:vAlign w:val="top"/>
          </w:tcPr>
          <w:p w14:paraId="672426BF">
            <w:pPr>
              <w:spacing w:line="360" w:lineRule="auto"/>
              <w:rPr>
                <w:rFonts w:hint="eastAsia" w:ascii="宋体" w:hAnsi="宋体" w:eastAsia="宋体" w:cs="宋体"/>
                <w:color w:val="auto"/>
                <w:szCs w:val="21"/>
                <w:highlight w:val="none"/>
              </w:rPr>
            </w:pPr>
          </w:p>
        </w:tc>
        <w:tc>
          <w:tcPr>
            <w:tcW w:w="1276" w:type="dxa"/>
            <w:vAlign w:val="top"/>
          </w:tcPr>
          <w:p w14:paraId="7B240EC7">
            <w:pPr>
              <w:spacing w:line="360" w:lineRule="auto"/>
              <w:rPr>
                <w:rFonts w:hint="eastAsia" w:ascii="宋体" w:hAnsi="宋体" w:eastAsia="宋体" w:cs="宋体"/>
                <w:color w:val="auto"/>
                <w:szCs w:val="21"/>
                <w:highlight w:val="none"/>
              </w:rPr>
            </w:pPr>
          </w:p>
        </w:tc>
        <w:tc>
          <w:tcPr>
            <w:tcW w:w="850" w:type="dxa"/>
            <w:vAlign w:val="top"/>
          </w:tcPr>
          <w:p w14:paraId="4952A18D">
            <w:pPr>
              <w:spacing w:line="360" w:lineRule="auto"/>
              <w:rPr>
                <w:rFonts w:hint="eastAsia" w:ascii="宋体" w:hAnsi="宋体" w:eastAsia="宋体" w:cs="宋体"/>
                <w:color w:val="auto"/>
                <w:szCs w:val="21"/>
                <w:highlight w:val="none"/>
              </w:rPr>
            </w:pPr>
          </w:p>
        </w:tc>
        <w:tc>
          <w:tcPr>
            <w:tcW w:w="1172" w:type="dxa"/>
            <w:vAlign w:val="top"/>
          </w:tcPr>
          <w:p w14:paraId="65AF4FDC">
            <w:pPr>
              <w:spacing w:line="360" w:lineRule="auto"/>
              <w:rPr>
                <w:rFonts w:hint="eastAsia" w:ascii="宋体" w:hAnsi="宋体" w:eastAsia="宋体" w:cs="宋体"/>
                <w:color w:val="auto"/>
                <w:szCs w:val="21"/>
                <w:highlight w:val="none"/>
              </w:rPr>
            </w:pPr>
          </w:p>
        </w:tc>
      </w:tr>
      <w:tr w14:paraId="15ADA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446" w:type="dxa"/>
            <w:vAlign w:val="center"/>
          </w:tcPr>
          <w:p w14:paraId="30DA6D14">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质量员</w:t>
            </w:r>
          </w:p>
        </w:tc>
        <w:tc>
          <w:tcPr>
            <w:tcW w:w="816" w:type="dxa"/>
            <w:vAlign w:val="top"/>
          </w:tcPr>
          <w:p w14:paraId="09CD8D25">
            <w:pPr>
              <w:spacing w:line="360" w:lineRule="auto"/>
              <w:rPr>
                <w:rFonts w:hint="eastAsia" w:ascii="宋体" w:hAnsi="宋体" w:eastAsia="宋体" w:cs="宋体"/>
                <w:color w:val="auto"/>
                <w:szCs w:val="21"/>
                <w:highlight w:val="none"/>
              </w:rPr>
            </w:pPr>
          </w:p>
        </w:tc>
        <w:tc>
          <w:tcPr>
            <w:tcW w:w="816" w:type="dxa"/>
            <w:vAlign w:val="top"/>
          </w:tcPr>
          <w:p w14:paraId="1E8A2C1B">
            <w:pPr>
              <w:spacing w:line="360" w:lineRule="auto"/>
              <w:rPr>
                <w:rFonts w:hint="eastAsia" w:ascii="宋体" w:hAnsi="宋体" w:eastAsia="宋体" w:cs="宋体"/>
                <w:color w:val="auto"/>
                <w:szCs w:val="21"/>
                <w:highlight w:val="none"/>
              </w:rPr>
            </w:pPr>
          </w:p>
        </w:tc>
        <w:tc>
          <w:tcPr>
            <w:tcW w:w="1190" w:type="dxa"/>
            <w:vAlign w:val="top"/>
          </w:tcPr>
          <w:p w14:paraId="216C69AF">
            <w:pPr>
              <w:spacing w:line="360" w:lineRule="auto"/>
              <w:rPr>
                <w:rFonts w:hint="eastAsia" w:ascii="宋体" w:hAnsi="宋体" w:eastAsia="宋体" w:cs="宋体"/>
                <w:color w:val="auto"/>
                <w:szCs w:val="21"/>
                <w:highlight w:val="none"/>
              </w:rPr>
            </w:pPr>
          </w:p>
        </w:tc>
        <w:tc>
          <w:tcPr>
            <w:tcW w:w="670" w:type="dxa"/>
            <w:vAlign w:val="top"/>
          </w:tcPr>
          <w:p w14:paraId="214B7557">
            <w:pPr>
              <w:spacing w:line="360" w:lineRule="auto"/>
              <w:rPr>
                <w:rFonts w:hint="eastAsia" w:ascii="宋体" w:hAnsi="宋体" w:eastAsia="宋体" w:cs="宋体"/>
                <w:color w:val="auto"/>
                <w:szCs w:val="21"/>
                <w:highlight w:val="none"/>
              </w:rPr>
            </w:pPr>
          </w:p>
        </w:tc>
        <w:tc>
          <w:tcPr>
            <w:tcW w:w="706" w:type="dxa"/>
            <w:vAlign w:val="top"/>
          </w:tcPr>
          <w:p w14:paraId="43E1FC35">
            <w:pPr>
              <w:spacing w:line="360" w:lineRule="auto"/>
              <w:rPr>
                <w:rFonts w:hint="eastAsia" w:ascii="宋体" w:hAnsi="宋体" w:eastAsia="宋体" w:cs="宋体"/>
                <w:color w:val="auto"/>
                <w:szCs w:val="21"/>
                <w:highlight w:val="none"/>
              </w:rPr>
            </w:pPr>
          </w:p>
        </w:tc>
        <w:tc>
          <w:tcPr>
            <w:tcW w:w="750" w:type="dxa"/>
            <w:vAlign w:val="top"/>
          </w:tcPr>
          <w:p w14:paraId="62167787">
            <w:pPr>
              <w:spacing w:line="360" w:lineRule="auto"/>
              <w:rPr>
                <w:rFonts w:hint="eastAsia" w:ascii="宋体" w:hAnsi="宋体" w:eastAsia="宋体" w:cs="宋体"/>
                <w:color w:val="auto"/>
                <w:szCs w:val="21"/>
                <w:highlight w:val="none"/>
              </w:rPr>
            </w:pPr>
          </w:p>
        </w:tc>
        <w:tc>
          <w:tcPr>
            <w:tcW w:w="1276" w:type="dxa"/>
            <w:vAlign w:val="top"/>
          </w:tcPr>
          <w:p w14:paraId="6B482610">
            <w:pPr>
              <w:spacing w:line="360" w:lineRule="auto"/>
              <w:rPr>
                <w:rFonts w:hint="eastAsia" w:ascii="宋体" w:hAnsi="宋体" w:eastAsia="宋体" w:cs="宋体"/>
                <w:color w:val="auto"/>
                <w:szCs w:val="21"/>
                <w:highlight w:val="none"/>
              </w:rPr>
            </w:pPr>
          </w:p>
        </w:tc>
        <w:tc>
          <w:tcPr>
            <w:tcW w:w="850" w:type="dxa"/>
            <w:vAlign w:val="top"/>
          </w:tcPr>
          <w:p w14:paraId="760E398B">
            <w:pPr>
              <w:spacing w:line="360" w:lineRule="auto"/>
              <w:rPr>
                <w:rFonts w:hint="eastAsia" w:ascii="宋体" w:hAnsi="宋体" w:eastAsia="宋体" w:cs="宋体"/>
                <w:color w:val="auto"/>
                <w:szCs w:val="21"/>
                <w:highlight w:val="none"/>
              </w:rPr>
            </w:pPr>
          </w:p>
        </w:tc>
        <w:tc>
          <w:tcPr>
            <w:tcW w:w="1172" w:type="dxa"/>
            <w:vAlign w:val="top"/>
          </w:tcPr>
          <w:p w14:paraId="2521A140">
            <w:pPr>
              <w:spacing w:line="360" w:lineRule="auto"/>
              <w:rPr>
                <w:rFonts w:hint="eastAsia" w:ascii="宋体" w:hAnsi="宋体" w:eastAsia="宋体" w:cs="宋体"/>
                <w:color w:val="auto"/>
                <w:szCs w:val="21"/>
                <w:highlight w:val="none"/>
              </w:rPr>
            </w:pPr>
          </w:p>
        </w:tc>
      </w:tr>
      <w:tr w14:paraId="55DE8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446" w:type="dxa"/>
            <w:vAlign w:val="center"/>
          </w:tcPr>
          <w:p w14:paraId="141AAB48">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安全员</w:t>
            </w:r>
          </w:p>
        </w:tc>
        <w:tc>
          <w:tcPr>
            <w:tcW w:w="816" w:type="dxa"/>
            <w:vAlign w:val="top"/>
          </w:tcPr>
          <w:p w14:paraId="5F0CEAC7">
            <w:pPr>
              <w:spacing w:line="360" w:lineRule="auto"/>
              <w:rPr>
                <w:rFonts w:hint="eastAsia" w:ascii="宋体" w:hAnsi="宋体" w:eastAsia="宋体" w:cs="宋体"/>
                <w:color w:val="auto"/>
                <w:szCs w:val="21"/>
                <w:highlight w:val="none"/>
              </w:rPr>
            </w:pPr>
          </w:p>
        </w:tc>
        <w:tc>
          <w:tcPr>
            <w:tcW w:w="816" w:type="dxa"/>
            <w:vAlign w:val="top"/>
          </w:tcPr>
          <w:p w14:paraId="6CF7B27B">
            <w:pPr>
              <w:spacing w:line="360" w:lineRule="auto"/>
              <w:rPr>
                <w:rFonts w:hint="eastAsia" w:ascii="宋体" w:hAnsi="宋体" w:eastAsia="宋体" w:cs="宋体"/>
                <w:color w:val="auto"/>
                <w:szCs w:val="21"/>
                <w:highlight w:val="none"/>
              </w:rPr>
            </w:pPr>
          </w:p>
        </w:tc>
        <w:tc>
          <w:tcPr>
            <w:tcW w:w="1190" w:type="dxa"/>
            <w:vAlign w:val="top"/>
          </w:tcPr>
          <w:p w14:paraId="5FC2B514">
            <w:pPr>
              <w:spacing w:line="360" w:lineRule="auto"/>
              <w:rPr>
                <w:rFonts w:hint="eastAsia" w:ascii="宋体" w:hAnsi="宋体" w:eastAsia="宋体" w:cs="宋体"/>
                <w:color w:val="auto"/>
                <w:szCs w:val="21"/>
                <w:highlight w:val="none"/>
              </w:rPr>
            </w:pPr>
          </w:p>
        </w:tc>
        <w:tc>
          <w:tcPr>
            <w:tcW w:w="670" w:type="dxa"/>
            <w:vAlign w:val="top"/>
          </w:tcPr>
          <w:p w14:paraId="40EBCAEC">
            <w:pPr>
              <w:spacing w:line="360" w:lineRule="auto"/>
              <w:rPr>
                <w:rFonts w:hint="eastAsia" w:ascii="宋体" w:hAnsi="宋体" w:eastAsia="宋体" w:cs="宋体"/>
                <w:color w:val="auto"/>
                <w:szCs w:val="21"/>
                <w:highlight w:val="none"/>
              </w:rPr>
            </w:pPr>
          </w:p>
        </w:tc>
        <w:tc>
          <w:tcPr>
            <w:tcW w:w="706" w:type="dxa"/>
            <w:vAlign w:val="top"/>
          </w:tcPr>
          <w:p w14:paraId="348EE4CF">
            <w:pPr>
              <w:spacing w:line="360" w:lineRule="auto"/>
              <w:rPr>
                <w:rFonts w:hint="eastAsia" w:ascii="宋体" w:hAnsi="宋体" w:eastAsia="宋体" w:cs="宋体"/>
                <w:color w:val="auto"/>
                <w:szCs w:val="21"/>
                <w:highlight w:val="none"/>
              </w:rPr>
            </w:pPr>
          </w:p>
        </w:tc>
        <w:tc>
          <w:tcPr>
            <w:tcW w:w="750" w:type="dxa"/>
            <w:vAlign w:val="top"/>
          </w:tcPr>
          <w:p w14:paraId="00D1031A">
            <w:pPr>
              <w:spacing w:line="360" w:lineRule="auto"/>
              <w:rPr>
                <w:rFonts w:hint="eastAsia" w:ascii="宋体" w:hAnsi="宋体" w:eastAsia="宋体" w:cs="宋体"/>
                <w:color w:val="auto"/>
                <w:szCs w:val="21"/>
                <w:highlight w:val="none"/>
              </w:rPr>
            </w:pPr>
          </w:p>
        </w:tc>
        <w:tc>
          <w:tcPr>
            <w:tcW w:w="1276" w:type="dxa"/>
            <w:vAlign w:val="top"/>
          </w:tcPr>
          <w:p w14:paraId="0E928218">
            <w:pPr>
              <w:spacing w:line="360" w:lineRule="auto"/>
              <w:rPr>
                <w:rFonts w:hint="eastAsia" w:ascii="宋体" w:hAnsi="宋体" w:eastAsia="宋体" w:cs="宋体"/>
                <w:color w:val="auto"/>
                <w:szCs w:val="21"/>
                <w:highlight w:val="none"/>
              </w:rPr>
            </w:pPr>
          </w:p>
        </w:tc>
        <w:tc>
          <w:tcPr>
            <w:tcW w:w="850" w:type="dxa"/>
            <w:vAlign w:val="top"/>
          </w:tcPr>
          <w:p w14:paraId="1FA0B71E">
            <w:pPr>
              <w:spacing w:line="360" w:lineRule="auto"/>
              <w:rPr>
                <w:rFonts w:hint="eastAsia" w:ascii="宋体" w:hAnsi="宋体" w:eastAsia="宋体" w:cs="宋体"/>
                <w:color w:val="auto"/>
                <w:szCs w:val="21"/>
                <w:highlight w:val="none"/>
              </w:rPr>
            </w:pPr>
          </w:p>
        </w:tc>
        <w:tc>
          <w:tcPr>
            <w:tcW w:w="1172" w:type="dxa"/>
            <w:vAlign w:val="top"/>
          </w:tcPr>
          <w:p w14:paraId="14B09F03">
            <w:pPr>
              <w:spacing w:line="360" w:lineRule="auto"/>
              <w:rPr>
                <w:rFonts w:hint="eastAsia" w:ascii="宋体" w:hAnsi="宋体" w:eastAsia="宋体" w:cs="宋体"/>
                <w:color w:val="auto"/>
                <w:szCs w:val="21"/>
                <w:highlight w:val="none"/>
              </w:rPr>
            </w:pPr>
          </w:p>
        </w:tc>
      </w:tr>
      <w:tr w14:paraId="509AF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446" w:type="dxa"/>
            <w:vAlign w:val="center"/>
          </w:tcPr>
          <w:p w14:paraId="39198AFE">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材料员</w:t>
            </w:r>
          </w:p>
        </w:tc>
        <w:tc>
          <w:tcPr>
            <w:tcW w:w="816" w:type="dxa"/>
            <w:vAlign w:val="top"/>
          </w:tcPr>
          <w:p w14:paraId="72FC1510">
            <w:pPr>
              <w:spacing w:line="360" w:lineRule="auto"/>
              <w:rPr>
                <w:rFonts w:hint="eastAsia" w:ascii="宋体" w:hAnsi="宋体" w:eastAsia="宋体" w:cs="宋体"/>
                <w:color w:val="auto"/>
                <w:szCs w:val="21"/>
                <w:highlight w:val="none"/>
              </w:rPr>
            </w:pPr>
          </w:p>
        </w:tc>
        <w:tc>
          <w:tcPr>
            <w:tcW w:w="816" w:type="dxa"/>
            <w:vAlign w:val="top"/>
          </w:tcPr>
          <w:p w14:paraId="29472CFA">
            <w:pPr>
              <w:spacing w:line="360" w:lineRule="auto"/>
              <w:rPr>
                <w:rFonts w:hint="eastAsia" w:ascii="宋体" w:hAnsi="宋体" w:eastAsia="宋体" w:cs="宋体"/>
                <w:color w:val="auto"/>
                <w:szCs w:val="21"/>
                <w:highlight w:val="none"/>
              </w:rPr>
            </w:pPr>
          </w:p>
        </w:tc>
        <w:tc>
          <w:tcPr>
            <w:tcW w:w="1190" w:type="dxa"/>
            <w:vAlign w:val="top"/>
          </w:tcPr>
          <w:p w14:paraId="300DFBD3">
            <w:pPr>
              <w:spacing w:line="360" w:lineRule="auto"/>
              <w:rPr>
                <w:rFonts w:hint="eastAsia" w:ascii="宋体" w:hAnsi="宋体" w:eastAsia="宋体" w:cs="宋体"/>
                <w:color w:val="auto"/>
                <w:szCs w:val="21"/>
                <w:highlight w:val="none"/>
              </w:rPr>
            </w:pPr>
          </w:p>
        </w:tc>
        <w:tc>
          <w:tcPr>
            <w:tcW w:w="670" w:type="dxa"/>
            <w:vAlign w:val="top"/>
          </w:tcPr>
          <w:p w14:paraId="1C61401A">
            <w:pPr>
              <w:spacing w:line="360" w:lineRule="auto"/>
              <w:rPr>
                <w:rFonts w:hint="eastAsia" w:ascii="宋体" w:hAnsi="宋体" w:eastAsia="宋体" w:cs="宋体"/>
                <w:color w:val="auto"/>
                <w:szCs w:val="21"/>
                <w:highlight w:val="none"/>
              </w:rPr>
            </w:pPr>
          </w:p>
        </w:tc>
        <w:tc>
          <w:tcPr>
            <w:tcW w:w="706" w:type="dxa"/>
            <w:vAlign w:val="top"/>
          </w:tcPr>
          <w:p w14:paraId="327D780F">
            <w:pPr>
              <w:spacing w:line="360" w:lineRule="auto"/>
              <w:rPr>
                <w:rFonts w:hint="eastAsia" w:ascii="宋体" w:hAnsi="宋体" w:eastAsia="宋体" w:cs="宋体"/>
                <w:color w:val="auto"/>
                <w:szCs w:val="21"/>
                <w:highlight w:val="none"/>
              </w:rPr>
            </w:pPr>
          </w:p>
        </w:tc>
        <w:tc>
          <w:tcPr>
            <w:tcW w:w="750" w:type="dxa"/>
            <w:vAlign w:val="top"/>
          </w:tcPr>
          <w:p w14:paraId="00603AEA">
            <w:pPr>
              <w:spacing w:line="360" w:lineRule="auto"/>
              <w:rPr>
                <w:rFonts w:hint="eastAsia" w:ascii="宋体" w:hAnsi="宋体" w:eastAsia="宋体" w:cs="宋体"/>
                <w:color w:val="auto"/>
                <w:szCs w:val="21"/>
                <w:highlight w:val="none"/>
              </w:rPr>
            </w:pPr>
          </w:p>
        </w:tc>
        <w:tc>
          <w:tcPr>
            <w:tcW w:w="1276" w:type="dxa"/>
            <w:vAlign w:val="top"/>
          </w:tcPr>
          <w:p w14:paraId="0B6B7C1B">
            <w:pPr>
              <w:spacing w:line="360" w:lineRule="auto"/>
              <w:rPr>
                <w:rFonts w:hint="eastAsia" w:ascii="宋体" w:hAnsi="宋体" w:eastAsia="宋体" w:cs="宋体"/>
                <w:color w:val="auto"/>
                <w:szCs w:val="21"/>
                <w:highlight w:val="none"/>
              </w:rPr>
            </w:pPr>
          </w:p>
        </w:tc>
        <w:tc>
          <w:tcPr>
            <w:tcW w:w="850" w:type="dxa"/>
            <w:vAlign w:val="top"/>
          </w:tcPr>
          <w:p w14:paraId="46BD68B0">
            <w:pPr>
              <w:spacing w:line="360" w:lineRule="auto"/>
              <w:rPr>
                <w:rFonts w:hint="eastAsia" w:ascii="宋体" w:hAnsi="宋体" w:eastAsia="宋体" w:cs="宋体"/>
                <w:color w:val="auto"/>
                <w:szCs w:val="21"/>
                <w:highlight w:val="none"/>
              </w:rPr>
            </w:pPr>
          </w:p>
        </w:tc>
        <w:tc>
          <w:tcPr>
            <w:tcW w:w="1172" w:type="dxa"/>
            <w:vAlign w:val="top"/>
          </w:tcPr>
          <w:p w14:paraId="69A189CA">
            <w:pPr>
              <w:spacing w:line="360" w:lineRule="auto"/>
              <w:rPr>
                <w:rFonts w:hint="eastAsia" w:ascii="宋体" w:hAnsi="宋体" w:eastAsia="宋体" w:cs="宋体"/>
                <w:color w:val="auto"/>
                <w:szCs w:val="21"/>
                <w:highlight w:val="none"/>
              </w:rPr>
            </w:pPr>
          </w:p>
        </w:tc>
      </w:tr>
      <w:tr w14:paraId="1A7E8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446" w:type="dxa"/>
            <w:vAlign w:val="center"/>
          </w:tcPr>
          <w:p w14:paraId="3218C958">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816" w:type="dxa"/>
            <w:vAlign w:val="top"/>
          </w:tcPr>
          <w:p w14:paraId="3CB1B61A">
            <w:pPr>
              <w:spacing w:line="360" w:lineRule="auto"/>
              <w:rPr>
                <w:rFonts w:hint="eastAsia" w:ascii="宋体" w:hAnsi="宋体" w:eastAsia="宋体" w:cs="宋体"/>
                <w:color w:val="auto"/>
                <w:szCs w:val="21"/>
                <w:highlight w:val="none"/>
              </w:rPr>
            </w:pPr>
          </w:p>
        </w:tc>
        <w:tc>
          <w:tcPr>
            <w:tcW w:w="816" w:type="dxa"/>
            <w:vAlign w:val="top"/>
          </w:tcPr>
          <w:p w14:paraId="1C30E264">
            <w:pPr>
              <w:spacing w:line="360" w:lineRule="auto"/>
              <w:rPr>
                <w:rFonts w:hint="eastAsia" w:ascii="宋体" w:hAnsi="宋体" w:eastAsia="宋体" w:cs="宋体"/>
                <w:color w:val="auto"/>
                <w:szCs w:val="21"/>
                <w:highlight w:val="none"/>
              </w:rPr>
            </w:pPr>
          </w:p>
        </w:tc>
        <w:tc>
          <w:tcPr>
            <w:tcW w:w="1190" w:type="dxa"/>
            <w:vAlign w:val="top"/>
          </w:tcPr>
          <w:p w14:paraId="542DA707">
            <w:pPr>
              <w:spacing w:line="360" w:lineRule="auto"/>
              <w:rPr>
                <w:rFonts w:hint="eastAsia" w:ascii="宋体" w:hAnsi="宋体" w:eastAsia="宋体" w:cs="宋体"/>
                <w:color w:val="auto"/>
                <w:szCs w:val="21"/>
                <w:highlight w:val="none"/>
              </w:rPr>
            </w:pPr>
          </w:p>
        </w:tc>
        <w:tc>
          <w:tcPr>
            <w:tcW w:w="670" w:type="dxa"/>
            <w:vAlign w:val="top"/>
          </w:tcPr>
          <w:p w14:paraId="2BEEFC0C">
            <w:pPr>
              <w:spacing w:line="360" w:lineRule="auto"/>
              <w:rPr>
                <w:rFonts w:hint="eastAsia" w:ascii="宋体" w:hAnsi="宋体" w:eastAsia="宋体" w:cs="宋体"/>
                <w:color w:val="auto"/>
                <w:szCs w:val="21"/>
                <w:highlight w:val="none"/>
              </w:rPr>
            </w:pPr>
          </w:p>
        </w:tc>
        <w:tc>
          <w:tcPr>
            <w:tcW w:w="706" w:type="dxa"/>
            <w:vAlign w:val="top"/>
          </w:tcPr>
          <w:p w14:paraId="0D7CE8F4">
            <w:pPr>
              <w:spacing w:line="360" w:lineRule="auto"/>
              <w:rPr>
                <w:rFonts w:hint="eastAsia" w:ascii="宋体" w:hAnsi="宋体" w:eastAsia="宋体" w:cs="宋体"/>
                <w:color w:val="auto"/>
                <w:szCs w:val="21"/>
                <w:highlight w:val="none"/>
              </w:rPr>
            </w:pPr>
          </w:p>
        </w:tc>
        <w:tc>
          <w:tcPr>
            <w:tcW w:w="750" w:type="dxa"/>
            <w:vAlign w:val="top"/>
          </w:tcPr>
          <w:p w14:paraId="6948B7A6">
            <w:pPr>
              <w:spacing w:line="360" w:lineRule="auto"/>
              <w:rPr>
                <w:rFonts w:hint="eastAsia" w:ascii="宋体" w:hAnsi="宋体" w:eastAsia="宋体" w:cs="宋体"/>
                <w:color w:val="auto"/>
                <w:szCs w:val="21"/>
                <w:highlight w:val="none"/>
              </w:rPr>
            </w:pPr>
          </w:p>
        </w:tc>
        <w:tc>
          <w:tcPr>
            <w:tcW w:w="1276" w:type="dxa"/>
            <w:vAlign w:val="top"/>
          </w:tcPr>
          <w:p w14:paraId="3C849F7E">
            <w:pPr>
              <w:spacing w:line="360" w:lineRule="auto"/>
              <w:rPr>
                <w:rFonts w:hint="eastAsia" w:ascii="宋体" w:hAnsi="宋体" w:eastAsia="宋体" w:cs="宋体"/>
                <w:color w:val="auto"/>
                <w:szCs w:val="21"/>
                <w:highlight w:val="none"/>
              </w:rPr>
            </w:pPr>
          </w:p>
        </w:tc>
        <w:tc>
          <w:tcPr>
            <w:tcW w:w="850" w:type="dxa"/>
            <w:vAlign w:val="top"/>
          </w:tcPr>
          <w:p w14:paraId="432CC824">
            <w:pPr>
              <w:spacing w:line="360" w:lineRule="auto"/>
              <w:rPr>
                <w:rFonts w:hint="eastAsia" w:ascii="宋体" w:hAnsi="宋体" w:eastAsia="宋体" w:cs="宋体"/>
                <w:color w:val="auto"/>
                <w:szCs w:val="21"/>
                <w:highlight w:val="none"/>
              </w:rPr>
            </w:pPr>
          </w:p>
        </w:tc>
        <w:tc>
          <w:tcPr>
            <w:tcW w:w="1172" w:type="dxa"/>
            <w:vAlign w:val="top"/>
          </w:tcPr>
          <w:p w14:paraId="36520681">
            <w:pPr>
              <w:spacing w:line="360" w:lineRule="auto"/>
              <w:rPr>
                <w:rFonts w:hint="eastAsia" w:ascii="宋体" w:hAnsi="宋体" w:eastAsia="宋体" w:cs="宋体"/>
                <w:color w:val="auto"/>
                <w:szCs w:val="21"/>
                <w:highlight w:val="none"/>
              </w:rPr>
            </w:pPr>
          </w:p>
        </w:tc>
      </w:tr>
      <w:tr w14:paraId="1EDC2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446" w:type="dxa"/>
            <w:vAlign w:val="center"/>
          </w:tcPr>
          <w:p w14:paraId="1D4DD719">
            <w:pPr>
              <w:spacing w:line="360" w:lineRule="auto"/>
              <w:jc w:val="center"/>
              <w:rPr>
                <w:rFonts w:hint="eastAsia" w:ascii="宋体" w:hAnsi="宋体" w:eastAsia="宋体" w:cs="宋体"/>
                <w:color w:val="auto"/>
                <w:szCs w:val="21"/>
                <w:highlight w:val="none"/>
              </w:rPr>
            </w:pPr>
          </w:p>
        </w:tc>
        <w:tc>
          <w:tcPr>
            <w:tcW w:w="816" w:type="dxa"/>
            <w:vAlign w:val="top"/>
          </w:tcPr>
          <w:p w14:paraId="0B7C308B">
            <w:pPr>
              <w:spacing w:line="360" w:lineRule="auto"/>
              <w:rPr>
                <w:rFonts w:hint="eastAsia" w:ascii="宋体" w:hAnsi="宋体" w:eastAsia="宋体" w:cs="宋体"/>
                <w:color w:val="auto"/>
                <w:szCs w:val="21"/>
                <w:highlight w:val="none"/>
              </w:rPr>
            </w:pPr>
          </w:p>
        </w:tc>
        <w:tc>
          <w:tcPr>
            <w:tcW w:w="816" w:type="dxa"/>
            <w:vAlign w:val="top"/>
          </w:tcPr>
          <w:p w14:paraId="162A7855">
            <w:pPr>
              <w:spacing w:line="360" w:lineRule="auto"/>
              <w:rPr>
                <w:rFonts w:hint="eastAsia" w:ascii="宋体" w:hAnsi="宋体" w:eastAsia="宋体" w:cs="宋体"/>
                <w:color w:val="auto"/>
                <w:szCs w:val="21"/>
                <w:highlight w:val="none"/>
              </w:rPr>
            </w:pPr>
          </w:p>
        </w:tc>
        <w:tc>
          <w:tcPr>
            <w:tcW w:w="1190" w:type="dxa"/>
            <w:vAlign w:val="top"/>
          </w:tcPr>
          <w:p w14:paraId="572549CC">
            <w:pPr>
              <w:spacing w:line="360" w:lineRule="auto"/>
              <w:rPr>
                <w:rFonts w:hint="eastAsia" w:ascii="宋体" w:hAnsi="宋体" w:eastAsia="宋体" w:cs="宋体"/>
                <w:color w:val="auto"/>
                <w:szCs w:val="21"/>
                <w:highlight w:val="none"/>
              </w:rPr>
            </w:pPr>
          </w:p>
        </w:tc>
        <w:tc>
          <w:tcPr>
            <w:tcW w:w="670" w:type="dxa"/>
            <w:vAlign w:val="top"/>
          </w:tcPr>
          <w:p w14:paraId="477B83B1">
            <w:pPr>
              <w:spacing w:line="360" w:lineRule="auto"/>
              <w:rPr>
                <w:rFonts w:hint="eastAsia" w:ascii="宋体" w:hAnsi="宋体" w:eastAsia="宋体" w:cs="宋体"/>
                <w:color w:val="auto"/>
                <w:szCs w:val="21"/>
                <w:highlight w:val="none"/>
              </w:rPr>
            </w:pPr>
          </w:p>
        </w:tc>
        <w:tc>
          <w:tcPr>
            <w:tcW w:w="706" w:type="dxa"/>
            <w:vAlign w:val="top"/>
          </w:tcPr>
          <w:p w14:paraId="6B660B8E">
            <w:pPr>
              <w:spacing w:line="360" w:lineRule="auto"/>
              <w:rPr>
                <w:rFonts w:hint="eastAsia" w:ascii="宋体" w:hAnsi="宋体" w:eastAsia="宋体" w:cs="宋体"/>
                <w:color w:val="auto"/>
                <w:szCs w:val="21"/>
                <w:highlight w:val="none"/>
              </w:rPr>
            </w:pPr>
          </w:p>
        </w:tc>
        <w:tc>
          <w:tcPr>
            <w:tcW w:w="750" w:type="dxa"/>
            <w:vAlign w:val="top"/>
          </w:tcPr>
          <w:p w14:paraId="0B86FC69">
            <w:pPr>
              <w:spacing w:line="360" w:lineRule="auto"/>
              <w:rPr>
                <w:rFonts w:hint="eastAsia" w:ascii="宋体" w:hAnsi="宋体" w:eastAsia="宋体" w:cs="宋体"/>
                <w:color w:val="auto"/>
                <w:szCs w:val="21"/>
                <w:highlight w:val="none"/>
              </w:rPr>
            </w:pPr>
          </w:p>
        </w:tc>
        <w:tc>
          <w:tcPr>
            <w:tcW w:w="1276" w:type="dxa"/>
            <w:vAlign w:val="top"/>
          </w:tcPr>
          <w:p w14:paraId="730E70F4">
            <w:pPr>
              <w:spacing w:line="360" w:lineRule="auto"/>
              <w:rPr>
                <w:rFonts w:hint="eastAsia" w:ascii="宋体" w:hAnsi="宋体" w:eastAsia="宋体" w:cs="宋体"/>
                <w:color w:val="auto"/>
                <w:szCs w:val="21"/>
                <w:highlight w:val="none"/>
              </w:rPr>
            </w:pPr>
          </w:p>
        </w:tc>
        <w:tc>
          <w:tcPr>
            <w:tcW w:w="850" w:type="dxa"/>
            <w:vAlign w:val="top"/>
          </w:tcPr>
          <w:p w14:paraId="09CE586F">
            <w:pPr>
              <w:spacing w:line="360" w:lineRule="auto"/>
              <w:rPr>
                <w:rFonts w:hint="eastAsia" w:ascii="宋体" w:hAnsi="宋体" w:eastAsia="宋体" w:cs="宋体"/>
                <w:color w:val="auto"/>
                <w:szCs w:val="21"/>
                <w:highlight w:val="none"/>
              </w:rPr>
            </w:pPr>
          </w:p>
        </w:tc>
        <w:tc>
          <w:tcPr>
            <w:tcW w:w="1172" w:type="dxa"/>
            <w:vAlign w:val="top"/>
          </w:tcPr>
          <w:p w14:paraId="185A8DCA">
            <w:pPr>
              <w:spacing w:line="360" w:lineRule="auto"/>
              <w:rPr>
                <w:rFonts w:hint="eastAsia" w:ascii="宋体" w:hAnsi="宋体" w:eastAsia="宋体" w:cs="宋体"/>
                <w:color w:val="auto"/>
                <w:szCs w:val="21"/>
                <w:highlight w:val="none"/>
              </w:rPr>
            </w:pPr>
          </w:p>
        </w:tc>
      </w:tr>
      <w:tr w14:paraId="4BF90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2" w:hRule="atLeast"/>
        </w:trPr>
        <w:tc>
          <w:tcPr>
            <w:tcW w:w="9692" w:type="dxa"/>
            <w:gridSpan w:val="10"/>
            <w:vAlign w:val="top"/>
          </w:tcPr>
          <w:p w14:paraId="69BE5FD6">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一旦我单位中标，将实行项目经理负责制，我方保证并配备上述项目管理机构。上述填报内容真实，若不真实，愿按有关规定接受处理。项目管理班子机构设置、职责分工等情况另附资料说明。</w:t>
            </w:r>
          </w:p>
        </w:tc>
      </w:tr>
    </w:tbl>
    <w:p w14:paraId="48682926">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b/>
          <w:bCs/>
          <w:color w:val="auto"/>
          <w:kern w:val="0"/>
          <w:sz w:val="32"/>
          <w:szCs w:val="32"/>
          <w:highlight w:val="none"/>
          <w:lang w:val="en-US" w:eastAsia="zh-CN" w:bidi="ar"/>
        </w:rPr>
      </w:pPr>
    </w:p>
    <w:p w14:paraId="68200199">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备注：供应商应当在本表后附所有管理人员证书：项目经理附注册建造师执业资格证书、安全生产考核合格证书（B类）的复印件，技术负责人附职称证书复印件，各岗位人员附资格证件复印件、专职安全员还须附安全生产考核合格证书（C类）复印件</w:t>
      </w:r>
      <w:r>
        <w:rPr>
          <w:rFonts w:hint="eastAsia" w:ascii="宋体" w:hAnsi="宋体" w:cs="宋体"/>
          <w:color w:val="auto"/>
          <w:highlight w:val="none"/>
          <w:lang w:eastAsia="zh-CN"/>
        </w:rPr>
        <w:t>、</w:t>
      </w:r>
      <w:r>
        <w:rPr>
          <w:rFonts w:hint="eastAsia" w:ascii="宋体" w:hAnsi="宋体" w:eastAsia="宋体" w:cs="宋体"/>
          <w:color w:val="auto"/>
          <w:highlight w:val="none"/>
        </w:rPr>
        <w:t>拟投入人员所缴纳的</w:t>
      </w:r>
      <w:r>
        <w:rPr>
          <w:rFonts w:hint="eastAsia" w:ascii="宋体" w:hAnsi="宋体" w:eastAsia="宋体" w:cs="宋体"/>
          <w:color w:val="auto"/>
          <w:highlight w:val="none"/>
          <w:lang w:val="en-US" w:eastAsia="zh-CN"/>
        </w:rPr>
        <w:t>社会</w:t>
      </w:r>
      <w:r>
        <w:rPr>
          <w:rFonts w:hint="eastAsia" w:ascii="宋体" w:hAnsi="宋体" w:eastAsia="宋体" w:cs="宋体"/>
          <w:color w:val="auto"/>
          <w:highlight w:val="none"/>
        </w:rPr>
        <w:t>保险凭证复印件（</w:t>
      </w:r>
      <w:r>
        <w:rPr>
          <w:rFonts w:hint="eastAsia" w:ascii="Times New Roman" w:hAnsi="Times New Roman" w:eastAsia="宋体" w:cs="Times New Roman"/>
          <w:color w:val="auto"/>
          <w:highlight w:val="none"/>
          <w:lang w:val="en-US" w:eastAsia="zh-CN"/>
        </w:rPr>
        <w:t>要求磋商截止之日前半年内任意</w:t>
      </w:r>
      <w:r>
        <w:rPr>
          <w:rFonts w:hint="eastAsia" w:cs="Times New Roman"/>
          <w:color w:val="auto"/>
          <w:highlight w:val="none"/>
          <w:lang w:val="en-US" w:eastAsia="zh-CN"/>
        </w:rPr>
        <w:t>1</w:t>
      </w:r>
      <w:r>
        <w:rPr>
          <w:rFonts w:hint="eastAsia" w:ascii="Times New Roman" w:hAnsi="Times New Roman" w:eastAsia="宋体" w:cs="Times New Roman"/>
          <w:color w:val="auto"/>
          <w:highlight w:val="none"/>
          <w:lang w:val="en-US" w:eastAsia="zh-CN"/>
        </w:rPr>
        <w:t>个月在现任职单位依法缴纳社会保险证明材料的复印件</w:t>
      </w:r>
      <w:r>
        <w:rPr>
          <w:rFonts w:hint="eastAsia" w:ascii="宋体" w:hAnsi="宋体" w:eastAsia="宋体" w:cs="宋体"/>
          <w:color w:val="auto"/>
          <w:highlight w:val="none"/>
        </w:rPr>
        <w:t>）。</w:t>
      </w:r>
    </w:p>
    <w:p w14:paraId="14E2C6D3">
      <w:pPr>
        <w:spacing w:line="360" w:lineRule="auto"/>
        <w:rPr>
          <w:rFonts w:hint="eastAsia" w:ascii="宋体" w:hAnsi="宋体" w:eastAsia="宋体" w:cs="宋体"/>
          <w:color w:val="auto"/>
          <w:highlight w:val="none"/>
        </w:rPr>
      </w:pPr>
    </w:p>
    <w:p w14:paraId="61893D30">
      <w:pPr>
        <w:spacing w:line="360" w:lineRule="auto"/>
        <w:rPr>
          <w:rFonts w:hint="eastAsia" w:ascii="宋体" w:hAnsi="宋体" w:eastAsia="宋体" w:cs="宋体"/>
          <w:color w:val="auto"/>
          <w:highlight w:val="none"/>
        </w:rPr>
      </w:pPr>
    </w:p>
    <w:p w14:paraId="0B9115C4">
      <w:pPr>
        <w:spacing w:line="360" w:lineRule="auto"/>
        <w:ind w:right="1575" w:rightChars="750"/>
        <w:jc w:val="center"/>
        <w:rPr>
          <w:rFonts w:ascii="宋体" w:hAnsi="宋体" w:eastAsia="宋体"/>
          <w:color w:val="auto"/>
          <w:szCs w:val="21"/>
          <w:highlight w:val="none"/>
        </w:rPr>
      </w:pPr>
      <w:r>
        <w:rPr>
          <w:rFonts w:hint="eastAsia" w:ascii="宋体" w:hAnsi="宋体" w:eastAsia="宋体" w:cs="宋体"/>
          <w:color w:val="auto"/>
          <w:highlight w:val="none"/>
        </w:rPr>
        <w:t>供应商名称（电子签章）：</w:t>
      </w:r>
      <w:r>
        <w:rPr>
          <w:rFonts w:hint="eastAsia" w:ascii="宋体" w:hAnsi="宋体" w:eastAsia="宋体" w:cs="宋体"/>
          <w:color w:val="auto"/>
          <w:highlight w:val="none"/>
          <w:u w:val="single"/>
        </w:rPr>
        <w:t xml:space="preserve">               </w:t>
      </w:r>
    </w:p>
    <w:p w14:paraId="6104EA2F">
      <w:pPr>
        <w:spacing w:line="360" w:lineRule="auto"/>
        <w:ind w:firstLine="420" w:firstLineChars="200"/>
        <w:jc w:val="center"/>
        <w:rPr>
          <w:rFonts w:ascii="宋体" w:hAnsi="宋体" w:eastAsia="宋体"/>
          <w:color w:val="auto"/>
          <w:sz w:val="28"/>
          <w:szCs w:val="28"/>
          <w:highlight w:val="none"/>
        </w:rPr>
      </w:pPr>
      <w:r>
        <w:rPr>
          <w:rFonts w:hint="eastAsia" w:ascii="宋体" w:hAnsi="宋体" w:eastAsia="宋体"/>
          <w:color w:val="auto"/>
          <w:szCs w:val="21"/>
          <w:highlight w:val="none"/>
        </w:rPr>
        <w:t>日期：</w:t>
      </w:r>
      <w:r>
        <w:rPr>
          <w:rFonts w:ascii="宋体" w:hAnsi="宋体" w:eastAsia="宋体" w:cs="Times New Roman"/>
          <w:color w:val="auto"/>
          <w:szCs w:val="21"/>
          <w:highlight w:val="none"/>
        </w:rPr>
        <w:t>___</w:t>
      </w:r>
      <w:r>
        <w:rPr>
          <w:rFonts w:hint="eastAsia" w:ascii="宋体" w:hAnsi="宋体" w:eastAsia="宋体"/>
          <w:color w:val="auto"/>
          <w:szCs w:val="21"/>
          <w:highlight w:val="none"/>
        </w:rPr>
        <w:t>年</w:t>
      </w:r>
      <w:r>
        <w:rPr>
          <w:rFonts w:ascii="宋体" w:hAnsi="宋体" w:eastAsia="宋体" w:cs="Times New Roman"/>
          <w:color w:val="auto"/>
          <w:szCs w:val="21"/>
          <w:highlight w:val="none"/>
        </w:rPr>
        <w:t>___</w:t>
      </w:r>
      <w:r>
        <w:rPr>
          <w:rFonts w:hint="eastAsia" w:ascii="宋体" w:hAnsi="宋体" w:eastAsia="宋体"/>
          <w:color w:val="auto"/>
          <w:szCs w:val="21"/>
          <w:highlight w:val="none"/>
        </w:rPr>
        <w:t>月</w:t>
      </w:r>
      <w:r>
        <w:rPr>
          <w:rFonts w:ascii="宋体" w:hAnsi="宋体" w:eastAsia="宋体" w:cs="Times New Roman"/>
          <w:color w:val="auto"/>
          <w:szCs w:val="21"/>
          <w:highlight w:val="none"/>
        </w:rPr>
        <w:t>___</w:t>
      </w:r>
      <w:r>
        <w:rPr>
          <w:rFonts w:hint="eastAsia" w:ascii="宋体" w:hAnsi="宋体" w:eastAsia="宋体"/>
          <w:color w:val="auto"/>
          <w:szCs w:val="21"/>
          <w:highlight w:val="none"/>
        </w:rPr>
        <w:t>日</w:t>
      </w:r>
    </w:p>
    <w:p w14:paraId="0D99115A">
      <w:pPr>
        <w:spacing w:line="360" w:lineRule="auto"/>
        <w:ind w:firstLine="560" w:firstLineChars="200"/>
        <w:jc w:val="right"/>
        <w:rPr>
          <w:rFonts w:ascii="宋体" w:hAnsi="宋体" w:eastAsia="宋体"/>
          <w:color w:val="auto"/>
          <w:sz w:val="28"/>
          <w:szCs w:val="28"/>
          <w:highlight w:val="none"/>
        </w:rPr>
        <w:sectPr>
          <w:pgSz w:w="11906" w:h="16838"/>
          <w:pgMar w:top="1134" w:right="1134" w:bottom="1134" w:left="1134" w:header="851" w:footer="992" w:gutter="0"/>
          <w:pgNumType w:fmt="decimal"/>
          <w:cols w:space="425" w:num="1"/>
          <w:docGrid w:type="lines" w:linePitch="312" w:charSpace="0"/>
        </w:sectPr>
      </w:pPr>
    </w:p>
    <w:p w14:paraId="093C164F">
      <w:pPr>
        <w:snapToGrid w:val="0"/>
        <w:spacing w:beforeLines="50" w:after="50" w:line="360" w:lineRule="auto"/>
        <w:jc w:val="cente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lang w:eastAsia="zh-CN"/>
        </w:rPr>
        <w:t>（</w:t>
      </w:r>
      <w:r>
        <w:rPr>
          <w:rFonts w:hint="eastAsia" w:ascii="宋体" w:hAnsi="宋体" w:eastAsia="宋体" w:cs="宋体"/>
          <w:b/>
          <w:color w:val="auto"/>
          <w:sz w:val="28"/>
          <w:szCs w:val="28"/>
          <w:highlight w:val="none"/>
          <w:lang w:val="en-US" w:eastAsia="zh-CN"/>
        </w:rPr>
        <w:t>二</w:t>
      </w:r>
      <w:r>
        <w:rPr>
          <w:rFonts w:hint="eastAsia" w:ascii="宋体" w:hAnsi="宋体" w:eastAsia="宋体" w:cs="宋体"/>
          <w:b/>
          <w:color w:val="auto"/>
          <w:sz w:val="28"/>
          <w:szCs w:val="28"/>
          <w:highlight w:val="none"/>
          <w:lang w:eastAsia="zh-CN"/>
        </w:rPr>
        <w:t>）、</w:t>
      </w:r>
      <w:r>
        <w:rPr>
          <w:rFonts w:hint="eastAsia" w:ascii="宋体" w:hAnsi="宋体" w:eastAsia="宋体" w:cs="宋体"/>
          <w:b/>
          <w:color w:val="auto"/>
          <w:sz w:val="28"/>
          <w:szCs w:val="28"/>
          <w:highlight w:val="none"/>
        </w:rPr>
        <w:t xml:space="preserve">拟投入本工程项目经理、技术负责人的简历表  </w:t>
      </w:r>
    </w:p>
    <w:p w14:paraId="7F04D7DA">
      <w:pPr>
        <w:spacing w:line="360" w:lineRule="auto"/>
        <w:jc w:val="center"/>
        <w:rPr>
          <w:rFonts w:hint="eastAsia" w:ascii="宋体" w:hAnsi="宋体" w:eastAsia="宋体" w:cs="宋体"/>
          <w:b/>
          <w:color w:val="auto"/>
          <w:sz w:val="24"/>
          <w:highlight w:val="none"/>
        </w:rPr>
      </w:pPr>
    </w:p>
    <w:p w14:paraId="5DCF190E">
      <w:pPr>
        <w:spacing w:line="360" w:lineRule="auto"/>
        <w:jc w:val="cente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 xml:space="preserve">拟投入本工程项目经理的简历表  </w:t>
      </w:r>
    </w:p>
    <w:p w14:paraId="28F633D3">
      <w:pPr>
        <w:spacing w:line="360" w:lineRule="auto"/>
        <w:rPr>
          <w:rFonts w:hint="eastAsia" w:ascii="宋体" w:hAnsi="宋体" w:eastAsia="宋体" w:cs="宋体"/>
          <w:b/>
          <w:color w:val="auto"/>
          <w:sz w:val="28"/>
          <w:szCs w:val="28"/>
          <w:highlight w:val="none"/>
        </w:rPr>
      </w:pPr>
    </w:p>
    <w:p w14:paraId="2B1794DD">
      <w:pPr>
        <w:pStyle w:val="119"/>
        <w:spacing w:line="360" w:lineRule="auto"/>
        <w:outlineLvl w:val="0"/>
        <w:rPr>
          <w:rFonts w:hint="eastAsia" w:ascii="宋体" w:hAnsi="宋体" w:eastAsia="宋体" w:cs="宋体"/>
          <w:color w:val="auto"/>
          <w:highlight w:val="none"/>
        </w:rPr>
      </w:pPr>
      <w:bookmarkStart w:id="361" w:name="_Toc30528"/>
      <w:bookmarkStart w:id="362" w:name="_Toc5447"/>
      <w:bookmarkStart w:id="363" w:name="_Toc18287"/>
      <w:bookmarkStart w:id="364" w:name="_Toc28874"/>
      <w:bookmarkStart w:id="365" w:name="_Toc2102"/>
      <w:bookmarkStart w:id="366" w:name="_Toc32701"/>
      <w:r>
        <w:rPr>
          <w:rFonts w:hint="eastAsia" w:ascii="宋体" w:hAnsi="宋体" w:eastAsia="宋体" w:cs="宋体"/>
          <w:color w:val="auto"/>
          <w:szCs w:val="21"/>
          <w:highlight w:val="none"/>
          <w:u w:val="single"/>
        </w:rPr>
        <w:t xml:space="preserve">{项目名称}    </w:t>
      </w:r>
      <w:r>
        <w:rPr>
          <w:rFonts w:hint="eastAsia" w:ascii="宋体" w:hAnsi="宋体" w:eastAsia="宋体" w:cs="宋体"/>
          <w:color w:val="auto"/>
          <w:szCs w:val="21"/>
          <w:highlight w:val="none"/>
        </w:rPr>
        <w:t>工程</w:t>
      </w:r>
      <w:bookmarkEnd w:id="361"/>
      <w:bookmarkEnd w:id="362"/>
      <w:bookmarkEnd w:id="363"/>
      <w:bookmarkEnd w:id="364"/>
      <w:bookmarkEnd w:id="365"/>
      <w:bookmarkEnd w:id="366"/>
      <w:r>
        <w:rPr>
          <w:rFonts w:hint="eastAsia" w:ascii="宋体" w:hAnsi="宋体" w:eastAsia="宋体" w:cs="宋体"/>
          <w:color w:val="auto"/>
          <w:szCs w:val="21"/>
          <w:highlight w:val="none"/>
        </w:rPr>
        <w:t xml:space="preserve">   </w:t>
      </w:r>
      <w:r>
        <w:rPr>
          <w:rFonts w:hint="eastAsia" w:ascii="宋体" w:hAnsi="宋体" w:eastAsia="宋体" w:cs="宋体"/>
          <w:color w:val="auto"/>
          <w:highlight w:val="none"/>
        </w:rPr>
        <w:t xml:space="preserve">                                                           </w:t>
      </w:r>
    </w:p>
    <w:tbl>
      <w:tblPr>
        <w:tblStyle w:val="33"/>
        <w:tblW w:w="941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3"/>
        <w:gridCol w:w="464"/>
        <w:gridCol w:w="1548"/>
        <w:gridCol w:w="328"/>
        <w:gridCol w:w="1219"/>
        <w:gridCol w:w="674"/>
        <w:gridCol w:w="874"/>
        <w:gridCol w:w="711"/>
        <w:gridCol w:w="836"/>
        <w:gridCol w:w="272"/>
        <w:gridCol w:w="1409"/>
      </w:tblGrid>
      <w:tr w14:paraId="63D97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83" w:type="dxa"/>
            <w:vAlign w:val="center"/>
          </w:tcPr>
          <w:p w14:paraId="74EB8B3A">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姓名</w:t>
            </w:r>
          </w:p>
        </w:tc>
        <w:tc>
          <w:tcPr>
            <w:tcW w:w="2340" w:type="dxa"/>
            <w:gridSpan w:val="3"/>
            <w:vAlign w:val="center"/>
          </w:tcPr>
          <w:p w14:paraId="151D58C8">
            <w:pPr>
              <w:spacing w:line="360" w:lineRule="auto"/>
              <w:jc w:val="center"/>
              <w:rPr>
                <w:rFonts w:hint="eastAsia" w:ascii="宋体" w:hAnsi="宋体" w:eastAsia="宋体" w:cs="宋体"/>
                <w:color w:val="auto"/>
                <w:szCs w:val="21"/>
                <w:highlight w:val="none"/>
              </w:rPr>
            </w:pPr>
          </w:p>
        </w:tc>
        <w:tc>
          <w:tcPr>
            <w:tcW w:w="1893" w:type="dxa"/>
            <w:gridSpan w:val="2"/>
            <w:vAlign w:val="center"/>
          </w:tcPr>
          <w:p w14:paraId="0789941C">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性别</w:t>
            </w:r>
          </w:p>
        </w:tc>
        <w:tc>
          <w:tcPr>
            <w:tcW w:w="1585" w:type="dxa"/>
            <w:gridSpan w:val="2"/>
            <w:vAlign w:val="center"/>
          </w:tcPr>
          <w:p w14:paraId="5FB751CF">
            <w:pPr>
              <w:spacing w:line="360" w:lineRule="auto"/>
              <w:jc w:val="center"/>
              <w:rPr>
                <w:rFonts w:hint="eastAsia" w:ascii="宋体" w:hAnsi="宋体" w:eastAsia="宋体" w:cs="宋体"/>
                <w:color w:val="auto"/>
                <w:szCs w:val="21"/>
                <w:highlight w:val="none"/>
              </w:rPr>
            </w:pPr>
          </w:p>
        </w:tc>
        <w:tc>
          <w:tcPr>
            <w:tcW w:w="1108" w:type="dxa"/>
            <w:gridSpan w:val="2"/>
            <w:vAlign w:val="center"/>
          </w:tcPr>
          <w:p w14:paraId="38CCB732">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年龄</w:t>
            </w:r>
          </w:p>
        </w:tc>
        <w:tc>
          <w:tcPr>
            <w:tcW w:w="1409" w:type="dxa"/>
            <w:vAlign w:val="center"/>
          </w:tcPr>
          <w:p w14:paraId="76E9AE74">
            <w:pPr>
              <w:spacing w:line="360" w:lineRule="auto"/>
              <w:jc w:val="center"/>
              <w:rPr>
                <w:rFonts w:hint="eastAsia" w:ascii="宋体" w:hAnsi="宋体" w:eastAsia="宋体" w:cs="宋体"/>
                <w:color w:val="auto"/>
                <w:szCs w:val="21"/>
                <w:highlight w:val="none"/>
              </w:rPr>
            </w:pPr>
          </w:p>
        </w:tc>
      </w:tr>
      <w:tr w14:paraId="7D46E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83" w:type="dxa"/>
            <w:vAlign w:val="center"/>
          </w:tcPr>
          <w:p w14:paraId="591E0E34">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职务</w:t>
            </w:r>
          </w:p>
        </w:tc>
        <w:tc>
          <w:tcPr>
            <w:tcW w:w="2340" w:type="dxa"/>
            <w:gridSpan w:val="3"/>
            <w:vAlign w:val="center"/>
          </w:tcPr>
          <w:p w14:paraId="69336756">
            <w:pPr>
              <w:spacing w:line="360" w:lineRule="auto"/>
              <w:jc w:val="center"/>
              <w:rPr>
                <w:rFonts w:hint="eastAsia" w:ascii="宋体" w:hAnsi="宋体" w:eastAsia="宋体" w:cs="宋体"/>
                <w:color w:val="auto"/>
                <w:szCs w:val="21"/>
                <w:highlight w:val="none"/>
              </w:rPr>
            </w:pPr>
          </w:p>
        </w:tc>
        <w:tc>
          <w:tcPr>
            <w:tcW w:w="1893" w:type="dxa"/>
            <w:gridSpan w:val="2"/>
            <w:vAlign w:val="center"/>
          </w:tcPr>
          <w:p w14:paraId="7E329569">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职称</w:t>
            </w:r>
          </w:p>
        </w:tc>
        <w:tc>
          <w:tcPr>
            <w:tcW w:w="1585" w:type="dxa"/>
            <w:gridSpan w:val="2"/>
            <w:vAlign w:val="center"/>
          </w:tcPr>
          <w:p w14:paraId="1B50C38C">
            <w:pPr>
              <w:spacing w:line="360" w:lineRule="auto"/>
              <w:jc w:val="center"/>
              <w:rPr>
                <w:rFonts w:hint="eastAsia" w:ascii="宋体" w:hAnsi="宋体" w:eastAsia="宋体" w:cs="宋体"/>
                <w:color w:val="auto"/>
                <w:szCs w:val="21"/>
                <w:highlight w:val="none"/>
              </w:rPr>
            </w:pPr>
          </w:p>
        </w:tc>
        <w:tc>
          <w:tcPr>
            <w:tcW w:w="1108" w:type="dxa"/>
            <w:gridSpan w:val="2"/>
            <w:vAlign w:val="center"/>
          </w:tcPr>
          <w:p w14:paraId="7F246653">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学历</w:t>
            </w:r>
          </w:p>
        </w:tc>
        <w:tc>
          <w:tcPr>
            <w:tcW w:w="1409" w:type="dxa"/>
            <w:vAlign w:val="center"/>
          </w:tcPr>
          <w:p w14:paraId="2FD607DC">
            <w:pPr>
              <w:spacing w:line="360" w:lineRule="auto"/>
              <w:jc w:val="center"/>
              <w:rPr>
                <w:rFonts w:hint="eastAsia" w:ascii="宋体" w:hAnsi="宋体" w:eastAsia="宋体" w:cs="宋体"/>
                <w:color w:val="auto"/>
                <w:szCs w:val="21"/>
                <w:highlight w:val="none"/>
              </w:rPr>
            </w:pPr>
          </w:p>
        </w:tc>
      </w:tr>
      <w:tr w14:paraId="0223F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423" w:type="dxa"/>
            <w:gridSpan w:val="4"/>
            <w:vAlign w:val="center"/>
          </w:tcPr>
          <w:p w14:paraId="0CA6B390">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参加工作时间</w:t>
            </w:r>
          </w:p>
        </w:tc>
        <w:tc>
          <w:tcPr>
            <w:tcW w:w="1893" w:type="dxa"/>
            <w:gridSpan w:val="2"/>
            <w:vAlign w:val="center"/>
          </w:tcPr>
          <w:p w14:paraId="3868C02D">
            <w:pPr>
              <w:spacing w:line="360" w:lineRule="auto"/>
              <w:jc w:val="center"/>
              <w:rPr>
                <w:rFonts w:hint="eastAsia" w:ascii="宋体" w:hAnsi="宋体" w:eastAsia="宋体" w:cs="宋体"/>
                <w:color w:val="auto"/>
                <w:szCs w:val="21"/>
                <w:highlight w:val="none"/>
              </w:rPr>
            </w:pPr>
          </w:p>
        </w:tc>
        <w:tc>
          <w:tcPr>
            <w:tcW w:w="2693" w:type="dxa"/>
            <w:gridSpan w:val="4"/>
            <w:vAlign w:val="center"/>
          </w:tcPr>
          <w:p w14:paraId="1B6589DD">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担任项目经理年限</w:t>
            </w:r>
          </w:p>
        </w:tc>
        <w:tc>
          <w:tcPr>
            <w:tcW w:w="1409" w:type="dxa"/>
            <w:vAlign w:val="center"/>
          </w:tcPr>
          <w:p w14:paraId="2B23499F">
            <w:pPr>
              <w:spacing w:line="360" w:lineRule="auto"/>
              <w:jc w:val="center"/>
              <w:rPr>
                <w:rFonts w:hint="eastAsia" w:ascii="宋体" w:hAnsi="宋体" w:eastAsia="宋体" w:cs="宋体"/>
                <w:color w:val="auto"/>
                <w:szCs w:val="21"/>
                <w:highlight w:val="none"/>
              </w:rPr>
            </w:pPr>
          </w:p>
        </w:tc>
      </w:tr>
      <w:tr w14:paraId="2F73B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423" w:type="dxa"/>
            <w:gridSpan w:val="4"/>
            <w:vAlign w:val="center"/>
          </w:tcPr>
          <w:p w14:paraId="4DB96813">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项目经理注册证书编号</w:t>
            </w:r>
          </w:p>
        </w:tc>
        <w:tc>
          <w:tcPr>
            <w:tcW w:w="5995" w:type="dxa"/>
            <w:gridSpan w:val="7"/>
            <w:vAlign w:val="center"/>
          </w:tcPr>
          <w:p w14:paraId="2677C25F">
            <w:pPr>
              <w:spacing w:line="360" w:lineRule="auto"/>
              <w:jc w:val="center"/>
              <w:rPr>
                <w:rFonts w:hint="eastAsia" w:ascii="宋体" w:hAnsi="宋体" w:eastAsia="宋体" w:cs="宋体"/>
                <w:color w:val="auto"/>
                <w:szCs w:val="21"/>
                <w:highlight w:val="none"/>
              </w:rPr>
            </w:pPr>
          </w:p>
        </w:tc>
      </w:tr>
      <w:tr w14:paraId="1BB36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9418" w:type="dxa"/>
            <w:gridSpan w:val="11"/>
            <w:vAlign w:val="center"/>
          </w:tcPr>
          <w:p w14:paraId="4041A2F1">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在建和已完工程项目情况</w:t>
            </w:r>
          </w:p>
        </w:tc>
      </w:tr>
      <w:tr w14:paraId="67062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547" w:type="dxa"/>
            <w:gridSpan w:val="2"/>
            <w:vAlign w:val="center"/>
          </w:tcPr>
          <w:p w14:paraId="61A9201E">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建设单位</w:t>
            </w:r>
          </w:p>
        </w:tc>
        <w:tc>
          <w:tcPr>
            <w:tcW w:w="1548" w:type="dxa"/>
            <w:vAlign w:val="center"/>
          </w:tcPr>
          <w:p w14:paraId="349A0A43">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项目名称</w:t>
            </w:r>
          </w:p>
        </w:tc>
        <w:tc>
          <w:tcPr>
            <w:tcW w:w="1547" w:type="dxa"/>
            <w:gridSpan w:val="2"/>
            <w:vAlign w:val="center"/>
          </w:tcPr>
          <w:p w14:paraId="4F869C95">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建设规模</w:t>
            </w:r>
          </w:p>
        </w:tc>
        <w:tc>
          <w:tcPr>
            <w:tcW w:w="1548" w:type="dxa"/>
            <w:gridSpan w:val="2"/>
            <w:vAlign w:val="center"/>
          </w:tcPr>
          <w:p w14:paraId="66BD68BF">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开、竣工日期</w:t>
            </w:r>
          </w:p>
        </w:tc>
        <w:tc>
          <w:tcPr>
            <w:tcW w:w="1547" w:type="dxa"/>
            <w:gridSpan w:val="2"/>
            <w:vAlign w:val="center"/>
          </w:tcPr>
          <w:p w14:paraId="610B0D92">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在建或已完</w:t>
            </w:r>
          </w:p>
        </w:tc>
        <w:tc>
          <w:tcPr>
            <w:tcW w:w="1681" w:type="dxa"/>
            <w:gridSpan w:val="2"/>
            <w:vAlign w:val="center"/>
          </w:tcPr>
          <w:p w14:paraId="0346B0B0">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工程质量</w:t>
            </w:r>
          </w:p>
        </w:tc>
      </w:tr>
      <w:tr w14:paraId="3AC3A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547" w:type="dxa"/>
            <w:gridSpan w:val="2"/>
            <w:vAlign w:val="center"/>
          </w:tcPr>
          <w:p w14:paraId="5C11D457">
            <w:pPr>
              <w:spacing w:line="360" w:lineRule="auto"/>
              <w:jc w:val="center"/>
              <w:rPr>
                <w:rFonts w:hint="eastAsia" w:ascii="宋体" w:hAnsi="宋体" w:eastAsia="宋体" w:cs="宋体"/>
                <w:color w:val="auto"/>
                <w:szCs w:val="21"/>
                <w:highlight w:val="none"/>
              </w:rPr>
            </w:pPr>
          </w:p>
        </w:tc>
        <w:tc>
          <w:tcPr>
            <w:tcW w:w="1548" w:type="dxa"/>
            <w:vAlign w:val="center"/>
          </w:tcPr>
          <w:p w14:paraId="5C978119">
            <w:pPr>
              <w:spacing w:line="360" w:lineRule="auto"/>
              <w:jc w:val="center"/>
              <w:rPr>
                <w:rFonts w:hint="eastAsia" w:ascii="宋体" w:hAnsi="宋体" w:eastAsia="宋体" w:cs="宋体"/>
                <w:color w:val="auto"/>
                <w:szCs w:val="21"/>
                <w:highlight w:val="none"/>
              </w:rPr>
            </w:pPr>
          </w:p>
        </w:tc>
        <w:tc>
          <w:tcPr>
            <w:tcW w:w="1547" w:type="dxa"/>
            <w:gridSpan w:val="2"/>
            <w:vAlign w:val="center"/>
          </w:tcPr>
          <w:p w14:paraId="484F610E">
            <w:pPr>
              <w:spacing w:line="360" w:lineRule="auto"/>
              <w:jc w:val="center"/>
              <w:rPr>
                <w:rFonts w:hint="eastAsia" w:ascii="宋体" w:hAnsi="宋体" w:eastAsia="宋体" w:cs="宋体"/>
                <w:color w:val="auto"/>
                <w:szCs w:val="21"/>
                <w:highlight w:val="none"/>
              </w:rPr>
            </w:pPr>
          </w:p>
        </w:tc>
        <w:tc>
          <w:tcPr>
            <w:tcW w:w="1548" w:type="dxa"/>
            <w:gridSpan w:val="2"/>
            <w:vAlign w:val="center"/>
          </w:tcPr>
          <w:p w14:paraId="56B56DED">
            <w:pPr>
              <w:spacing w:line="360" w:lineRule="auto"/>
              <w:jc w:val="center"/>
              <w:rPr>
                <w:rFonts w:hint="eastAsia" w:ascii="宋体" w:hAnsi="宋体" w:eastAsia="宋体" w:cs="宋体"/>
                <w:color w:val="auto"/>
                <w:szCs w:val="21"/>
                <w:highlight w:val="none"/>
              </w:rPr>
            </w:pPr>
          </w:p>
        </w:tc>
        <w:tc>
          <w:tcPr>
            <w:tcW w:w="1547" w:type="dxa"/>
            <w:gridSpan w:val="2"/>
            <w:vAlign w:val="center"/>
          </w:tcPr>
          <w:p w14:paraId="7499C08A">
            <w:pPr>
              <w:spacing w:line="360" w:lineRule="auto"/>
              <w:jc w:val="center"/>
              <w:rPr>
                <w:rFonts w:hint="eastAsia" w:ascii="宋体" w:hAnsi="宋体" w:eastAsia="宋体" w:cs="宋体"/>
                <w:color w:val="auto"/>
                <w:szCs w:val="21"/>
                <w:highlight w:val="none"/>
              </w:rPr>
            </w:pPr>
          </w:p>
        </w:tc>
        <w:tc>
          <w:tcPr>
            <w:tcW w:w="1681" w:type="dxa"/>
            <w:gridSpan w:val="2"/>
            <w:vAlign w:val="center"/>
          </w:tcPr>
          <w:p w14:paraId="78CECB71">
            <w:pPr>
              <w:spacing w:line="360" w:lineRule="auto"/>
              <w:jc w:val="center"/>
              <w:rPr>
                <w:rFonts w:hint="eastAsia" w:ascii="宋体" w:hAnsi="宋体" w:eastAsia="宋体" w:cs="宋体"/>
                <w:color w:val="auto"/>
                <w:szCs w:val="21"/>
                <w:highlight w:val="none"/>
              </w:rPr>
            </w:pPr>
          </w:p>
        </w:tc>
      </w:tr>
      <w:tr w14:paraId="3894E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547" w:type="dxa"/>
            <w:gridSpan w:val="2"/>
            <w:vAlign w:val="center"/>
          </w:tcPr>
          <w:p w14:paraId="6013A3B0">
            <w:pPr>
              <w:spacing w:line="360" w:lineRule="auto"/>
              <w:jc w:val="center"/>
              <w:rPr>
                <w:rFonts w:hint="eastAsia" w:ascii="宋体" w:hAnsi="宋体" w:eastAsia="宋体" w:cs="宋体"/>
                <w:color w:val="auto"/>
                <w:szCs w:val="21"/>
                <w:highlight w:val="none"/>
              </w:rPr>
            </w:pPr>
          </w:p>
        </w:tc>
        <w:tc>
          <w:tcPr>
            <w:tcW w:w="1548" w:type="dxa"/>
            <w:vAlign w:val="center"/>
          </w:tcPr>
          <w:p w14:paraId="57DC1310">
            <w:pPr>
              <w:spacing w:line="360" w:lineRule="auto"/>
              <w:jc w:val="center"/>
              <w:rPr>
                <w:rFonts w:hint="eastAsia" w:ascii="宋体" w:hAnsi="宋体" w:eastAsia="宋体" w:cs="宋体"/>
                <w:color w:val="auto"/>
                <w:szCs w:val="21"/>
                <w:highlight w:val="none"/>
              </w:rPr>
            </w:pPr>
          </w:p>
        </w:tc>
        <w:tc>
          <w:tcPr>
            <w:tcW w:w="1547" w:type="dxa"/>
            <w:gridSpan w:val="2"/>
            <w:vAlign w:val="center"/>
          </w:tcPr>
          <w:p w14:paraId="6B7F82DE">
            <w:pPr>
              <w:spacing w:line="360" w:lineRule="auto"/>
              <w:jc w:val="center"/>
              <w:rPr>
                <w:rFonts w:hint="eastAsia" w:ascii="宋体" w:hAnsi="宋体" w:eastAsia="宋体" w:cs="宋体"/>
                <w:color w:val="auto"/>
                <w:szCs w:val="21"/>
                <w:highlight w:val="none"/>
              </w:rPr>
            </w:pPr>
          </w:p>
        </w:tc>
        <w:tc>
          <w:tcPr>
            <w:tcW w:w="1548" w:type="dxa"/>
            <w:gridSpan w:val="2"/>
            <w:vAlign w:val="center"/>
          </w:tcPr>
          <w:p w14:paraId="6D04D35C">
            <w:pPr>
              <w:spacing w:line="360" w:lineRule="auto"/>
              <w:jc w:val="center"/>
              <w:rPr>
                <w:rFonts w:hint="eastAsia" w:ascii="宋体" w:hAnsi="宋体" w:eastAsia="宋体" w:cs="宋体"/>
                <w:color w:val="auto"/>
                <w:szCs w:val="21"/>
                <w:highlight w:val="none"/>
              </w:rPr>
            </w:pPr>
          </w:p>
        </w:tc>
        <w:tc>
          <w:tcPr>
            <w:tcW w:w="1547" w:type="dxa"/>
            <w:gridSpan w:val="2"/>
            <w:vAlign w:val="center"/>
          </w:tcPr>
          <w:p w14:paraId="520F65D1">
            <w:pPr>
              <w:spacing w:line="360" w:lineRule="auto"/>
              <w:jc w:val="center"/>
              <w:rPr>
                <w:rFonts w:hint="eastAsia" w:ascii="宋体" w:hAnsi="宋体" w:eastAsia="宋体" w:cs="宋体"/>
                <w:color w:val="auto"/>
                <w:szCs w:val="21"/>
                <w:highlight w:val="none"/>
              </w:rPr>
            </w:pPr>
          </w:p>
        </w:tc>
        <w:tc>
          <w:tcPr>
            <w:tcW w:w="1681" w:type="dxa"/>
            <w:gridSpan w:val="2"/>
            <w:vAlign w:val="center"/>
          </w:tcPr>
          <w:p w14:paraId="76CD8BFC">
            <w:pPr>
              <w:spacing w:line="360" w:lineRule="auto"/>
              <w:jc w:val="center"/>
              <w:rPr>
                <w:rFonts w:hint="eastAsia" w:ascii="宋体" w:hAnsi="宋体" w:eastAsia="宋体" w:cs="宋体"/>
                <w:color w:val="auto"/>
                <w:szCs w:val="21"/>
                <w:highlight w:val="none"/>
              </w:rPr>
            </w:pPr>
          </w:p>
        </w:tc>
      </w:tr>
      <w:tr w14:paraId="60C30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547" w:type="dxa"/>
            <w:gridSpan w:val="2"/>
            <w:vAlign w:val="center"/>
          </w:tcPr>
          <w:p w14:paraId="25BD713C">
            <w:pPr>
              <w:spacing w:line="360" w:lineRule="auto"/>
              <w:jc w:val="center"/>
              <w:rPr>
                <w:rFonts w:hint="eastAsia" w:ascii="宋体" w:hAnsi="宋体" w:eastAsia="宋体" w:cs="宋体"/>
                <w:color w:val="auto"/>
                <w:szCs w:val="21"/>
                <w:highlight w:val="none"/>
              </w:rPr>
            </w:pPr>
          </w:p>
        </w:tc>
        <w:tc>
          <w:tcPr>
            <w:tcW w:w="1548" w:type="dxa"/>
            <w:vAlign w:val="center"/>
          </w:tcPr>
          <w:p w14:paraId="2405BE5F">
            <w:pPr>
              <w:spacing w:line="360" w:lineRule="auto"/>
              <w:jc w:val="center"/>
              <w:rPr>
                <w:rFonts w:hint="eastAsia" w:ascii="宋体" w:hAnsi="宋体" w:eastAsia="宋体" w:cs="宋体"/>
                <w:color w:val="auto"/>
                <w:szCs w:val="21"/>
                <w:highlight w:val="none"/>
              </w:rPr>
            </w:pPr>
          </w:p>
        </w:tc>
        <w:tc>
          <w:tcPr>
            <w:tcW w:w="1547" w:type="dxa"/>
            <w:gridSpan w:val="2"/>
            <w:vAlign w:val="center"/>
          </w:tcPr>
          <w:p w14:paraId="7C3D93D9">
            <w:pPr>
              <w:spacing w:line="360" w:lineRule="auto"/>
              <w:jc w:val="center"/>
              <w:rPr>
                <w:rFonts w:hint="eastAsia" w:ascii="宋体" w:hAnsi="宋体" w:eastAsia="宋体" w:cs="宋体"/>
                <w:color w:val="auto"/>
                <w:szCs w:val="21"/>
                <w:highlight w:val="none"/>
              </w:rPr>
            </w:pPr>
          </w:p>
        </w:tc>
        <w:tc>
          <w:tcPr>
            <w:tcW w:w="1548" w:type="dxa"/>
            <w:gridSpan w:val="2"/>
            <w:vAlign w:val="center"/>
          </w:tcPr>
          <w:p w14:paraId="4BD5EAB1">
            <w:pPr>
              <w:spacing w:line="360" w:lineRule="auto"/>
              <w:jc w:val="center"/>
              <w:rPr>
                <w:rFonts w:hint="eastAsia" w:ascii="宋体" w:hAnsi="宋体" w:eastAsia="宋体" w:cs="宋体"/>
                <w:color w:val="auto"/>
                <w:szCs w:val="21"/>
                <w:highlight w:val="none"/>
              </w:rPr>
            </w:pPr>
          </w:p>
        </w:tc>
        <w:tc>
          <w:tcPr>
            <w:tcW w:w="1547" w:type="dxa"/>
            <w:gridSpan w:val="2"/>
            <w:vAlign w:val="center"/>
          </w:tcPr>
          <w:p w14:paraId="6816317B">
            <w:pPr>
              <w:spacing w:line="360" w:lineRule="auto"/>
              <w:jc w:val="center"/>
              <w:rPr>
                <w:rFonts w:hint="eastAsia" w:ascii="宋体" w:hAnsi="宋体" w:eastAsia="宋体" w:cs="宋体"/>
                <w:color w:val="auto"/>
                <w:szCs w:val="21"/>
                <w:highlight w:val="none"/>
              </w:rPr>
            </w:pPr>
          </w:p>
        </w:tc>
        <w:tc>
          <w:tcPr>
            <w:tcW w:w="1681" w:type="dxa"/>
            <w:gridSpan w:val="2"/>
            <w:vAlign w:val="center"/>
          </w:tcPr>
          <w:p w14:paraId="572113A7">
            <w:pPr>
              <w:spacing w:line="360" w:lineRule="auto"/>
              <w:jc w:val="center"/>
              <w:rPr>
                <w:rFonts w:hint="eastAsia" w:ascii="宋体" w:hAnsi="宋体" w:eastAsia="宋体" w:cs="宋体"/>
                <w:color w:val="auto"/>
                <w:szCs w:val="21"/>
                <w:highlight w:val="none"/>
              </w:rPr>
            </w:pPr>
          </w:p>
        </w:tc>
      </w:tr>
      <w:tr w14:paraId="7E275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547" w:type="dxa"/>
            <w:gridSpan w:val="2"/>
            <w:vAlign w:val="center"/>
          </w:tcPr>
          <w:p w14:paraId="70B8A397">
            <w:pPr>
              <w:spacing w:line="360" w:lineRule="auto"/>
              <w:jc w:val="center"/>
              <w:rPr>
                <w:rFonts w:hint="eastAsia" w:ascii="宋体" w:hAnsi="宋体" w:eastAsia="宋体" w:cs="宋体"/>
                <w:color w:val="auto"/>
                <w:szCs w:val="21"/>
                <w:highlight w:val="none"/>
              </w:rPr>
            </w:pPr>
          </w:p>
        </w:tc>
        <w:tc>
          <w:tcPr>
            <w:tcW w:w="1548" w:type="dxa"/>
            <w:vAlign w:val="center"/>
          </w:tcPr>
          <w:p w14:paraId="09649451">
            <w:pPr>
              <w:spacing w:line="360" w:lineRule="auto"/>
              <w:jc w:val="center"/>
              <w:rPr>
                <w:rFonts w:hint="eastAsia" w:ascii="宋体" w:hAnsi="宋体" w:eastAsia="宋体" w:cs="宋体"/>
                <w:color w:val="auto"/>
                <w:szCs w:val="21"/>
                <w:highlight w:val="none"/>
              </w:rPr>
            </w:pPr>
          </w:p>
        </w:tc>
        <w:tc>
          <w:tcPr>
            <w:tcW w:w="1547" w:type="dxa"/>
            <w:gridSpan w:val="2"/>
            <w:vAlign w:val="center"/>
          </w:tcPr>
          <w:p w14:paraId="14E03F37">
            <w:pPr>
              <w:spacing w:line="360" w:lineRule="auto"/>
              <w:jc w:val="center"/>
              <w:rPr>
                <w:rFonts w:hint="eastAsia" w:ascii="宋体" w:hAnsi="宋体" w:eastAsia="宋体" w:cs="宋体"/>
                <w:color w:val="auto"/>
                <w:szCs w:val="21"/>
                <w:highlight w:val="none"/>
              </w:rPr>
            </w:pPr>
          </w:p>
        </w:tc>
        <w:tc>
          <w:tcPr>
            <w:tcW w:w="1548" w:type="dxa"/>
            <w:gridSpan w:val="2"/>
            <w:vAlign w:val="center"/>
          </w:tcPr>
          <w:p w14:paraId="10FD6487">
            <w:pPr>
              <w:spacing w:line="360" w:lineRule="auto"/>
              <w:jc w:val="center"/>
              <w:rPr>
                <w:rFonts w:hint="eastAsia" w:ascii="宋体" w:hAnsi="宋体" w:eastAsia="宋体" w:cs="宋体"/>
                <w:color w:val="auto"/>
                <w:szCs w:val="21"/>
                <w:highlight w:val="none"/>
              </w:rPr>
            </w:pPr>
          </w:p>
        </w:tc>
        <w:tc>
          <w:tcPr>
            <w:tcW w:w="1547" w:type="dxa"/>
            <w:gridSpan w:val="2"/>
            <w:vAlign w:val="center"/>
          </w:tcPr>
          <w:p w14:paraId="42782E59">
            <w:pPr>
              <w:spacing w:line="360" w:lineRule="auto"/>
              <w:jc w:val="center"/>
              <w:rPr>
                <w:rFonts w:hint="eastAsia" w:ascii="宋体" w:hAnsi="宋体" w:eastAsia="宋体" w:cs="宋体"/>
                <w:color w:val="auto"/>
                <w:szCs w:val="21"/>
                <w:highlight w:val="none"/>
              </w:rPr>
            </w:pPr>
          </w:p>
        </w:tc>
        <w:tc>
          <w:tcPr>
            <w:tcW w:w="1681" w:type="dxa"/>
            <w:gridSpan w:val="2"/>
            <w:vAlign w:val="center"/>
          </w:tcPr>
          <w:p w14:paraId="71414155">
            <w:pPr>
              <w:spacing w:line="360" w:lineRule="auto"/>
              <w:jc w:val="center"/>
              <w:rPr>
                <w:rFonts w:hint="eastAsia" w:ascii="宋体" w:hAnsi="宋体" w:eastAsia="宋体" w:cs="宋体"/>
                <w:color w:val="auto"/>
                <w:szCs w:val="21"/>
                <w:highlight w:val="none"/>
              </w:rPr>
            </w:pPr>
          </w:p>
        </w:tc>
      </w:tr>
    </w:tbl>
    <w:p w14:paraId="72178298">
      <w:pPr>
        <w:spacing w:line="360" w:lineRule="auto"/>
        <w:ind w:firstLine="400" w:firstLineChars="200"/>
        <w:rPr>
          <w:rFonts w:hint="eastAsia" w:ascii="宋体" w:hAnsi="宋体" w:eastAsia="宋体" w:cs="宋体"/>
          <w:color w:val="auto"/>
          <w:sz w:val="20"/>
          <w:szCs w:val="22"/>
          <w:highlight w:val="none"/>
        </w:rPr>
      </w:pPr>
    </w:p>
    <w:p w14:paraId="7D23D3FC">
      <w:pPr>
        <w:pStyle w:val="2"/>
        <w:spacing w:line="360" w:lineRule="auto"/>
        <w:rPr>
          <w:rFonts w:hint="eastAsia" w:ascii="宋体" w:hAnsi="宋体" w:eastAsia="宋体" w:cs="宋体"/>
          <w:color w:val="auto"/>
          <w:sz w:val="20"/>
          <w:szCs w:val="22"/>
          <w:highlight w:val="none"/>
        </w:rPr>
      </w:pPr>
    </w:p>
    <w:p w14:paraId="73B0F6F2">
      <w:pPr>
        <w:pStyle w:val="2"/>
        <w:spacing w:line="360" w:lineRule="auto"/>
        <w:rPr>
          <w:rFonts w:hint="eastAsia" w:ascii="宋体" w:hAnsi="宋体" w:eastAsia="宋体" w:cs="宋体"/>
          <w:color w:val="auto"/>
          <w:sz w:val="20"/>
          <w:szCs w:val="22"/>
          <w:highlight w:val="none"/>
        </w:rPr>
      </w:pPr>
    </w:p>
    <w:p w14:paraId="343C9EBB">
      <w:pPr>
        <w:pStyle w:val="2"/>
        <w:spacing w:line="360" w:lineRule="auto"/>
        <w:rPr>
          <w:rFonts w:hint="eastAsia" w:ascii="宋体" w:hAnsi="宋体" w:eastAsia="宋体" w:cs="宋体"/>
          <w:color w:val="auto"/>
          <w:sz w:val="20"/>
          <w:szCs w:val="22"/>
          <w:highlight w:val="none"/>
        </w:rPr>
      </w:pPr>
    </w:p>
    <w:p w14:paraId="2E5D3635">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备注：</w:t>
      </w:r>
    </w:p>
    <w:p w14:paraId="538D3EEB">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项目经理附注册建造师执业资格证书、安全生产考核合格证书（B类）的复印件、身份证，拟投入人员所缴纳的</w:t>
      </w:r>
      <w:r>
        <w:rPr>
          <w:rFonts w:hint="eastAsia" w:ascii="宋体" w:hAnsi="宋体" w:eastAsia="宋体" w:cs="宋体"/>
          <w:color w:val="auto"/>
          <w:sz w:val="21"/>
          <w:szCs w:val="21"/>
          <w:highlight w:val="none"/>
          <w:lang w:val="en-US" w:eastAsia="zh-CN"/>
        </w:rPr>
        <w:t>社会保险</w:t>
      </w:r>
      <w:r>
        <w:rPr>
          <w:rFonts w:hint="eastAsia" w:ascii="宋体" w:hAnsi="宋体" w:eastAsia="宋体" w:cs="宋体"/>
          <w:color w:val="auto"/>
          <w:sz w:val="21"/>
          <w:szCs w:val="21"/>
          <w:highlight w:val="none"/>
        </w:rPr>
        <w:t>凭证复印件（</w:t>
      </w:r>
      <w:r>
        <w:rPr>
          <w:rFonts w:hint="eastAsia" w:ascii="宋体" w:hAnsi="宋体" w:eastAsia="宋体" w:cs="宋体"/>
          <w:color w:val="auto"/>
          <w:sz w:val="21"/>
          <w:szCs w:val="21"/>
          <w:highlight w:val="none"/>
          <w:lang w:val="en-US" w:eastAsia="zh-CN"/>
        </w:rPr>
        <w:t>要求磋商截止之日前半年内任意</w:t>
      </w: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lang w:val="en-US" w:eastAsia="zh-CN"/>
        </w:rPr>
        <w:t>个月在现任职单位依法缴纳社会保险证明材料的复印件</w:t>
      </w:r>
      <w:r>
        <w:rPr>
          <w:rFonts w:hint="eastAsia" w:ascii="宋体" w:hAnsi="宋体" w:eastAsia="宋体" w:cs="宋体"/>
          <w:color w:val="auto"/>
          <w:sz w:val="21"/>
          <w:szCs w:val="21"/>
          <w:highlight w:val="none"/>
        </w:rPr>
        <w:t>）；已完工程（如有）中标（成交）通知书、工程合同协议书、工程竣工验收证明材料的复印件，以及供应商认为需要增加的其他证明材料复印件，以上复印件须加盖供应商</w:t>
      </w:r>
      <w:r>
        <w:rPr>
          <w:rFonts w:hint="eastAsia" w:ascii="宋体" w:hAnsi="宋体" w:cs="宋体"/>
          <w:color w:val="auto"/>
          <w:sz w:val="21"/>
          <w:szCs w:val="21"/>
          <w:highlight w:val="none"/>
          <w:lang w:val="en-US" w:eastAsia="zh-CN"/>
        </w:rPr>
        <w:t>电子签章</w:t>
      </w:r>
      <w:r>
        <w:rPr>
          <w:rFonts w:hint="eastAsia" w:ascii="宋体" w:hAnsi="宋体" w:eastAsia="宋体" w:cs="宋体"/>
          <w:color w:val="auto"/>
          <w:sz w:val="21"/>
          <w:szCs w:val="21"/>
          <w:highlight w:val="none"/>
        </w:rPr>
        <w:t>。</w:t>
      </w:r>
    </w:p>
    <w:p w14:paraId="47473AFB">
      <w:pPr>
        <w:pStyle w:val="20"/>
        <w:spacing w:line="360" w:lineRule="auto"/>
        <w:ind w:firstLine="1000" w:firstLineChars="500"/>
        <w:rPr>
          <w:rFonts w:hint="eastAsia" w:ascii="宋体" w:hAnsi="宋体" w:eastAsia="宋体" w:cs="宋体"/>
          <w:color w:val="auto"/>
          <w:szCs w:val="21"/>
          <w:highlight w:val="none"/>
        </w:rPr>
      </w:pPr>
    </w:p>
    <w:p w14:paraId="483C6D32">
      <w:pPr>
        <w:pStyle w:val="20"/>
        <w:spacing w:line="360" w:lineRule="auto"/>
        <w:ind w:firstLine="1000" w:firstLineChars="500"/>
        <w:rPr>
          <w:rFonts w:hint="eastAsia" w:ascii="宋体" w:hAnsi="宋体" w:eastAsia="宋体" w:cs="宋体"/>
          <w:color w:val="auto"/>
          <w:szCs w:val="21"/>
          <w:highlight w:val="none"/>
        </w:rPr>
      </w:pPr>
    </w:p>
    <w:p w14:paraId="50BBD11E">
      <w:pPr>
        <w:spacing w:line="360" w:lineRule="auto"/>
        <w:ind w:right="1575" w:rightChars="750"/>
        <w:jc w:val="center"/>
        <w:rPr>
          <w:rFonts w:ascii="宋体" w:hAnsi="宋体" w:eastAsia="宋体"/>
          <w:color w:val="auto"/>
          <w:szCs w:val="21"/>
          <w:highlight w:val="none"/>
        </w:rPr>
      </w:pPr>
      <w:r>
        <w:rPr>
          <w:rFonts w:hint="eastAsia" w:ascii="宋体" w:hAnsi="宋体" w:eastAsia="宋体" w:cs="宋体"/>
          <w:color w:val="auto"/>
          <w:highlight w:val="none"/>
        </w:rPr>
        <w:t>供应商名称（电子签章）：</w:t>
      </w:r>
      <w:r>
        <w:rPr>
          <w:rFonts w:hint="eastAsia" w:ascii="宋体" w:hAnsi="宋体" w:eastAsia="宋体" w:cs="宋体"/>
          <w:color w:val="auto"/>
          <w:highlight w:val="none"/>
          <w:u w:val="single"/>
        </w:rPr>
        <w:t xml:space="preserve">               </w:t>
      </w:r>
    </w:p>
    <w:p w14:paraId="74D3CDBE">
      <w:pPr>
        <w:spacing w:line="360" w:lineRule="auto"/>
        <w:ind w:firstLine="420" w:firstLineChars="200"/>
        <w:jc w:val="center"/>
        <w:rPr>
          <w:rFonts w:ascii="宋体" w:hAnsi="宋体" w:eastAsia="宋体"/>
          <w:color w:val="auto"/>
          <w:sz w:val="28"/>
          <w:szCs w:val="28"/>
          <w:highlight w:val="none"/>
        </w:rPr>
      </w:pPr>
      <w:r>
        <w:rPr>
          <w:rFonts w:hint="eastAsia" w:ascii="宋体" w:hAnsi="宋体" w:eastAsia="宋体"/>
          <w:color w:val="auto"/>
          <w:szCs w:val="21"/>
          <w:highlight w:val="none"/>
        </w:rPr>
        <w:t>日期：</w:t>
      </w:r>
      <w:r>
        <w:rPr>
          <w:rFonts w:ascii="宋体" w:hAnsi="宋体" w:eastAsia="宋体" w:cs="Times New Roman"/>
          <w:color w:val="auto"/>
          <w:szCs w:val="21"/>
          <w:highlight w:val="none"/>
        </w:rPr>
        <w:t>___</w:t>
      </w:r>
      <w:r>
        <w:rPr>
          <w:rFonts w:hint="eastAsia" w:ascii="宋体" w:hAnsi="宋体" w:eastAsia="宋体"/>
          <w:color w:val="auto"/>
          <w:szCs w:val="21"/>
          <w:highlight w:val="none"/>
        </w:rPr>
        <w:t>年</w:t>
      </w:r>
      <w:r>
        <w:rPr>
          <w:rFonts w:ascii="宋体" w:hAnsi="宋体" w:eastAsia="宋体" w:cs="Times New Roman"/>
          <w:color w:val="auto"/>
          <w:szCs w:val="21"/>
          <w:highlight w:val="none"/>
        </w:rPr>
        <w:t>___</w:t>
      </w:r>
      <w:r>
        <w:rPr>
          <w:rFonts w:hint="eastAsia" w:ascii="宋体" w:hAnsi="宋体" w:eastAsia="宋体"/>
          <w:color w:val="auto"/>
          <w:szCs w:val="21"/>
          <w:highlight w:val="none"/>
        </w:rPr>
        <w:t>月</w:t>
      </w:r>
      <w:r>
        <w:rPr>
          <w:rFonts w:ascii="宋体" w:hAnsi="宋体" w:eastAsia="宋体" w:cs="Times New Roman"/>
          <w:color w:val="auto"/>
          <w:szCs w:val="21"/>
          <w:highlight w:val="none"/>
        </w:rPr>
        <w:t>___</w:t>
      </w:r>
      <w:r>
        <w:rPr>
          <w:rFonts w:hint="eastAsia" w:ascii="宋体" w:hAnsi="宋体" w:eastAsia="宋体"/>
          <w:color w:val="auto"/>
          <w:szCs w:val="21"/>
          <w:highlight w:val="none"/>
        </w:rPr>
        <w:t>日</w:t>
      </w:r>
    </w:p>
    <w:p w14:paraId="5C774D0F">
      <w:pPr>
        <w:spacing w:line="360" w:lineRule="auto"/>
        <w:ind w:firstLine="560" w:firstLineChars="200"/>
        <w:jc w:val="right"/>
        <w:rPr>
          <w:rFonts w:ascii="宋体" w:hAnsi="宋体" w:eastAsia="宋体"/>
          <w:color w:val="auto"/>
          <w:sz w:val="28"/>
          <w:szCs w:val="28"/>
          <w:highlight w:val="none"/>
        </w:rPr>
        <w:sectPr>
          <w:pgSz w:w="11906" w:h="16838"/>
          <w:pgMar w:top="1134" w:right="1134" w:bottom="1134" w:left="1134" w:header="851" w:footer="992" w:gutter="0"/>
          <w:pgNumType w:fmt="decimal"/>
          <w:cols w:space="425" w:num="1"/>
          <w:docGrid w:type="lines" w:linePitch="312" w:charSpace="0"/>
        </w:sectPr>
      </w:pPr>
    </w:p>
    <w:p w14:paraId="4B7F2ECB">
      <w:pPr>
        <w:spacing w:line="360" w:lineRule="auto"/>
        <w:jc w:val="cente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 xml:space="preserve">拟投入本工程技术负责人的简历表  </w:t>
      </w:r>
    </w:p>
    <w:p w14:paraId="1FCC3CEB">
      <w:pPr>
        <w:pStyle w:val="120"/>
        <w:spacing w:line="360" w:lineRule="auto"/>
        <w:rPr>
          <w:rFonts w:hint="eastAsia" w:ascii="宋体" w:hAnsi="宋体" w:eastAsia="宋体" w:cs="宋体"/>
          <w:color w:val="auto"/>
          <w:highlight w:val="none"/>
          <w:u w:val="single"/>
        </w:rPr>
      </w:pPr>
    </w:p>
    <w:p w14:paraId="6DC6DCAF">
      <w:pPr>
        <w:pStyle w:val="120"/>
        <w:spacing w:line="360" w:lineRule="auto"/>
        <w:rPr>
          <w:rFonts w:hint="eastAsia" w:ascii="宋体" w:hAnsi="宋体" w:eastAsia="宋体" w:cs="宋体"/>
          <w:color w:val="auto"/>
          <w:highlight w:val="none"/>
        </w:rPr>
      </w:pPr>
      <w:r>
        <w:rPr>
          <w:rFonts w:hint="eastAsia" w:ascii="宋体" w:hAnsi="宋体" w:eastAsia="宋体" w:cs="宋体"/>
          <w:color w:val="auto"/>
          <w:highlight w:val="none"/>
          <w:u w:val="single"/>
        </w:rPr>
        <w:t xml:space="preserve">            （招标工程项目名称）        </w:t>
      </w:r>
      <w:r>
        <w:rPr>
          <w:rFonts w:hint="eastAsia" w:ascii="宋体" w:hAnsi="宋体" w:eastAsia="宋体" w:cs="宋体"/>
          <w:color w:val="auto"/>
          <w:highlight w:val="none"/>
        </w:rPr>
        <w:t xml:space="preserve"> 工程</w:t>
      </w:r>
    </w:p>
    <w:tbl>
      <w:tblPr>
        <w:tblStyle w:val="33"/>
        <w:tblW w:w="92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3"/>
        <w:gridCol w:w="464"/>
        <w:gridCol w:w="1548"/>
        <w:gridCol w:w="328"/>
        <w:gridCol w:w="1219"/>
        <w:gridCol w:w="674"/>
        <w:gridCol w:w="874"/>
        <w:gridCol w:w="711"/>
        <w:gridCol w:w="836"/>
        <w:gridCol w:w="272"/>
        <w:gridCol w:w="1276"/>
      </w:tblGrid>
      <w:tr w14:paraId="6A523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83" w:type="dxa"/>
            <w:vAlign w:val="center"/>
          </w:tcPr>
          <w:p w14:paraId="407D7A5E">
            <w:pPr>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姓名</w:t>
            </w:r>
          </w:p>
        </w:tc>
        <w:tc>
          <w:tcPr>
            <w:tcW w:w="2340" w:type="dxa"/>
            <w:gridSpan w:val="3"/>
            <w:vAlign w:val="center"/>
          </w:tcPr>
          <w:p w14:paraId="2A15AB4E">
            <w:pPr>
              <w:spacing w:line="360" w:lineRule="auto"/>
              <w:jc w:val="center"/>
              <w:rPr>
                <w:rFonts w:hint="eastAsia" w:ascii="宋体" w:hAnsi="宋体" w:eastAsia="宋体" w:cs="宋体"/>
                <w:color w:val="auto"/>
                <w:highlight w:val="none"/>
              </w:rPr>
            </w:pPr>
          </w:p>
        </w:tc>
        <w:tc>
          <w:tcPr>
            <w:tcW w:w="1893" w:type="dxa"/>
            <w:gridSpan w:val="2"/>
            <w:vAlign w:val="center"/>
          </w:tcPr>
          <w:p w14:paraId="71779A0A">
            <w:pPr>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性别</w:t>
            </w:r>
          </w:p>
        </w:tc>
        <w:tc>
          <w:tcPr>
            <w:tcW w:w="1585" w:type="dxa"/>
            <w:gridSpan w:val="2"/>
            <w:vAlign w:val="center"/>
          </w:tcPr>
          <w:p w14:paraId="2FB910AD">
            <w:pPr>
              <w:spacing w:line="360" w:lineRule="auto"/>
              <w:jc w:val="center"/>
              <w:rPr>
                <w:rFonts w:hint="eastAsia" w:ascii="宋体" w:hAnsi="宋体" w:eastAsia="宋体" w:cs="宋体"/>
                <w:color w:val="auto"/>
                <w:highlight w:val="none"/>
              </w:rPr>
            </w:pPr>
          </w:p>
        </w:tc>
        <w:tc>
          <w:tcPr>
            <w:tcW w:w="1108" w:type="dxa"/>
            <w:gridSpan w:val="2"/>
            <w:vAlign w:val="center"/>
          </w:tcPr>
          <w:p w14:paraId="1927841A">
            <w:pPr>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年龄</w:t>
            </w:r>
          </w:p>
        </w:tc>
        <w:tc>
          <w:tcPr>
            <w:tcW w:w="1276" w:type="dxa"/>
            <w:vAlign w:val="center"/>
          </w:tcPr>
          <w:p w14:paraId="424A2CDA">
            <w:pPr>
              <w:spacing w:line="360" w:lineRule="auto"/>
              <w:jc w:val="center"/>
              <w:rPr>
                <w:rFonts w:hint="eastAsia" w:ascii="宋体" w:hAnsi="宋体" w:eastAsia="宋体" w:cs="宋体"/>
                <w:color w:val="auto"/>
                <w:highlight w:val="none"/>
              </w:rPr>
            </w:pPr>
          </w:p>
        </w:tc>
      </w:tr>
      <w:tr w14:paraId="42E54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083" w:type="dxa"/>
            <w:vAlign w:val="center"/>
          </w:tcPr>
          <w:p w14:paraId="7DEE3294">
            <w:pPr>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职务</w:t>
            </w:r>
          </w:p>
        </w:tc>
        <w:tc>
          <w:tcPr>
            <w:tcW w:w="2340" w:type="dxa"/>
            <w:gridSpan w:val="3"/>
            <w:vAlign w:val="center"/>
          </w:tcPr>
          <w:p w14:paraId="68AD2D96">
            <w:pPr>
              <w:spacing w:line="360" w:lineRule="auto"/>
              <w:jc w:val="center"/>
              <w:rPr>
                <w:rFonts w:hint="eastAsia" w:ascii="宋体" w:hAnsi="宋体" w:eastAsia="宋体" w:cs="宋体"/>
                <w:color w:val="auto"/>
                <w:highlight w:val="none"/>
              </w:rPr>
            </w:pPr>
          </w:p>
        </w:tc>
        <w:tc>
          <w:tcPr>
            <w:tcW w:w="1893" w:type="dxa"/>
            <w:gridSpan w:val="2"/>
            <w:vAlign w:val="center"/>
          </w:tcPr>
          <w:p w14:paraId="53B58673">
            <w:pPr>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职称</w:t>
            </w:r>
          </w:p>
        </w:tc>
        <w:tc>
          <w:tcPr>
            <w:tcW w:w="1585" w:type="dxa"/>
            <w:gridSpan w:val="2"/>
            <w:vAlign w:val="center"/>
          </w:tcPr>
          <w:p w14:paraId="5842B74A">
            <w:pPr>
              <w:spacing w:line="360" w:lineRule="auto"/>
              <w:jc w:val="center"/>
              <w:rPr>
                <w:rFonts w:hint="eastAsia" w:ascii="宋体" w:hAnsi="宋体" w:eastAsia="宋体" w:cs="宋体"/>
                <w:color w:val="auto"/>
                <w:highlight w:val="none"/>
              </w:rPr>
            </w:pPr>
          </w:p>
        </w:tc>
        <w:tc>
          <w:tcPr>
            <w:tcW w:w="1108" w:type="dxa"/>
            <w:gridSpan w:val="2"/>
            <w:vAlign w:val="center"/>
          </w:tcPr>
          <w:p w14:paraId="79A29A80">
            <w:pPr>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学历</w:t>
            </w:r>
          </w:p>
        </w:tc>
        <w:tc>
          <w:tcPr>
            <w:tcW w:w="1276" w:type="dxa"/>
            <w:vAlign w:val="center"/>
          </w:tcPr>
          <w:p w14:paraId="288AFDF5">
            <w:pPr>
              <w:spacing w:line="360" w:lineRule="auto"/>
              <w:jc w:val="center"/>
              <w:rPr>
                <w:rFonts w:hint="eastAsia" w:ascii="宋体" w:hAnsi="宋体" w:eastAsia="宋体" w:cs="宋体"/>
                <w:color w:val="auto"/>
                <w:highlight w:val="none"/>
              </w:rPr>
            </w:pPr>
          </w:p>
        </w:tc>
      </w:tr>
      <w:tr w14:paraId="5C550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3423" w:type="dxa"/>
            <w:gridSpan w:val="4"/>
            <w:vAlign w:val="center"/>
          </w:tcPr>
          <w:p w14:paraId="099D27D1">
            <w:pPr>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参加工作时间</w:t>
            </w:r>
          </w:p>
        </w:tc>
        <w:tc>
          <w:tcPr>
            <w:tcW w:w="1893" w:type="dxa"/>
            <w:gridSpan w:val="2"/>
            <w:vAlign w:val="center"/>
          </w:tcPr>
          <w:p w14:paraId="43D7C9C3">
            <w:pPr>
              <w:spacing w:line="360" w:lineRule="auto"/>
              <w:jc w:val="center"/>
              <w:rPr>
                <w:rFonts w:hint="eastAsia" w:ascii="宋体" w:hAnsi="宋体" w:eastAsia="宋体" w:cs="宋体"/>
                <w:color w:val="auto"/>
                <w:highlight w:val="none"/>
              </w:rPr>
            </w:pPr>
          </w:p>
        </w:tc>
        <w:tc>
          <w:tcPr>
            <w:tcW w:w="2693" w:type="dxa"/>
            <w:gridSpan w:val="4"/>
            <w:vAlign w:val="center"/>
          </w:tcPr>
          <w:p w14:paraId="2608E0AD">
            <w:pPr>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担任技术负责人年限</w:t>
            </w:r>
          </w:p>
        </w:tc>
        <w:tc>
          <w:tcPr>
            <w:tcW w:w="1276" w:type="dxa"/>
            <w:vAlign w:val="center"/>
          </w:tcPr>
          <w:p w14:paraId="6AAEFFAD">
            <w:pPr>
              <w:spacing w:line="360" w:lineRule="auto"/>
              <w:jc w:val="center"/>
              <w:rPr>
                <w:rFonts w:hint="eastAsia" w:ascii="宋体" w:hAnsi="宋体" w:eastAsia="宋体" w:cs="宋体"/>
                <w:color w:val="auto"/>
                <w:highlight w:val="none"/>
              </w:rPr>
            </w:pPr>
          </w:p>
        </w:tc>
      </w:tr>
      <w:tr w14:paraId="38C1C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9285" w:type="dxa"/>
            <w:gridSpan w:val="11"/>
            <w:vAlign w:val="center"/>
          </w:tcPr>
          <w:p w14:paraId="279CCDCF">
            <w:pPr>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在建和已完工程项目情况</w:t>
            </w:r>
          </w:p>
        </w:tc>
      </w:tr>
      <w:tr w14:paraId="0E0CA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547" w:type="dxa"/>
            <w:gridSpan w:val="2"/>
            <w:vAlign w:val="center"/>
          </w:tcPr>
          <w:p w14:paraId="7BD6C7EF">
            <w:pPr>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建设单位</w:t>
            </w:r>
          </w:p>
        </w:tc>
        <w:tc>
          <w:tcPr>
            <w:tcW w:w="1548" w:type="dxa"/>
            <w:vAlign w:val="center"/>
          </w:tcPr>
          <w:p w14:paraId="0A7FB5E7">
            <w:pPr>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项目名称</w:t>
            </w:r>
          </w:p>
        </w:tc>
        <w:tc>
          <w:tcPr>
            <w:tcW w:w="1547" w:type="dxa"/>
            <w:gridSpan w:val="2"/>
            <w:vAlign w:val="center"/>
          </w:tcPr>
          <w:p w14:paraId="3B05FBEB">
            <w:pPr>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建设规模</w:t>
            </w:r>
          </w:p>
        </w:tc>
        <w:tc>
          <w:tcPr>
            <w:tcW w:w="1548" w:type="dxa"/>
            <w:gridSpan w:val="2"/>
            <w:vAlign w:val="center"/>
          </w:tcPr>
          <w:p w14:paraId="5420BA23">
            <w:pPr>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开、竣工日期</w:t>
            </w:r>
          </w:p>
        </w:tc>
        <w:tc>
          <w:tcPr>
            <w:tcW w:w="1547" w:type="dxa"/>
            <w:gridSpan w:val="2"/>
            <w:vAlign w:val="center"/>
          </w:tcPr>
          <w:p w14:paraId="36F3DABA">
            <w:pPr>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在建或已完</w:t>
            </w:r>
          </w:p>
        </w:tc>
        <w:tc>
          <w:tcPr>
            <w:tcW w:w="1548" w:type="dxa"/>
            <w:gridSpan w:val="2"/>
            <w:vAlign w:val="center"/>
          </w:tcPr>
          <w:p w14:paraId="555FC97D">
            <w:pPr>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工程质量</w:t>
            </w:r>
          </w:p>
        </w:tc>
      </w:tr>
      <w:tr w14:paraId="1FBC3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1547" w:type="dxa"/>
            <w:gridSpan w:val="2"/>
            <w:vAlign w:val="center"/>
          </w:tcPr>
          <w:p w14:paraId="49F7C65D">
            <w:pPr>
              <w:spacing w:line="360" w:lineRule="auto"/>
              <w:jc w:val="center"/>
              <w:rPr>
                <w:rFonts w:hint="eastAsia" w:ascii="宋体" w:hAnsi="宋体" w:eastAsia="宋体" w:cs="宋体"/>
                <w:color w:val="auto"/>
                <w:highlight w:val="none"/>
              </w:rPr>
            </w:pPr>
          </w:p>
        </w:tc>
        <w:tc>
          <w:tcPr>
            <w:tcW w:w="1548" w:type="dxa"/>
            <w:vAlign w:val="center"/>
          </w:tcPr>
          <w:p w14:paraId="502227E0">
            <w:pPr>
              <w:spacing w:line="360" w:lineRule="auto"/>
              <w:jc w:val="center"/>
              <w:rPr>
                <w:rFonts w:hint="eastAsia" w:ascii="宋体" w:hAnsi="宋体" w:eastAsia="宋体" w:cs="宋体"/>
                <w:color w:val="auto"/>
                <w:highlight w:val="none"/>
              </w:rPr>
            </w:pPr>
          </w:p>
        </w:tc>
        <w:tc>
          <w:tcPr>
            <w:tcW w:w="1547" w:type="dxa"/>
            <w:gridSpan w:val="2"/>
            <w:vAlign w:val="center"/>
          </w:tcPr>
          <w:p w14:paraId="44135A9F">
            <w:pPr>
              <w:spacing w:line="360" w:lineRule="auto"/>
              <w:jc w:val="center"/>
              <w:rPr>
                <w:rFonts w:hint="eastAsia" w:ascii="宋体" w:hAnsi="宋体" w:eastAsia="宋体" w:cs="宋体"/>
                <w:color w:val="auto"/>
                <w:highlight w:val="none"/>
              </w:rPr>
            </w:pPr>
          </w:p>
        </w:tc>
        <w:tc>
          <w:tcPr>
            <w:tcW w:w="1548" w:type="dxa"/>
            <w:gridSpan w:val="2"/>
            <w:vAlign w:val="center"/>
          </w:tcPr>
          <w:p w14:paraId="7C0BE46B">
            <w:pPr>
              <w:spacing w:line="360" w:lineRule="auto"/>
              <w:jc w:val="center"/>
              <w:rPr>
                <w:rFonts w:hint="eastAsia" w:ascii="宋体" w:hAnsi="宋体" w:eastAsia="宋体" w:cs="宋体"/>
                <w:color w:val="auto"/>
                <w:highlight w:val="none"/>
              </w:rPr>
            </w:pPr>
          </w:p>
        </w:tc>
        <w:tc>
          <w:tcPr>
            <w:tcW w:w="1547" w:type="dxa"/>
            <w:gridSpan w:val="2"/>
            <w:vAlign w:val="center"/>
          </w:tcPr>
          <w:p w14:paraId="4CE7DD91">
            <w:pPr>
              <w:spacing w:line="360" w:lineRule="auto"/>
              <w:jc w:val="center"/>
              <w:rPr>
                <w:rFonts w:hint="eastAsia" w:ascii="宋体" w:hAnsi="宋体" w:eastAsia="宋体" w:cs="宋体"/>
                <w:color w:val="auto"/>
                <w:highlight w:val="none"/>
              </w:rPr>
            </w:pPr>
          </w:p>
        </w:tc>
        <w:tc>
          <w:tcPr>
            <w:tcW w:w="1548" w:type="dxa"/>
            <w:gridSpan w:val="2"/>
            <w:vAlign w:val="center"/>
          </w:tcPr>
          <w:p w14:paraId="6CA990D4">
            <w:pPr>
              <w:spacing w:line="360" w:lineRule="auto"/>
              <w:jc w:val="center"/>
              <w:rPr>
                <w:rFonts w:hint="eastAsia" w:ascii="宋体" w:hAnsi="宋体" w:eastAsia="宋体" w:cs="宋体"/>
                <w:color w:val="auto"/>
                <w:highlight w:val="none"/>
              </w:rPr>
            </w:pPr>
          </w:p>
        </w:tc>
      </w:tr>
      <w:tr w14:paraId="5B287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1547" w:type="dxa"/>
            <w:gridSpan w:val="2"/>
            <w:vAlign w:val="center"/>
          </w:tcPr>
          <w:p w14:paraId="1E8CE248">
            <w:pPr>
              <w:spacing w:line="360" w:lineRule="auto"/>
              <w:jc w:val="center"/>
              <w:rPr>
                <w:rFonts w:hint="eastAsia" w:ascii="宋体" w:hAnsi="宋体" w:eastAsia="宋体" w:cs="宋体"/>
                <w:color w:val="auto"/>
                <w:highlight w:val="none"/>
              </w:rPr>
            </w:pPr>
          </w:p>
        </w:tc>
        <w:tc>
          <w:tcPr>
            <w:tcW w:w="1548" w:type="dxa"/>
            <w:vAlign w:val="center"/>
          </w:tcPr>
          <w:p w14:paraId="621D01B2">
            <w:pPr>
              <w:spacing w:line="360" w:lineRule="auto"/>
              <w:jc w:val="center"/>
              <w:rPr>
                <w:rFonts w:hint="eastAsia" w:ascii="宋体" w:hAnsi="宋体" w:eastAsia="宋体" w:cs="宋体"/>
                <w:color w:val="auto"/>
                <w:highlight w:val="none"/>
              </w:rPr>
            </w:pPr>
          </w:p>
        </w:tc>
        <w:tc>
          <w:tcPr>
            <w:tcW w:w="1547" w:type="dxa"/>
            <w:gridSpan w:val="2"/>
            <w:vAlign w:val="center"/>
          </w:tcPr>
          <w:p w14:paraId="0862E7FB">
            <w:pPr>
              <w:spacing w:line="360" w:lineRule="auto"/>
              <w:jc w:val="center"/>
              <w:rPr>
                <w:rFonts w:hint="eastAsia" w:ascii="宋体" w:hAnsi="宋体" w:eastAsia="宋体" w:cs="宋体"/>
                <w:color w:val="auto"/>
                <w:highlight w:val="none"/>
              </w:rPr>
            </w:pPr>
          </w:p>
        </w:tc>
        <w:tc>
          <w:tcPr>
            <w:tcW w:w="1548" w:type="dxa"/>
            <w:gridSpan w:val="2"/>
            <w:vAlign w:val="center"/>
          </w:tcPr>
          <w:p w14:paraId="507F72DA">
            <w:pPr>
              <w:spacing w:line="360" w:lineRule="auto"/>
              <w:jc w:val="center"/>
              <w:rPr>
                <w:rFonts w:hint="eastAsia" w:ascii="宋体" w:hAnsi="宋体" w:eastAsia="宋体" w:cs="宋体"/>
                <w:color w:val="auto"/>
                <w:highlight w:val="none"/>
              </w:rPr>
            </w:pPr>
          </w:p>
        </w:tc>
        <w:tc>
          <w:tcPr>
            <w:tcW w:w="1547" w:type="dxa"/>
            <w:gridSpan w:val="2"/>
            <w:vAlign w:val="center"/>
          </w:tcPr>
          <w:p w14:paraId="0C5271CB">
            <w:pPr>
              <w:spacing w:line="360" w:lineRule="auto"/>
              <w:jc w:val="center"/>
              <w:rPr>
                <w:rFonts w:hint="eastAsia" w:ascii="宋体" w:hAnsi="宋体" w:eastAsia="宋体" w:cs="宋体"/>
                <w:color w:val="auto"/>
                <w:highlight w:val="none"/>
              </w:rPr>
            </w:pPr>
          </w:p>
        </w:tc>
        <w:tc>
          <w:tcPr>
            <w:tcW w:w="1548" w:type="dxa"/>
            <w:gridSpan w:val="2"/>
            <w:vAlign w:val="center"/>
          </w:tcPr>
          <w:p w14:paraId="6B686E0A">
            <w:pPr>
              <w:spacing w:line="360" w:lineRule="auto"/>
              <w:jc w:val="center"/>
              <w:rPr>
                <w:rFonts w:hint="eastAsia" w:ascii="宋体" w:hAnsi="宋体" w:eastAsia="宋体" w:cs="宋体"/>
                <w:color w:val="auto"/>
                <w:highlight w:val="none"/>
              </w:rPr>
            </w:pPr>
          </w:p>
        </w:tc>
      </w:tr>
      <w:tr w14:paraId="6A718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1547" w:type="dxa"/>
            <w:gridSpan w:val="2"/>
            <w:vAlign w:val="center"/>
          </w:tcPr>
          <w:p w14:paraId="4D2A8BFC">
            <w:pPr>
              <w:spacing w:line="360" w:lineRule="auto"/>
              <w:jc w:val="center"/>
              <w:rPr>
                <w:rFonts w:hint="eastAsia" w:ascii="宋体" w:hAnsi="宋体" w:eastAsia="宋体" w:cs="宋体"/>
                <w:color w:val="auto"/>
                <w:highlight w:val="none"/>
              </w:rPr>
            </w:pPr>
          </w:p>
        </w:tc>
        <w:tc>
          <w:tcPr>
            <w:tcW w:w="1548" w:type="dxa"/>
            <w:vAlign w:val="center"/>
          </w:tcPr>
          <w:p w14:paraId="397C3B67">
            <w:pPr>
              <w:spacing w:line="360" w:lineRule="auto"/>
              <w:jc w:val="center"/>
              <w:rPr>
                <w:rFonts w:hint="eastAsia" w:ascii="宋体" w:hAnsi="宋体" w:eastAsia="宋体" w:cs="宋体"/>
                <w:color w:val="auto"/>
                <w:highlight w:val="none"/>
              </w:rPr>
            </w:pPr>
          </w:p>
        </w:tc>
        <w:tc>
          <w:tcPr>
            <w:tcW w:w="1547" w:type="dxa"/>
            <w:gridSpan w:val="2"/>
            <w:vAlign w:val="center"/>
          </w:tcPr>
          <w:p w14:paraId="788AE751">
            <w:pPr>
              <w:spacing w:line="360" w:lineRule="auto"/>
              <w:jc w:val="center"/>
              <w:rPr>
                <w:rFonts w:hint="eastAsia" w:ascii="宋体" w:hAnsi="宋体" w:eastAsia="宋体" w:cs="宋体"/>
                <w:color w:val="auto"/>
                <w:highlight w:val="none"/>
              </w:rPr>
            </w:pPr>
          </w:p>
        </w:tc>
        <w:tc>
          <w:tcPr>
            <w:tcW w:w="1548" w:type="dxa"/>
            <w:gridSpan w:val="2"/>
            <w:vAlign w:val="center"/>
          </w:tcPr>
          <w:p w14:paraId="6C418A04">
            <w:pPr>
              <w:spacing w:line="360" w:lineRule="auto"/>
              <w:jc w:val="center"/>
              <w:rPr>
                <w:rFonts w:hint="eastAsia" w:ascii="宋体" w:hAnsi="宋体" w:eastAsia="宋体" w:cs="宋体"/>
                <w:color w:val="auto"/>
                <w:highlight w:val="none"/>
              </w:rPr>
            </w:pPr>
          </w:p>
        </w:tc>
        <w:tc>
          <w:tcPr>
            <w:tcW w:w="1547" w:type="dxa"/>
            <w:gridSpan w:val="2"/>
            <w:vAlign w:val="center"/>
          </w:tcPr>
          <w:p w14:paraId="1F8B4945">
            <w:pPr>
              <w:spacing w:line="360" w:lineRule="auto"/>
              <w:jc w:val="center"/>
              <w:rPr>
                <w:rFonts w:hint="eastAsia" w:ascii="宋体" w:hAnsi="宋体" w:eastAsia="宋体" w:cs="宋体"/>
                <w:color w:val="auto"/>
                <w:highlight w:val="none"/>
              </w:rPr>
            </w:pPr>
          </w:p>
        </w:tc>
        <w:tc>
          <w:tcPr>
            <w:tcW w:w="1548" w:type="dxa"/>
            <w:gridSpan w:val="2"/>
            <w:vAlign w:val="center"/>
          </w:tcPr>
          <w:p w14:paraId="4A1F14E5">
            <w:pPr>
              <w:spacing w:line="360" w:lineRule="auto"/>
              <w:jc w:val="center"/>
              <w:rPr>
                <w:rFonts w:hint="eastAsia" w:ascii="宋体" w:hAnsi="宋体" w:eastAsia="宋体" w:cs="宋体"/>
                <w:color w:val="auto"/>
                <w:highlight w:val="none"/>
              </w:rPr>
            </w:pPr>
          </w:p>
        </w:tc>
      </w:tr>
      <w:tr w14:paraId="50457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1547" w:type="dxa"/>
            <w:gridSpan w:val="2"/>
            <w:vAlign w:val="center"/>
          </w:tcPr>
          <w:p w14:paraId="318D3BDF">
            <w:pPr>
              <w:spacing w:line="360" w:lineRule="auto"/>
              <w:jc w:val="center"/>
              <w:rPr>
                <w:rFonts w:hint="eastAsia" w:ascii="宋体" w:hAnsi="宋体" w:eastAsia="宋体" w:cs="宋体"/>
                <w:color w:val="auto"/>
                <w:highlight w:val="none"/>
              </w:rPr>
            </w:pPr>
          </w:p>
        </w:tc>
        <w:tc>
          <w:tcPr>
            <w:tcW w:w="1548" w:type="dxa"/>
            <w:vAlign w:val="center"/>
          </w:tcPr>
          <w:p w14:paraId="3218AA9B">
            <w:pPr>
              <w:spacing w:line="360" w:lineRule="auto"/>
              <w:jc w:val="center"/>
              <w:rPr>
                <w:rFonts w:hint="eastAsia" w:ascii="宋体" w:hAnsi="宋体" w:eastAsia="宋体" w:cs="宋体"/>
                <w:color w:val="auto"/>
                <w:highlight w:val="none"/>
              </w:rPr>
            </w:pPr>
          </w:p>
        </w:tc>
        <w:tc>
          <w:tcPr>
            <w:tcW w:w="1547" w:type="dxa"/>
            <w:gridSpan w:val="2"/>
            <w:vAlign w:val="center"/>
          </w:tcPr>
          <w:p w14:paraId="6C141B23">
            <w:pPr>
              <w:spacing w:line="360" w:lineRule="auto"/>
              <w:jc w:val="center"/>
              <w:rPr>
                <w:rFonts w:hint="eastAsia" w:ascii="宋体" w:hAnsi="宋体" w:eastAsia="宋体" w:cs="宋体"/>
                <w:color w:val="auto"/>
                <w:highlight w:val="none"/>
              </w:rPr>
            </w:pPr>
          </w:p>
        </w:tc>
        <w:tc>
          <w:tcPr>
            <w:tcW w:w="1548" w:type="dxa"/>
            <w:gridSpan w:val="2"/>
            <w:vAlign w:val="center"/>
          </w:tcPr>
          <w:p w14:paraId="06469389">
            <w:pPr>
              <w:spacing w:line="360" w:lineRule="auto"/>
              <w:jc w:val="center"/>
              <w:rPr>
                <w:rFonts w:hint="eastAsia" w:ascii="宋体" w:hAnsi="宋体" w:eastAsia="宋体" w:cs="宋体"/>
                <w:color w:val="auto"/>
                <w:highlight w:val="none"/>
              </w:rPr>
            </w:pPr>
          </w:p>
        </w:tc>
        <w:tc>
          <w:tcPr>
            <w:tcW w:w="1547" w:type="dxa"/>
            <w:gridSpan w:val="2"/>
            <w:vAlign w:val="center"/>
          </w:tcPr>
          <w:p w14:paraId="12F2EA55">
            <w:pPr>
              <w:spacing w:line="360" w:lineRule="auto"/>
              <w:jc w:val="center"/>
              <w:rPr>
                <w:rFonts w:hint="eastAsia" w:ascii="宋体" w:hAnsi="宋体" w:eastAsia="宋体" w:cs="宋体"/>
                <w:color w:val="auto"/>
                <w:highlight w:val="none"/>
              </w:rPr>
            </w:pPr>
          </w:p>
        </w:tc>
        <w:tc>
          <w:tcPr>
            <w:tcW w:w="1548" w:type="dxa"/>
            <w:gridSpan w:val="2"/>
            <w:vAlign w:val="center"/>
          </w:tcPr>
          <w:p w14:paraId="407EDCA7">
            <w:pPr>
              <w:spacing w:line="360" w:lineRule="auto"/>
              <w:jc w:val="center"/>
              <w:rPr>
                <w:rFonts w:hint="eastAsia" w:ascii="宋体" w:hAnsi="宋体" w:eastAsia="宋体" w:cs="宋体"/>
                <w:color w:val="auto"/>
                <w:highlight w:val="none"/>
              </w:rPr>
            </w:pPr>
          </w:p>
        </w:tc>
      </w:tr>
    </w:tbl>
    <w:p w14:paraId="2AA107A7">
      <w:pPr>
        <w:spacing w:line="360" w:lineRule="auto"/>
        <w:rPr>
          <w:rFonts w:hint="eastAsia" w:ascii="宋体" w:hAnsi="宋体" w:eastAsia="宋体" w:cs="宋体"/>
          <w:color w:val="auto"/>
          <w:highlight w:val="none"/>
        </w:rPr>
      </w:pPr>
    </w:p>
    <w:p w14:paraId="1318FFBD">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备注：</w:t>
      </w:r>
    </w:p>
    <w:p w14:paraId="1307052F">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技术负责人附职称证书、身份证，拟投入人员所缴纳的</w:t>
      </w:r>
      <w:r>
        <w:rPr>
          <w:rFonts w:hint="eastAsia" w:ascii="宋体" w:hAnsi="宋体" w:eastAsia="宋体" w:cs="宋体"/>
          <w:color w:val="auto"/>
          <w:highlight w:val="none"/>
          <w:lang w:val="en-US" w:eastAsia="zh-CN"/>
        </w:rPr>
        <w:t>社会</w:t>
      </w:r>
      <w:r>
        <w:rPr>
          <w:rFonts w:hint="eastAsia" w:ascii="宋体" w:hAnsi="宋体" w:eastAsia="宋体" w:cs="宋体"/>
          <w:color w:val="auto"/>
          <w:highlight w:val="none"/>
        </w:rPr>
        <w:t>保险凭证复印件（</w:t>
      </w:r>
      <w:r>
        <w:rPr>
          <w:rFonts w:hint="eastAsia" w:ascii="宋体" w:hAnsi="宋体" w:eastAsia="宋体" w:cs="宋体"/>
          <w:color w:val="auto"/>
          <w:highlight w:val="none"/>
          <w:lang w:val="en-US" w:eastAsia="zh-CN"/>
        </w:rPr>
        <w:t>要求磋商截止之日前半年内任意</w:t>
      </w:r>
      <w:r>
        <w:rPr>
          <w:rFonts w:hint="eastAsia" w:ascii="宋体" w:hAnsi="宋体" w:cs="宋体"/>
          <w:color w:val="auto"/>
          <w:highlight w:val="none"/>
          <w:lang w:val="en-US" w:eastAsia="zh-CN"/>
        </w:rPr>
        <w:t>1</w:t>
      </w:r>
      <w:r>
        <w:rPr>
          <w:rFonts w:hint="eastAsia" w:ascii="宋体" w:hAnsi="宋体" w:eastAsia="宋体" w:cs="宋体"/>
          <w:color w:val="auto"/>
          <w:highlight w:val="none"/>
          <w:lang w:val="en-US" w:eastAsia="zh-CN"/>
        </w:rPr>
        <w:t>个月在现任职单位依法缴纳社会保险证明材料的复印件</w:t>
      </w:r>
      <w:r>
        <w:rPr>
          <w:rFonts w:hint="eastAsia" w:ascii="宋体" w:hAnsi="宋体" w:eastAsia="宋体" w:cs="宋体"/>
          <w:color w:val="auto"/>
          <w:highlight w:val="none"/>
        </w:rPr>
        <w:t>）；已完工程（如有）中标（成交）通知书、工程合同协议书、工程竣工验收证明材料的复印件，以及供应商认为需要增加的其他证明材料复印件，以上复印件须加盖供应商</w:t>
      </w:r>
      <w:r>
        <w:rPr>
          <w:rFonts w:hint="eastAsia" w:ascii="宋体" w:hAnsi="宋体" w:cs="宋体"/>
          <w:color w:val="auto"/>
          <w:highlight w:val="none"/>
          <w:lang w:val="en-US" w:eastAsia="zh-CN"/>
        </w:rPr>
        <w:t>电子签章</w:t>
      </w:r>
      <w:r>
        <w:rPr>
          <w:rFonts w:hint="eastAsia" w:ascii="宋体" w:hAnsi="宋体" w:eastAsia="宋体" w:cs="宋体"/>
          <w:color w:val="auto"/>
          <w:highlight w:val="none"/>
        </w:rPr>
        <w:t>。</w:t>
      </w:r>
    </w:p>
    <w:p w14:paraId="011757CC">
      <w:pPr>
        <w:tabs>
          <w:tab w:val="left" w:pos="1305"/>
        </w:tabs>
        <w:spacing w:before="159" w:beforeLines="50" w:after="159" w:afterLines="50" w:line="360" w:lineRule="auto"/>
        <w:jc w:val="center"/>
        <w:rPr>
          <w:rFonts w:hint="eastAsia" w:ascii="宋体" w:hAnsi="宋体" w:eastAsia="宋体" w:cs="宋体"/>
          <w:b/>
          <w:color w:val="auto"/>
          <w:sz w:val="24"/>
          <w:highlight w:val="none"/>
        </w:rPr>
      </w:pPr>
    </w:p>
    <w:p w14:paraId="0FF603DF">
      <w:pPr>
        <w:spacing w:line="360" w:lineRule="auto"/>
        <w:ind w:right="1575" w:rightChars="750"/>
        <w:jc w:val="center"/>
        <w:rPr>
          <w:rFonts w:ascii="宋体" w:hAnsi="宋体" w:eastAsia="宋体"/>
          <w:color w:val="auto"/>
          <w:szCs w:val="21"/>
          <w:highlight w:val="none"/>
        </w:rPr>
      </w:pPr>
      <w:r>
        <w:rPr>
          <w:rFonts w:hint="eastAsia" w:ascii="宋体" w:hAnsi="宋体" w:eastAsia="宋体" w:cs="宋体"/>
          <w:color w:val="auto"/>
          <w:highlight w:val="none"/>
        </w:rPr>
        <w:t>供应商名称（电子签章）：</w:t>
      </w:r>
      <w:r>
        <w:rPr>
          <w:rFonts w:hint="eastAsia" w:ascii="宋体" w:hAnsi="宋体" w:eastAsia="宋体" w:cs="宋体"/>
          <w:color w:val="auto"/>
          <w:highlight w:val="none"/>
          <w:u w:val="single"/>
        </w:rPr>
        <w:t xml:space="preserve">               </w:t>
      </w:r>
    </w:p>
    <w:p w14:paraId="0D25F8A0">
      <w:pPr>
        <w:spacing w:line="360" w:lineRule="auto"/>
        <w:ind w:firstLine="420" w:firstLineChars="200"/>
        <w:jc w:val="center"/>
        <w:rPr>
          <w:rFonts w:ascii="宋体" w:hAnsi="宋体" w:eastAsia="宋体"/>
          <w:color w:val="auto"/>
          <w:sz w:val="28"/>
          <w:szCs w:val="28"/>
          <w:highlight w:val="none"/>
        </w:rPr>
      </w:pPr>
      <w:r>
        <w:rPr>
          <w:rFonts w:hint="eastAsia" w:ascii="宋体" w:hAnsi="宋体" w:eastAsia="宋体"/>
          <w:color w:val="auto"/>
          <w:szCs w:val="21"/>
          <w:highlight w:val="none"/>
        </w:rPr>
        <w:t>日期：</w:t>
      </w:r>
      <w:r>
        <w:rPr>
          <w:rFonts w:ascii="宋体" w:hAnsi="宋体" w:eastAsia="宋体" w:cs="Times New Roman"/>
          <w:color w:val="auto"/>
          <w:szCs w:val="21"/>
          <w:highlight w:val="none"/>
        </w:rPr>
        <w:t>___</w:t>
      </w:r>
      <w:r>
        <w:rPr>
          <w:rFonts w:hint="eastAsia" w:ascii="宋体" w:hAnsi="宋体" w:eastAsia="宋体"/>
          <w:color w:val="auto"/>
          <w:szCs w:val="21"/>
          <w:highlight w:val="none"/>
        </w:rPr>
        <w:t>年</w:t>
      </w:r>
      <w:r>
        <w:rPr>
          <w:rFonts w:ascii="宋体" w:hAnsi="宋体" w:eastAsia="宋体" w:cs="Times New Roman"/>
          <w:color w:val="auto"/>
          <w:szCs w:val="21"/>
          <w:highlight w:val="none"/>
        </w:rPr>
        <w:t>___</w:t>
      </w:r>
      <w:r>
        <w:rPr>
          <w:rFonts w:hint="eastAsia" w:ascii="宋体" w:hAnsi="宋体" w:eastAsia="宋体"/>
          <w:color w:val="auto"/>
          <w:szCs w:val="21"/>
          <w:highlight w:val="none"/>
        </w:rPr>
        <w:t>月</w:t>
      </w:r>
      <w:r>
        <w:rPr>
          <w:rFonts w:ascii="宋体" w:hAnsi="宋体" w:eastAsia="宋体" w:cs="Times New Roman"/>
          <w:color w:val="auto"/>
          <w:szCs w:val="21"/>
          <w:highlight w:val="none"/>
        </w:rPr>
        <w:t>___</w:t>
      </w:r>
      <w:r>
        <w:rPr>
          <w:rFonts w:hint="eastAsia" w:ascii="宋体" w:hAnsi="宋体" w:eastAsia="宋体"/>
          <w:color w:val="auto"/>
          <w:szCs w:val="21"/>
          <w:highlight w:val="none"/>
        </w:rPr>
        <w:t>日</w:t>
      </w:r>
    </w:p>
    <w:p w14:paraId="26CB685D">
      <w:pPr>
        <w:spacing w:line="360" w:lineRule="auto"/>
        <w:ind w:firstLine="560" w:firstLineChars="200"/>
        <w:jc w:val="right"/>
        <w:rPr>
          <w:rFonts w:ascii="宋体" w:hAnsi="宋体" w:eastAsia="宋体"/>
          <w:color w:val="auto"/>
          <w:sz w:val="28"/>
          <w:szCs w:val="28"/>
          <w:highlight w:val="none"/>
        </w:rPr>
        <w:sectPr>
          <w:pgSz w:w="11906" w:h="16838"/>
          <w:pgMar w:top="1134" w:right="1134" w:bottom="1134" w:left="1134" w:header="851" w:footer="992" w:gutter="0"/>
          <w:pgNumType w:fmt="decimal"/>
          <w:cols w:space="425" w:num="1"/>
          <w:docGrid w:type="lines" w:linePitch="312" w:charSpace="0"/>
        </w:sectPr>
      </w:pPr>
    </w:p>
    <w:p w14:paraId="48C9454D">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b/>
          <w:bCs/>
          <w:color w:val="auto"/>
          <w:kern w:val="0"/>
          <w:sz w:val="32"/>
          <w:szCs w:val="32"/>
          <w:highlight w:val="none"/>
          <w:lang w:val="en-US" w:eastAsia="zh-CN" w:bidi="ar"/>
        </w:rPr>
      </w:pPr>
      <w:r>
        <w:rPr>
          <w:rFonts w:hint="eastAsia" w:ascii="宋体" w:hAnsi="宋体" w:cs="宋体"/>
          <w:b/>
          <w:bCs/>
          <w:color w:val="auto"/>
          <w:kern w:val="0"/>
          <w:sz w:val="32"/>
          <w:szCs w:val="32"/>
          <w:highlight w:val="none"/>
          <w:lang w:val="en-US" w:eastAsia="zh-CN" w:bidi="ar"/>
        </w:rPr>
        <w:t>四、</w:t>
      </w:r>
      <w:r>
        <w:rPr>
          <w:rFonts w:hint="eastAsia" w:ascii="宋体" w:hAnsi="宋体" w:eastAsia="宋体" w:cs="宋体"/>
          <w:b/>
          <w:bCs/>
          <w:color w:val="auto"/>
          <w:kern w:val="0"/>
          <w:sz w:val="32"/>
          <w:szCs w:val="32"/>
          <w:highlight w:val="none"/>
          <w:lang w:val="en-US" w:eastAsia="zh-CN" w:bidi="ar"/>
        </w:rPr>
        <w:t>施工组织设计</w:t>
      </w:r>
    </w:p>
    <w:p w14:paraId="10D7350F">
      <w:pPr>
        <w:spacing w:line="360" w:lineRule="auto"/>
        <w:rPr>
          <w:rFonts w:ascii="宋体" w:hAnsi="宋体"/>
          <w:color w:val="auto"/>
          <w:highlight w:val="none"/>
        </w:rPr>
      </w:pPr>
      <w:r>
        <w:rPr>
          <w:rFonts w:hint="eastAsia" w:ascii="宋体" w:hAnsi="宋体"/>
          <w:color w:val="auto"/>
          <w:highlight w:val="none"/>
        </w:rPr>
        <w:t>1.竞标人</w:t>
      </w:r>
      <w:r>
        <w:rPr>
          <w:rFonts w:ascii="宋体" w:hAnsi="宋体"/>
          <w:color w:val="auto"/>
          <w:highlight w:val="none"/>
        </w:rPr>
        <w:t>编制施工组织设计的要求：编制时应采用文字并结合图表形式说明施工方法；拟投入本工程的主要施工设备情况、拟配备本工程的试验和检测仪器设备情况、劳动力计划等；结合工程特点提出切实可行的工程质量、安全生产、文明施工、工程进度、技术组织措施，同时应对关键工序、复杂环节重点提出相应技术措施，如冬雨季施工技术、减少噪音、降低环境污染、地下管线及其他地上地下设施的保护加固措施等。</w:t>
      </w:r>
    </w:p>
    <w:p w14:paraId="4806DAA2">
      <w:pPr>
        <w:spacing w:line="360" w:lineRule="auto"/>
        <w:rPr>
          <w:rFonts w:ascii="宋体" w:hAnsi="宋体"/>
          <w:color w:val="auto"/>
          <w:highlight w:val="none"/>
        </w:rPr>
      </w:pPr>
      <w:r>
        <w:rPr>
          <w:rFonts w:hint="eastAsia" w:ascii="宋体" w:hAnsi="宋体"/>
          <w:color w:val="auto"/>
          <w:highlight w:val="none"/>
        </w:rPr>
        <w:t>2.</w:t>
      </w:r>
      <w:r>
        <w:rPr>
          <w:rFonts w:ascii="宋体" w:hAnsi="宋体"/>
          <w:color w:val="auto"/>
          <w:highlight w:val="none"/>
        </w:rPr>
        <w:t>施工组织设计除采用文字表述外可附下列图表，图表及格式要求附后。</w:t>
      </w:r>
    </w:p>
    <w:p w14:paraId="2709CB88">
      <w:pPr>
        <w:spacing w:line="360" w:lineRule="auto"/>
        <w:rPr>
          <w:rFonts w:ascii="宋体" w:hAnsi="宋体"/>
          <w:color w:val="auto"/>
          <w:highlight w:val="none"/>
        </w:rPr>
      </w:pPr>
      <w:r>
        <w:rPr>
          <w:rFonts w:ascii="宋体" w:hAnsi="宋体"/>
          <w:color w:val="auto"/>
          <w:highlight w:val="none"/>
        </w:rPr>
        <w:t>附表一  拟投入本工程的主要施工设备表</w:t>
      </w:r>
    </w:p>
    <w:p w14:paraId="73478343">
      <w:pPr>
        <w:spacing w:line="360" w:lineRule="auto"/>
        <w:rPr>
          <w:rFonts w:ascii="宋体" w:hAnsi="宋体"/>
          <w:color w:val="auto"/>
          <w:highlight w:val="none"/>
        </w:rPr>
      </w:pPr>
      <w:r>
        <w:rPr>
          <w:rFonts w:ascii="宋体" w:hAnsi="宋体"/>
          <w:color w:val="auto"/>
          <w:highlight w:val="none"/>
        </w:rPr>
        <w:t>附表二  拟配备本工程的试验和检测仪器设备表</w:t>
      </w:r>
    </w:p>
    <w:p w14:paraId="260B9CD0">
      <w:pPr>
        <w:spacing w:line="360" w:lineRule="auto"/>
        <w:rPr>
          <w:rFonts w:ascii="宋体" w:hAnsi="宋体"/>
          <w:color w:val="auto"/>
          <w:highlight w:val="none"/>
        </w:rPr>
      </w:pPr>
      <w:r>
        <w:rPr>
          <w:rFonts w:ascii="宋体" w:hAnsi="宋体"/>
          <w:color w:val="auto"/>
          <w:highlight w:val="none"/>
        </w:rPr>
        <w:t>附表三  劳动力计划表</w:t>
      </w:r>
    </w:p>
    <w:p w14:paraId="3353680D">
      <w:pPr>
        <w:spacing w:line="360" w:lineRule="auto"/>
        <w:rPr>
          <w:rFonts w:ascii="宋体" w:hAnsi="宋体"/>
          <w:color w:val="auto"/>
          <w:highlight w:val="none"/>
        </w:rPr>
      </w:pPr>
      <w:r>
        <w:rPr>
          <w:rFonts w:ascii="宋体" w:hAnsi="宋体"/>
          <w:color w:val="auto"/>
          <w:highlight w:val="none"/>
        </w:rPr>
        <w:t>附表四  计划开、竣工日期和施工进度网络图</w:t>
      </w:r>
    </w:p>
    <w:p w14:paraId="1C35F495">
      <w:pPr>
        <w:spacing w:line="360" w:lineRule="auto"/>
        <w:rPr>
          <w:rFonts w:ascii="宋体" w:hAnsi="宋体"/>
          <w:color w:val="auto"/>
          <w:highlight w:val="none"/>
        </w:rPr>
      </w:pPr>
      <w:r>
        <w:rPr>
          <w:rFonts w:ascii="宋体" w:hAnsi="宋体"/>
          <w:color w:val="auto"/>
          <w:highlight w:val="none"/>
        </w:rPr>
        <w:t>附表五  施工总平面图</w:t>
      </w:r>
    </w:p>
    <w:p w14:paraId="70AFA9FF">
      <w:pPr>
        <w:spacing w:line="360" w:lineRule="auto"/>
        <w:rPr>
          <w:rFonts w:ascii="宋体" w:hAnsi="宋体"/>
          <w:color w:val="auto"/>
          <w:highlight w:val="none"/>
        </w:rPr>
      </w:pPr>
      <w:r>
        <w:rPr>
          <w:rFonts w:ascii="宋体" w:hAnsi="宋体"/>
          <w:color w:val="auto"/>
          <w:highlight w:val="none"/>
        </w:rPr>
        <w:t>附表六  临时用地表</w:t>
      </w:r>
    </w:p>
    <w:p w14:paraId="4255D1B3">
      <w:pPr>
        <w:spacing w:line="360" w:lineRule="auto"/>
        <w:rPr>
          <w:rFonts w:ascii="宋体" w:hAnsi="宋体"/>
          <w:color w:val="auto"/>
          <w:highlight w:val="none"/>
        </w:rPr>
      </w:pPr>
    </w:p>
    <w:p w14:paraId="249B3672">
      <w:pPr>
        <w:spacing w:line="360" w:lineRule="auto"/>
        <w:rPr>
          <w:rFonts w:ascii="宋体" w:hAnsi="宋体"/>
          <w:color w:val="auto"/>
          <w:highlight w:val="none"/>
        </w:rPr>
      </w:pPr>
      <w:r>
        <w:rPr>
          <w:rFonts w:ascii="宋体" w:hAnsi="宋体"/>
          <w:color w:val="auto"/>
          <w:highlight w:val="none"/>
        </w:rPr>
        <w:t>附表一：拟投入本工程的主要施工设备表</w:t>
      </w:r>
    </w:p>
    <w:tbl>
      <w:tblPr>
        <w:tblStyle w:val="33"/>
        <w:tblW w:w="1036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1061"/>
        <w:gridCol w:w="1061"/>
        <w:gridCol w:w="1062"/>
        <w:gridCol w:w="1061"/>
        <w:gridCol w:w="1061"/>
        <w:gridCol w:w="1062"/>
        <w:gridCol w:w="1061"/>
        <w:gridCol w:w="1061"/>
        <w:gridCol w:w="1062"/>
      </w:tblGrid>
      <w:tr w14:paraId="1F154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16" w:type="dxa"/>
            <w:vAlign w:val="center"/>
          </w:tcPr>
          <w:p w14:paraId="5DF2AF87">
            <w:pPr>
              <w:spacing w:line="360" w:lineRule="auto"/>
              <w:jc w:val="center"/>
              <w:rPr>
                <w:rFonts w:ascii="宋体" w:hAnsi="宋体"/>
                <w:color w:val="auto"/>
                <w:szCs w:val="21"/>
                <w:highlight w:val="none"/>
              </w:rPr>
            </w:pPr>
            <w:r>
              <w:rPr>
                <w:rFonts w:ascii="宋体" w:hAnsi="宋体"/>
                <w:color w:val="auto"/>
                <w:szCs w:val="21"/>
                <w:highlight w:val="none"/>
              </w:rPr>
              <w:t>序号</w:t>
            </w:r>
          </w:p>
        </w:tc>
        <w:tc>
          <w:tcPr>
            <w:tcW w:w="1061" w:type="dxa"/>
            <w:vAlign w:val="center"/>
          </w:tcPr>
          <w:p w14:paraId="63D8D631">
            <w:pPr>
              <w:spacing w:line="360" w:lineRule="auto"/>
              <w:jc w:val="center"/>
              <w:rPr>
                <w:rFonts w:ascii="宋体" w:hAnsi="宋体"/>
                <w:color w:val="auto"/>
                <w:szCs w:val="21"/>
                <w:highlight w:val="none"/>
              </w:rPr>
            </w:pPr>
            <w:r>
              <w:rPr>
                <w:rFonts w:ascii="宋体" w:hAnsi="宋体"/>
                <w:color w:val="auto"/>
                <w:szCs w:val="21"/>
                <w:highlight w:val="none"/>
              </w:rPr>
              <w:t>设备名称</w:t>
            </w:r>
          </w:p>
        </w:tc>
        <w:tc>
          <w:tcPr>
            <w:tcW w:w="1061" w:type="dxa"/>
            <w:vAlign w:val="center"/>
          </w:tcPr>
          <w:p w14:paraId="0395DC48">
            <w:pPr>
              <w:spacing w:line="360" w:lineRule="auto"/>
              <w:jc w:val="center"/>
              <w:rPr>
                <w:rFonts w:ascii="宋体" w:hAnsi="宋体"/>
                <w:color w:val="auto"/>
                <w:szCs w:val="21"/>
                <w:highlight w:val="none"/>
              </w:rPr>
            </w:pPr>
            <w:r>
              <w:rPr>
                <w:rFonts w:ascii="宋体" w:hAnsi="宋体"/>
                <w:color w:val="auto"/>
                <w:szCs w:val="21"/>
                <w:highlight w:val="none"/>
              </w:rPr>
              <w:t>型号规格</w:t>
            </w:r>
          </w:p>
        </w:tc>
        <w:tc>
          <w:tcPr>
            <w:tcW w:w="1062" w:type="dxa"/>
            <w:vAlign w:val="center"/>
          </w:tcPr>
          <w:p w14:paraId="08C271BF">
            <w:pPr>
              <w:spacing w:line="360" w:lineRule="auto"/>
              <w:jc w:val="center"/>
              <w:rPr>
                <w:rFonts w:ascii="宋体" w:hAnsi="宋体"/>
                <w:color w:val="auto"/>
                <w:szCs w:val="21"/>
                <w:highlight w:val="none"/>
              </w:rPr>
            </w:pPr>
            <w:r>
              <w:rPr>
                <w:rFonts w:ascii="宋体" w:hAnsi="宋体"/>
                <w:color w:val="auto"/>
                <w:szCs w:val="21"/>
                <w:highlight w:val="none"/>
              </w:rPr>
              <w:t>数量</w:t>
            </w:r>
          </w:p>
        </w:tc>
        <w:tc>
          <w:tcPr>
            <w:tcW w:w="1061" w:type="dxa"/>
            <w:vAlign w:val="center"/>
          </w:tcPr>
          <w:p w14:paraId="687E0B43">
            <w:pPr>
              <w:spacing w:line="360" w:lineRule="auto"/>
              <w:jc w:val="center"/>
              <w:rPr>
                <w:rFonts w:ascii="宋体" w:hAnsi="宋体"/>
                <w:color w:val="auto"/>
                <w:szCs w:val="21"/>
                <w:highlight w:val="none"/>
              </w:rPr>
            </w:pPr>
            <w:r>
              <w:rPr>
                <w:rFonts w:ascii="宋体" w:hAnsi="宋体"/>
                <w:color w:val="auto"/>
                <w:szCs w:val="21"/>
                <w:highlight w:val="none"/>
              </w:rPr>
              <w:t>国别产地</w:t>
            </w:r>
          </w:p>
        </w:tc>
        <w:tc>
          <w:tcPr>
            <w:tcW w:w="1061" w:type="dxa"/>
            <w:vAlign w:val="center"/>
          </w:tcPr>
          <w:p w14:paraId="24B26126">
            <w:pPr>
              <w:spacing w:line="360" w:lineRule="auto"/>
              <w:jc w:val="center"/>
              <w:rPr>
                <w:rFonts w:ascii="宋体" w:hAnsi="宋体"/>
                <w:color w:val="auto"/>
                <w:szCs w:val="21"/>
                <w:highlight w:val="none"/>
              </w:rPr>
            </w:pPr>
            <w:r>
              <w:rPr>
                <w:rFonts w:ascii="宋体" w:hAnsi="宋体"/>
                <w:color w:val="auto"/>
                <w:szCs w:val="21"/>
                <w:highlight w:val="none"/>
              </w:rPr>
              <w:t>制造年份</w:t>
            </w:r>
          </w:p>
        </w:tc>
        <w:tc>
          <w:tcPr>
            <w:tcW w:w="1062" w:type="dxa"/>
            <w:vAlign w:val="center"/>
          </w:tcPr>
          <w:p w14:paraId="7CA839DF">
            <w:pPr>
              <w:spacing w:line="360" w:lineRule="auto"/>
              <w:jc w:val="center"/>
              <w:rPr>
                <w:rFonts w:ascii="宋体" w:hAnsi="宋体"/>
                <w:color w:val="auto"/>
                <w:szCs w:val="21"/>
                <w:highlight w:val="none"/>
              </w:rPr>
            </w:pPr>
            <w:r>
              <w:rPr>
                <w:rFonts w:ascii="宋体" w:hAnsi="宋体"/>
                <w:color w:val="auto"/>
                <w:szCs w:val="21"/>
                <w:highlight w:val="none"/>
              </w:rPr>
              <w:t>额定功率</w:t>
            </w:r>
          </w:p>
          <w:p w14:paraId="76A0257B">
            <w:pPr>
              <w:spacing w:line="360" w:lineRule="auto"/>
              <w:jc w:val="center"/>
              <w:rPr>
                <w:rFonts w:ascii="宋体" w:hAnsi="宋体"/>
                <w:color w:val="auto"/>
                <w:szCs w:val="21"/>
                <w:highlight w:val="none"/>
              </w:rPr>
            </w:pPr>
            <w:r>
              <w:rPr>
                <w:rFonts w:ascii="宋体" w:hAnsi="宋体"/>
                <w:color w:val="auto"/>
                <w:szCs w:val="21"/>
                <w:highlight w:val="none"/>
              </w:rPr>
              <w:t>（ KW ）</w:t>
            </w:r>
          </w:p>
        </w:tc>
        <w:tc>
          <w:tcPr>
            <w:tcW w:w="1061" w:type="dxa"/>
            <w:vAlign w:val="center"/>
          </w:tcPr>
          <w:p w14:paraId="3D76B93B">
            <w:pPr>
              <w:spacing w:line="360" w:lineRule="auto"/>
              <w:jc w:val="center"/>
              <w:rPr>
                <w:rFonts w:ascii="宋体" w:hAnsi="宋体"/>
                <w:color w:val="auto"/>
                <w:szCs w:val="21"/>
                <w:highlight w:val="none"/>
              </w:rPr>
            </w:pPr>
            <w:r>
              <w:rPr>
                <w:rFonts w:ascii="宋体" w:hAnsi="宋体"/>
                <w:color w:val="auto"/>
                <w:szCs w:val="21"/>
                <w:highlight w:val="none"/>
              </w:rPr>
              <w:t>生产能力</w:t>
            </w:r>
          </w:p>
        </w:tc>
        <w:tc>
          <w:tcPr>
            <w:tcW w:w="1061" w:type="dxa"/>
            <w:vAlign w:val="center"/>
          </w:tcPr>
          <w:p w14:paraId="267B0C7C">
            <w:pPr>
              <w:spacing w:line="360" w:lineRule="auto"/>
              <w:jc w:val="center"/>
              <w:rPr>
                <w:rFonts w:ascii="宋体" w:hAnsi="宋体"/>
                <w:color w:val="auto"/>
                <w:szCs w:val="21"/>
                <w:highlight w:val="none"/>
              </w:rPr>
            </w:pPr>
            <w:r>
              <w:rPr>
                <w:rFonts w:ascii="宋体" w:hAnsi="宋体"/>
                <w:color w:val="auto"/>
                <w:szCs w:val="21"/>
                <w:highlight w:val="none"/>
              </w:rPr>
              <w:t>用于施工部位</w:t>
            </w:r>
          </w:p>
        </w:tc>
        <w:tc>
          <w:tcPr>
            <w:tcW w:w="1062" w:type="dxa"/>
            <w:vAlign w:val="center"/>
          </w:tcPr>
          <w:p w14:paraId="0CA5147A">
            <w:pPr>
              <w:spacing w:line="360" w:lineRule="auto"/>
              <w:jc w:val="center"/>
              <w:rPr>
                <w:rFonts w:ascii="宋体" w:hAnsi="宋体"/>
                <w:color w:val="auto"/>
                <w:szCs w:val="21"/>
                <w:highlight w:val="none"/>
              </w:rPr>
            </w:pPr>
            <w:r>
              <w:rPr>
                <w:rFonts w:ascii="宋体" w:hAnsi="宋体"/>
                <w:color w:val="auto"/>
                <w:szCs w:val="21"/>
                <w:highlight w:val="none"/>
              </w:rPr>
              <w:t>备注</w:t>
            </w:r>
          </w:p>
        </w:tc>
      </w:tr>
      <w:tr w14:paraId="58DBF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16" w:type="dxa"/>
            <w:vAlign w:val="center"/>
          </w:tcPr>
          <w:p w14:paraId="3533E630">
            <w:pPr>
              <w:spacing w:line="360" w:lineRule="auto"/>
              <w:jc w:val="center"/>
              <w:rPr>
                <w:rFonts w:ascii="宋体" w:hAnsi="宋体"/>
                <w:color w:val="auto"/>
                <w:highlight w:val="none"/>
              </w:rPr>
            </w:pPr>
            <w:r>
              <w:rPr>
                <w:rFonts w:hint="eastAsia" w:ascii="宋体" w:hAnsi="宋体"/>
                <w:color w:val="auto"/>
                <w:highlight w:val="none"/>
              </w:rPr>
              <w:t>……</w:t>
            </w:r>
          </w:p>
        </w:tc>
        <w:tc>
          <w:tcPr>
            <w:tcW w:w="1061" w:type="dxa"/>
            <w:vAlign w:val="center"/>
          </w:tcPr>
          <w:p w14:paraId="0949A8B6">
            <w:pPr>
              <w:spacing w:line="360" w:lineRule="auto"/>
              <w:ind w:firstLine="420" w:firstLineChars="200"/>
              <w:jc w:val="center"/>
              <w:rPr>
                <w:rFonts w:ascii="宋体" w:hAnsi="宋体"/>
                <w:color w:val="auto"/>
                <w:szCs w:val="21"/>
                <w:highlight w:val="none"/>
              </w:rPr>
            </w:pPr>
          </w:p>
        </w:tc>
        <w:tc>
          <w:tcPr>
            <w:tcW w:w="1061" w:type="dxa"/>
            <w:vAlign w:val="center"/>
          </w:tcPr>
          <w:p w14:paraId="11388A41">
            <w:pPr>
              <w:spacing w:line="360" w:lineRule="auto"/>
              <w:jc w:val="center"/>
              <w:rPr>
                <w:rFonts w:ascii="宋体" w:hAnsi="宋体"/>
                <w:color w:val="auto"/>
                <w:szCs w:val="21"/>
                <w:highlight w:val="none"/>
              </w:rPr>
            </w:pPr>
          </w:p>
        </w:tc>
        <w:tc>
          <w:tcPr>
            <w:tcW w:w="1062" w:type="dxa"/>
            <w:vAlign w:val="center"/>
          </w:tcPr>
          <w:p w14:paraId="6EB488E2">
            <w:pPr>
              <w:spacing w:line="360" w:lineRule="auto"/>
              <w:jc w:val="center"/>
              <w:rPr>
                <w:rFonts w:ascii="宋体" w:hAnsi="宋体"/>
                <w:color w:val="auto"/>
                <w:szCs w:val="21"/>
                <w:highlight w:val="none"/>
              </w:rPr>
            </w:pPr>
          </w:p>
        </w:tc>
        <w:tc>
          <w:tcPr>
            <w:tcW w:w="1061" w:type="dxa"/>
            <w:vAlign w:val="center"/>
          </w:tcPr>
          <w:p w14:paraId="0B34D70B">
            <w:pPr>
              <w:spacing w:line="360" w:lineRule="auto"/>
              <w:jc w:val="center"/>
              <w:rPr>
                <w:rFonts w:ascii="宋体" w:hAnsi="宋体"/>
                <w:color w:val="auto"/>
                <w:szCs w:val="21"/>
                <w:highlight w:val="none"/>
              </w:rPr>
            </w:pPr>
          </w:p>
        </w:tc>
        <w:tc>
          <w:tcPr>
            <w:tcW w:w="1061" w:type="dxa"/>
            <w:vAlign w:val="center"/>
          </w:tcPr>
          <w:p w14:paraId="0C85E20B">
            <w:pPr>
              <w:spacing w:line="360" w:lineRule="auto"/>
              <w:jc w:val="center"/>
              <w:rPr>
                <w:rFonts w:ascii="宋体" w:hAnsi="宋体"/>
                <w:color w:val="auto"/>
                <w:szCs w:val="21"/>
                <w:highlight w:val="none"/>
              </w:rPr>
            </w:pPr>
          </w:p>
        </w:tc>
        <w:tc>
          <w:tcPr>
            <w:tcW w:w="1062" w:type="dxa"/>
            <w:vAlign w:val="center"/>
          </w:tcPr>
          <w:p w14:paraId="2C197741">
            <w:pPr>
              <w:spacing w:line="360" w:lineRule="auto"/>
              <w:jc w:val="center"/>
              <w:rPr>
                <w:rFonts w:ascii="宋体" w:hAnsi="宋体"/>
                <w:color w:val="auto"/>
                <w:szCs w:val="21"/>
                <w:highlight w:val="none"/>
              </w:rPr>
            </w:pPr>
          </w:p>
        </w:tc>
        <w:tc>
          <w:tcPr>
            <w:tcW w:w="1061" w:type="dxa"/>
            <w:vAlign w:val="center"/>
          </w:tcPr>
          <w:p w14:paraId="75CFB7AE">
            <w:pPr>
              <w:spacing w:line="360" w:lineRule="auto"/>
              <w:jc w:val="center"/>
              <w:rPr>
                <w:rFonts w:ascii="宋体" w:hAnsi="宋体"/>
                <w:color w:val="auto"/>
                <w:szCs w:val="21"/>
                <w:highlight w:val="none"/>
              </w:rPr>
            </w:pPr>
          </w:p>
        </w:tc>
        <w:tc>
          <w:tcPr>
            <w:tcW w:w="1061" w:type="dxa"/>
            <w:vAlign w:val="center"/>
          </w:tcPr>
          <w:p w14:paraId="20EFB364">
            <w:pPr>
              <w:spacing w:line="360" w:lineRule="auto"/>
              <w:jc w:val="center"/>
              <w:rPr>
                <w:rFonts w:ascii="宋体" w:hAnsi="宋体"/>
                <w:color w:val="auto"/>
                <w:szCs w:val="21"/>
                <w:highlight w:val="none"/>
              </w:rPr>
            </w:pPr>
          </w:p>
        </w:tc>
        <w:tc>
          <w:tcPr>
            <w:tcW w:w="1062" w:type="dxa"/>
            <w:vAlign w:val="center"/>
          </w:tcPr>
          <w:p w14:paraId="18C5A4E9">
            <w:pPr>
              <w:spacing w:line="360" w:lineRule="auto"/>
              <w:jc w:val="center"/>
              <w:rPr>
                <w:rFonts w:ascii="宋体" w:hAnsi="宋体"/>
                <w:color w:val="auto"/>
                <w:szCs w:val="21"/>
                <w:highlight w:val="none"/>
              </w:rPr>
            </w:pPr>
          </w:p>
        </w:tc>
      </w:tr>
      <w:tr w14:paraId="7828C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16" w:type="dxa"/>
            <w:vAlign w:val="center"/>
          </w:tcPr>
          <w:p w14:paraId="616F3627">
            <w:pPr>
              <w:spacing w:line="360" w:lineRule="auto"/>
              <w:jc w:val="center"/>
              <w:rPr>
                <w:rFonts w:ascii="宋体" w:hAnsi="宋体"/>
                <w:color w:val="auto"/>
                <w:highlight w:val="none"/>
              </w:rPr>
            </w:pPr>
            <w:r>
              <w:rPr>
                <w:rFonts w:hint="eastAsia" w:ascii="宋体" w:hAnsi="宋体"/>
                <w:color w:val="auto"/>
                <w:highlight w:val="none"/>
              </w:rPr>
              <w:t>N</w:t>
            </w:r>
          </w:p>
        </w:tc>
        <w:tc>
          <w:tcPr>
            <w:tcW w:w="1061" w:type="dxa"/>
            <w:vAlign w:val="center"/>
          </w:tcPr>
          <w:p w14:paraId="44E8A57D">
            <w:pPr>
              <w:spacing w:line="360" w:lineRule="auto"/>
              <w:jc w:val="center"/>
              <w:rPr>
                <w:rFonts w:ascii="宋体" w:hAnsi="宋体"/>
                <w:color w:val="auto"/>
                <w:szCs w:val="21"/>
                <w:highlight w:val="none"/>
              </w:rPr>
            </w:pPr>
          </w:p>
        </w:tc>
        <w:tc>
          <w:tcPr>
            <w:tcW w:w="1061" w:type="dxa"/>
            <w:vAlign w:val="center"/>
          </w:tcPr>
          <w:p w14:paraId="1769C594">
            <w:pPr>
              <w:spacing w:line="360" w:lineRule="auto"/>
              <w:jc w:val="center"/>
              <w:rPr>
                <w:rFonts w:ascii="宋体" w:hAnsi="宋体"/>
                <w:color w:val="auto"/>
                <w:szCs w:val="21"/>
                <w:highlight w:val="none"/>
              </w:rPr>
            </w:pPr>
          </w:p>
        </w:tc>
        <w:tc>
          <w:tcPr>
            <w:tcW w:w="1062" w:type="dxa"/>
            <w:vAlign w:val="center"/>
          </w:tcPr>
          <w:p w14:paraId="7970F74A">
            <w:pPr>
              <w:spacing w:line="360" w:lineRule="auto"/>
              <w:jc w:val="center"/>
              <w:rPr>
                <w:rFonts w:ascii="宋体" w:hAnsi="宋体"/>
                <w:color w:val="auto"/>
                <w:szCs w:val="21"/>
                <w:highlight w:val="none"/>
              </w:rPr>
            </w:pPr>
          </w:p>
        </w:tc>
        <w:tc>
          <w:tcPr>
            <w:tcW w:w="1061" w:type="dxa"/>
            <w:vAlign w:val="center"/>
          </w:tcPr>
          <w:p w14:paraId="04B01B88">
            <w:pPr>
              <w:spacing w:line="360" w:lineRule="auto"/>
              <w:jc w:val="center"/>
              <w:rPr>
                <w:rFonts w:ascii="宋体" w:hAnsi="宋体"/>
                <w:color w:val="auto"/>
                <w:szCs w:val="21"/>
                <w:highlight w:val="none"/>
              </w:rPr>
            </w:pPr>
          </w:p>
        </w:tc>
        <w:tc>
          <w:tcPr>
            <w:tcW w:w="1061" w:type="dxa"/>
            <w:vAlign w:val="center"/>
          </w:tcPr>
          <w:p w14:paraId="74293060">
            <w:pPr>
              <w:spacing w:line="360" w:lineRule="auto"/>
              <w:jc w:val="center"/>
              <w:rPr>
                <w:rFonts w:ascii="宋体" w:hAnsi="宋体"/>
                <w:color w:val="auto"/>
                <w:szCs w:val="21"/>
                <w:highlight w:val="none"/>
              </w:rPr>
            </w:pPr>
          </w:p>
        </w:tc>
        <w:tc>
          <w:tcPr>
            <w:tcW w:w="1062" w:type="dxa"/>
            <w:vAlign w:val="center"/>
          </w:tcPr>
          <w:p w14:paraId="20CAA02B">
            <w:pPr>
              <w:spacing w:line="360" w:lineRule="auto"/>
              <w:jc w:val="center"/>
              <w:rPr>
                <w:rFonts w:ascii="宋体" w:hAnsi="宋体"/>
                <w:color w:val="auto"/>
                <w:szCs w:val="21"/>
                <w:highlight w:val="none"/>
              </w:rPr>
            </w:pPr>
          </w:p>
        </w:tc>
        <w:tc>
          <w:tcPr>
            <w:tcW w:w="1061" w:type="dxa"/>
            <w:vAlign w:val="center"/>
          </w:tcPr>
          <w:p w14:paraId="39C238C7">
            <w:pPr>
              <w:spacing w:line="360" w:lineRule="auto"/>
              <w:jc w:val="center"/>
              <w:rPr>
                <w:rFonts w:ascii="宋体" w:hAnsi="宋体"/>
                <w:color w:val="auto"/>
                <w:szCs w:val="21"/>
                <w:highlight w:val="none"/>
              </w:rPr>
            </w:pPr>
          </w:p>
        </w:tc>
        <w:tc>
          <w:tcPr>
            <w:tcW w:w="1061" w:type="dxa"/>
            <w:vAlign w:val="center"/>
          </w:tcPr>
          <w:p w14:paraId="499EFB23">
            <w:pPr>
              <w:spacing w:line="360" w:lineRule="auto"/>
              <w:jc w:val="center"/>
              <w:rPr>
                <w:rFonts w:ascii="宋体" w:hAnsi="宋体"/>
                <w:color w:val="auto"/>
                <w:szCs w:val="21"/>
                <w:highlight w:val="none"/>
              </w:rPr>
            </w:pPr>
          </w:p>
        </w:tc>
        <w:tc>
          <w:tcPr>
            <w:tcW w:w="1062" w:type="dxa"/>
            <w:vAlign w:val="center"/>
          </w:tcPr>
          <w:p w14:paraId="16AD6979">
            <w:pPr>
              <w:spacing w:line="360" w:lineRule="auto"/>
              <w:jc w:val="center"/>
              <w:rPr>
                <w:rFonts w:ascii="宋体" w:hAnsi="宋体"/>
                <w:color w:val="auto"/>
                <w:szCs w:val="21"/>
                <w:highlight w:val="none"/>
              </w:rPr>
            </w:pPr>
          </w:p>
        </w:tc>
      </w:tr>
    </w:tbl>
    <w:p w14:paraId="52F40551">
      <w:pPr>
        <w:spacing w:line="360" w:lineRule="auto"/>
        <w:rPr>
          <w:color w:val="auto"/>
          <w:highlight w:val="none"/>
        </w:rPr>
      </w:pPr>
    </w:p>
    <w:p w14:paraId="1FB8D31F">
      <w:pPr>
        <w:spacing w:line="360" w:lineRule="auto"/>
        <w:rPr>
          <w:color w:val="auto"/>
          <w:highlight w:val="none"/>
        </w:rPr>
      </w:pPr>
      <w:r>
        <w:rPr>
          <w:color w:val="auto"/>
          <w:highlight w:val="none"/>
        </w:rPr>
        <w:t>附表二：拟配备本工程的试验和检测仪器设备表</w:t>
      </w:r>
    </w:p>
    <w:tbl>
      <w:tblPr>
        <w:tblStyle w:val="33"/>
        <w:tblW w:w="1036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0"/>
        <w:gridCol w:w="1216"/>
        <w:gridCol w:w="1216"/>
        <w:gridCol w:w="1216"/>
        <w:gridCol w:w="1216"/>
        <w:gridCol w:w="1216"/>
        <w:gridCol w:w="1216"/>
        <w:gridCol w:w="1216"/>
        <w:gridCol w:w="1216"/>
      </w:tblGrid>
      <w:tr w14:paraId="71E2A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40" w:type="dxa"/>
            <w:vAlign w:val="center"/>
          </w:tcPr>
          <w:p w14:paraId="27FD9DCE">
            <w:pPr>
              <w:spacing w:line="360" w:lineRule="auto"/>
              <w:jc w:val="center"/>
              <w:rPr>
                <w:rFonts w:ascii="宋体" w:hAnsi="宋体"/>
                <w:color w:val="auto"/>
                <w:szCs w:val="21"/>
                <w:highlight w:val="none"/>
              </w:rPr>
            </w:pPr>
            <w:r>
              <w:rPr>
                <w:rFonts w:ascii="宋体" w:hAnsi="宋体"/>
                <w:color w:val="auto"/>
                <w:szCs w:val="21"/>
                <w:highlight w:val="none"/>
              </w:rPr>
              <w:t>序号</w:t>
            </w:r>
          </w:p>
        </w:tc>
        <w:tc>
          <w:tcPr>
            <w:tcW w:w="1216" w:type="dxa"/>
            <w:vAlign w:val="center"/>
          </w:tcPr>
          <w:p w14:paraId="2F1518A3">
            <w:pPr>
              <w:spacing w:line="360" w:lineRule="auto"/>
              <w:jc w:val="center"/>
              <w:rPr>
                <w:rFonts w:ascii="宋体" w:hAnsi="宋体"/>
                <w:color w:val="auto"/>
                <w:szCs w:val="21"/>
                <w:highlight w:val="none"/>
              </w:rPr>
            </w:pPr>
            <w:r>
              <w:rPr>
                <w:rFonts w:ascii="宋体" w:hAnsi="宋体"/>
                <w:color w:val="auto"/>
                <w:szCs w:val="21"/>
                <w:highlight w:val="none"/>
              </w:rPr>
              <w:t>仪器设备</w:t>
            </w:r>
          </w:p>
          <w:p w14:paraId="5D2E6C16">
            <w:pPr>
              <w:spacing w:line="360" w:lineRule="auto"/>
              <w:jc w:val="center"/>
              <w:rPr>
                <w:rFonts w:ascii="宋体" w:hAnsi="宋体"/>
                <w:color w:val="auto"/>
                <w:szCs w:val="21"/>
                <w:highlight w:val="none"/>
              </w:rPr>
            </w:pPr>
            <w:r>
              <w:rPr>
                <w:rFonts w:ascii="宋体" w:hAnsi="宋体"/>
                <w:color w:val="auto"/>
                <w:szCs w:val="21"/>
                <w:highlight w:val="none"/>
              </w:rPr>
              <w:t>名称</w:t>
            </w:r>
          </w:p>
        </w:tc>
        <w:tc>
          <w:tcPr>
            <w:tcW w:w="1216" w:type="dxa"/>
            <w:vAlign w:val="center"/>
          </w:tcPr>
          <w:p w14:paraId="0FEE08FA">
            <w:pPr>
              <w:spacing w:line="360" w:lineRule="auto"/>
              <w:jc w:val="center"/>
              <w:rPr>
                <w:rFonts w:ascii="宋体" w:hAnsi="宋体"/>
                <w:color w:val="auto"/>
                <w:szCs w:val="21"/>
                <w:highlight w:val="none"/>
              </w:rPr>
            </w:pPr>
            <w:r>
              <w:rPr>
                <w:rFonts w:ascii="宋体" w:hAnsi="宋体"/>
                <w:color w:val="auto"/>
                <w:szCs w:val="21"/>
                <w:highlight w:val="none"/>
              </w:rPr>
              <w:t>型号</w:t>
            </w:r>
          </w:p>
          <w:p w14:paraId="598581B7">
            <w:pPr>
              <w:spacing w:line="360" w:lineRule="auto"/>
              <w:jc w:val="center"/>
              <w:rPr>
                <w:rFonts w:ascii="宋体" w:hAnsi="宋体"/>
                <w:color w:val="auto"/>
                <w:szCs w:val="21"/>
                <w:highlight w:val="none"/>
              </w:rPr>
            </w:pPr>
            <w:r>
              <w:rPr>
                <w:rFonts w:ascii="宋体" w:hAnsi="宋体"/>
                <w:color w:val="auto"/>
                <w:szCs w:val="21"/>
                <w:highlight w:val="none"/>
              </w:rPr>
              <w:t>规格</w:t>
            </w:r>
          </w:p>
        </w:tc>
        <w:tc>
          <w:tcPr>
            <w:tcW w:w="1216" w:type="dxa"/>
            <w:vAlign w:val="center"/>
          </w:tcPr>
          <w:p w14:paraId="289F5963">
            <w:pPr>
              <w:spacing w:line="360" w:lineRule="auto"/>
              <w:jc w:val="center"/>
              <w:rPr>
                <w:rFonts w:ascii="宋体" w:hAnsi="宋体"/>
                <w:color w:val="auto"/>
                <w:szCs w:val="21"/>
                <w:highlight w:val="none"/>
              </w:rPr>
            </w:pPr>
            <w:r>
              <w:rPr>
                <w:rFonts w:ascii="宋体" w:hAnsi="宋体"/>
                <w:color w:val="auto"/>
                <w:szCs w:val="21"/>
                <w:highlight w:val="none"/>
              </w:rPr>
              <w:t>数量</w:t>
            </w:r>
          </w:p>
        </w:tc>
        <w:tc>
          <w:tcPr>
            <w:tcW w:w="1216" w:type="dxa"/>
            <w:vAlign w:val="center"/>
          </w:tcPr>
          <w:p w14:paraId="4F90EAA4">
            <w:pPr>
              <w:spacing w:line="360" w:lineRule="auto"/>
              <w:jc w:val="center"/>
              <w:rPr>
                <w:rFonts w:ascii="宋体" w:hAnsi="宋体"/>
                <w:color w:val="auto"/>
                <w:szCs w:val="21"/>
                <w:highlight w:val="none"/>
              </w:rPr>
            </w:pPr>
            <w:r>
              <w:rPr>
                <w:rFonts w:ascii="宋体" w:hAnsi="宋体"/>
                <w:color w:val="auto"/>
                <w:szCs w:val="21"/>
                <w:highlight w:val="none"/>
              </w:rPr>
              <w:t>国别</w:t>
            </w:r>
          </w:p>
          <w:p w14:paraId="5B56CE4F">
            <w:pPr>
              <w:spacing w:line="360" w:lineRule="auto"/>
              <w:jc w:val="center"/>
              <w:rPr>
                <w:rFonts w:ascii="宋体" w:hAnsi="宋体"/>
                <w:color w:val="auto"/>
                <w:szCs w:val="21"/>
                <w:highlight w:val="none"/>
              </w:rPr>
            </w:pPr>
            <w:r>
              <w:rPr>
                <w:rFonts w:ascii="宋体" w:hAnsi="宋体"/>
                <w:color w:val="auto"/>
                <w:szCs w:val="21"/>
                <w:highlight w:val="none"/>
              </w:rPr>
              <w:t>产地</w:t>
            </w:r>
          </w:p>
        </w:tc>
        <w:tc>
          <w:tcPr>
            <w:tcW w:w="1216" w:type="dxa"/>
            <w:vAlign w:val="center"/>
          </w:tcPr>
          <w:p w14:paraId="4E15C239">
            <w:pPr>
              <w:spacing w:line="360" w:lineRule="auto"/>
              <w:jc w:val="center"/>
              <w:rPr>
                <w:rFonts w:ascii="宋体" w:hAnsi="宋体"/>
                <w:color w:val="auto"/>
                <w:szCs w:val="21"/>
                <w:highlight w:val="none"/>
              </w:rPr>
            </w:pPr>
            <w:r>
              <w:rPr>
                <w:rFonts w:ascii="宋体" w:hAnsi="宋体"/>
                <w:color w:val="auto"/>
                <w:szCs w:val="21"/>
                <w:highlight w:val="none"/>
              </w:rPr>
              <w:t>制造年份</w:t>
            </w:r>
          </w:p>
        </w:tc>
        <w:tc>
          <w:tcPr>
            <w:tcW w:w="1216" w:type="dxa"/>
            <w:vAlign w:val="center"/>
          </w:tcPr>
          <w:p w14:paraId="4A7004A1">
            <w:pPr>
              <w:spacing w:line="360" w:lineRule="auto"/>
              <w:jc w:val="center"/>
              <w:rPr>
                <w:rFonts w:ascii="宋体" w:hAnsi="宋体"/>
                <w:color w:val="auto"/>
                <w:szCs w:val="21"/>
                <w:highlight w:val="none"/>
              </w:rPr>
            </w:pPr>
            <w:r>
              <w:rPr>
                <w:rFonts w:hint="eastAsia" w:ascii="宋体" w:hAnsi="宋体"/>
                <w:color w:val="auto"/>
                <w:szCs w:val="21"/>
                <w:highlight w:val="none"/>
              </w:rPr>
              <w:t>已</w:t>
            </w:r>
            <w:r>
              <w:rPr>
                <w:rFonts w:ascii="宋体" w:hAnsi="宋体"/>
                <w:color w:val="auto"/>
                <w:szCs w:val="21"/>
                <w:highlight w:val="none"/>
              </w:rPr>
              <w:t>使用</w:t>
            </w:r>
          </w:p>
          <w:p w14:paraId="506DBCF4">
            <w:pPr>
              <w:spacing w:line="360" w:lineRule="auto"/>
              <w:jc w:val="center"/>
              <w:rPr>
                <w:rFonts w:ascii="宋体" w:hAnsi="宋体"/>
                <w:color w:val="auto"/>
                <w:szCs w:val="21"/>
                <w:highlight w:val="none"/>
              </w:rPr>
            </w:pPr>
            <w:r>
              <w:rPr>
                <w:rFonts w:ascii="宋体" w:hAnsi="宋体"/>
                <w:color w:val="auto"/>
                <w:szCs w:val="21"/>
                <w:highlight w:val="none"/>
              </w:rPr>
              <w:t>台时数</w:t>
            </w:r>
          </w:p>
        </w:tc>
        <w:tc>
          <w:tcPr>
            <w:tcW w:w="1216" w:type="dxa"/>
            <w:vAlign w:val="center"/>
          </w:tcPr>
          <w:p w14:paraId="5CA0409D">
            <w:pPr>
              <w:spacing w:line="360" w:lineRule="auto"/>
              <w:jc w:val="center"/>
              <w:rPr>
                <w:rFonts w:ascii="宋体" w:hAnsi="宋体"/>
                <w:color w:val="auto"/>
                <w:szCs w:val="21"/>
                <w:highlight w:val="none"/>
              </w:rPr>
            </w:pPr>
            <w:r>
              <w:rPr>
                <w:rFonts w:ascii="宋体" w:hAnsi="宋体"/>
                <w:color w:val="auto"/>
                <w:szCs w:val="21"/>
                <w:highlight w:val="none"/>
              </w:rPr>
              <w:t>用途</w:t>
            </w:r>
          </w:p>
        </w:tc>
        <w:tc>
          <w:tcPr>
            <w:tcW w:w="1216" w:type="dxa"/>
            <w:vAlign w:val="center"/>
          </w:tcPr>
          <w:p w14:paraId="46896AF4">
            <w:pPr>
              <w:spacing w:line="360" w:lineRule="auto"/>
              <w:jc w:val="center"/>
              <w:rPr>
                <w:rFonts w:ascii="宋体" w:hAnsi="宋体"/>
                <w:color w:val="auto"/>
                <w:szCs w:val="21"/>
                <w:highlight w:val="none"/>
              </w:rPr>
            </w:pPr>
            <w:r>
              <w:rPr>
                <w:rFonts w:ascii="宋体" w:hAnsi="宋体"/>
                <w:color w:val="auto"/>
                <w:szCs w:val="21"/>
                <w:highlight w:val="none"/>
              </w:rPr>
              <w:t>备注</w:t>
            </w:r>
          </w:p>
        </w:tc>
      </w:tr>
      <w:tr w14:paraId="11B8E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40" w:type="dxa"/>
            <w:vAlign w:val="center"/>
          </w:tcPr>
          <w:p w14:paraId="0499A38E">
            <w:pPr>
              <w:spacing w:line="360" w:lineRule="auto"/>
              <w:jc w:val="center"/>
              <w:rPr>
                <w:rFonts w:ascii="宋体" w:hAnsi="宋体"/>
                <w:color w:val="auto"/>
                <w:highlight w:val="none"/>
              </w:rPr>
            </w:pPr>
            <w:r>
              <w:rPr>
                <w:rFonts w:hint="eastAsia" w:ascii="宋体" w:hAnsi="宋体"/>
                <w:color w:val="auto"/>
                <w:highlight w:val="none"/>
              </w:rPr>
              <w:t>……</w:t>
            </w:r>
          </w:p>
        </w:tc>
        <w:tc>
          <w:tcPr>
            <w:tcW w:w="1216" w:type="dxa"/>
            <w:vAlign w:val="center"/>
          </w:tcPr>
          <w:p w14:paraId="378E6FAA">
            <w:pPr>
              <w:spacing w:line="360" w:lineRule="auto"/>
              <w:ind w:firstLine="420" w:firstLineChars="200"/>
              <w:rPr>
                <w:rFonts w:ascii="宋体" w:hAnsi="宋体"/>
                <w:color w:val="auto"/>
                <w:szCs w:val="21"/>
                <w:highlight w:val="none"/>
              </w:rPr>
            </w:pPr>
          </w:p>
        </w:tc>
        <w:tc>
          <w:tcPr>
            <w:tcW w:w="1216" w:type="dxa"/>
            <w:vAlign w:val="center"/>
          </w:tcPr>
          <w:p w14:paraId="54368646">
            <w:pPr>
              <w:spacing w:line="360" w:lineRule="auto"/>
              <w:ind w:firstLine="420" w:firstLineChars="200"/>
              <w:rPr>
                <w:rFonts w:ascii="宋体" w:hAnsi="宋体"/>
                <w:color w:val="auto"/>
                <w:szCs w:val="21"/>
                <w:highlight w:val="none"/>
              </w:rPr>
            </w:pPr>
          </w:p>
        </w:tc>
        <w:tc>
          <w:tcPr>
            <w:tcW w:w="1216" w:type="dxa"/>
            <w:vAlign w:val="center"/>
          </w:tcPr>
          <w:p w14:paraId="6B96EDCA">
            <w:pPr>
              <w:spacing w:line="360" w:lineRule="auto"/>
              <w:ind w:firstLine="420" w:firstLineChars="200"/>
              <w:rPr>
                <w:rFonts w:ascii="宋体" w:hAnsi="宋体"/>
                <w:color w:val="auto"/>
                <w:szCs w:val="21"/>
                <w:highlight w:val="none"/>
              </w:rPr>
            </w:pPr>
          </w:p>
        </w:tc>
        <w:tc>
          <w:tcPr>
            <w:tcW w:w="1216" w:type="dxa"/>
            <w:vAlign w:val="center"/>
          </w:tcPr>
          <w:p w14:paraId="51EAC78F">
            <w:pPr>
              <w:spacing w:line="360" w:lineRule="auto"/>
              <w:ind w:firstLine="420" w:firstLineChars="200"/>
              <w:rPr>
                <w:rFonts w:ascii="宋体" w:hAnsi="宋体"/>
                <w:color w:val="auto"/>
                <w:szCs w:val="21"/>
                <w:highlight w:val="none"/>
              </w:rPr>
            </w:pPr>
          </w:p>
        </w:tc>
        <w:tc>
          <w:tcPr>
            <w:tcW w:w="1216" w:type="dxa"/>
            <w:vAlign w:val="center"/>
          </w:tcPr>
          <w:p w14:paraId="7F4C648E">
            <w:pPr>
              <w:spacing w:line="360" w:lineRule="auto"/>
              <w:ind w:firstLine="420" w:firstLineChars="200"/>
              <w:rPr>
                <w:rFonts w:ascii="宋体" w:hAnsi="宋体"/>
                <w:color w:val="auto"/>
                <w:szCs w:val="21"/>
                <w:highlight w:val="none"/>
              </w:rPr>
            </w:pPr>
          </w:p>
        </w:tc>
        <w:tc>
          <w:tcPr>
            <w:tcW w:w="1216" w:type="dxa"/>
            <w:vAlign w:val="center"/>
          </w:tcPr>
          <w:p w14:paraId="4F59397E">
            <w:pPr>
              <w:spacing w:line="360" w:lineRule="auto"/>
              <w:ind w:firstLine="420" w:firstLineChars="200"/>
              <w:rPr>
                <w:rFonts w:ascii="宋体" w:hAnsi="宋体"/>
                <w:color w:val="auto"/>
                <w:szCs w:val="21"/>
                <w:highlight w:val="none"/>
              </w:rPr>
            </w:pPr>
          </w:p>
        </w:tc>
        <w:tc>
          <w:tcPr>
            <w:tcW w:w="1216" w:type="dxa"/>
            <w:vAlign w:val="center"/>
          </w:tcPr>
          <w:p w14:paraId="6110F650">
            <w:pPr>
              <w:spacing w:line="360" w:lineRule="auto"/>
              <w:ind w:firstLine="420" w:firstLineChars="200"/>
              <w:rPr>
                <w:rFonts w:ascii="宋体" w:hAnsi="宋体"/>
                <w:color w:val="auto"/>
                <w:szCs w:val="21"/>
                <w:highlight w:val="none"/>
              </w:rPr>
            </w:pPr>
          </w:p>
        </w:tc>
        <w:tc>
          <w:tcPr>
            <w:tcW w:w="1216" w:type="dxa"/>
          </w:tcPr>
          <w:p w14:paraId="6579B46C">
            <w:pPr>
              <w:spacing w:line="360" w:lineRule="auto"/>
              <w:ind w:firstLine="420" w:firstLineChars="200"/>
              <w:rPr>
                <w:rFonts w:ascii="宋体" w:hAnsi="宋体"/>
                <w:color w:val="auto"/>
                <w:szCs w:val="21"/>
                <w:highlight w:val="none"/>
              </w:rPr>
            </w:pPr>
          </w:p>
        </w:tc>
      </w:tr>
      <w:tr w14:paraId="58528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40" w:type="dxa"/>
            <w:vAlign w:val="center"/>
          </w:tcPr>
          <w:p w14:paraId="20DB4187">
            <w:pPr>
              <w:spacing w:line="360" w:lineRule="auto"/>
              <w:jc w:val="center"/>
              <w:rPr>
                <w:rFonts w:ascii="宋体" w:hAnsi="宋体"/>
                <w:color w:val="auto"/>
                <w:highlight w:val="none"/>
              </w:rPr>
            </w:pPr>
            <w:r>
              <w:rPr>
                <w:rFonts w:hint="eastAsia" w:ascii="宋体" w:hAnsi="宋体"/>
                <w:color w:val="auto"/>
                <w:highlight w:val="none"/>
              </w:rPr>
              <w:t>N</w:t>
            </w:r>
          </w:p>
        </w:tc>
        <w:tc>
          <w:tcPr>
            <w:tcW w:w="1216" w:type="dxa"/>
            <w:vAlign w:val="center"/>
          </w:tcPr>
          <w:p w14:paraId="2792A0D3">
            <w:pPr>
              <w:spacing w:line="360" w:lineRule="auto"/>
              <w:ind w:firstLine="420" w:firstLineChars="200"/>
              <w:rPr>
                <w:rFonts w:ascii="宋体" w:hAnsi="宋体"/>
                <w:color w:val="auto"/>
                <w:szCs w:val="21"/>
                <w:highlight w:val="none"/>
              </w:rPr>
            </w:pPr>
          </w:p>
        </w:tc>
        <w:tc>
          <w:tcPr>
            <w:tcW w:w="1216" w:type="dxa"/>
            <w:vAlign w:val="center"/>
          </w:tcPr>
          <w:p w14:paraId="3850C687">
            <w:pPr>
              <w:spacing w:line="360" w:lineRule="auto"/>
              <w:ind w:firstLine="420" w:firstLineChars="200"/>
              <w:rPr>
                <w:rFonts w:ascii="宋体" w:hAnsi="宋体"/>
                <w:color w:val="auto"/>
                <w:szCs w:val="21"/>
                <w:highlight w:val="none"/>
              </w:rPr>
            </w:pPr>
          </w:p>
        </w:tc>
        <w:tc>
          <w:tcPr>
            <w:tcW w:w="1216" w:type="dxa"/>
            <w:vAlign w:val="center"/>
          </w:tcPr>
          <w:p w14:paraId="52ABFC20">
            <w:pPr>
              <w:spacing w:line="360" w:lineRule="auto"/>
              <w:ind w:firstLine="420" w:firstLineChars="200"/>
              <w:rPr>
                <w:rFonts w:ascii="宋体" w:hAnsi="宋体"/>
                <w:color w:val="auto"/>
                <w:szCs w:val="21"/>
                <w:highlight w:val="none"/>
              </w:rPr>
            </w:pPr>
          </w:p>
        </w:tc>
        <w:tc>
          <w:tcPr>
            <w:tcW w:w="1216" w:type="dxa"/>
            <w:vAlign w:val="center"/>
          </w:tcPr>
          <w:p w14:paraId="4EBA8E15">
            <w:pPr>
              <w:spacing w:line="360" w:lineRule="auto"/>
              <w:ind w:firstLine="420" w:firstLineChars="200"/>
              <w:rPr>
                <w:rFonts w:ascii="宋体" w:hAnsi="宋体"/>
                <w:color w:val="auto"/>
                <w:szCs w:val="21"/>
                <w:highlight w:val="none"/>
              </w:rPr>
            </w:pPr>
          </w:p>
        </w:tc>
        <w:tc>
          <w:tcPr>
            <w:tcW w:w="1216" w:type="dxa"/>
            <w:vAlign w:val="center"/>
          </w:tcPr>
          <w:p w14:paraId="4B3D7E38">
            <w:pPr>
              <w:spacing w:line="360" w:lineRule="auto"/>
              <w:ind w:firstLine="420" w:firstLineChars="200"/>
              <w:rPr>
                <w:rFonts w:ascii="宋体" w:hAnsi="宋体"/>
                <w:color w:val="auto"/>
                <w:szCs w:val="21"/>
                <w:highlight w:val="none"/>
              </w:rPr>
            </w:pPr>
          </w:p>
        </w:tc>
        <w:tc>
          <w:tcPr>
            <w:tcW w:w="1216" w:type="dxa"/>
            <w:vAlign w:val="center"/>
          </w:tcPr>
          <w:p w14:paraId="1738BC46">
            <w:pPr>
              <w:spacing w:line="360" w:lineRule="auto"/>
              <w:ind w:firstLine="420" w:firstLineChars="200"/>
              <w:rPr>
                <w:rFonts w:ascii="宋体" w:hAnsi="宋体"/>
                <w:color w:val="auto"/>
                <w:szCs w:val="21"/>
                <w:highlight w:val="none"/>
              </w:rPr>
            </w:pPr>
          </w:p>
        </w:tc>
        <w:tc>
          <w:tcPr>
            <w:tcW w:w="1216" w:type="dxa"/>
            <w:vAlign w:val="center"/>
          </w:tcPr>
          <w:p w14:paraId="53BA78D5">
            <w:pPr>
              <w:spacing w:line="360" w:lineRule="auto"/>
              <w:ind w:firstLine="420" w:firstLineChars="200"/>
              <w:rPr>
                <w:rFonts w:ascii="宋体" w:hAnsi="宋体"/>
                <w:color w:val="auto"/>
                <w:szCs w:val="21"/>
                <w:highlight w:val="none"/>
              </w:rPr>
            </w:pPr>
          </w:p>
        </w:tc>
        <w:tc>
          <w:tcPr>
            <w:tcW w:w="1216" w:type="dxa"/>
          </w:tcPr>
          <w:p w14:paraId="6E205ED7">
            <w:pPr>
              <w:spacing w:line="360" w:lineRule="auto"/>
              <w:ind w:firstLine="420" w:firstLineChars="200"/>
              <w:rPr>
                <w:rFonts w:ascii="宋体" w:hAnsi="宋体"/>
                <w:color w:val="auto"/>
                <w:szCs w:val="21"/>
                <w:highlight w:val="none"/>
              </w:rPr>
            </w:pPr>
          </w:p>
        </w:tc>
      </w:tr>
    </w:tbl>
    <w:p w14:paraId="62BCBE4E">
      <w:pPr>
        <w:spacing w:line="360" w:lineRule="auto"/>
        <w:rPr>
          <w:color w:val="auto"/>
          <w:highlight w:val="none"/>
        </w:rPr>
      </w:pPr>
    </w:p>
    <w:p w14:paraId="0F0DA527">
      <w:pPr>
        <w:spacing w:line="360" w:lineRule="auto"/>
        <w:rPr>
          <w:color w:val="auto"/>
          <w:highlight w:val="none"/>
        </w:rPr>
        <w:sectPr>
          <w:headerReference r:id="rId12" w:type="first"/>
          <w:footerReference r:id="rId14" w:type="first"/>
          <w:headerReference r:id="rId11" w:type="default"/>
          <w:footerReference r:id="rId13" w:type="default"/>
          <w:pgSz w:w="11906" w:h="16838"/>
          <w:pgMar w:top="1440" w:right="1080" w:bottom="1440" w:left="1080" w:header="851" w:footer="992" w:gutter="0"/>
          <w:pgNumType w:fmt="decimal"/>
          <w:cols w:space="720" w:num="1"/>
          <w:titlePg/>
          <w:docGrid w:type="lines" w:linePitch="312" w:charSpace="0"/>
        </w:sectPr>
      </w:pPr>
    </w:p>
    <w:p w14:paraId="463127C0">
      <w:pPr>
        <w:spacing w:line="360" w:lineRule="auto"/>
        <w:rPr>
          <w:color w:val="auto"/>
          <w:szCs w:val="21"/>
          <w:highlight w:val="none"/>
        </w:rPr>
      </w:pPr>
      <w:r>
        <w:rPr>
          <w:color w:val="auto"/>
          <w:highlight w:val="none"/>
        </w:rPr>
        <w:t>附表三：劳动力计划表</w:t>
      </w:r>
    </w:p>
    <w:p w14:paraId="5EF92EE4">
      <w:pPr>
        <w:spacing w:line="360" w:lineRule="auto"/>
        <w:ind w:firstLine="7245" w:firstLineChars="3450"/>
        <w:rPr>
          <w:color w:val="auto"/>
          <w:szCs w:val="21"/>
          <w:highlight w:val="none"/>
        </w:rPr>
      </w:pPr>
      <w:r>
        <w:rPr>
          <w:color w:val="auto"/>
          <w:szCs w:val="21"/>
          <w:highlight w:val="none"/>
        </w:rPr>
        <w:t xml:space="preserve">    单位：人</w:t>
      </w:r>
    </w:p>
    <w:tbl>
      <w:tblPr>
        <w:tblStyle w:val="33"/>
        <w:tblW w:w="1036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3"/>
        <w:gridCol w:w="961"/>
        <w:gridCol w:w="1257"/>
        <w:gridCol w:w="1258"/>
        <w:gridCol w:w="1257"/>
        <w:gridCol w:w="1258"/>
        <w:gridCol w:w="1257"/>
        <w:gridCol w:w="2267"/>
      </w:tblGrid>
      <w:tr w14:paraId="1EC0B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53" w:type="dxa"/>
            <w:vAlign w:val="center"/>
          </w:tcPr>
          <w:p w14:paraId="198EEEE9">
            <w:pPr>
              <w:spacing w:line="360" w:lineRule="auto"/>
              <w:jc w:val="center"/>
              <w:rPr>
                <w:rFonts w:ascii="宋体" w:hAnsi="宋体"/>
                <w:color w:val="auto"/>
                <w:szCs w:val="21"/>
                <w:highlight w:val="none"/>
              </w:rPr>
            </w:pPr>
            <w:r>
              <w:rPr>
                <w:rFonts w:ascii="宋体" w:hAnsi="宋体"/>
                <w:color w:val="auto"/>
                <w:szCs w:val="21"/>
                <w:highlight w:val="none"/>
              </w:rPr>
              <w:t>工种</w:t>
            </w:r>
          </w:p>
        </w:tc>
        <w:tc>
          <w:tcPr>
            <w:tcW w:w="9515" w:type="dxa"/>
            <w:gridSpan w:val="7"/>
            <w:vAlign w:val="center"/>
          </w:tcPr>
          <w:p w14:paraId="253EB316">
            <w:pPr>
              <w:spacing w:line="360" w:lineRule="auto"/>
              <w:jc w:val="center"/>
              <w:rPr>
                <w:rFonts w:ascii="宋体" w:hAnsi="宋体"/>
                <w:color w:val="auto"/>
                <w:szCs w:val="21"/>
                <w:highlight w:val="none"/>
              </w:rPr>
            </w:pPr>
            <w:r>
              <w:rPr>
                <w:rFonts w:ascii="宋体" w:hAnsi="宋体"/>
                <w:color w:val="auto"/>
                <w:szCs w:val="21"/>
                <w:highlight w:val="none"/>
              </w:rPr>
              <w:t>按工程施工阶段投入劳动力情况</w:t>
            </w:r>
          </w:p>
        </w:tc>
      </w:tr>
      <w:tr w14:paraId="32D01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53" w:type="dxa"/>
            <w:vAlign w:val="center"/>
          </w:tcPr>
          <w:p w14:paraId="563E9ED7">
            <w:pPr>
              <w:spacing w:line="360" w:lineRule="auto"/>
              <w:jc w:val="center"/>
              <w:rPr>
                <w:rFonts w:ascii="宋体" w:hAnsi="宋体"/>
                <w:color w:val="auto"/>
                <w:highlight w:val="none"/>
              </w:rPr>
            </w:pPr>
            <w:r>
              <w:rPr>
                <w:rFonts w:hint="eastAsia" w:ascii="宋体" w:hAnsi="宋体"/>
                <w:color w:val="auto"/>
                <w:highlight w:val="none"/>
              </w:rPr>
              <w:t>……</w:t>
            </w:r>
          </w:p>
        </w:tc>
        <w:tc>
          <w:tcPr>
            <w:tcW w:w="961" w:type="dxa"/>
            <w:vAlign w:val="center"/>
          </w:tcPr>
          <w:p w14:paraId="1A48553B">
            <w:pPr>
              <w:spacing w:line="360" w:lineRule="auto"/>
              <w:rPr>
                <w:rFonts w:ascii="宋体" w:hAnsi="宋体"/>
                <w:color w:val="auto"/>
                <w:szCs w:val="21"/>
                <w:highlight w:val="none"/>
              </w:rPr>
            </w:pPr>
          </w:p>
        </w:tc>
        <w:tc>
          <w:tcPr>
            <w:tcW w:w="1257" w:type="dxa"/>
            <w:vAlign w:val="center"/>
          </w:tcPr>
          <w:p w14:paraId="4D5C0920">
            <w:pPr>
              <w:spacing w:line="360" w:lineRule="auto"/>
              <w:rPr>
                <w:rFonts w:ascii="宋体" w:hAnsi="宋体"/>
                <w:color w:val="auto"/>
                <w:szCs w:val="21"/>
                <w:highlight w:val="none"/>
              </w:rPr>
            </w:pPr>
          </w:p>
        </w:tc>
        <w:tc>
          <w:tcPr>
            <w:tcW w:w="1258" w:type="dxa"/>
            <w:vAlign w:val="center"/>
          </w:tcPr>
          <w:p w14:paraId="570C6FB7">
            <w:pPr>
              <w:spacing w:line="360" w:lineRule="auto"/>
              <w:rPr>
                <w:rFonts w:ascii="宋体" w:hAnsi="宋体"/>
                <w:color w:val="auto"/>
                <w:szCs w:val="21"/>
                <w:highlight w:val="none"/>
              </w:rPr>
            </w:pPr>
          </w:p>
        </w:tc>
        <w:tc>
          <w:tcPr>
            <w:tcW w:w="1257" w:type="dxa"/>
            <w:vAlign w:val="center"/>
          </w:tcPr>
          <w:p w14:paraId="56C4BC81">
            <w:pPr>
              <w:spacing w:line="360" w:lineRule="auto"/>
              <w:rPr>
                <w:rFonts w:ascii="宋体" w:hAnsi="宋体"/>
                <w:color w:val="auto"/>
                <w:szCs w:val="21"/>
                <w:highlight w:val="none"/>
              </w:rPr>
            </w:pPr>
          </w:p>
        </w:tc>
        <w:tc>
          <w:tcPr>
            <w:tcW w:w="1258" w:type="dxa"/>
            <w:vAlign w:val="center"/>
          </w:tcPr>
          <w:p w14:paraId="7FD90757">
            <w:pPr>
              <w:spacing w:line="360" w:lineRule="auto"/>
              <w:rPr>
                <w:rFonts w:ascii="宋体" w:hAnsi="宋体"/>
                <w:color w:val="auto"/>
                <w:szCs w:val="21"/>
                <w:highlight w:val="none"/>
              </w:rPr>
            </w:pPr>
          </w:p>
        </w:tc>
        <w:tc>
          <w:tcPr>
            <w:tcW w:w="1257" w:type="dxa"/>
            <w:vAlign w:val="center"/>
          </w:tcPr>
          <w:p w14:paraId="567213FF">
            <w:pPr>
              <w:spacing w:line="360" w:lineRule="auto"/>
              <w:rPr>
                <w:rFonts w:ascii="宋体" w:hAnsi="宋体"/>
                <w:color w:val="auto"/>
                <w:szCs w:val="21"/>
                <w:highlight w:val="none"/>
              </w:rPr>
            </w:pPr>
          </w:p>
        </w:tc>
        <w:tc>
          <w:tcPr>
            <w:tcW w:w="2267" w:type="dxa"/>
            <w:vAlign w:val="center"/>
          </w:tcPr>
          <w:p w14:paraId="3774100D">
            <w:pPr>
              <w:spacing w:line="360" w:lineRule="auto"/>
              <w:rPr>
                <w:rFonts w:ascii="宋体" w:hAnsi="宋体"/>
                <w:color w:val="auto"/>
                <w:szCs w:val="21"/>
                <w:highlight w:val="none"/>
              </w:rPr>
            </w:pPr>
          </w:p>
        </w:tc>
      </w:tr>
      <w:tr w14:paraId="471D8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53" w:type="dxa"/>
            <w:vAlign w:val="center"/>
          </w:tcPr>
          <w:p w14:paraId="685C084D">
            <w:pPr>
              <w:spacing w:line="360" w:lineRule="auto"/>
              <w:jc w:val="center"/>
              <w:rPr>
                <w:rFonts w:ascii="宋体" w:hAnsi="宋体"/>
                <w:color w:val="auto"/>
                <w:highlight w:val="none"/>
              </w:rPr>
            </w:pPr>
            <w:r>
              <w:rPr>
                <w:rFonts w:hint="eastAsia" w:ascii="宋体" w:hAnsi="宋体"/>
                <w:color w:val="auto"/>
                <w:highlight w:val="none"/>
              </w:rPr>
              <w:t>N</w:t>
            </w:r>
          </w:p>
        </w:tc>
        <w:tc>
          <w:tcPr>
            <w:tcW w:w="961" w:type="dxa"/>
            <w:vAlign w:val="center"/>
          </w:tcPr>
          <w:p w14:paraId="7A544F14">
            <w:pPr>
              <w:spacing w:line="360" w:lineRule="auto"/>
              <w:rPr>
                <w:rFonts w:ascii="宋体" w:hAnsi="宋体"/>
                <w:color w:val="auto"/>
                <w:szCs w:val="21"/>
                <w:highlight w:val="none"/>
              </w:rPr>
            </w:pPr>
          </w:p>
        </w:tc>
        <w:tc>
          <w:tcPr>
            <w:tcW w:w="1257" w:type="dxa"/>
            <w:vAlign w:val="center"/>
          </w:tcPr>
          <w:p w14:paraId="4F8B7CC2">
            <w:pPr>
              <w:spacing w:line="360" w:lineRule="auto"/>
              <w:rPr>
                <w:rFonts w:ascii="宋体" w:hAnsi="宋体"/>
                <w:color w:val="auto"/>
                <w:szCs w:val="21"/>
                <w:highlight w:val="none"/>
              </w:rPr>
            </w:pPr>
          </w:p>
        </w:tc>
        <w:tc>
          <w:tcPr>
            <w:tcW w:w="1258" w:type="dxa"/>
            <w:vAlign w:val="center"/>
          </w:tcPr>
          <w:p w14:paraId="15E12EBE">
            <w:pPr>
              <w:spacing w:line="360" w:lineRule="auto"/>
              <w:rPr>
                <w:rFonts w:ascii="宋体" w:hAnsi="宋体"/>
                <w:color w:val="auto"/>
                <w:szCs w:val="21"/>
                <w:highlight w:val="none"/>
              </w:rPr>
            </w:pPr>
          </w:p>
        </w:tc>
        <w:tc>
          <w:tcPr>
            <w:tcW w:w="1257" w:type="dxa"/>
            <w:vAlign w:val="center"/>
          </w:tcPr>
          <w:p w14:paraId="4CDF1EA9">
            <w:pPr>
              <w:spacing w:line="360" w:lineRule="auto"/>
              <w:rPr>
                <w:rFonts w:ascii="宋体" w:hAnsi="宋体"/>
                <w:color w:val="auto"/>
                <w:szCs w:val="21"/>
                <w:highlight w:val="none"/>
              </w:rPr>
            </w:pPr>
          </w:p>
        </w:tc>
        <w:tc>
          <w:tcPr>
            <w:tcW w:w="1258" w:type="dxa"/>
            <w:vAlign w:val="center"/>
          </w:tcPr>
          <w:p w14:paraId="24FA65AB">
            <w:pPr>
              <w:spacing w:line="360" w:lineRule="auto"/>
              <w:rPr>
                <w:rFonts w:ascii="宋体" w:hAnsi="宋体"/>
                <w:color w:val="auto"/>
                <w:szCs w:val="21"/>
                <w:highlight w:val="none"/>
              </w:rPr>
            </w:pPr>
          </w:p>
        </w:tc>
        <w:tc>
          <w:tcPr>
            <w:tcW w:w="1257" w:type="dxa"/>
            <w:vAlign w:val="center"/>
          </w:tcPr>
          <w:p w14:paraId="60F96B92">
            <w:pPr>
              <w:spacing w:line="360" w:lineRule="auto"/>
              <w:rPr>
                <w:rFonts w:ascii="宋体" w:hAnsi="宋体"/>
                <w:color w:val="auto"/>
                <w:szCs w:val="21"/>
                <w:highlight w:val="none"/>
              </w:rPr>
            </w:pPr>
          </w:p>
        </w:tc>
        <w:tc>
          <w:tcPr>
            <w:tcW w:w="2267" w:type="dxa"/>
            <w:vAlign w:val="center"/>
          </w:tcPr>
          <w:p w14:paraId="2A88A02C">
            <w:pPr>
              <w:spacing w:line="360" w:lineRule="auto"/>
              <w:rPr>
                <w:rFonts w:ascii="宋体" w:hAnsi="宋体"/>
                <w:color w:val="auto"/>
                <w:szCs w:val="21"/>
                <w:highlight w:val="none"/>
              </w:rPr>
            </w:pPr>
          </w:p>
        </w:tc>
      </w:tr>
    </w:tbl>
    <w:p w14:paraId="16D4C934">
      <w:pPr>
        <w:spacing w:line="360" w:lineRule="auto"/>
        <w:rPr>
          <w:rFonts w:ascii="宋体" w:hAnsi="宋体"/>
          <w:color w:val="auto"/>
          <w:highlight w:val="none"/>
        </w:rPr>
      </w:pPr>
    </w:p>
    <w:p w14:paraId="6ED94863">
      <w:pPr>
        <w:spacing w:line="360" w:lineRule="auto"/>
        <w:rPr>
          <w:rFonts w:ascii="宋体" w:hAnsi="宋体"/>
          <w:color w:val="auto"/>
          <w:highlight w:val="none"/>
        </w:rPr>
      </w:pPr>
      <w:r>
        <w:rPr>
          <w:rFonts w:ascii="宋体" w:hAnsi="宋体"/>
          <w:color w:val="auto"/>
          <w:highlight w:val="none"/>
        </w:rPr>
        <w:t>附表四：计划开、竣工日期和施工进度网络图</w:t>
      </w:r>
    </w:p>
    <w:p w14:paraId="1B9F8953">
      <w:pPr>
        <w:spacing w:line="360" w:lineRule="auto"/>
        <w:rPr>
          <w:rFonts w:ascii="宋体" w:hAnsi="宋体"/>
          <w:color w:val="auto"/>
          <w:highlight w:val="none"/>
        </w:rPr>
      </w:pPr>
      <w:r>
        <w:rPr>
          <w:rFonts w:ascii="宋体" w:hAnsi="宋体"/>
          <w:color w:val="auto"/>
          <w:highlight w:val="none"/>
        </w:rPr>
        <w:t>1.</w:t>
      </w:r>
      <w:r>
        <w:rPr>
          <w:rFonts w:hint="eastAsia" w:ascii="宋体" w:hAnsi="宋体"/>
          <w:color w:val="auto"/>
          <w:highlight w:val="none"/>
        </w:rPr>
        <w:t>竞标人</w:t>
      </w:r>
      <w:r>
        <w:rPr>
          <w:rFonts w:ascii="宋体" w:hAnsi="宋体"/>
          <w:color w:val="auto"/>
          <w:highlight w:val="none"/>
        </w:rPr>
        <w:t>应提交的施工进度网络图或施工进度表，说明按</w:t>
      </w:r>
      <w:r>
        <w:rPr>
          <w:rFonts w:hint="eastAsia" w:ascii="宋体" w:hAnsi="宋体"/>
          <w:color w:val="auto"/>
          <w:highlight w:val="none"/>
        </w:rPr>
        <w:t>《竞争性磋商文件》</w:t>
      </w:r>
      <w:r>
        <w:rPr>
          <w:rFonts w:ascii="宋体" w:hAnsi="宋体"/>
          <w:color w:val="auto"/>
          <w:highlight w:val="none"/>
        </w:rPr>
        <w:t>要求的工期进行施工的各个关键日期。</w:t>
      </w:r>
      <w:r>
        <w:rPr>
          <w:rFonts w:hint="eastAsia" w:ascii="宋体" w:hAnsi="宋体"/>
          <w:color w:val="auto"/>
          <w:highlight w:val="none"/>
        </w:rPr>
        <w:t>成交</w:t>
      </w:r>
      <w:r>
        <w:rPr>
          <w:rFonts w:ascii="宋体" w:hAnsi="宋体"/>
          <w:color w:val="auto"/>
          <w:highlight w:val="none"/>
        </w:rPr>
        <w:t>的</w:t>
      </w:r>
      <w:r>
        <w:rPr>
          <w:rFonts w:hint="eastAsia" w:ascii="宋体" w:hAnsi="宋体"/>
          <w:color w:val="auto"/>
          <w:highlight w:val="none"/>
        </w:rPr>
        <w:t>竞标人</w:t>
      </w:r>
      <w:r>
        <w:rPr>
          <w:rFonts w:ascii="宋体" w:hAnsi="宋体"/>
          <w:color w:val="auto"/>
          <w:highlight w:val="none"/>
        </w:rPr>
        <w:t>还应按合同条件有关条款的要求提交详细的施工进度计划。</w:t>
      </w:r>
    </w:p>
    <w:p w14:paraId="0C6DB28B">
      <w:pPr>
        <w:spacing w:line="360" w:lineRule="auto"/>
        <w:rPr>
          <w:rFonts w:ascii="宋体" w:hAnsi="宋体"/>
          <w:color w:val="auto"/>
          <w:highlight w:val="none"/>
        </w:rPr>
      </w:pPr>
      <w:r>
        <w:rPr>
          <w:rFonts w:ascii="宋体" w:hAnsi="宋体"/>
          <w:color w:val="auto"/>
          <w:highlight w:val="none"/>
        </w:rPr>
        <w:t>2.施工进度表可采用网络图（或横道图）表示，说明计划开工日期和各分项工程各阶段的完工日期和分包合同签订的日期。</w:t>
      </w:r>
    </w:p>
    <w:p w14:paraId="7660C999">
      <w:pPr>
        <w:spacing w:line="360" w:lineRule="auto"/>
        <w:rPr>
          <w:rFonts w:ascii="宋体" w:hAnsi="宋体"/>
          <w:color w:val="auto"/>
          <w:highlight w:val="none"/>
        </w:rPr>
      </w:pPr>
      <w:r>
        <w:rPr>
          <w:rFonts w:ascii="宋体" w:hAnsi="宋体"/>
          <w:color w:val="auto"/>
          <w:highlight w:val="none"/>
        </w:rPr>
        <w:t>3.施工进度计划应与施工组织设计相适应。</w:t>
      </w:r>
    </w:p>
    <w:p w14:paraId="32612CEF">
      <w:pPr>
        <w:spacing w:line="360" w:lineRule="auto"/>
        <w:rPr>
          <w:rFonts w:ascii="宋体" w:hAnsi="宋体"/>
          <w:color w:val="auto"/>
          <w:highlight w:val="none"/>
        </w:rPr>
      </w:pPr>
    </w:p>
    <w:p w14:paraId="64E1DF1B">
      <w:pPr>
        <w:spacing w:line="360" w:lineRule="auto"/>
        <w:rPr>
          <w:rFonts w:ascii="宋体" w:hAnsi="宋体"/>
          <w:color w:val="auto"/>
          <w:highlight w:val="none"/>
        </w:rPr>
      </w:pPr>
      <w:r>
        <w:rPr>
          <w:rFonts w:ascii="宋体" w:hAnsi="宋体"/>
          <w:color w:val="auto"/>
          <w:highlight w:val="none"/>
        </w:rPr>
        <w:t>附表五：施工总平面图</w:t>
      </w:r>
    </w:p>
    <w:p w14:paraId="2B492153">
      <w:pPr>
        <w:spacing w:line="360" w:lineRule="auto"/>
        <w:rPr>
          <w:rFonts w:ascii="宋体" w:hAnsi="宋体"/>
          <w:color w:val="auto"/>
          <w:highlight w:val="none"/>
        </w:rPr>
      </w:pPr>
      <w:r>
        <w:rPr>
          <w:rFonts w:hint="eastAsia" w:ascii="宋体" w:hAnsi="宋体"/>
          <w:color w:val="auto"/>
          <w:highlight w:val="none"/>
        </w:rPr>
        <w:t>竞标人</w:t>
      </w:r>
      <w:r>
        <w:rPr>
          <w:rFonts w:ascii="宋体" w:hAnsi="宋体"/>
          <w:color w:val="auto"/>
          <w:highlight w:val="none"/>
        </w:rPr>
        <w:t>应递交一份施工总平面图，绘出现场临时设施布置图表并附文字说明，说明临时设施、加工车间、现场办公、设备及仓储、供电、供水、卫生、生活、道路、消防等设施的情况和布置。</w:t>
      </w:r>
    </w:p>
    <w:p w14:paraId="191AE65E">
      <w:pPr>
        <w:spacing w:line="360" w:lineRule="auto"/>
        <w:rPr>
          <w:rFonts w:ascii="宋体" w:hAnsi="宋体"/>
          <w:color w:val="auto"/>
          <w:highlight w:val="none"/>
        </w:rPr>
      </w:pPr>
    </w:p>
    <w:p w14:paraId="76CE2C75">
      <w:pPr>
        <w:spacing w:line="360" w:lineRule="auto"/>
        <w:rPr>
          <w:rFonts w:ascii="宋体" w:hAnsi="宋体"/>
          <w:color w:val="auto"/>
          <w:highlight w:val="none"/>
        </w:rPr>
      </w:pPr>
      <w:r>
        <w:rPr>
          <w:rFonts w:ascii="宋体" w:hAnsi="宋体"/>
          <w:color w:val="auto"/>
          <w:highlight w:val="none"/>
        </w:rPr>
        <w:t>附表六：临时用地表</w:t>
      </w:r>
    </w:p>
    <w:p w14:paraId="6C44E940">
      <w:pPr>
        <w:spacing w:line="360" w:lineRule="auto"/>
        <w:rPr>
          <w:color w:val="auto"/>
          <w:highlight w:val="none"/>
        </w:rPr>
      </w:pPr>
    </w:p>
    <w:tbl>
      <w:tblPr>
        <w:tblStyle w:val="33"/>
        <w:tblW w:w="1026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65"/>
        <w:gridCol w:w="2565"/>
        <w:gridCol w:w="2565"/>
        <w:gridCol w:w="2565"/>
      </w:tblGrid>
      <w:tr w14:paraId="77C9A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565" w:type="dxa"/>
            <w:vAlign w:val="center"/>
          </w:tcPr>
          <w:p w14:paraId="257FAF3C">
            <w:pPr>
              <w:spacing w:line="360" w:lineRule="auto"/>
              <w:jc w:val="center"/>
              <w:rPr>
                <w:color w:val="auto"/>
                <w:highlight w:val="none"/>
              </w:rPr>
            </w:pPr>
            <w:r>
              <w:rPr>
                <w:color w:val="auto"/>
                <w:szCs w:val="21"/>
                <w:highlight w:val="none"/>
              </w:rPr>
              <w:t>用途</w:t>
            </w:r>
          </w:p>
        </w:tc>
        <w:tc>
          <w:tcPr>
            <w:tcW w:w="2565" w:type="dxa"/>
            <w:vAlign w:val="center"/>
          </w:tcPr>
          <w:p w14:paraId="77EE293E">
            <w:pPr>
              <w:spacing w:line="360" w:lineRule="auto"/>
              <w:jc w:val="center"/>
              <w:rPr>
                <w:color w:val="auto"/>
                <w:highlight w:val="none"/>
              </w:rPr>
            </w:pPr>
            <w:r>
              <w:rPr>
                <w:color w:val="auto"/>
                <w:szCs w:val="21"/>
                <w:highlight w:val="none"/>
              </w:rPr>
              <w:t>面积（平方米）</w:t>
            </w:r>
          </w:p>
        </w:tc>
        <w:tc>
          <w:tcPr>
            <w:tcW w:w="2565" w:type="dxa"/>
            <w:vAlign w:val="center"/>
          </w:tcPr>
          <w:p w14:paraId="07E0E00B">
            <w:pPr>
              <w:spacing w:line="360" w:lineRule="auto"/>
              <w:jc w:val="center"/>
              <w:rPr>
                <w:color w:val="auto"/>
                <w:highlight w:val="none"/>
              </w:rPr>
            </w:pPr>
            <w:r>
              <w:rPr>
                <w:color w:val="auto"/>
                <w:szCs w:val="21"/>
                <w:highlight w:val="none"/>
              </w:rPr>
              <w:t>位置</w:t>
            </w:r>
          </w:p>
        </w:tc>
        <w:tc>
          <w:tcPr>
            <w:tcW w:w="2565" w:type="dxa"/>
            <w:vAlign w:val="center"/>
          </w:tcPr>
          <w:p w14:paraId="22B5EF88">
            <w:pPr>
              <w:spacing w:line="360" w:lineRule="auto"/>
              <w:jc w:val="center"/>
              <w:rPr>
                <w:color w:val="auto"/>
                <w:highlight w:val="none"/>
              </w:rPr>
            </w:pPr>
            <w:r>
              <w:rPr>
                <w:color w:val="auto"/>
                <w:szCs w:val="21"/>
                <w:highlight w:val="none"/>
              </w:rPr>
              <w:t>需用时间</w:t>
            </w:r>
          </w:p>
        </w:tc>
      </w:tr>
      <w:tr w14:paraId="62D7A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565" w:type="dxa"/>
            <w:vAlign w:val="center"/>
          </w:tcPr>
          <w:p w14:paraId="050FCAB7">
            <w:pPr>
              <w:spacing w:line="360" w:lineRule="auto"/>
              <w:jc w:val="center"/>
              <w:rPr>
                <w:rFonts w:ascii="宋体" w:hAnsi="宋体"/>
                <w:color w:val="auto"/>
                <w:highlight w:val="none"/>
              </w:rPr>
            </w:pPr>
            <w:r>
              <w:rPr>
                <w:rFonts w:hint="eastAsia" w:ascii="宋体" w:hAnsi="宋体"/>
                <w:color w:val="auto"/>
                <w:highlight w:val="none"/>
              </w:rPr>
              <w:t>……</w:t>
            </w:r>
          </w:p>
        </w:tc>
        <w:tc>
          <w:tcPr>
            <w:tcW w:w="2565" w:type="dxa"/>
          </w:tcPr>
          <w:p w14:paraId="3EEFCB0C">
            <w:pPr>
              <w:spacing w:line="360" w:lineRule="auto"/>
              <w:rPr>
                <w:color w:val="auto"/>
                <w:highlight w:val="none"/>
              </w:rPr>
            </w:pPr>
          </w:p>
        </w:tc>
        <w:tc>
          <w:tcPr>
            <w:tcW w:w="2565" w:type="dxa"/>
          </w:tcPr>
          <w:p w14:paraId="39C58C7C">
            <w:pPr>
              <w:spacing w:line="360" w:lineRule="auto"/>
              <w:rPr>
                <w:color w:val="auto"/>
                <w:highlight w:val="none"/>
              </w:rPr>
            </w:pPr>
          </w:p>
        </w:tc>
        <w:tc>
          <w:tcPr>
            <w:tcW w:w="2565" w:type="dxa"/>
          </w:tcPr>
          <w:p w14:paraId="50C1137E">
            <w:pPr>
              <w:spacing w:line="360" w:lineRule="auto"/>
              <w:rPr>
                <w:color w:val="auto"/>
                <w:highlight w:val="none"/>
              </w:rPr>
            </w:pPr>
          </w:p>
        </w:tc>
      </w:tr>
      <w:tr w14:paraId="04CAB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565" w:type="dxa"/>
            <w:vAlign w:val="center"/>
          </w:tcPr>
          <w:p w14:paraId="00C4F0EB">
            <w:pPr>
              <w:spacing w:line="360" w:lineRule="auto"/>
              <w:jc w:val="center"/>
              <w:rPr>
                <w:rFonts w:ascii="宋体" w:hAnsi="宋体"/>
                <w:color w:val="auto"/>
                <w:highlight w:val="none"/>
              </w:rPr>
            </w:pPr>
            <w:r>
              <w:rPr>
                <w:rFonts w:hint="eastAsia" w:ascii="宋体" w:hAnsi="宋体"/>
                <w:color w:val="auto"/>
                <w:highlight w:val="none"/>
              </w:rPr>
              <w:t>N</w:t>
            </w:r>
          </w:p>
        </w:tc>
        <w:tc>
          <w:tcPr>
            <w:tcW w:w="2565" w:type="dxa"/>
          </w:tcPr>
          <w:p w14:paraId="19DD740E">
            <w:pPr>
              <w:spacing w:line="360" w:lineRule="auto"/>
              <w:rPr>
                <w:color w:val="auto"/>
                <w:highlight w:val="none"/>
              </w:rPr>
            </w:pPr>
          </w:p>
        </w:tc>
        <w:tc>
          <w:tcPr>
            <w:tcW w:w="2565" w:type="dxa"/>
          </w:tcPr>
          <w:p w14:paraId="05771734">
            <w:pPr>
              <w:spacing w:line="360" w:lineRule="auto"/>
              <w:rPr>
                <w:color w:val="auto"/>
                <w:highlight w:val="none"/>
              </w:rPr>
            </w:pPr>
          </w:p>
        </w:tc>
        <w:tc>
          <w:tcPr>
            <w:tcW w:w="2565" w:type="dxa"/>
          </w:tcPr>
          <w:p w14:paraId="763EB837">
            <w:pPr>
              <w:spacing w:line="360" w:lineRule="auto"/>
              <w:rPr>
                <w:color w:val="auto"/>
                <w:highlight w:val="none"/>
              </w:rPr>
            </w:pPr>
          </w:p>
        </w:tc>
      </w:tr>
    </w:tbl>
    <w:p w14:paraId="0B50A453">
      <w:pPr>
        <w:spacing w:line="360" w:lineRule="auto"/>
        <w:rPr>
          <w:color w:val="auto"/>
          <w:highlight w:val="none"/>
        </w:rPr>
      </w:pPr>
    </w:p>
    <w:p w14:paraId="704DEC52">
      <w:pPr>
        <w:spacing w:line="360" w:lineRule="auto"/>
        <w:jc w:val="center"/>
        <w:rPr>
          <w:rFonts w:ascii="宋体" w:hAnsi="宋体" w:cs="宋体"/>
          <w:color w:val="auto"/>
          <w:sz w:val="24"/>
          <w:highlight w:val="none"/>
        </w:rPr>
      </w:pPr>
    </w:p>
    <w:p w14:paraId="27995AAF">
      <w:pPr>
        <w:spacing w:line="360" w:lineRule="auto"/>
        <w:rPr>
          <w:rFonts w:ascii="宋体" w:hAnsi="宋体" w:cs="宋体"/>
          <w:b/>
          <w:color w:val="auto"/>
          <w:sz w:val="24"/>
          <w:highlight w:val="none"/>
        </w:rPr>
      </w:pPr>
    </w:p>
    <w:p w14:paraId="18D89B19">
      <w:pPr>
        <w:spacing w:line="360" w:lineRule="auto"/>
        <w:rPr>
          <w:rFonts w:ascii="宋体" w:hAnsi="宋体" w:cs="宋体"/>
          <w:b/>
          <w:color w:val="auto"/>
          <w:sz w:val="24"/>
          <w:highlight w:val="none"/>
        </w:rPr>
      </w:pPr>
    </w:p>
    <w:p w14:paraId="4B2E1175">
      <w:pPr>
        <w:spacing w:line="360" w:lineRule="auto"/>
        <w:rPr>
          <w:rFonts w:ascii="宋体" w:hAnsi="宋体" w:cs="宋体"/>
          <w:b/>
          <w:color w:val="auto"/>
          <w:sz w:val="24"/>
          <w:highlight w:val="none"/>
        </w:rPr>
      </w:pPr>
    </w:p>
    <w:p w14:paraId="2E07F1E1">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b/>
          <w:bCs/>
          <w:color w:val="auto"/>
          <w:kern w:val="0"/>
          <w:sz w:val="32"/>
          <w:szCs w:val="32"/>
          <w:highlight w:val="none"/>
          <w:lang w:val="en-US" w:eastAsia="zh-CN" w:bidi="ar"/>
        </w:rPr>
      </w:pPr>
    </w:p>
    <w:p w14:paraId="71BA0A0A">
      <w:pPr>
        <w:pStyle w:val="2"/>
        <w:spacing w:line="360" w:lineRule="auto"/>
        <w:rPr>
          <w:rFonts w:hint="eastAsia" w:ascii="宋体" w:hAnsi="宋体" w:eastAsia="宋体" w:cs="宋体"/>
          <w:b/>
          <w:bCs/>
          <w:color w:val="auto"/>
          <w:kern w:val="0"/>
          <w:sz w:val="32"/>
          <w:szCs w:val="32"/>
          <w:highlight w:val="none"/>
          <w:lang w:val="en-US" w:eastAsia="zh-CN" w:bidi="ar"/>
        </w:rPr>
      </w:pPr>
    </w:p>
    <w:p w14:paraId="55336253">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leftChars="200"/>
        <w:jc w:val="left"/>
        <w:textAlignment w:val="auto"/>
        <w:rPr>
          <w:rFonts w:hint="eastAsia" w:ascii="宋体" w:hAnsi="宋体" w:eastAsia="宋体" w:cs="宋体"/>
          <w:b/>
          <w:bCs/>
          <w:color w:val="auto"/>
          <w:kern w:val="0"/>
          <w:sz w:val="28"/>
          <w:szCs w:val="28"/>
          <w:highlight w:val="none"/>
          <w:lang w:val="en-US" w:eastAsia="zh-CN" w:bidi="ar"/>
        </w:rPr>
      </w:pPr>
      <w:r>
        <w:rPr>
          <w:rFonts w:hint="eastAsia" w:ascii="宋体" w:hAnsi="宋体" w:cs="宋体"/>
          <w:b/>
          <w:bCs/>
          <w:color w:val="auto"/>
          <w:kern w:val="0"/>
          <w:sz w:val="32"/>
          <w:szCs w:val="32"/>
          <w:highlight w:val="none"/>
          <w:lang w:val="en-US" w:eastAsia="zh-CN" w:bidi="ar"/>
        </w:rPr>
        <w:t>五、</w:t>
      </w:r>
      <w:r>
        <w:rPr>
          <w:rFonts w:hint="eastAsia" w:ascii="宋体" w:hAnsi="宋体" w:eastAsia="宋体" w:cs="宋体"/>
          <w:b/>
          <w:bCs/>
          <w:color w:val="auto"/>
          <w:kern w:val="0"/>
          <w:sz w:val="32"/>
          <w:szCs w:val="32"/>
          <w:highlight w:val="none"/>
          <w:lang w:val="en-US" w:eastAsia="zh-CN" w:bidi="ar"/>
        </w:rPr>
        <w:t>资信业绩（如有）</w:t>
      </w:r>
    </w:p>
    <w:p w14:paraId="6A7E76D7">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color w:val="auto"/>
          <w:kern w:val="0"/>
          <w:sz w:val="28"/>
          <w:szCs w:val="28"/>
          <w:highlight w:val="none"/>
          <w:lang w:val="en-US" w:eastAsia="zh-CN" w:bidi="ar"/>
        </w:rPr>
      </w:pPr>
      <w:r>
        <w:rPr>
          <w:rFonts w:hint="eastAsia" w:ascii="宋体" w:hAnsi="宋体" w:eastAsia="宋体" w:cs="宋体"/>
          <w:b/>
          <w:bCs/>
          <w:color w:val="auto"/>
          <w:kern w:val="0"/>
          <w:sz w:val="28"/>
          <w:szCs w:val="28"/>
          <w:highlight w:val="none"/>
          <w:lang w:val="en-US" w:eastAsia="zh-CN" w:bidi="ar"/>
        </w:rPr>
        <w:t>（格式自拟）</w:t>
      </w:r>
    </w:p>
    <w:p w14:paraId="744B1DCF">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color w:val="auto"/>
          <w:kern w:val="0"/>
          <w:sz w:val="28"/>
          <w:szCs w:val="28"/>
          <w:highlight w:val="none"/>
          <w:lang w:val="en-US" w:eastAsia="zh-CN" w:bidi="ar"/>
        </w:rPr>
      </w:pPr>
    </w:p>
    <w:p w14:paraId="3A0726EF">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color w:val="auto"/>
          <w:kern w:val="0"/>
          <w:sz w:val="28"/>
          <w:szCs w:val="28"/>
          <w:highlight w:val="none"/>
          <w:lang w:val="en-US" w:eastAsia="zh-CN" w:bidi="ar"/>
        </w:rPr>
      </w:pPr>
    </w:p>
    <w:p w14:paraId="1A222260">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color w:val="auto"/>
          <w:kern w:val="0"/>
          <w:sz w:val="28"/>
          <w:szCs w:val="28"/>
          <w:highlight w:val="none"/>
          <w:lang w:val="en-US" w:eastAsia="zh-CN" w:bidi="ar"/>
        </w:rPr>
      </w:pPr>
    </w:p>
    <w:p w14:paraId="3CDEAE24">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color w:val="auto"/>
          <w:kern w:val="0"/>
          <w:sz w:val="28"/>
          <w:szCs w:val="28"/>
          <w:highlight w:val="none"/>
          <w:lang w:val="en-US" w:eastAsia="zh-CN" w:bidi="ar"/>
        </w:rPr>
      </w:pPr>
    </w:p>
    <w:p w14:paraId="6FE1368F">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color w:val="auto"/>
          <w:kern w:val="0"/>
          <w:sz w:val="28"/>
          <w:szCs w:val="28"/>
          <w:highlight w:val="none"/>
          <w:lang w:val="en-US" w:eastAsia="zh-CN" w:bidi="ar"/>
        </w:rPr>
      </w:pPr>
    </w:p>
    <w:p w14:paraId="00C4406F">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color w:val="auto"/>
          <w:kern w:val="0"/>
          <w:sz w:val="28"/>
          <w:szCs w:val="28"/>
          <w:highlight w:val="none"/>
          <w:lang w:val="en-US" w:eastAsia="zh-CN" w:bidi="ar"/>
        </w:rPr>
      </w:pPr>
    </w:p>
    <w:p w14:paraId="3E0EF722">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color w:val="auto"/>
          <w:kern w:val="0"/>
          <w:sz w:val="28"/>
          <w:szCs w:val="28"/>
          <w:highlight w:val="none"/>
          <w:lang w:val="en-US" w:eastAsia="zh-CN" w:bidi="ar"/>
        </w:rPr>
      </w:pPr>
    </w:p>
    <w:p w14:paraId="29544CF2">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color w:val="auto"/>
          <w:kern w:val="0"/>
          <w:sz w:val="28"/>
          <w:szCs w:val="28"/>
          <w:highlight w:val="none"/>
          <w:lang w:val="en-US" w:eastAsia="zh-CN" w:bidi="ar"/>
        </w:rPr>
      </w:pPr>
    </w:p>
    <w:p w14:paraId="42BB8CA9">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color w:val="auto"/>
          <w:kern w:val="0"/>
          <w:sz w:val="28"/>
          <w:szCs w:val="28"/>
          <w:highlight w:val="none"/>
          <w:lang w:val="en-US" w:eastAsia="zh-CN" w:bidi="ar"/>
        </w:rPr>
      </w:pPr>
    </w:p>
    <w:p w14:paraId="024FD39B">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color w:val="auto"/>
          <w:kern w:val="0"/>
          <w:sz w:val="28"/>
          <w:szCs w:val="28"/>
          <w:highlight w:val="none"/>
          <w:lang w:val="en-US" w:eastAsia="zh-CN" w:bidi="ar"/>
        </w:rPr>
      </w:pPr>
    </w:p>
    <w:p w14:paraId="3D13EC18">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color w:val="auto"/>
          <w:kern w:val="0"/>
          <w:sz w:val="28"/>
          <w:szCs w:val="28"/>
          <w:highlight w:val="none"/>
          <w:lang w:val="en-US" w:eastAsia="zh-CN" w:bidi="ar"/>
        </w:rPr>
      </w:pPr>
    </w:p>
    <w:p w14:paraId="17C2B85D">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color w:val="auto"/>
          <w:kern w:val="0"/>
          <w:sz w:val="28"/>
          <w:szCs w:val="28"/>
          <w:highlight w:val="none"/>
          <w:lang w:val="en-US" w:eastAsia="zh-CN" w:bidi="ar"/>
        </w:rPr>
      </w:pPr>
    </w:p>
    <w:p w14:paraId="6CCE5B9B">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color w:val="auto"/>
          <w:kern w:val="0"/>
          <w:sz w:val="28"/>
          <w:szCs w:val="28"/>
          <w:highlight w:val="none"/>
          <w:lang w:val="en-US" w:eastAsia="zh-CN" w:bidi="ar"/>
        </w:rPr>
      </w:pPr>
    </w:p>
    <w:p w14:paraId="6BC33070">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color w:val="auto"/>
          <w:kern w:val="0"/>
          <w:sz w:val="28"/>
          <w:szCs w:val="28"/>
          <w:highlight w:val="none"/>
          <w:lang w:val="en-US" w:eastAsia="zh-CN" w:bidi="ar"/>
        </w:rPr>
      </w:pPr>
    </w:p>
    <w:p w14:paraId="58394A4E">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color w:val="auto"/>
          <w:kern w:val="0"/>
          <w:sz w:val="28"/>
          <w:szCs w:val="28"/>
          <w:highlight w:val="none"/>
          <w:lang w:val="en-US" w:eastAsia="zh-CN" w:bidi="ar"/>
        </w:rPr>
      </w:pPr>
    </w:p>
    <w:p w14:paraId="67B42F26">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color w:val="auto"/>
          <w:kern w:val="0"/>
          <w:sz w:val="28"/>
          <w:szCs w:val="28"/>
          <w:highlight w:val="none"/>
          <w:lang w:val="en-US" w:eastAsia="zh-CN" w:bidi="ar"/>
        </w:rPr>
      </w:pPr>
    </w:p>
    <w:p w14:paraId="0B881BD8">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color w:val="auto"/>
          <w:kern w:val="0"/>
          <w:sz w:val="28"/>
          <w:szCs w:val="28"/>
          <w:highlight w:val="none"/>
          <w:lang w:val="en-US" w:eastAsia="zh-CN" w:bidi="ar"/>
        </w:rPr>
      </w:pPr>
    </w:p>
    <w:p w14:paraId="52BCC3A4">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color w:val="auto"/>
          <w:kern w:val="0"/>
          <w:sz w:val="28"/>
          <w:szCs w:val="28"/>
          <w:highlight w:val="none"/>
          <w:lang w:val="en-US" w:eastAsia="zh-CN" w:bidi="ar"/>
        </w:rPr>
      </w:pPr>
    </w:p>
    <w:p w14:paraId="156D4699">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color w:val="auto"/>
          <w:kern w:val="0"/>
          <w:sz w:val="28"/>
          <w:szCs w:val="28"/>
          <w:highlight w:val="none"/>
          <w:lang w:val="en-US" w:eastAsia="zh-CN" w:bidi="ar"/>
        </w:rPr>
      </w:pPr>
    </w:p>
    <w:p w14:paraId="18C14939">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b/>
          <w:bCs/>
          <w:color w:val="auto"/>
          <w:kern w:val="0"/>
          <w:sz w:val="32"/>
          <w:szCs w:val="32"/>
          <w:highlight w:val="none"/>
          <w:lang w:val="en-US" w:eastAsia="zh-CN" w:bidi="ar"/>
        </w:rPr>
      </w:pPr>
    </w:p>
    <w:p w14:paraId="37693F7A">
      <w:pPr>
        <w:pStyle w:val="32"/>
        <w:spacing w:line="360" w:lineRule="auto"/>
        <w:ind w:left="0" w:leftChars="0" w:firstLine="0" w:firstLineChars="0"/>
        <w:rPr>
          <w:rFonts w:hint="eastAsia" w:ascii="宋体" w:hAnsi="宋体" w:eastAsia="宋体" w:cs="宋体"/>
          <w:b/>
          <w:bCs/>
          <w:color w:val="auto"/>
          <w:kern w:val="0"/>
          <w:sz w:val="32"/>
          <w:szCs w:val="32"/>
          <w:highlight w:val="none"/>
          <w:lang w:val="en-US" w:eastAsia="zh-CN" w:bidi="ar"/>
        </w:rPr>
      </w:pPr>
      <w:r>
        <w:rPr>
          <w:rFonts w:hint="eastAsia" w:ascii="宋体" w:hAnsi="宋体" w:eastAsia="宋体" w:cs="宋体"/>
          <w:b/>
          <w:bCs/>
          <w:color w:val="auto"/>
          <w:kern w:val="0"/>
          <w:sz w:val="32"/>
          <w:szCs w:val="32"/>
          <w:highlight w:val="none"/>
          <w:lang w:val="en-US" w:eastAsia="zh-CN" w:bidi="ar"/>
        </w:rPr>
        <w:t xml:space="preserve">六、磋商供应商认为必要提供的声明及其它资料（如有）。 </w:t>
      </w:r>
    </w:p>
    <w:p w14:paraId="3537546B">
      <w:pPr>
        <w:pStyle w:val="32"/>
        <w:spacing w:line="360" w:lineRule="auto"/>
        <w:rPr>
          <w:rFonts w:hint="eastAsia" w:ascii="宋体" w:hAnsi="宋体" w:eastAsia="宋体" w:cs="宋体"/>
          <w:b/>
          <w:bCs/>
          <w:color w:val="auto"/>
          <w:kern w:val="0"/>
          <w:sz w:val="32"/>
          <w:szCs w:val="32"/>
          <w:highlight w:val="none"/>
          <w:lang w:val="en-US" w:eastAsia="zh-CN" w:bidi="ar"/>
        </w:rPr>
      </w:pPr>
    </w:p>
    <w:p w14:paraId="68A24B07">
      <w:pPr>
        <w:pStyle w:val="32"/>
        <w:spacing w:line="360" w:lineRule="auto"/>
        <w:jc w:val="center"/>
        <w:rPr>
          <w:rFonts w:hint="eastAsia" w:ascii="宋体" w:hAnsi="宋体" w:eastAsia="宋体" w:cs="宋体"/>
          <w:b/>
          <w:bCs/>
          <w:color w:val="auto"/>
          <w:kern w:val="0"/>
          <w:sz w:val="24"/>
          <w:szCs w:val="24"/>
          <w:highlight w:val="none"/>
          <w:lang w:val="en-US" w:eastAsia="zh-CN" w:bidi="ar"/>
        </w:rPr>
      </w:pPr>
      <w:r>
        <w:rPr>
          <w:rFonts w:hint="eastAsia" w:ascii="宋体" w:hAnsi="宋体" w:eastAsia="宋体" w:cs="宋体"/>
          <w:b/>
          <w:bCs/>
          <w:color w:val="auto"/>
          <w:kern w:val="0"/>
          <w:sz w:val="24"/>
          <w:szCs w:val="24"/>
          <w:highlight w:val="none"/>
          <w:lang w:val="en-US" w:eastAsia="zh-CN" w:bidi="ar"/>
        </w:rPr>
        <w:t>（格式自拟）</w:t>
      </w:r>
    </w:p>
    <w:p w14:paraId="2393E843">
      <w:pPr>
        <w:pStyle w:val="32"/>
        <w:spacing w:line="360" w:lineRule="auto"/>
        <w:rPr>
          <w:rFonts w:hint="eastAsia" w:ascii="宋体" w:hAnsi="宋体" w:eastAsia="宋体" w:cs="宋体"/>
          <w:color w:val="auto"/>
          <w:kern w:val="0"/>
          <w:sz w:val="24"/>
          <w:szCs w:val="24"/>
          <w:highlight w:val="none"/>
          <w:lang w:val="en-US" w:eastAsia="zh-CN" w:bidi="ar"/>
        </w:rPr>
      </w:pPr>
    </w:p>
    <w:p w14:paraId="6074A4F6">
      <w:pPr>
        <w:pStyle w:val="32"/>
        <w:spacing w:line="360" w:lineRule="auto"/>
        <w:rPr>
          <w:rFonts w:hint="eastAsia" w:ascii="宋体" w:hAnsi="宋体" w:eastAsia="宋体" w:cs="宋体"/>
          <w:color w:val="auto"/>
          <w:kern w:val="0"/>
          <w:sz w:val="24"/>
          <w:szCs w:val="24"/>
          <w:highlight w:val="none"/>
          <w:lang w:val="en-US" w:eastAsia="zh-CN" w:bidi="ar"/>
        </w:rPr>
      </w:pPr>
    </w:p>
    <w:p w14:paraId="126AF3C5">
      <w:pPr>
        <w:pStyle w:val="32"/>
        <w:spacing w:line="360" w:lineRule="auto"/>
        <w:rPr>
          <w:rFonts w:hint="eastAsia" w:ascii="宋体" w:hAnsi="宋体" w:eastAsia="宋体" w:cs="宋体"/>
          <w:color w:val="auto"/>
          <w:kern w:val="0"/>
          <w:sz w:val="24"/>
          <w:szCs w:val="24"/>
          <w:highlight w:val="none"/>
          <w:lang w:val="en-US" w:eastAsia="zh-CN" w:bidi="ar"/>
        </w:rPr>
      </w:pPr>
    </w:p>
    <w:p w14:paraId="3AE331DF">
      <w:pPr>
        <w:pStyle w:val="32"/>
        <w:spacing w:line="360" w:lineRule="auto"/>
        <w:rPr>
          <w:rFonts w:hint="eastAsia" w:ascii="宋体" w:hAnsi="宋体" w:eastAsia="宋体" w:cs="宋体"/>
          <w:color w:val="auto"/>
          <w:kern w:val="0"/>
          <w:sz w:val="24"/>
          <w:szCs w:val="24"/>
          <w:highlight w:val="none"/>
          <w:lang w:val="en-US" w:eastAsia="zh-CN" w:bidi="ar"/>
        </w:rPr>
      </w:pPr>
    </w:p>
    <w:p w14:paraId="4565CB95">
      <w:pPr>
        <w:pStyle w:val="32"/>
        <w:spacing w:line="360" w:lineRule="auto"/>
        <w:rPr>
          <w:rFonts w:hint="eastAsia" w:ascii="宋体" w:hAnsi="宋体" w:eastAsia="宋体" w:cs="宋体"/>
          <w:color w:val="auto"/>
          <w:kern w:val="0"/>
          <w:sz w:val="24"/>
          <w:szCs w:val="24"/>
          <w:highlight w:val="none"/>
          <w:lang w:val="en-US" w:eastAsia="zh-CN" w:bidi="ar"/>
        </w:rPr>
      </w:pPr>
    </w:p>
    <w:p w14:paraId="411E25CF">
      <w:pPr>
        <w:pStyle w:val="32"/>
        <w:spacing w:line="360" w:lineRule="auto"/>
        <w:rPr>
          <w:rFonts w:hint="eastAsia" w:ascii="宋体" w:hAnsi="宋体" w:eastAsia="宋体" w:cs="宋体"/>
          <w:color w:val="auto"/>
          <w:kern w:val="0"/>
          <w:sz w:val="24"/>
          <w:szCs w:val="24"/>
          <w:highlight w:val="none"/>
          <w:lang w:val="en-US" w:eastAsia="zh-CN" w:bidi="ar"/>
        </w:rPr>
      </w:pPr>
    </w:p>
    <w:p w14:paraId="6DF7C0A9">
      <w:pPr>
        <w:pStyle w:val="32"/>
        <w:spacing w:line="360" w:lineRule="auto"/>
        <w:rPr>
          <w:rFonts w:hint="eastAsia" w:ascii="宋体" w:hAnsi="宋体" w:eastAsia="宋体" w:cs="宋体"/>
          <w:color w:val="auto"/>
          <w:kern w:val="0"/>
          <w:sz w:val="24"/>
          <w:szCs w:val="24"/>
          <w:highlight w:val="none"/>
          <w:lang w:val="en-US" w:eastAsia="zh-CN" w:bidi="ar"/>
        </w:rPr>
      </w:pPr>
    </w:p>
    <w:p w14:paraId="732514CD">
      <w:pPr>
        <w:pStyle w:val="32"/>
        <w:spacing w:line="360" w:lineRule="auto"/>
        <w:rPr>
          <w:rFonts w:hint="eastAsia" w:ascii="宋体" w:hAnsi="宋体" w:eastAsia="宋体" w:cs="宋体"/>
          <w:color w:val="auto"/>
          <w:kern w:val="0"/>
          <w:sz w:val="24"/>
          <w:szCs w:val="24"/>
          <w:highlight w:val="none"/>
          <w:lang w:val="en-US" w:eastAsia="zh-CN" w:bidi="ar"/>
        </w:rPr>
      </w:pPr>
    </w:p>
    <w:p w14:paraId="524CA7A6">
      <w:pPr>
        <w:pStyle w:val="32"/>
        <w:spacing w:line="360" w:lineRule="auto"/>
        <w:rPr>
          <w:rFonts w:hint="eastAsia" w:ascii="宋体" w:hAnsi="宋体" w:eastAsia="宋体" w:cs="宋体"/>
          <w:color w:val="auto"/>
          <w:kern w:val="0"/>
          <w:sz w:val="24"/>
          <w:szCs w:val="24"/>
          <w:highlight w:val="none"/>
          <w:lang w:val="en-US" w:eastAsia="zh-CN" w:bidi="ar"/>
        </w:rPr>
      </w:pPr>
    </w:p>
    <w:p w14:paraId="218A462E">
      <w:pPr>
        <w:pStyle w:val="32"/>
        <w:spacing w:line="360" w:lineRule="auto"/>
        <w:rPr>
          <w:rFonts w:hint="eastAsia" w:ascii="宋体" w:hAnsi="宋体" w:eastAsia="宋体" w:cs="宋体"/>
          <w:color w:val="auto"/>
          <w:kern w:val="0"/>
          <w:sz w:val="24"/>
          <w:szCs w:val="24"/>
          <w:highlight w:val="none"/>
          <w:lang w:val="en-US" w:eastAsia="zh-CN" w:bidi="ar"/>
        </w:rPr>
      </w:pPr>
    </w:p>
    <w:p w14:paraId="03385001">
      <w:pPr>
        <w:pStyle w:val="32"/>
        <w:spacing w:line="360" w:lineRule="auto"/>
        <w:rPr>
          <w:rFonts w:hint="eastAsia" w:ascii="宋体" w:hAnsi="宋体" w:eastAsia="宋体" w:cs="宋体"/>
          <w:color w:val="auto"/>
          <w:kern w:val="0"/>
          <w:sz w:val="24"/>
          <w:szCs w:val="24"/>
          <w:highlight w:val="none"/>
          <w:lang w:val="en-US" w:eastAsia="zh-CN" w:bidi="ar"/>
        </w:rPr>
      </w:pPr>
    </w:p>
    <w:p w14:paraId="6DE70E3C">
      <w:pPr>
        <w:pStyle w:val="32"/>
        <w:spacing w:line="360" w:lineRule="auto"/>
        <w:rPr>
          <w:rFonts w:hint="eastAsia" w:ascii="宋体" w:hAnsi="宋体" w:eastAsia="宋体" w:cs="宋体"/>
          <w:color w:val="auto"/>
          <w:kern w:val="0"/>
          <w:sz w:val="24"/>
          <w:szCs w:val="24"/>
          <w:highlight w:val="none"/>
          <w:lang w:val="en-US" w:eastAsia="zh-CN" w:bidi="ar"/>
        </w:rPr>
      </w:pPr>
    </w:p>
    <w:p w14:paraId="1ACF6603">
      <w:pPr>
        <w:pStyle w:val="32"/>
        <w:spacing w:line="360" w:lineRule="auto"/>
        <w:rPr>
          <w:rFonts w:hint="eastAsia" w:ascii="宋体" w:hAnsi="宋体" w:eastAsia="宋体" w:cs="宋体"/>
          <w:color w:val="auto"/>
          <w:kern w:val="0"/>
          <w:sz w:val="24"/>
          <w:szCs w:val="24"/>
          <w:highlight w:val="none"/>
          <w:lang w:val="en-US" w:eastAsia="zh-CN" w:bidi="ar"/>
        </w:rPr>
      </w:pPr>
    </w:p>
    <w:p w14:paraId="695C2664">
      <w:pPr>
        <w:pStyle w:val="32"/>
        <w:spacing w:line="360" w:lineRule="auto"/>
        <w:rPr>
          <w:rFonts w:hint="eastAsia" w:ascii="宋体" w:hAnsi="宋体" w:eastAsia="宋体" w:cs="宋体"/>
          <w:color w:val="auto"/>
          <w:kern w:val="0"/>
          <w:sz w:val="24"/>
          <w:szCs w:val="24"/>
          <w:highlight w:val="none"/>
          <w:lang w:val="en-US" w:eastAsia="zh-CN" w:bidi="ar"/>
        </w:rPr>
      </w:pPr>
    </w:p>
    <w:p w14:paraId="5AC171CE">
      <w:pPr>
        <w:pStyle w:val="32"/>
        <w:spacing w:line="360" w:lineRule="auto"/>
        <w:rPr>
          <w:rFonts w:hint="eastAsia" w:ascii="宋体" w:hAnsi="宋体" w:eastAsia="宋体" w:cs="宋体"/>
          <w:color w:val="auto"/>
          <w:kern w:val="0"/>
          <w:sz w:val="24"/>
          <w:szCs w:val="24"/>
          <w:highlight w:val="none"/>
          <w:lang w:val="en-US" w:eastAsia="zh-CN" w:bidi="ar"/>
        </w:rPr>
      </w:pPr>
    </w:p>
    <w:p w14:paraId="5D909244">
      <w:pPr>
        <w:pStyle w:val="32"/>
        <w:spacing w:line="360" w:lineRule="auto"/>
        <w:rPr>
          <w:rFonts w:hint="eastAsia" w:ascii="宋体" w:hAnsi="宋体" w:eastAsia="宋体" w:cs="宋体"/>
          <w:color w:val="auto"/>
          <w:kern w:val="0"/>
          <w:sz w:val="24"/>
          <w:szCs w:val="24"/>
          <w:highlight w:val="none"/>
          <w:lang w:val="en-US" w:eastAsia="zh-CN" w:bidi="ar"/>
        </w:rPr>
      </w:pPr>
    </w:p>
    <w:p w14:paraId="23390424">
      <w:pPr>
        <w:pStyle w:val="32"/>
        <w:spacing w:line="360" w:lineRule="auto"/>
        <w:rPr>
          <w:rFonts w:hint="eastAsia" w:ascii="宋体" w:hAnsi="宋体" w:eastAsia="宋体" w:cs="宋体"/>
          <w:color w:val="auto"/>
          <w:kern w:val="0"/>
          <w:sz w:val="24"/>
          <w:szCs w:val="24"/>
          <w:highlight w:val="none"/>
          <w:lang w:val="en-US" w:eastAsia="zh-CN" w:bidi="ar"/>
        </w:rPr>
      </w:pPr>
    </w:p>
    <w:p w14:paraId="111802FF">
      <w:pPr>
        <w:pStyle w:val="32"/>
        <w:spacing w:line="360" w:lineRule="auto"/>
        <w:rPr>
          <w:rFonts w:hint="eastAsia" w:ascii="宋体" w:hAnsi="宋体" w:eastAsia="宋体" w:cs="宋体"/>
          <w:color w:val="auto"/>
          <w:kern w:val="0"/>
          <w:sz w:val="24"/>
          <w:szCs w:val="24"/>
          <w:highlight w:val="none"/>
          <w:lang w:val="en-US" w:eastAsia="zh-CN" w:bidi="ar"/>
        </w:rPr>
      </w:pPr>
    </w:p>
    <w:p w14:paraId="7081BD8A">
      <w:pPr>
        <w:pStyle w:val="32"/>
        <w:spacing w:line="360" w:lineRule="auto"/>
        <w:rPr>
          <w:rFonts w:hint="eastAsia" w:ascii="宋体" w:hAnsi="宋体" w:eastAsia="宋体" w:cs="宋体"/>
          <w:color w:val="auto"/>
          <w:kern w:val="0"/>
          <w:sz w:val="24"/>
          <w:szCs w:val="24"/>
          <w:highlight w:val="none"/>
          <w:lang w:val="en-US" w:eastAsia="zh-CN" w:bidi="ar"/>
        </w:rPr>
      </w:pPr>
    </w:p>
    <w:p w14:paraId="7DF75863">
      <w:pPr>
        <w:pStyle w:val="32"/>
        <w:spacing w:line="360" w:lineRule="auto"/>
        <w:rPr>
          <w:rFonts w:hint="eastAsia" w:ascii="宋体" w:hAnsi="宋体" w:eastAsia="宋体" w:cs="宋体"/>
          <w:color w:val="auto"/>
          <w:kern w:val="0"/>
          <w:sz w:val="24"/>
          <w:szCs w:val="24"/>
          <w:highlight w:val="none"/>
          <w:lang w:val="en-US" w:eastAsia="zh-CN" w:bidi="ar"/>
        </w:rPr>
      </w:pPr>
    </w:p>
    <w:p w14:paraId="1CF76845">
      <w:pPr>
        <w:pStyle w:val="32"/>
        <w:spacing w:line="360" w:lineRule="auto"/>
        <w:rPr>
          <w:rFonts w:hint="eastAsia" w:ascii="宋体" w:hAnsi="宋体" w:eastAsia="宋体" w:cs="宋体"/>
          <w:color w:val="auto"/>
          <w:kern w:val="0"/>
          <w:sz w:val="24"/>
          <w:szCs w:val="24"/>
          <w:highlight w:val="none"/>
          <w:lang w:val="en-US" w:eastAsia="zh-CN" w:bidi="ar"/>
        </w:rPr>
      </w:pPr>
    </w:p>
    <w:p w14:paraId="24DE5455">
      <w:pPr>
        <w:pStyle w:val="32"/>
        <w:spacing w:line="360" w:lineRule="auto"/>
        <w:rPr>
          <w:rFonts w:hint="eastAsia" w:ascii="宋体" w:hAnsi="宋体" w:eastAsia="宋体" w:cs="宋体"/>
          <w:color w:val="auto"/>
          <w:kern w:val="0"/>
          <w:sz w:val="24"/>
          <w:szCs w:val="24"/>
          <w:highlight w:val="none"/>
          <w:lang w:val="en-US" w:eastAsia="zh-CN" w:bidi="ar"/>
        </w:rPr>
      </w:pPr>
    </w:p>
    <w:p w14:paraId="29E78C1F">
      <w:pPr>
        <w:pStyle w:val="32"/>
        <w:spacing w:line="360" w:lineRule="auto"/>
        <w:rPr>
          <w:rFonts w:hint="eastAsia" w:ascii="宋体" w:hAnsi="宋体" w:eastAsia="宋体" w:cs="宋体"/>
          <w:color w:val="auto"/>
          <w:kern w:val="0"/>
          <w:sz w:val="24"/>
          <w:szCs w:val="24"/>
          <w:highlight w:val="none"/>
          <w:lang w:val="en-US" w:eastAsia="zh-CN" w:bidi="ar"/>
        </w:rPr>
      </w:pPr>
    </w:p>
    <w:p w14:paraId="2803BB96">
      <w:pPr>
        <w:pStyle w:val="32"/>
        <w:spacing w:line="360" w:lineRule="auto"/>
        <w:rPr>
          <w:rFonts w:hint="eastAsia" w:ascii="宋体" w:hAnsi="宋体" w:eastAsia="宋体" w:cs="宋体"/>
          <w:color w:val="auto"/>
          <w:kern w:val="0"/>
          <w:sz w:val="24"/>
          <w:szCs w:val="24"/>
          <w:highlight w:val="none"/>
          <w:lang w:val="en-US" w:eastAsia="zh-CN" w:bidi="ar"/>
        </w:rPr>
      </w:pPr>
    </w:p>
    <w:p w14:paraId="687A2A3B">
      <w:pPr>
        <w:pStyle w:val="32"/>
        <w:spacing w:line="360" w:lineRule="auto"/>
        <w:rPr>
          <w:rFonts w:hint="eastAsia" w:ascii="宋体" w:hAnsi="宋体" w:eastAsia="宋体" w:cs="宋体"/>
          <w:color w:val="auto"/>
          <w:kern w:val="0"/>
          <w:sz w:val="24"/>
          <w:szCs w:val="24"/>
          <w:highlight w:val="none"/>
          <w:lang w:val="en-US" w:eastAsia="zh-CN" w:bidi="ar"/>
        </w:rPr>
      </w:pPr>
    </w:p>
    <w:p w14:paraId="7EC548AD">
      <w:pPr>
        <w:pStyle w:val="32"/>
        <w:spacing w:line="360" w:lineRule="auto"/>
        <w:rPr>
          <w:rFonts w:hint="eastAsia" w:ascii="宋体" w:hAnsi="宋体" w:eastAsia="宋体" w:cs="宋体"/>
          <w:color w:val="auto"/>
          <w:kern w:val="0"/>
          <w:sz w:val="24"/>
          <w:szCs w:val="24"/>
          <w:highlight w:val="none"/>
          <w:lang w:val="en-US" w:eastAsia="zh-CN" w:bidi="ar"/>
        </w:rPr>
      </w:pPr>
    </w:p>
    <w:p w14:paraId="674FEA63">
      <w:pPr>
        <w:pStyle w:val="3"/>
        <w:spacing w:line="360" w:lineRule="auto"/>
        <w:jc w:val="center"/>
        <w:outlineLvl w:val="0"/>
        <w:rPr>
          <w:rFonts w:hint="eastAsia" w:ascii="宋体" w:hAnsi="宋体" w:eastAsia="宋体" w:cs="宋体"/>
          <w:b/>
          <w:bCs/>
          <w:color w:val="auto"/>
          <w:sz w:val="36"/>
          <w:szCs w:val="36"/>
          <w:highlight w:val="none"/>
          <w:lang w:val="en-US" w:eastAsia="zh-CN"/>
        </w:rPr>
      </w:pPr>
      <w:bookmarkStart w:id="367" w:name="_Toc17769"/>
      <w:bookmarkStart w:id="368" w:name="_Toc30015"/>
      <w:r>
        <w:rPr>
          <w:rFonts w:hint="eastAsia" w:ascii="宋体" w:hAnsi="宋体" w:eastAsia="宋体" w:cs="宋体"/>
          <w:b/>
          <w:bCs/>
          <w:color w:val="auto"/>
          <w:sz w:val="36"/>
          <w:szCs w:val="36"/>
          <w:highlight w:val="none"/>
          <w:lang w:val="en-US" w:eastAsia="zh-CN"/>
        </w:rPr>
        <w:t xml:space="preserve">第七章 </w:t>
      </w:r>
      <w:r>
        <w:rPr>
          <w:rFonts w:hint="eastAsia" w:ascii="宋体" w:hAnsi="宋体" w:cs="宋体"/>
          <w:b/>
          <w:bCs/>
          <w:color w:val="auto"/>
          <w:sz w:val="36"/>
          <w:szCs w:val="36"/>
          <w:highlight w:val="none"/>
          <w:lang w:val="en-US" w:eastAsia="zh-CN"/>
        </w:rPr>
        <w:t>政府采购</w:t>
      </w:r>
      <w:r>
        <w:rPr>
          <w:rFonts w:hint="eastAsia" w:ascii="宋体" w:hAnsi="宋体" w:eastAsia="宋体" w:cs="宋体"/>
          <w:b/>
          <w:bCs/>
          <w:color w:val="auto"/>
          <w:sz w:val="36"/>
          <w:szCs w:val="36"/>
          <w:highlight w:val="none"/>
          <w:lang w:val="en-US" w:eastAsia="zh-CN"/>
        </w:rPr>
        <w:t>合同</w:t>
      </w:r>
      <w:bookmarkEnd w:id="367"/>
      <w:r>
        <w:rPr>
          <w:rFonts w:hint="eastAsia" w:ascii="宋体" w:hAnsi="宋体" w:cs="宋体"/>
          <w:b/>
          <w:bCs/>
          <w:color w:val="auto"/>
          <w:sz w:val="36"/>
          <w:szCs w:val="36"/>
          <w:highlight w:val="none"/>
          <w:lang w:val="en-US" w:eastAsia="zh-CN"/>
        </w:rPr>
        <w:t>书</w:t>
      </w:r>
      <w:bookmarkEnd w:id="368"/>
    </w:p>
    <w:p w14:paraId="235DD242">
      <w:pPr>
        <w:widowControl/>
        <w:wordWrap w:val="0"/>
        <w:spacing w:before="100" w:beforeAutospacing="1" w:after="100" w:afterAutospacing="1" w:line="360" w:lineRule="auto"/>
        <w:ind w:firstLine="2811" w:firstLineChars="1000"/>
        <w:rPr>
          <w:rFonts w:hint="eastAsia" w:ascii="宋体" w:hAnsi="宋体" w:cs="宋体"/>
          <w:b/>
          <w:bCs/>
          <w:color w:val="auto"/>
          <w:kern w:val="0"/>
          <w:sz w:val="28"/>
          <w:szCs w:val="28"/>
          <w:highlight w:val="none"/>
        </w:rPr>
      </w:pPr>
      <w:r>
        <w:rPr>
          <w:rFonts w:hint="eastAsia" w:ascii="宋体" w:hAnsi="宋体" w:cs="宋体"/>
          <w:b/>
          <w:bCs/>
          <w:color w:val="auto"/>
          <w:kern w:val="0"/>
          <w:sz w:val="28"/>
          <w:szCs w:val="28"/>
          <w:highlight w:val="none"/>
        </w:rPr>
        <w:t xml:space="preserve">合同编号：                 </w:t>
      </w:r>
    </w:p>
    <w:p w14:paraId="585AEBDB">
      <w:pPr>
        <w:spacing w:line="360" w:lineRule="auto"/>
        <w:rPr>
          <w:rFonts w:hint="eastAsia" w:ascii="宋体" w:hAnsi="宋体" w:cs="宋体"/>
          <w:color w:val="auto"/>
          <w:highlight w:val="none"/>
        </w:rPr>
      </w:pPr>
    </w:p>
    <w:p w14:paraId="02C26A10">
      <w:pPr>
        <w:spacing w:line="360" w:lineRule="auto"/>
        <w:rPr>
          <w:rFonts w:hint="eastAsia" w:ascii="宋体" w:hAnsi="宋体" w:cs="宋体"/>
          <w:color w:val="auto"/>
          <w:highlight w:val="none"/>
        </w:rPr>
      </w:pPr>
    </w:p>
    <w:p w14:paraId="732F0838">
      <w:pPr>
        <w:spacing w:line="360" w:lineRule="auto"/>
        <w:ind w:firstLine="2610" w:firstLineChars="500"/>
        <w:rPr>
          <w:rFonts w:hint="eastAsia" w:ascii="宋体" w:hAnsi="宋体" w:cs="宋体"/>
          <w:b/>
          <w:bCs/>
          <w:color w:val="auto"/>
          <w:sz w:val="52"/>
          <w:szCs w:val="52"/>
          <w:highlight w:val="none"/>
        </w:rPr>
      </w:pPr>
    </w:p>
    <w:p w14:paraId="72E0244E">
      <w:pPr>
        <w:spacing w:line="360" w:lineRule="auto"/>
        <w:rPr>
          <w:rFonts w:hint="eastAsia" w:ascii="宋体" w:hAnsi="宋体" w:cs="宋体"/>
          <w:b/>
          <w:bCs/>
          <w:color w:val="auto"/>
          <w:sz w:val="52"/>
          <w:szCs w:val="52"/>
          <w:highlight w:val="none"/>
        </w:rPr>
      </w:pPr>
    </w:p>
    <w:p w14:paraId="360AE0D9">
      <w:pPr>
        <w:spacing w:line="360" w:lineRule="auto"/>
        <w:jc w:val="center"/>
        <w:rPr>
          <w:rFonts w:hint="eastAsia" w:ascii="宋体" w:hAnsi="宋体" w:cs="宋体"/>
          <w:b/>
          <w:bCs/>
          <w:color w:val="auto"/>
          <w:szCs w:val="21"/>
          <w:highlight w:val="none"/>
        </w:rPr>
      </w:pPr>
      <w:r>
        <w:rPr>
          <w:rFonts w:hint="eastAsia" w:ascii="宋体" w:hAnsi="宋体" w:eastAsia="宋体" w:cs="宋体"/>
          <w:b/>
          <w:bCs/>
          <w:color w:val="auto"/>
          <w:sz w:val="52"/>
          <w:szCs w:val="52"/>
          <w:highlight w:val="none"/>
          <w:u w:val="single"/>
          <w:lang w:val="en-US" w:eastAsia="zh-CN"/>
        </w:rPr>
        <w:t xml:space="preserve">   （项目名称）   </w:t>
      </w:r>
      <w:r>
        <w:rPr>
          <w:rFonts w:hint="eastAsia" w:ascii="宋体" w:hAnsi="宋体" w:cs="宋体"/>
          <w:b/>
          <w:bCs/>
          <w:color w:val="auto"/>
          <w:sz w:val="52"/>
          <w:szCs w:val="52"/>
          <w:highlight w:val="none"/>
        </w:rPr>
        <w:t>合同</w:t>
      </w:r>
    </w:p>
    <w:p w14:paraId="3D27EB44">
      <w:pPr>
        <w:spacing w:line="360" w:lineRule="auto"/>
        <w:ind w:firstLine="1476" w:firstLineChars="700"/>
        <w:rPr>
          <w:rFonts w:hint="eastAsia" w:ascii="宋体" w:hAnsi="宋体" w:cs="宋体"/>
          <w:b/>
          <w:bCs/>
          <w:color w:val="auto"/>
          <w:szCs w:val="21"/>
          <w:highlight w:val="none"/>
        </w:rPr>
      </w:pPr>
    </w:p>
    <w:p w14:paraId="4ACBBA8A">
      <w:pPr>
        <w:spacing w:line="360" w:lineRule="auto"/>
        <w:ind w:firstLine="2249" w:firstLineChars="700"/>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t>项目编号：</w:t>
      </w:r>
      <w:r>
        <w:rPr>
          <w:rFonts w:hint="eastAsia" w:ascii="宋体" w:hAnsi="宋体" w:cs="宋体"/>
          <w:color w:val="auto"/>
          <w:sz w:val="32"/>
          <w:szCs w:val="32"/>
          <w:highlight w:val="none"/>
          <w:u w:val="single"/>
        </w:rPr>
        <w:t xml:space="preserve">               </w:t>
      </w:r>
    </w:p>
    <w:p w14:paraId="7FC6D03B">
      <w:pPr>
        <w:spacing w:line="360" w:lineRule="auto"/>
        <w:jc w:val="center"/>
        <w:rPr>
          <w:rFonts w:hint="eastAsia" w:ascii="宋体" w:hAnsi="宋体" w:cs="宋体"/>
          <w:b/>
          <w:bCs/>
          <w:color w:val="auto"/>
          <w:sz w:val="24"/>
          <w:highlight w:val="none"/>
        </w:rPr>
      </w:pPr>
      <w:r>
        <w:rPr>
          <w:rFonts w:hint="eastAsia" w:ascii="宋体" w:hAnsi="宋体" w:cs="宋体"/>
          <w:b/>
          <w:bCs/>
          <w:color w:val="auto"/>
          <w:sz w:val="24"/>
          <w:highlight w:val="none"/>
        </w:rPr>
        <w:t xml:space="preserve"> </w:t>
      </w:r>
    </w:p>
    <w:p w14:paraId="4350F997">
      <w:pPr>
        <w:spacing w:line="360" w:lineRule="auto"/>
        <w:jc w:val="center"/>
        <w:rPr>
          <w:rFonts w:hint="eastAsia" w:ascii="宋体" w:hAnsi="宋体" w:cs="宋体"/>
          <w:b/>
          <w:bCs/>
          <w:color w:val="auto"/>
          <w:sz w:val="24"/>
          <w:highlight w:val="none"/>
        </w:rPr>
      </w:pPr>
    </w:p>
    <w:p w14:paraId="48EC1601">
      <w:pPr>
        <w:spacing w:line="360" w:lineRule="auto"/>
        <w:jc w:val="center"/>
        <w:rPr>
          <w:rFonts w:hint="eastAsia" w:ascii="宋体" w:hAnsi="宋体" w:cs="宋体"/>
          <w:b/>
          <w:bCs/>
          <w:color w:val="auto"/>
          <w:sz w:val="24"/>
          <w:highlight w:val="none"/>
        </w:rPr>
      </w:pPr>
    </w:p>
    <w:p w14:paraId="49E48ED7">
      <w:pPr>
        <w:spacing w:line="360" w:lineRule="auto"/>
        <w:jc w:val="center"/>
        <w:rPr>
          <w:rFonts w:hint="eastAsia" w:ascii="宋体" w:hAnsi="宋体" w:cs="宋体"/>
          <w:b/>
          <w:bCs/>
          <w:color w:val="auto"/>
          <w:sz w:val="24"/>
          <w:highlight w:val="none"/>
        </w:rPr>
      </w:pPr>
      <w:r>
        <w:rPr>
          <w:rFonts w:hint="eastAsia" w:ascii="宋体" w:hAnsi="宋体" w:cs="宋体"/>
          <w:b/>
          <w:bCs/>
          <w:color w:val="auto"/>
          <w:sz w:val="24"/>
          <w:highlight w:val="none"/>
        </w:rPr>
        <w:t xml:space="preserve"> </w:t>
      </w:r>
    </w:p>
    <w:p w14:paraId="2E32FB56">
      <w:pPr>
        <w:spacing w:line="360" w:lineRule="auto"/>
        <w:rPr>
          <w:rFonts w:hint="eastAsia" w:ascii="宋体" w:hAnsi="宋体" w:cs="宋体"/>
          <w:b/>
          <w:color w:val="auto"/>
          <w:sz w:val="30"/>
          <w:szCs w:val="30"/>
          <w:highlight w:val="none"/>
        </w:rPr>
      </w:pPr>
      <w:r>
        <w:rPr>
          <w:rFonts w:hint="eastAsia" w:ascii="宋体" w:hAnsi="宋体" w:cs="宋体"/>
          <w:b/>
          <w:color w:val="auto"/>
          <w:sz w:val="30"/>
          <w:szCs w:val="30"/>
          <w:highlight w:val="none"/>
        </w:rPr>
        <w:t>工程名称：</w:t>
      </w:r>
    </w:p>
    <w:p w14:paraId="3839F198">
      <w:pPr>
        <w:spacing w:line="360" w:lineRule="auto"/>
        <w:rPr>
          <w:rFonts w:hint="eastAsia" w:ascii="宋体" w:hAnsi="宋体" w:cs="宋体"/>
          <w:b/>
          <w:color w:val="auto"/>
          <w:sz w:val="30"/>
          <w:szCs w:val="30"/>
          <w:highlight w:val="none"/>
        </w:rPr>
      </w:pPr>
    </w:p>
    <w:p w14:paraId="151C66E5">
      <w:pPr>
        <w:spacing w:line="360" w:lineRule="auto"/>
        <w:rPr>
          <w:rFonts w:hint="eastAsia" w:ascii="宋体" w:hAnsi="宋体" w:cs="宋体"/>
          <w:b/>
          <w:bCs/>
          <w:color w:val="auto"/>
          <w:sz w:val="30"/>
          <w:szCs w:val="30"/>
          <w:highlight w:val="none"/>
        </w:rPr>
      </w:pPr>
      <w:r>
        <w:rPr>
          <w:rFonts w:hint="eastAsia" w:ascii="宋体" w:hAnsi="宋体" w:cs="宋体"/>
          <w:b/>
          <w:bCs/>
          <w:color w:val="auto"/>
          <w:sz w:val="30"/>
          <w:szCs w:val="30"/>
          <w:highlight w:val="none"/>
        </w:rPr>
        <w:t xml:space="preserve">建设地点：          </w:t>
      </w:r>
    </w:p>
    <w:p w14:paraId="4DCCF563">
      <w:pPr>
        <w:spacing w:line="360" w:lineRule="auto"/>
        <w:rPr>
          <w:rFonts w:hint="eastAsia" w:ascii="宋体" w:hAnsi="宋体" w:cs="宋体"/>
          <w:b/>
          <w:bCs/>
          <w:color w:val="auto"/>
          <w:sz w:val="30"/>
          <w:szCs w:val="30"/>
          <w:highlight w:val="none"/>
        </w:rPr>
      </w:pPr>
      <w:r>
        <w:rPr>
          <w:rFonts w:hint="eastAsia" w:ascii="宋体" w:hAnsi="宋体" w:cs="宋体"/>
          <w:b/>
          <w:bCs/>
          <w:color w:val="auto"/>
          <w:sz w:val="30"/>
          <w:szCs w:val="30"/>
          <w:highlight w:val="none"/>
        </w:rPr>
        <w:t xml:space="preserve">发 包 人：         </w:t>
      </w:r>
    </w:p>
    <w:p w14:paraId="1D0D54BD">
      <w:pPr>
        <w:spacing w:line="360" w:lineRule="auto"/>
        <w:rPr>
          <w:rFonts w:hint="eastAsia" w:ascii="宋体" w:hAnsi="宋体" w:cs="宋体"/>
          <w:b/>
          <w:bCs/>
          <w:color w:val="auto"/>
          <w:sz w:val="30"/>
          <w:szCs w:val="30"/>
          <w:highlight w:val="none"/>
        </w:rPr>
      </w:pPr>
      <w:r>
        <w:rPr>
          <w:rFonts w:hint="eastAsia" w:ascii="宋体" w:hAnsi="宋体" w:cs="宋体"/>
          <w:b/>
          <w:bCs/>
          <w:color w:val="auto"/>
          <w:sz w:val="30"/>
          <w:szCs w:val="30"/>
          <w:highlight w:val="none"/>
        </w:rPr>
        <w:t>承 包 人：</w:t>
      </w:r>
    </w:p>
    <w:p w14:paraId="619ED41D">
      <w:pPr>
        <w:spacing w:line="360" w:lineRule="auto"/>
        <w:rPr>
          <w:rFonts w:hint="eastAsia" w:ascii="宋体" w:hAnsi="宋体" w:cs="宋体"/>
          <w:b/>
          <w:bCs/>
          <w:color w:val="auto"/>
          <w:sz w:val="32"/>
          <w:szCs w:val="32"/>
          <w:highlight w:val="none"/>
        </w:rPr>
      </w:pPr>
      <w:r>
        <w:rPr>
          <w:rFonts w:hint="eastAsia" w:ascii="宋体" w:hAnsi="宋体" w:cs="宋体"/>
          <w:b/>
          <w:bCs/>
          <w:color w:val="auto"/>
          <w:sz w:val="30"/>
          <w:szCs w:val="30"/>
          <w:highlight w:val="none"/>
        </w:rPr>
        <w:t xml:space="preserve">签订日期: </w:t>
      </w:r>
      <w:r>
        <w:rPr>
          <w:rFonts w:hint="eastAsia" w:ascii="宋体" w:hAnsi="宋体" w:cs="宋体"/>
          <w:b/>
          <w:bCs/>
          <w:color w:val="auto"/>
          <w:sz w:val="32"/>
          <w:szCs w:val="32"/>
          <w:highlight w:val="none"/>
        </w:rPr>
        <w:t xml:space="preserve"> </w:t>
      </w:r>
    </w:p>
    <w:p w14:paraId="7B33BB21">
      <w:pPr>
        <w:pStyle w:val="20"/>
        <w:spacing w:line="360" w:lineRule="auto"/>
        <w:jc w:val="center"/>
        <w:rPr>
          <w:rFonts w:hint="eastAsia" w:hAnsi="宋体" w:cs="宋体"/>
          <w:b/>
          <w:color w:val="auto"/>
          <w:sz w:val="32"/>
          <w:highlight w:val="none"/>
        </w:rPr>
      </w:pPr>
    </w:p>
    <w:p w14:paraId="21F3FB21">
      <w:pPr>
        <w:pStyle w:val="20"/>
        <w:spacing w:line="360" w:lineRule="auto"/>
        <w:jc w:val="center"/>
        <w:rPr>
          <w:rFonts w:hint="eastAsia" w:hAnsi="宋体" w:cs="宋体"/>
          <w:b/>
          <w:color w:val="auto"/>
          <w:sz w:val="32"/>
          <w:highlight w:val="none"/>
        </w:rPr>
      </w:pPr>
    </w:p>
    <w:p w14:paraId="15908722">
      <w:pPr>
        <w:pStyle w:val="4"/>
        <w:bidi w:val="0"/>
        <w:spacing w:line="360" w:lineRule="auto"/>
        <w:jc w:val="center"/>
        <w:rPr>
          <w:color w:val="auto"/>
        </w:rPr>
      </w:pPr>
      <w:bookmarkStart w:id="369" w:name="_Toc17813"/>
      <w:bookmarkStart w:id="370" w:name="_Toc6040"/>
      <w:bookmarkStart w:id="371" w:name="_Toc25560"/>
      <w:bookmarkStart w:id="372" w:name="_Toc145955960"/>
      <w:bookmarkStart w:id="373" w:name="_Toc173351898"/>
      <w:bookmarkStart w:id="374" w:name="_Toc2531"/>
      <w:r>
        <w:rPr>
          <w:rFonts w:hint="eastAsia"/>
          <w:color w:val="auto"/>
        </w:rPr>
        <w:t>第一部分</w:t>
      </w:r>
      <w:r>
        <w:rPr>
          <w:rFonts w:hint="eastAsia"/>
          <w:color w:val="auto"/>
          <w:lang w:val="en-US" w:eastAsia="zh-CN"/>
        </w:rPr>
        <w:t xml:space="preserve"> </w:t>
      </w:r>
      <w:r>
        <w:rPr>
          <w:rFonts w:hint="eastAsia"/>
          <w:color w:val="auto"/>
        </w:rPr>
        <w:t xml:space="preserve"> 合同协议书</w:t>
      </w:r>
      <w:bookmarkEnd w:id="369"/>
      <w:bookmarkEnd w:id="370"/>
      <w:bookmarkEnd w:id="371"/>
    </w:p>
    <w:p w14:paraId="071865FC">
      <w:pPr>
        <w:spacing w:line="360" w:lineRule="auto"/>
        <w:rPr>
          <w:rFonts w:hint="default" w:ascii="宋体" w:hAnsi="宋体" w:eastAsia="宋体"/>
          <w:color w:val="auto"/>
          <w:szCs w:val="21"/>
          <w:highlight w:val="none"/>
          <w:u w:val="single"/>
          <w:lang w:val="en-US" w:eastAsia="zh-CN"/>
        </w:rPr>
      </w:pPr>
      <w:r>
        <w:rPr>
          <w:rFonts w:ascii="宋体" w:hAnsi="宋体"/>
          <w:color w:val="auto"/>
          <w:szCs w:val="21"/>
          <w:highlight w:val="none"/>
        </w:rPr>
        <w:t>发包人（全称）：</w:t>
      </w:r>
      <w:r>
        <w:rPr>
          <w:rFonts w:hint="eastAsia" w:ascii="MingLiU_HKSCS" w:hAnsi="MingLiU_HKSCS" w:cs="MingLiU_HKSCS"/>
          <w:color w:val="auto"/>
          <w:szCs w:val="21"/>
          <w:highlight w:val="none"/>
          <w:u w:val="single"/>
          <w:lang w:val="en-US" w:eastAsia="zh-CN"/>
        </w:rPr>
        <w:t xml:space="preserve">                             </w:t>
      </w:r>
    </w:p>
    <w:p w14:paraId="5426A5B6">
      <w:pPr>
        <w:spacing w:line="360" w:lineRule="auto"/>
        <w:rPr>
          <w:rFonts w:ascii="宋体" w:hAnsi="宋体"/>
          <w:color w:val="auto"/>
          <w:szCs w:val="21"/>
          <w:highlight w:val="none"/>
          <w:u w:val="single"/>
        </w:rPr>
      </w:pPr>
      <w:r>
        <w:rPr>
          <w:rFonts w:ascii="宋体" w:hAnsi="宋体"/>
          <w:color w:val="auto"/>
          <w:szCs w:val="21"/>
          <w:highlight w:val="none"/>
        </w:rPr>
        <w:t>承包人（全称）：</w:t>
      </w:r>
      <w:r>
        <w:rPr>
          <w:rFonts w:hint="eastAsia" w:ascii="MingLiU_HKSCS" w:hAnsi="MingLiU_HKSCS" w:cs="MingLiU_HKSCS"/>
          <w:color w:val="auto"/>
          <w:szCs w:val="21"/>
          <w:highlight w:val="none"/>
          <w:u w:val="single"/>
          <w:lang w:val="en-US" w:eastAsia="zh-CN"/>
        </w:rPr>
        <w:t xml:space="preserve">                             </w:t>
      </w:r>
    </w:p>
    <w:p w14:paraId="5E337B42">
      <w:pPr>
        <w:spacing w:line="360" w:lineRule="auto"/>
        <w:ind w:firstLine="420" w:firstLineChars="200"/>
        <w:rPr>
          <w:rFonts w:ascii="宋体" w:hAnsi="宋体"/>
          <w:color w:val="auto"/>
          <w:szCs w:val="21"/>
          <w:highlight w:val="none"/>
        </w:rPr>
      </w:pPr>
      <w:r>
        <w:rPr>
          <w:rFonts w:ascii="宋体" w:hAnsi="宋体"/>
          <w:color w:val="auto"/>
          <w:szCs w:val="21"/>
          <w:highlight w:val="none"/>
        </w:rPr>
        <w:t>根据《中华人民共和国</w:t>
      </w:r>
      <w:r>
        <w:rPr>
          <w:rFonts w:hint="eastAsia" w:ascii="宋体" w:hAnsi="宋体"/>
          <w:color w:val="auto"/>
          <w:szCs w:val="21"/>
          <w:highlight w:val="none"/>
          <w:lang w:eastAsia="zh-CN"/>
        </w:rPr>
        <w:t>民法典</w:t>
      </w:r>
      <w:r>
        <w:rPr>
          <w:rFonts w:ascii="宋体" w:hAnsi="宋体"/>
          <w:color w:val="auto"/>
          <w:szCs w:val="21"/>
          <w:highlight w:val="none"/>
        </w:rPr>
        <w:t>》、《中华人民共和国建筑法》及有关法律规定，遵循平等、自愿、公平和诚实信用的原则，双方就工程施工及有关事项协商一致，共同达成如下协议：</w:t>
      </w:r>
      <w:bookmarkStart w:id="375" w:name="_Toc351203481"/>
    </w:p>
    <w:p w14:paraId="7C9AEBBB">
      <w:pPr>
        <w:spacing w:line="360" w:lineRule="auto"/>
        <w:ind w:firstLine="422" w:firstLineChars="200"/>
        <w:rPr>
          <w:rFonts w:ascii="宋体" w:hAnsi="宋体"/>
          <w:b/>
          <w:bCs/>
          <w:color w:val="auto"/>
          <w:szCs w:val="21"/>
          <w:highlight w:val="none"/>
        </w:rPr>
      </w:pPr>
      <w:r>
        <w:rPr>
          <w:rFonts w:ascii="宋体" w:hAnsi="宋体"/>
          <w:b/>
          <w:bCs/>
          <w:color w:val="auto"/>
          <w:szCs w:val="21"/>
          <w:highlight w:val="none"/>
        </w:rPr>
        <w:t>一、工程概况</w:t>
      </w:r>
      <w:bookmarkEnd w:id="375"/>
    </w:p>
    <w:p w14:paraId="5425D499">
      <w:pPr>
        <w:spacing w:line="360" w:lineRule="auto"/>
        <w:ind w:firstLine="411" w:firstLineChars="196"/>
        <w:rPr>
          <w:rFonts w:ascii="宋体" w:hAnsi="宋体"/>
          <w:color w:val="auto"/>
          <w:szCs w:val="21"/>
          <w:highlight w:val="none"/>
          <w:u w:val="single"/>
        </w:rPr>
      </w:pPr>
      <w:r>
        <w:rPr>
          <w:rFonts w:ascii="宋体" w:hAnsi="宋体"/>
          <w:bCs/>
          <w:color w:val="auto"/>
          <w:szCs w:val="21"/>
          <w:highlight w:val="none"/>
        </w:rPr>
        <w:t>1.工程名称</w:t>
      </w:r>
      <w:r>
        <w:rPr>
          <w:rFonts w:ascii="宋体" w:hAnsi="宋体"/>
          <w:color w:val="auto"/>
          <w:szCs w:val="21"/>
          <w:highlight w:val="none"/>
        </w:rPr>
        <w:t>：</w:t>
      </w:r>
      <w:r>
        <w:rPr>
          <w:rFonts w:hint="eastAsia" w:ascii="宋体" w:hAnsi="宋体"/>
          <w:color w:val="auto"/>
          <w:szCs w:val="21"/>
          <w:highlight w:val="none"/>
          <w:u w:val="single"/>
        </w:rPr>
        <w:t xml:space="preserve">                       </w:t>
      </w:r>
      <w:r>
        <w:rPr>
          <w:rFonts w:ascii="宋体" w:hAnsi="宋体"/>
          <w:color w:val="auto"/>
          <w:szCs w:val="21"/>
          <w:highlight w:val="none"/>
        </w:rPr>
        <w:t>。</w:t>
      </w:r>
    </w:p>
    <w:p w14:paraId="53A996DB">
      <w:pPr>
        <w:spacing w:line="360" w:lineRule="auto"/>
        <w:ind w:firstLine="411" w:firstLineChars="196"/>
        <w:rPr>
          <w:rFonts w:ascii="宋体" w:hAnsi="宋体"/>
          <w:bCs/>
          <w:color w:val="auto"/>
          <w:szCs w:val="21"/>
          <w:highlight w:val="none"/>
        </w:rPr>
      </w:pPr>
      <w:r>
        <w:rPr>
          <w:rFonts w:ascii="宋体" w:hAnsi="宋体"/>
          <w:bCs/>
          <w:color w:val="auto"/>
          <w:szCs w:val="21"/>
          <w:highlight w:val="none"/>
        </w:rPr>
        <w:t>2.工程地点：</w:t>
      </w:r>
      <w:r>
        <w:rPr>
          <w:rFonts w:hint="eastAsia" w:ascii="宋体" w:hAnsi="宋体"/>
          <w:color w:val="auto"/>
          <w:szCs w:val="21"/>
          <w:highlight w:val="none"/>
          <w:u w:val="single"/>
        </w:rPr>
        <w:t xml:space="preserve">                       </w:t>
      </w:r>
      <w:r>
        <w:rPr>
          <w:rFonts w:ascii="宋体" w:hAnsi="宋体"/>
          <w:color w:val="auto"/>
          <w:szCs w:val="21"/>
          <w:highlight w:val="none"/>
        </w:rPr>
        <w:t>。</w:t>
      </w:r>
    </w:p>
    <w:p w14:paraId="3571F534">
      <w:pPr>
        <w:spacing w:line="360" w:lineRule="auto"/>
        <w:ind w:firstLine="411" w:firstLineChars="196"/>
        <w:rPr>
          <w:rFonts w:ascii="宋体" w:hAnsi="宋体"/>
          <w:bCs/>
          <w:color w:val="auto"/>
          <w:szCs w:val="21"/>
          <w:highlight w:val="none"/>
        </w:rPr>
      </w:pPr>
      <w:r>
        <w:rPr>
          <w:rFonts w:ascii="宋体" w:hAnsi="宋体"/>
          <w:bCs/>
          <w:color w:val="auto"/>
          <w:szCs w:val="21"/>
          <w:highlight w:val="none"/>
        </w:rPr>
        <w:t>3.工程立项批准文号：</w:t>
      </w:r>
      <w:r>
        <w:rPr>
          <w:rFonts w:hint="eastAsia" w:ascii="宋体" w:hAnsi="宋体"/>
          <w:color w:val="auto"/>
          <w:szCs w:val="21"/>
          <w:highlight w:val="none"/>
          <w:u w:val="single"/>
        </w:rPr>
        <w:t xml:space="preserve">                       </w:t>
      </w:r>
      <w:r>
        <w:rPr>
          <w:rFonts w:ascii="宋体" w:hAnsi="宋体"/>
          <w:bCs/>
          <w:color w:val="auto"/>
          <w:szCs w:val="21"/>
          <w:highlight w:val="none"/>
        </w:rPr>
        <w:t>。</w:t>
      </w:r>
    </w:p>
    <w:p w14:paraId="64000DF0">
      <w:pPr>
        <w:spacing w:line="360" w:lineRule="auto"/>
        <w:ind w:firstLine="411" w:firstLineChars="196"/>
        <w:rPr>
          <w:rFonts w:ascii="宋体" w:hAnsi="宋体"/>
          <w:bCs/>
          <w:color w:val="auto"/>
          <w:szCs w:val="21"/>
          <w:highlight w:val="none"/>
        </w:rPr>
      </w:pPr>
      <w:r>
        <w:rPr>
          <w:rFonts w:ascii="宋体" w:hAnsi="宋体"/>
          <w:bCs/>
          <w:color w:val="auto"/>
          <w:szCs w:val="21"/>
          <w:highlight w:val="none"/>
        </w:rPr>
        <w:t>4.资金来源：</w:t>
      </w:r>
      <w:r>
        <w:rPr>
          <w:rFonts w:hint="eastAsia" w:ascii="宋体" w:hAnsi="宋体"/>
          <w:color w:val="auto"/>
          <w:szCs w:val="21"/>
          <w:highlight w:val="none"/>
          <w:u w:val="single"/>
        </w:rPr>
        <w:t xml:space="preserve">                       </w:t>
      </w:r>
      <w:r>
        <w:rPr>
          <w:rFonts w:ascii="宋体" w:hAnsi="宋体"/>
          <w:bCs/>
          <w:color w:val="auto"/>
          <w:szCs w:val="21"/>
          <w:highlight w:val="none"/>
        </w:rPr>
        <w:t>。</w:t>
      </w:r>
    </w:p>
    <w:p w14:paraId="5E59E996">
      <w:pPr>
        <w:spacing w:line="360" w:lineRule="auto"/>
        <w:ind w:firstLine="411" w:firstLineChars="196"/>
        <w:rPr>
          <w:rFonts w:ascii="宋体" w:hAnsi="宋体"/>
          <w:bCs/>
          <w:color w:val="auto"/>
          <w:szCs w:val="21"/>
          <w:highlight w:val="none"/>
        </w:rPr>
      </w:pPr>
      <w:r>
        <w:rPr>
          <w:rFonts w:ascii="宋体" w:hAnsi="宋体"/>
          <w:bCs/>
          <w:color w:val="auto"/>
          <w:szCs w:val="21"/>
          <w:highlight w:val="none"/>
        </w:rPr>
        <w:t>5.工程内容：</w:t>
      </w:r>
      <w:r>
        <w:rPr>
          <w:rFonts w:hint="eastAsia" w:ascii="宋体" w:hAnsi="宋体"/>
          <w:color w:val="auto"/>
          <w:szCs w:val="21"/>
          <w:highlight w:val="none"/>
          <w:u w:val="single"/>
        </w:rPr>
        <w:t xml:space="preserve">                       </w:t>
      </w:r>
      <w:r>
        <w:rPr>
          <w:rFonts w:ascii="宋体" w:hAnsi="宋体"/>
          <w:bCs/>
          <w:color w:val="auto"/>
          <w:szCs w:val="21"/>
          <w:highlight w:val="none"/>
        </w:rPr>
        <w:t>。</w:t>
      </w:r>
    </w:p>
    <w:p w14:paraId="22836635">
      <w:pPr>
        <w:spacing w:line="360" w:lineRule="auto"/>
        <w:ind w:firstLine="411" w:firstLineChars="196"/>
        <w:rPr>
          <w:rFonts w:ascii="宋体" w:hAnsi="宋体"/>
          <w:bCs/>
          <w:color w:val="auto"/>
          <w:szCs w:val="21"/>
          <w:highlight w:val="none"/>
        </w:rPr>
      </w:pPr>
      <w:r>
        <w:rPr>
          <w:rFonts w:ascii="宋体" w:hAnsi="宋体"/>
          <w:color w:val="auto"/>
          <w:szCs w:val="21"/>
          <w:highlight w:val="none"/>
        </w:rPr>
        <w:t>群体工程应附《承包人承揽工程项目一览表》（附件1）。</w:t>
      </w:r>
    </w:p>
    <w:p w14:paraId="17E67682">
      <w:pPr>
        <w:spacing w:line="360" w:lineRule="auto"/>
        <w:ind w:firstLine="411" w:firstLineChars="196"/>
        <w:rPr>
          <w:rFonts w:ascii="宋体" w:hAnsi="宋体"/>
          <w:color w:val="auto"/>
          <w:szCs w:val="21"/>
          <w:highlight w:val="none"/>
        </w:rPr>
      </w:pPr>
      <w:r>
        <w:rPr>
          <w:rFonts w:ascii="宋体" w:hAnsi="宋体"/>
          <w:bCs/>
          <w:color w:val="auto"/>
          <w:szCs w:val="21"/>
          <w:highlight w:val="none"/>
        </w:rPr>
        <w:t>6.工程承包范围：</w:t>
      </w:r>
      <w:r>
        <w:rPr>
          <w:rFonts w:hint="eastAsia" w:ascii="宋体" w:hAnsi="宋体"/>
          <w:color w:val="auto"/>
          <w:szCs w:val="21"/>
          <w:highlight w:val="none"/>
          <w:u w:val="single"/>
        </w:rPr>
        <w:t xml:space="preserve">                       </w:t>
      </w:r>
      <w:r>
        <w:rPr>
          <w:rFonts w:ascii="宋体" w:hAnsi="宋体"/>
          <w:color w:val="auto"/>
          <w:szCs w:val="21"/>
          <w:highlight w:val="none"/>
        </w:rPr>
        <w:t>。</w:t>
      </w:r>
    </w:p>
    <w:p w14:paraId="7086A9EC">
      <w:pPr>
        <w:spacing w:line="360" w:lineRule="auto"/>
        <w:ind w:firstLine="407" w:firstLineChars="193"/>
        <w:rPr>
          <w:rFonts w:ascii="宋体" w:hAnsi="宋体"/>
          <w:b/>
          <w:bCs/>
          <w:color w:val="auto"/>
          <w:szCs w:val="21"/>
          <w:highlight w:val="none"/>
        </w:rPr>
      </w:pPr>
      <w:bookmarkStart w:id="376" w:name="_Toc351203482"/>
      <w:r>
        <w:rPr>
          <w:rFonts w:ascii="宋体" w:hAnsi="宋体"/>
          <w:b/>
          <w:bCs/>
          <w:color w:val="auto"/>
          <w:szCs w:val="21"/>
          <w:highlight w:val="none"/>
        </w:rPr>
        <w:t>二、合同工期</w:t>
      </w:r>
      <w:bookmarkEnd w:id="376"/>
    </w:p>
    <w:p w14:paraId="0DA8B5BE">
      <w:pPr>
        <w:spacing w:line="360" w:lineRule="auto"/>
        <w:ind w:firstLine="459"/>
        <w:rPr>
          <w:rFonts w:ascii="宋体" w:hAnsi="宋体"/>
          <w:color w:val="auto"/>
          <w:szCs w:val="21"/>
          <w:highlight w:val="none"/>
        </w:rPr>
      </w:pPr>
      <w:r>
        <w:rPr>
          <w:rFonts w:ascii="宋体" w:hAnsi="宋体"/>
          <w:color w:val="auto"/>
          <w:szCs w:val="21"/>
          <w:highlight w:val="none"/>
        </w:rPr>
        <w:t>计划开工日期：  年  月  日。</w:t>
      </w:r>
    </w:p>
    <w:p w14:paraId="7A2BD7F6">
      <w:pPr>
        <w:spacing w:line="360" w:lineRule="auto"/>
        <w:ind w:firstLine="459"/>
        <w:rPr>
          <w:rFonts w:ascii="宋体" w:hAnsi="宋体"/>
          <w:color w:val="auto"/>
          <w:szCs w:val="21"/>
          <w:highlight w:val="none"/>
        </w:rPr>
      </w:pPr>
      <w:r>
        <w:rPr>
          <w:rFonts w:ascii="宋体" w:hAnsi="宋体"/>
          <w:color w:val="auto"/>
          <w:szCs w:val="21"/>
          <w:highlight w:val="none"/>
        </w:rPr>
        <w:t>计划竣工日期：  年  月  日。</w:t>
      </w:r>
    </w:p>
    <w:p w14:paraId="4211D139">
      <w:pPr>
        <w:spacing w:line="360" w:lineRule="auto"/>
        <w:ind w:firstLine="459"/>
        <w:rPr>
          <w:rFonts w:ascii="宋体" w:hAnsi="宋体"/>
          <w:color w:val="auto"/>
          <w:szCs w:val="21"/>
          <w:highlight w:val="none"/>
        </w:rPr>
      </w:pPr>
      <w:r>
        <w:rPr>
          <w:rFonts w:ascii="宋体" w:hAnsi="宋体"/>
          <w:color w:val="auto"/>
          <w:szCs w:val="21"/>
          <w:highlight w:val="none"/>
        </w:rPr>
        <w:t>工期总日历天数：</w:t>
      </w:r>
      <w:r>
        <w:rPr>
          <w:rFonts w:hint="eastAsia" w:ascii="宋体" w:hAnsi="宋体"/>
          <w:color w:val="auto"/>
          <w:szCs w:val="21"/>
          <w:highlight w:val="none"/>
          <w:u w:val="single"/>
        </w:rPr>
        <w:t xml:space="preserve">       </w:t>
      </w:r>
      <w:r>
        <w:rPr>
          <w:rFonts w:ascii="宋体" w:hAnsi="宋体"/>
          <w:color w:val="auto"/>
          <w:szCs w:val="21"/>
          <w:highlight w:val="none"/>
        </w:rPr>
        <w:t>天。工期总日历天数与根据前述计划开竣工日期计算的工期天数不一致的，以工期总日历天数为准。</w:t>
      </w:r>
    </w:p>
    <w:p w14:paraId="5C086878">
      <w:pPr>
        <w:spacing w:line="360" w:lineRule="auto"/>
        <w:ind w:firstLine="459"/>
        <w:rPr>
          <w:rFonts w:ascii="宋体" w:hAnsi="宋体"/>
          <w:b/>
          <w:bCs/>
          <w:color w:val="auto"/>
          <w:szCs w:val="21"/>
          <w:highlight w:val="none"/>
        </w:rPr>
      </w:pPr>
      <w:bookmarkStart w:id="377" w:name="_Toc351203483"/>
      <w:r>
        <w:rPr>
          <w:rFonts w:ascii="宋体" w:hAnsi="宋体"/>
          <w:b/>
          <w:bCs/>
          <w:color w:val="auto"/>
          <w:szCs w:val="21"/>
          <w:highlight w:val="none"/>
        </w:rPr>
        <w:t>三、质量标准</w:t>
      </w:r>
      <w:bookmarkEnd w:id="377"/>
    </w:p>
    <w:p w14:paraId="2D41D8B7">
      <w:pPr>
        <w:spacing w:line="360" w:lineRule="auto"/>
        <w:ind w:firstLine="459"/>
        <w:rPr>
          <w:rFonts w:ascii="宋体" w:hAnsi="宋体"/>
          <w:color w:val="auto"/>
          <w:szCs w:val="21"/>
          <w:highlight w:val="none"/>
        </w:rPr>
      </w:pPr>
      <w:r>
        <w:rPr>
          <w:rFonts w:ascii="宋体" w:hAnsi="宋体"/>
          <w:color w:val="auto"/>
          <w:szCs w:val="21"/>
          <w:highlight w:val="none"/>
        </w:rPr>
        <w:t>工程质量符合</w:t>
      </w:r>
      <w:r>
        <w:rPr>
          <w:rFonts w:hint="eastAsia" w:ascii="宋体" w:hAnsi="宋体"/>
          <w:color w:val="auto"/>
          <w:szCs w:val="21"/>
          <w:highlight w:val="none"/>
          <w:u w:val="single"/>
          <w:lang w:val="en-US" w:eastAsia="zh-CN"/>
        </w:rPr>
        <w:t xml:space="preserve">             </w:t>
      </w:r>
      <w:r>
        <w:rPr>
          <w:rFonts w:ascii="宋体" w:hAnsi="宋体"/>
          <w:color w:val="auto"/>
          <w:szCs w:val="21"/>
          <w:highlight w:val="none"/>
        </w:rPr>
        <w:t>标准。</w:t>
      </w:r>
    </w:p>
    <w:p w14:paraId="5FB94F78">
      <w:pPr>
        <w:spacing w:line="360" w:lineRule="auto"/>
        <w:ind w:firstLine="459"/>
        <w:rPr>
          <w:rFonts w:ascii="宋体" w:hAnsi="宋体"/>
          <w:b/>
          <w:bCs/>
          <w:color w:val="auto"/>
          <w:szCs w:val="21"/>
          <w:highlight w:val="none"/>
        </w:rPr>
      </w:pPr>
      <w:bookmarkStart w:id="378" w:name="_Toc351203484"/>
      <w:r>
        <w:rPr>
          <w:rFonts w:ascii="宋体" w:hAnsi="宋体"/>
          <w:b/>
          <w:bCs/>
          <w:color w:val="auto"/>
          <w:szCs w:val="21"/>
          <w:highlight w:val="none"/>
        </w:rPr>
        <w:t>四、签约合同价与合同价格形式</w:t>
      </w:r>
      <w:bookmarkEnd w:id="378"/>
    </w:p>
    <w:p w14:paraId="1168FDA9">
      <w:pPr>
        <w:spacing w:line="360" w:lineRule="auto"/>
        <w:ind w:firstLine="459"/>
        <w:rPr>
          <w:rFonts w:ascii="宋体" w:hAnsi="宋体"/>
          <w:color w:val="auto"/>
          <w:szCs w:val="21"/>
          <w:highlight w:val="none"/>
        </w:rPr>
      </w:pPr>
      <w:r>
        <w:rPr>
          <w:rFonts w:ascii="宋体" w:hAnsi="宋体"/>
          <w:color w:val="auto"/>
          <w:szCs w:val="21"/>
          <w:highlight w:val="none"/>
        </w:rPr>
        <w:t>1.签约合同价为：</w:t>
      </w:r>
    </w:p>
    <w:p w14:paraId="58F64A91">
      <w:pPr>
        <w:spacing w:line="360" w:lineRule="auto"/>
        <w:ind w:firstLine="525" w:firstLineChars="250"/>
        <w:rPr>
          <w:rFonts w:ascii="宋体" w:hAnsi="宋体"/>
          <w:color w:val="auto"/>
          <w:szCs w:val="21"/>
          <w:highlight w:val="none"/>
        </w:rPr>
      </w:pPr>
      <w:r>
        <w:rPr>
          <w:rFonts w:ascii="宋体" w:hAnsi="宋体"/>
          <w:color w:val="auto"/>
          <w:szCs w:val="21"/>
          <w:highlight w:val="none"/>
        </w:rPr>
        <w:t>人民币（大写）</w:t>
      </w:r>
      <w:r>
        <w:rPr>
          <w:rFonts w:ascii="宋体" w:hAnsi="宋体"/>
          <w:color w:val="auto"/>
          <w:szCs w:val="21"/>
          <w:highlight w:val="none"/>
          <w:u w:val="single"/>
        </w:rPr>
        <w:t xml:space="preserve">             （¥          ）</w:t>
      </w:r>
      <w:r>
        <w:rPr>
          <w:rFonts w:ascii="宋体" w:hAnsi="宋体"/>
          <w:color w:val="auto"/>
          <w:szCs w:val="21"/>
          <w:highlight w:val="none"/>
        </w:rPr>
        <w:t>；</w:t>
      </w:r>
    </w:p>
    <w:p w14:paraId="5C951004">
      <w:pPr>
        <w:spacing w:line="360" w:lineRule="auto"/>
        <w:ind w:firstLine="525" w:firstLineChars="250"/>
        <w:rPr>
          <w:rFonts w:hint="default" w:ascii="宋体" w:hAnsi="宋体" w:eastAsia="宋体"/>
          <w:color w:val="auto"/>
          <w:szCs w:val="21"/>
          <w:highlight w:val="none"/>
          <w:lang w:val="en-US" w:eastAsia="zh-CN"/>
        </w:rPr>
      </w:pPr>
      <w:r>
        <w:rPr>
          <w:rFonts w:ascii="宋体" w:hAnsi="宋体"/>
          <w:color w:val="auto"/>
          <w:szCs w:val="21"/>
          <w:highlight w:val="none"/>
        </w:rPr>
        <w:t>其中：</w:t>
      </w:r>
      <w:r>
        <w:rPr>
          <w:rFonts w:hint="eastAsia" w:ascii="宋体" w:hAnsi="宋体"/>
          <w:color w:val="auto"/>
          <w:szCs w:val="21"/>
          <w:highlight w:val="none"/>
          <w:lang w:eastAsia="zh-CN"/>
        </w:rPr>
        <w:t>不含税金额为</w:t>
      </w:r>
      <w:r>
        <w:rPr>
          <w:rFonts w:ascii="宋体" w:hAnsi="宋体"/>
          <w:color w:val="auto"/>
          <w:szCs w:val="21"/>
          <w:highlight w:val="none"/>
        </w:rPr>
        <w:t>人民币（大写）</w:t>
      </w:r>
      <w:r>
        <w:rPr>
          <w:rFonts w:ascii="宋体" w:hAnsi="宋体"/>
          <w:color w:val="auto"/>
          <w:szCs w:val="21"/>
          <w:highlight w:val="none"/>
          <w:u w:val="single"/>
        </w:rPr>
        <w:t xml:space="preserve">             （¥          ）</w:t>
      </w:r>
      <w:r>
        <w:rPr>
          <w:rFonts w:hint="eastAsia" w:ascii="宋体" w:hAnsi="宋体"/>
          <w:color w:val="auto"/>
          <w:szCs w:val="21"/>
          <w:highlight w:val="none"/>
          <w:u w:val="single"/>
          <w:lang w:eastAsia="zh-CN"/>
        </w:rPr>
        <w:t>，税率为</w:t>
      </w:r>
      <w:r>
        <w:rPr>
          <w:rFonts w:hint="eastAsia" w:ascii="宋体" w:hAnsi="宋体"/>
          <w:color w:val="auto"/>
          <w:szCs w:val="21"/>
          <w:highlight w:val="none"/>
          <w:u w:val="single"/>
          <w:lang w:val="en-US" w:eastAsia="zh-CN"/>
        </w:rPr>
        <w:t xml:space="preserve">    ，税额为</w:t>
      </w:r>
      <w:r>
        <w:rPr>
          <w:rFonts w:ascii="宋体" w:hAnsi="宋体"/>
          <w:color w:val="auto"/>
          <w:szCs w:val="21"/>
          <w:highlight w:val="none"/>
        </w:rPr>
        <w:t>人民币（大写）</w:t>
      </w:r>
      <w:r>
        <w:rPr>
          <w:rFonts w:ascii="宋体" w:hAnsi="宋体"/>
          <w:color w:val="auto"/>
          <w:szCs w:val="21"/>
          <w:highlight w:val="none"/>
          <w:u w:val="single"/>
        </w:rPr>
        <w:t xml:space="preserve">             （¥          ）</w:t>
      </w:r>
    </w:p>
    <w:p w14:paraId="07B46C3A">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w:t>
      </w:r>
      <w:r>
        <w:rPr>
          <w:rFonts w:ascii="宋体" w:hAnsi="宋体"/>
          <w:color w:val="auto"/>
          <w:szCs w:val="21"/>
          <w:highlight w:val="none"/>
        </w:rPr>
        <w:t>安全文明施工费：</w:t>
      </w:r>
    </w:p>
    <w:p w14:paraId="110674E9">
      <w:pPr>
        <w:spacing w:line="360" w:lineRule="auto"/>
        <w:ind w:left="420" w:leftChars="200" w:firstLine="525" w:firstLineChars="250"/>
        <w:rPr>
          <w:rFonts w:ascii="宋体" w:hAnsi="宋体"/>
          <w:color w:val="auto"/>
          <w:szCs w:val="21"/>
          <w:highlight w:val="none"/>
        </w:rPr>
      </w:pPr>
      <w:r>
        <w:rPr>
          <w:rFonts w:ascii="宋体" w:hAnsi="宋体"/>
          <w:color w:val="auto"/>
          <w:szCs w:val="21"/>
          <w:highlight w:val="none"/>
        </w:rPr>
        <w:t>人民币（大写）</w:t>
      </w:r>
      <w:r>
        <w:rPr>
          <w:rFonts w:ascii="宋体" w:hAnsi="宋体"/>
          <w:color w:val="auto"/>
          <w:szCs w:val="21"/>
          <w:highlight w:val="none"/>
          <w:u w:val="single"/>
        </w:rPr>
        <w:t xml:space="preserve">             （¥          ）</w:t>
      </w:r>
      <w:r>
        <w:rPr>
          <w:rFonts w:ascii="宋体" w:hAnsi="宋体"/>
          <w:color w:val="auto"/>
          <w:szCs w:val="21"/>
          <w:highlight w:val="none"/>
        </w:rPr>
        <w:t>；</w:t>
      </w:r>
    </w:p>
    <w:p w14:paraId="6E6E12F5">
      <w:pPr>
        <w:spacing w:line="360" w:lineRule="auto"/>
        <w:ind w:firstLine="420" w:firstLineChars="200"/>
        <w:rPr>
          <w:rFonts w:ascii="宋体" w:hAnsi="宋体"/>
          <w:color w:val="auto"/>
          <w:szCs w:val="21"/>
          <w:highlight w:val="none"/>
        </w:rPr>
      </w:pPr>
      <w:r>
        <w:rPr>
          <w:rFonts w:ascii="宋体" w:hAnsi="宋体"/>
          <w:color w:val="auto"/>
          <w:szCs w:val="21"/>
          <w:highlight w:val="none"/>
        </w:rPr>
        <w:t>（2）建安劳保费：</w:t>
      </w:r>
    </w:p>
    <w:p w14:paraId="35316925">
      <w:pPr>
        <w:spacing w:line="360" w:lineRule="auto"/>
        <w:ind w:left="420" w:leftChars="200" w:firstLine="525" w:firstLineChars="250"/>
        <w:rPr>
          <w:rFonts w:ascii="宋体" w:hAnsi="宋体"/>
          <w:color w:val="auto"/>
          <w:szCs w:val="21"/>
          <w:highlight w:val="none"/>
        </w:rPr>
      </w:pPr>
      <w:r>
        <w:rPr>
          <w:rFonts w:ascii="宋体" w:hAnsi="宋体"/>
          <w:color w:val="auto"/>
          <w:szCs w:val="21"/>
          <w:highlight w:val="none"/>
        </w:rPr>
        <w:t>人民币（大写）</w:t>
      </w:r>
      <w:r>
        <w:rPr>
          <w:rFonts w:ascii="宋体" w:hAnsi="宋体"/>
          <w:color w:val="auto"/>
          <w:szCs w:val="21"/>
          <w:highlight w:val="none"/>
          <w:u w:val="single"/>
        </w:rPr>
        <w:t xml:space="preserve">             （¥          ）</w:t>
      </w:r>
      <w:r>
        <w:rPr>
          <w:rFonts w:ascii="宋体" w:hAnsi="宋体"/>
          <w:color w:val="auto"/>
          <w:szCs w:val="21"/>
          <w:highlight w:val="none"/>
        </w:rPr>
        <w:t>；</w:t>
      </w:r>
    </w:p>
    <w:p w14:paraId="3532E9B3">
      <w:pPr>
        <w:spacing w:line="360" w:lineRule="auto"/>
        <w:ind w:firstLine="420" w:firstLineChars="200"/>
        <w:rPr>
          <w:rFonts w:ascii="宋体" w:hAnsi="宋体"/>
          <w:color w:val="auto"/>
          <w:szCs w:val="21"/>
          <w:highlight w:val="none"/>
        </w:rPr>
      </w:pPr>
      <w:r>
        <w:rPr>
          <w:rFonts w:ascii="宋体" w:hAnsi="宋体"/>
          <w:color w:val="auto"/>
          <w:szCs w:val="21"/>
          <w:highlight w:val="none"/>
        </w:rPr>
        <w:t>（3）材料和工程设备暂估价金额：</w:t>
      </w:r>
    </w:p>
    <w:p w14:paraId="28F0EAA3">
      <w:pPr>
        <w:spacing w:line="360" w:lineRule="auto"/>
        <w:ind w:firstLine="945" w:firstLineChars="450"/>
        <w:rPr>
          <w:rFonts w:ascii="宋体" w:hAnsi="宋体"/>
          <w:color w:val="auto"/>
          <w:szCs w:val="21"/>
          <w:highlight w:val="none"/>
        </w:rPr>
      </w:pPr>
      <w:r>
        <w:rPr>
          <w:rFonts w:ascii="宋体" w:hAnsi="宋体"/>
          <w:color w:val="auto"/>
          <w:szCs w:val="21"/>
          <w:highlight w:val="none"/>
        </w:rPr>
        <w:t>人民币（大写）</w:t>
      </w:r>
      <w:r>
        <w:rPr>
          <w:rFonts w:ascii="宋体" w:hAnsi="宋体"/>
          <w:color w:val="auto"/>
          <w:szCs w:val="21"/>
          <w:highlight w:val="none"/>
          <w:u w:val="single"/>
        </w:rPr>
        <w:t xml:space="preserve">             （¥          ）</w:t>
      </w:r>
      <w:r>
        <w:rPr>
          <w:rFonts w:ascii="宋体" w:hAnsi="宋体"/>
          <w:color w:val="auto"/>
          <w:szCs w:val="21"/>
          <w:highlight w:val="none"/>
        </w:rPr>
        <w:t>；</w:t>
      </w:r>
    </w:p>
    <w:p w14:paraId="15F508C8">
      <w:pPr>
        <w:spacing w:line="360" w:lineRule="auto"/>
        <w:ind w:firstLine="420" w:firstLineChars="200"/>
        <w:rPr>
          <w:rFonts w:ascii="宋体" w:hAnsi="宋体"/>
          <w:color w:val="auto"/>
          <w:szCs w:val="21"/>
          <w:highlight w:val="none"/>
        </w:rPr>
      </w:pPr>
      <w:r>
        <w:rPr>
          <w:rFonts w:ascii="宋体" w:hAnsi="宋体"/>
          <w:color w:val="auto"/>
          <w:szCs w:val="21"/>
          <w:highlight w:val="none"/>
        </w:rPr>
        <w:t>（4）专业工程暂估价金额：</w:t>
      </w:r>
    </w:p>
    <w:p w14:paraId="1871F4DC">
      <w:pPr>
        <w:spacing w:line="360" w:lineRule="auto"/>
        <w:ind w:firstLine="945" w:firstLineChars="450"/>
        <w:rPr>
          <w:rFonts w:ascii="宋体" w:hAnsi="宋体"/>
          <w:color w:val="auto"/>
          <w:szCs w:val="21"/>
          <w:highlight w:val="none"/>
        </w:rPr>
      </w:pPr>
      <w:r>
        <w:rPr>
          <w:rFonts w:ascii="宋体" w:hAnsi="宋体"/>
          <w:color w:val="auto"/>
          <w:szCs w:val="21"/>
          <w:highlight w:val="none"/>
        </w:rPr>
        <w:t>人民币（大写）</w:t>
      </w:r>
      <w:r>
        <w:rPr>
          <w:rFonts w:ascii="宋体" w:hAnsi="宋体"/>
          <w:color w:val="auto"/>
          <w:szCs w:val="21"/>
          <w:highlight w:val="none"/>
          <w:u w:val="single"/>
        </w:rPr>
        <w:t xml:space="preserve">             （¥          ）</w:t>
      </w:r>
      <w:r>
        <w:rPr>
          <w:rFonts w:ascii="宋体" w:hAnsi="宋体"/>
          <w:color w:val="auto"/>
          <w:szCs w:val="21"/>
          <w:highlight w:val="none"/>
        </w:rPr>
        <w:t>；</w:t>
      </w:r>
    </w:p>
    <w:p w14:paraId="3CF20FD2">
      <w:pPr>
        <w:spacing w:line="360" w:lineRule="auto"/>
        <w:ind w:firstLine="420" w:firstLineChars="200"/>
        <w:rPr>
          <w:rFonts w:ascii="宋体" w:hAnsi="宋体"/>
          <w:color w:val="auto"/>
          <w:szCs w:val="21"/>
          <w:highlight w:val="none"/>
        </w:rPr>
      </w:pPr>
      <w:r>
        <w:rPr>
          <w:rFonts w:ascii="宋体" w:hAnsi="宋体"/>
          <w:color w:val="auto"/>
          <w:szCs w:val="21"/>
          <w:highlight w:val="none"/>
        </w:rPr>
        <w:t>（5）暂列金额：</w:t>
      </w:r>
    </w:p>
    <w:p w14:paraId="5FF02062">
      <w:pPr>
        <w:spacing w:line="360" w:lineRule="auto"/>
        <w:ind w:firstLine="945" w:firstLineChars="450"/>
        <w:rPr>
          <w:rFonts w:ascii="宋体" w:hAnsi="宋体"/>
          <w:color w:val="auto"/>
          <w:szCs w:val="21"/>
          <w:highlight w:val="none"/>
        </w:rPr>
      </w:pPr>
      <w:r>
        <w:rPr>
          <w:rFonts w:ascii="宋体" w:hAnsi="宋体"/>
          <w:color w:val="auto"/>
          <w:szCs w:val="21"/>
          <w:highlight w:val="none"/>
        </w:rPr>
        <w:t>人民币（大写）</w:t>
      </w:r>
      <w:r>
        <w:rPr>
          <w:rFonts w:ascii="宋体" w:hAnsi="宋体"/>
          <w:color w:val="auto"/>
          <w:szCs w:val="21"/>
          <w:highlight w:val="none"/>
          <w:u w:val="single"/>
        </w:rPr>
        <w:t xml:space="preserve">             （¥          ）</w:t>
      </w:r>
      <w:r>
        <w:rPr>
          <w:rFonts w:ascii="宋体" w:hAnsi="宋体"/>
          <w:color w:val="auto"/>
          <w:szCs w:val="21"/>
          <w:highlight w:val="none"/>
        </w:rPr>
        <w:t>。</w:t>
      </w:r>
    </w:p>
    <w:p w14:paraId="1E87F4ED">
      <w:pPr>
        <w:spacing w:line="360" w:lineRule="auto"/>
        <w:ind w:firstLine="420" w:firstLineChars="200"/>
        <w:rPr>
          <w:rFonts w:ascii="宋体" w:hAnsi="宋体"/>
          <w:color w:val="auto"/>
          <w:szCs w:val="21"/>
          <w:highlight w:val="none"/>
        </w:rPr>
      </w:pPr>
      <w:r>
        <w:rPr>
          <w:rFonts w:ascii="宋体" w:hAnsi="宋体"/>
          <w:color w:val="auto"/>
          <w:szCs w:val="21"/>
          <w:highlight w:val="none"/>
        </w:rPr>
        <w:t>2.合同价格形式：</w:t>
      </w:r>
      <w:r>
        <w:rPr>
          <w:rFonts w:hint="eastAsia" w:ascii="宋体" w:hAnsi="宋体"/>
          <w:color w:val="auto"/>
          <w:szCs w:val="21"/>
          <w:highlight w:val="none"/>
          <w:u w:val="single"/>
        </w:rPr>
        <w:t xml:space="preserve">                              </w:t>
      </w:r>
      <w:r>
        <w:rPr>
          <w:rFonts w:ascii="宋体" w:hAnsi="宋体"/>
          <w:color w:val="auto"/>
          <w:szCs w:val="21"/>
          <w:highlight w:val="none"/>
        </w:rPr>
        <w:t>。</w:t>
      </w:r>
    </w:p>
    <w:p w14:paraId="0BEBB225">
      <w:pPr>
        <w:spacing w:line="360" w:lineRule="auto"/>
        <w:ind w:firstLine="422" w:firstLineChars="200"/>
        <w:rPr>
          <w:rFonts w:ascii="宋体" w:hAnsi="宋体"/>
          <w:b/>
          <w:bCs/>
          <w:color w:val="auto"/>
          <w:szCs w:val="21"/>
          <w:highlight w:val="none"/>
        </w:rPr>
      </w:pPr>
      <w:bookmarkStart w:id="379" w:name="_Toc351203485"/>
      <w:r>
        <w:rPr>
          <w:rFonts w:ascii="宋体" w:hAnsi="宋体"/>
          <w:b/>
          <w:bCs/>
          <w:color w:val="auto"/>
          <w:szCs w:val="21"/>
          <w:highlight w:val="none"/>
        </w:rPr>
        <w:t>五、</w:t>
      </w:r>
      <w:bookmarkEnd w:id="379"/>
      <w:r>
        <w:rPr>
          <w:rFonts w:ascii="宋体" w:hAnsi="宋体"/>
          <w:b/>
          <w:bCs/>
          <w:color w:val="auto"/>
          <w:szCs w:val="21"/>
          <w:highlight w:val="none"/>
        </w:rPr>
        <w:t>项目经理</w:t>
      </w:r>
    </w:p>
    <w:p w14:paraId="5CC55F0C">
      <w:pPr>
        <w:spacing w:line="360" w:lineRule="auto"/>
        <w:ind w:firstLine="420" w:firstLineChars="200"/>
        <w:rPr>
          <w:rFonts w:ascii="宋体" w:hAnsi="宋体"/>
          <w:color w:val="auto"/>
          <w:szCs w:val="21"/>
          <w:highlight w:val="none"/>
        </w:rPr>
      </w:pPr>
      <w:r>
        <w:rPr>
          <w:rFonts w:ascii="宋体" w:hAnsi="宋体"/>
          <w:color w:val="auto"/>
          <w:szCs w:val="21"/>
          <w:highlight w:val="none"/>
        </w:rPr>
        <w:t>承包人项目经理：</w:t>
      </w:r>
      <w:r>
        <w:rPr>
          <w:rFonts w:hint="eastAsia" w:ascii="宋体" w:hAnsi="宋体"/>
          <w:color w:val="auto"/>
          <w:szCs w:val="21"/>
          <w:highlight w:val="none"/>
          <w:u w:val="single"/>
        </w:rPr>
        <w:t xml:space="preserve">                              </w:t>
      </w:r>
      <w:r>
        <w:rPr>
          <w:rFonts w:ascii="宋体" w:hAnsi="宋体"/>
          <w:color w:val="auto"/>
          <w:szCs w:val="21"/>
          <w:highlight w:val="none"/>
        </w:rPr>
        <w:t>。</w:t>
      </w:r>
    </w:p>
    <w:p w14:paraId="62AE2819">
      <w:pPr>
        <w:spacing w:line="360" w:lineRule="auto"/>
        <w:ind w:firstLine="422" w:firstLineChars="200"/>
        <w:rPr>
          <w:rFonts w:ascii="宋体" w:hAnsi="宋体"/>
          <w:b/>
          <w:bCs/>
          <w:color w:val="auto"/>
          <w:szCs w:val="21"/>
          <w:highlight w:val="none"/>
        </w:rPr>
      </w:pPr>
      <w:bookmarkStart w:id="380" w:name="_Toc351203486"/>
      <w:r>
        <w:rPr>
          <w:rFonts w:ascii="宋体" w:hAnsi="宋体"/>
          <w:b/>
          <w:bCs/>
          <w:color w:val="auto"/>
          <w:szCs w:val="21"/>
          <w:highlight w:val="none"/>
        </w:rPr>
        <w:t>六、合同文件构成</w:t>
      </w:r>
      <w:bookmarkEnd w:id="380"/>
    </w:p>
    <w:p w14:paraId="53F2E322">
      <w:pPr>
        <w:spacing w:line="360" w:lineRule="auto"/>
        <w:ind w:firstLine="420" w:firstLineChars="200"/>
        <w:rPr>
          <w:rFonts w:ascii="宋体" w:hAnsi="宋体"/>
          <w:bCs/>
          <w:color w:val="auto"/>
          <w:szCs w:val="21"/>
          <w:highlight w:val="none"/>
        </w:rPr>
      </w:pPr>
      <w:r>
        <w:rPr>
          <w:rFonts w:ascii="宋体" w:hAnsi="宋体"/>
          <w:bCs/>
          <w:color w:val="auto"/>
          <w:szCs w:val="21"/>
          <w:highlight w:val="none"/>
        </w:rPr>
        <w:t>本协议书与下列文件一起构成合同文件：</w:t>
      </w:r>
    </w:p>
    <w:p w14:paraId="6A6A009C">
      <w:pPr>
        <w:autoSpaceDE w:val="0"/>
        <w:autoSpaceDN w:val="0"/>
        <w:adjustRightInd w:val="0"/>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（1）</w:t>
      </w:r>
      <w:r>
        <w:rPr>
          <w:rFonts w:hint="eastAsia" w:ascii="宋体" w:hAnsi="宋体"/>
          <w:color w:val="auto"/>
          <w:szCs w:val="21"/>
          <w:highlight w:val="none"/>
          <w:lang w:val="en-US" w:eastAsia="zh-CN"/>
        </w:rPr>
        <w:t>成交通知书</w:t>
      </w:r>
      <w:r>
        <w:rPr>
          <w:rFonts w:ascii="宋体" w:hAnsi="宋体"/>
          <w:color w:val="auto"/>
          <w:szCs w:val="21"/>
          <w:highlight w:val="none"/>
        </w:rPr>
        <w:t>（如果有）；</w:t>
      </w:r>
    </w:p>
    <w:p w14:paraId="4838195A">
      <w:pPr>
        <w:autoSpaceDE w:val="0"/>
        <w:autoSpaceDN w:val="0"/>
        <w:adjustRightInd w:val="0"/>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（2）</w:t>
      </w:r>
      <w:r>
        <w:rPr>
          <w:rFonts w:hint="eastAsia" w:ascii="宋体" w:hAnsi="宋体"/>
          <w:color w:val="auto"/>
          <w:szCs w:val="21"/>
          <w:highlight w:val="none"/>
          <w:lang w:val="en-US" w:eastAsia="zh-CN"/>
        </w:rPr>
        <w:t>磋商函</w:t>
      </w:r>
      <w:r>
        <w:rPr>
          <w:rFonts w:ascii="宋体" w:hAnsi="宋体"/>
          <w:color w:val="auto"/>
          <w:szCs w:val="21"/>
          <w:highlight w:val="none"/>
        </w:rPr>
        <w:t xml:space="preserve">及其附录（如果有）； </w:t>
      </w:r>
    </w:p>
    <w:p w14:paraId="4CEFC17E">
      <w:pPr>
        <w:autoSpaceDE w:val="0"/>
        <w:autoSpaceDN w:val="0"/>
        <w:adjustRightInd w:val="0"/>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（3）专用合同条款及其附件；</w:t>
      </w:r>
    </w:p>
    <w:p w14:paraId="1D62D9A7">
      <w:pPr>
        <w:autoSpaceDE w:val="0"/>
        <w:autoSpaceDN w:val="0"/>
        <w:adjustRightInd w:val="0"/>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（4）通用合同条款；</w:t>
      </w:r>
    </w:p>
    <w:p w14:paraId="46E80732">
      <w:pPr>
        <w:autoSpaceDE w:val="0"/>
        <w:autoSpaceDN w:val="0"/>
        <w:adjustRightInd w:val="0"/>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（5）技术标准和要求；</w:t>
      </w:r>
    </w:p>
    <w:p w14:paraId="45D8B5A7">
      <w:pPr>
        <w:autoSpaceDE w:val="0"/>
        <w:autoSpaceDN w:val="0"/>
        <w:adjustRightInd w:val="0"/>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（6）</w:t>
      </w:r>
      <w:r>
        <w:rPr>
          <w:rFonts w:hint="eastAsia" w:ascii="宋体" w:hAnsi="宋体"/>
          <w:color w:val="auto"/>
          <w:szCs w:val="21"/>
          <w:highlight w:val="none"/>
          <w:lang w:val="en-US" w:eastAsia="zh-CN"/>
        </w:rPr>
        <w:t>图纸</w:t>
      </w:r>
      <w:r>
        <w:rPr>
          <w:rFonts w:ascii="宋体" w:hAnsi="宋体"/>
          <w:color w:val="auto"/>
          <w:szCs w:val="21"/>
          <w:highlight w:val="none"/>
        </w:rPr>
        <w:t xml:space="preserve">； </w:t>
      </w:r>
    </w:p>
    <w:p w14:paraId="1FB8E4C9">
      <w:pPr>
        <w:autoSpaceDE w:val="0"/>
        <w:autoSpaceDN w:val="0"/>
        <w:adjustRightInd w:val="0"/>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（7）已标价工程量清单或预算书；</w:t>
      </w:r>
    </w:p>
    <w:p w14:paraId="48A24B87">
      <w:pPr>
        <w:autoSpaceDE w:val="0"/>
        <w:autoSpaceDN w:val="0"/>
        <w:adjustRightInd w:val="0"/>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（8）其他合同文件。</w:t>
      </w:r>
    </w:p>
    <w:p w14:paraId="0CED9E89">
      <w:pPr>
        <w:autoSpaceDE w:val="0"/>
        <w:autoSpaceDN w:val="0"/>
        <w:adjustRightInd w:val="0"/>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在合同订立及履行过程中形成的与合同有关的文件均构成合同文件组成部分。</w:t>
      </w:r>
    </w:p>
    <w:p w14:paraId="335658C0">
      <w:pPr>
        <w:autoSpaceDE w:val="0"/>
        <w:autoSpaceDN w:val="0"/>
        <w:adjustRightInd w:val="0"/>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上述各项合同文件包括合同当事人就该项合同文件所作出的补充和修改，属于同一类内容的文件，应以最新签署的为准。专用合同条款及其附件须经合同当事人签字或盖章。</w:t>
      </w:r>
    </w:p>
    <w:p w14:paraId="7532CE78">
      <w:pPr>
        <w:autoSpaceDE w:val="0"/>
        <w:autoSpaceDN w:val="0"/>
        <w:adjustRightInd w:val="0"/>
        <w:spacing w:line="360" w:lineRule="auto"/>
        <w:ind w:firstLine="422" w:firstLineChars="200"/>
        <w:jc w:val="left"/>
        <w:rPr>
          <w:rFonts w:ascii="宋体" w:hAnsi="宋体"/>
          <w:b/>
          <w:bCs/>
          <w:color w:val="auto"/>
          <w:szCs w:val="21"/>
          <w:highlight w:val="none"/>
        </w:rPr>
      </w:pPr>
      <w:bookmarkStart w:id="381" w:name="_Toc351203487"/>
      <w:r>
        <w:rPr>
          <w:rFonts w:ascii="宋体" w:hAnsi="宋体"/>
          <w:b/>
          <w:bCs/>
          <w:color w:val="auto"/>
          <w:szCs w:val="21"/>
          <w:highlight w:val="none"/>
        </w:rPr>
        <w:t>七、承诺</w:t>
      </w:r>
      <w:bookmarkEnd w:id="381"/>
    </w:p>
    <w:p w14:paraId="08B24A70">
      <w:pPr>
        <w:spacing w:line="360" w:lineRule="auto"/>
        <w:ind w:firstLine="420" w:firstLineChars="200"/>
        <w:rPr>
          <w:rFonts w:ascii="宋体" w:hAnsi="宋体"/>
          <w:bCs/>
          <w:color w:val="auto"/>
          <w:szCs w:val="21"/>
          <w:highlight w:val="none"/>
        </w:rPr>
      </w:pPr>
      <w:r>
        <w:rPr>
          <w:rFonts w:ascii="宋体" w:hAnsi="宋体"/>
          <w:bCs/>
          <w:color w:val="auto"/>
          <w:szCs w:val="21"/>
          <w:highlight w:val="none"/>
        </w:rPr>
        <w:t>1.发包人承诺按照法律规定履行项目审批手续、筹集工程建设资金并按照合同约定的期限和方式支付合同价款。</w:t>
      </w:r>
    </w:p>
    <w:p w14:paraId="05796E92">
      <w:pPr>
        <w:spacing w:line="360" w:lineRule="auto"/>
        <w:ind w:firstLine="420" w:firstLineChars="200"/>
        <w:rPr>
          <w:rFonts w:ascii="宋体" w:hAnsi="宋体"/>
          <w:bCs/>
          <w:color w:val="auto"/>
          <w:szCs w:val="21"/>
          <w:highlight w:val="none"/>
        </w:rPr>
      </w:pPr>
      <w:r>
        <w:rPr>
          <w:rFonts w:ascii="宋体" w:hAnsi="宋体"/>
          <w:bCs/>
          <w:color w:val="auto"/>
          <w:szCs w:val="21"/>
          <w:highlight w:val="none"/>
        </w:rPr>
        <w:t>2.承包人承诺按照法律规定及合同约定组织完成工程施工，确保工程质量和安全，不进行转包及违法分包，并在缺陷责任期及保修期内承担相应的工程维修责任。</w:t>
      </w:r>
    </w:p>
    <w:p w14:paraId="698E2884">
      <w:pPr>
        <w:spacing w:line="360" w:lineRule="auto"/>
        <w:ind w:firstLine="420" w:firstLineChars="200"/>
        <w:rPr>
          <w:rFonts w:ascii="宋体" w:hAnsi="宋体"/>
          <w:bCs/>
          <w:color w:val="auto"/>
          <w:szCs w:val="21"/>
          <w:highlight w:val="none"/>
        </w:rPr>
      </w:pPr>
      <w:r>
        <w:rPr>
          <w:rFonts w:ascii="宋体" w:hAnsi="宋体"/>
          <w:bCs/>
          <w:color w:val="auto"/>
          <w:szCs w:val="21"/>
          <w:highlight w:val="none"/>
        </w:rPr>
        <w:t>3.发包人和承包人通过招投标形式签订合同的，双方理解并承诺不再就同一工程另行签订与合同实质性内容相背离的协议。</w:t>
      </w:r>
      <w:bookmarkStart w:id="382" w:name="_Toc351203488"/>
    </w:p>
    <w:p w14:paraId="6EDE6A28">
      <w:pPr>
        <w:spacing w:line="360" w:lineRule="auto"/>
        <w:ind w:firstLine="422" w:firstLineChars="200"/>
        <w:rPr>
          <w:rFonts w:ascii="宋体" w:hAnsi="宋体"/>
          <w:b/>
          <w:bCs/>
          <w:color w:val="auto"/>
          <w:szCs w:val="21"/>
          <w:highlight w:val="none"/>
        </w:rPr>
      </w:pPr>
      <w:r>
        <w:rPr>
          <w:rFonts w:ascii="宋体" w:hAnsi="宋体"/>
          <w:b/>
          <w:bCs/>
          <w:color w:val="auto"/>
          <w:szCs w:val="21"/>
          <w:highlight w:val="none"/>
        </w:rPr>
        <w:t>八、词语含义</w:t>
      </w:r>
      <w:bookmarkEnd w:id="382"/>
    </w:p>
    <w:p w14:paraId="2127E026">
      <w:pPr>
        <w:spacing w:line="360" w:lineRule="auto"/>
        <w:ind w:firstLine="420" w:firstLineChars="200"/>
        <w:rPr>
          <w:rFonts w:ascii="宋体" w:hAnsi="宋体"/>
          <w:bCs/>
          <w:color w:val="auto"/>
          <w:szCs w:val="21"/>
          <w:highlight w:val="none"/>
        </w:rPr>
      </w:pPr>
      <w:r>
        <w:rPr>
          <w:rFonts w:ascii="宋体" w:hAnsi="宋体"/>
          <w:bCs/>
          <w:color w:val="auto"/>
          <w:szCs w:val="21"/>
          <w:highlight w:val="none"/>
        </w:rPr>
        <w:t>本协议书中词语含义与第二部分通用合同条款中赋予的含义相同。</w:t>
      </w:r>
    </w:p>
    <w:p w14:paraId="0A36C7FA">
      <w:pPr>
        <w:spacing w:line="360" w:lineRule="auto"/>
        <w:ind w:firstLine="422" w:firstLineChars="200"/>
        <w:rPr>
          <w:rFonts w:ascii="宋体" w:hAnsi="宋体"/>
          <w:b/>
          <w:bCs/>
          <w:color w:val="auto"/>
          <w:szCs w:val="21"/>
          <w:highlight w:val="none"/>
        </w:rPr>
      </w:pPr>
      <w:bookmarkStart w:id="383" w:name="_Toc351203489"/>
      <w:r>
        <w:rPr>
          <w:rFonts w:ascii="宋体" w:hAnsi="宋体"/>
          <w:b/>
          <w:bCs/>
          <w:color w:val="auto"/>
          <w:szCs w:val="21"/>
          <w:highlight w:val="none"/>
        </w:rPr>
        <w:t>九、签订时间</w:t>
      </w:r>
      <w:bookmarkEnd w:id="383"/>
    </w:p>
    <w:p w14:paraId="1A86D07A">
      <w:pPr>
        <w:spacing w:line="360" w:lineRule="auto"/>
        <w:ind w:firstLine="420" w:firstLineChars="200"/>
        <w:rPr>
          <w:rFonts w:ascii="宋体" w:hAnsi="宋体"/>
          <w:bCs/>
          <w:color w:val="auto"/>
          <w:szCs w:val="21"/>
          <w:highlight w:val="none"/>
        </w:rPr>
      </w:pPr>
      <w:r>
        <w:rPr>
          <w:rFonts w:ascii="宋体" w:hAnsi="宋体"/>
          <w:bCs/>
          <w:color w:val="auto"/>
          <w:szCs w:val="21"/>
          <w:highlight w:val="none"/>
        </w:rPr>
        <w:t>本合同于</w:t>
      </w:r>
      <w:r>
        <w:rPr>
          <w:rFonts w:hint="eastAsia" w:ascii="宋体" w:hAnsi="宋体"/>
          <w:bCs/>
          <w:color w:val="auto"/>
          <w:szCs w:val="21"/>
          <w:highlight w:val="none"/>
          <w:u w:val="single"/>
        </w:rPr>
        <w:t xml:space="preserve">     </w:t>
      </w:r>
      <w:r>
        <w:rPr>
          <w:rFonts w:ascii="宋体" w:hAnsi="宋体"/>
          <w:bCs/>
          <w:color w:val="auto"/>
          <w:szCs w:val="21"/>
          <w:highlight w:val="none"/>
        </w:rPr>
        <w:t>年</w:t>
      </w:r>
      <w:r>
        <w:rPr>
          <w:rFonts w:ascii="宋体" w:hAnsi="宋体"/>
          <w:bCs/>
          <w:color w:val="auto"/>
          <w:szCs w:val="21"/>
          <w:highlight w:val="none"/>
          <w:u w:val="single"/>
        </w:rPr>
        <w:t xml:space="preserve">  </w:t>
      </w:r>
      <w:r>
        <w:rPr>
          <w:rFonts w:ascii="宋体" w:hAnsi="宋体"/>
          <w:bCs/>
          <w:color w:val="auto"/>
          <w:szCs w:val="21"/>
          <w:highlight w:val="none"/>
        </w:rPr>
        <w:t>月</w:t>
      </w:r>
      <w:r>
        <w:rPr>
          <w:rFonts w:ascii="宋体" w:hAnsi="宋体"/>
          <w:bCs/>
          <w:color w:val="auto"/>
          <w:szCs w:val="21"/>
          <w:highlight w:val="none"/>
          <w:u w:val="single"/>
        </w:rPr>
        <w:t xml:space="preserve">  </w:t>
      </w:r>
      <w:r>
        <w:rPr>
          <w:rFonts w:ascii="宋体" w:hAnsi="宋体"/>
          <w:bCs/>
          <w:color w:val="auto"/>
          <w:szCs w:val="21"/>
          <w:highlight w:val="none"/>
        </w:rPr>
        <w:t>日签订。</w:t>
      </w:r>
    </w:p>
    <w:p w14:paraId="4AC7B725">
      <w:pPr>
        <w:spacing w:line="360" w:lineRule="auto"/>
        <w:ind w:firstLine="422" w:firstLineChars="200"/>
        <w:rPr>
          <w:rFonts w:ascii="宋体" w:hAnsi="宋体"/>
          <w:b/>
          <w:bCs/>
          <w:color w:val="auto"/>
          <w:szCs w:val="21"/>
          <w:highlight w:val="none"/>
        </w:rPr>
      </w:pPr>
      <w:bookmarkStart w:id="384" w:name="_Toc351203490"/>
      <w:r>
        <w:rPr>
          <w:rFonts w:ascii="宋体" w:hAnsi="宋体"/>
          <w:b/>
          <w:bCs/>
          <w:color w:val="auto"/>
          <w:szCs w:val="21"/>
          <w:highlight w:val="none"/>
        </w:rPr>
        <w:t>十、签订地点</w:t>
      </w:r>
      <w:bookmarkEnd w:id="384"/>
    </w:p>
    <w:p w14:paraId="5C46AC40">
      <w:pPr>
        <w:spacing w:line="360" w:lineRule="auto"/>
        <w:ind w:firstLine="420" w:firstLineChars="200"/>
        <w:rPr>
          <w:rFonts w:ascii="宋体" w:hAnsi="宋体"/>
          <w:bCs/>
          <w:color w:val="auto"/>
          <w:szCs w:val="21"/>
          <w:highlight w:val="none"/>
        </w:rPr>
      </w:pPr>
      <w:r>
        <w:rPr>
          <w:rFonts w:ascii="宋体" w:hAnsi="宋体"/>
          <w:bCs/>
          <w:color w:val="auto"/>
          <w:szCs w:val="21"/>
          <w:highlight w:val="none"/>
        </w:rPr>
        <w:t>本合同在签订。</w:t>
      </w:r>
    </w:p>
    <w:p w14:paraId="0A1EE643">
      <w:pPr>
        <w:spacing w:line="360" w:lineRule="auto"/>
        <w:ind w:firstLine="422" w:firstLineChars="200"/>
        <w:rPr>
          <w:rFonts w:ascii="宋体" w:hAnsi="宋体"/>
          <w:b/>
          <w:bCs/>
          <w:color w:val="auto"/>
          <w:szCs w:val="21"/>
          <w:highlight w:val="none"/>
        </w:rPr>
      </w:pPr>
      <w:bookmarkStart w:id="385" w:name="_Toc351203491"/>
      <w:r>
        <w:rPr>
          <w:rFonts w:ascii="宋体" w:hAnsi="宋体"/>
          <w:b/>
          <w:bCs/>
          <w:color w:val="auto"/>
          <w:szCs w:val="21"/>
          <w:highlight w:val="none"/>
        </w:rPr>
        <w:t>十一、补充协议</w:t>
      </w:r>
      <w:bookmarkEnd w:id="385"/>
    </w:p>
    <w:p w14:paraId="28C52013">
      <w:pPr>
        <w:spacing w:line="360" w:lineRule="auto"/>
        <w:ind w:firstLine="420" w:firstLineChars="200"/>
        <w:rPr>
          <w:rFonts w:ascii="宋体" w:hAnsi="宋体"/>
          <w:bCs/>
          <w:color w:val="auto"/>
          <w:szCs w:val="21"/>
          <w:highlight w:val="none"/>
        </w:rPr>
      </w:pPr>
      <w:r>
        <w:rPr>
          <w:rFonts w:ascii="宋体" w:hAnsi="宋体"/>
          <w:bCs/>
          <w:color w:val="auto"/>
          <w:szCs w:val="21"/>
          <w:highlight w:val="none"/>
        </w:rPr>
        <w:t>合同未尽事宜，合同当事人另行签订补充协议，补充协议是合同的组成部分。</w:t>
      </w:r>
    </w:p>
    <w:p w14:paraId="171F17B2">
      <w:pPr>
        <w:spacing w:line="360" w:lineRule="auto"/>
        <w:ind w:firstLine="422" w:firstLineChars="200"/>
        <w:rPr>
          <w:rFonts w:ascii="宋体" w:hAnsi="宋体"/>
          <w:b/>
          <w:bCs/>
          <w:color w:val="auto"/>
          <w:szCs w:val="21"/>
          <w:highlight w:val="none"/>
        </w:rPr>
      </w:pPr>
      <w:bookmarkStart w:id="386" w:name="_Toc351203492"/>
      <w:r>
        <w:rPr>
          <w:rFonts w:ascii="宋体" w:hAnsi="宋体"/>
          <w:b/>
          <w:bCs/>
          <w:color w:val="auto"/>
          <w:szCs w:val="21"/>
          <w:highlight w:val="none"/>
        </w:rPr>
        <w:t>十二、合同生效</w:t>
      </w:r>
      <w:bookmarkEnd w:id="386"/>
    </w:p>
    <w:p w14:paraId="1FA88711">
      <w:pPr>
        <w:spacing w:line="360" w:lineRule="auto"/>
        <w:ind w:firstLine="420" w:firstLineChars="200"/>
        <w:rPr>
          <w:rFonts w:ascii="宋体" w:hAnsi="宋体"/>
          <w:bCs/>
          <w:color w:val="auto"/>
          <w:szCs w:val="21"/>
          <w:highlight w:val="none"/>
        </w:rPr>
      </w:pPr>
      <w:r>
        <w:rPr>
          <w:rFonts w:ascii="宋体" w:hAnsi="宋体"/>
          <w:bCs/>
          <w:color w:val="auto"/>
          <w:szCs w:val="21"/>
          <w:highlight w:val="none"/>
        </w:rPr>
        <w:t>本合同自生效。</w:t>
      </w:r>
    </w:p>
    <w:p w14:paraId="44781C23">
      <w:pPr>
        <w:spacing w:line="360" w:lineRule="auto"/>
        <w:ind w:firstLine="422" w:firstLineChars="200"/>
        <w:rPr>
          <w:rFonts w:ascii="宋体" w:hAnsi="宋体"/>
          <w:b/>
          <w:bCs/>
          <w:color w:val="auto"/>
          <w:szCs w:val="21"/>
          <w:highlight w:val="none"/>
        </w:rPr>
      </w:pPr>
      <w:bookmarkStart w:id="387" w:name="_Toc351203493"/>
      <w:r>
        <w:rPr>
          <w:rFonts w:ascii="宋体" w:hAnsi="宋体"/>
          <w:b/>
          <w:bCs/>
          <w:color w:val="auto"/>
          <w:szCs w:val="21"/>
          <w:highlight w:val="none"/>
        </w:rPr>
        <w:t>十三、合同份数</w:t>
      </w:r>
      <w:bookmarkEnd w:id="387"/>
    </w:p>
    <w:p w14:paraId="43DBF1D0">
      <w:pPr>
        <w:spacing w:line="360" w:lineRule="auto"/>
        <w:ind w:firstLine="420" w:firstLineChars="200"/>
        <w:rPr>
          <w:rFonts w:ascii="宋体" w:hAnsi="宋体"/>
          <w:bCs/>
          <w:color w:val="auto"/>
          <w:szCs w:val="21"/>
          <w:highlight w:val="none"/>
        </w:rPr>
      </w:pPr>
      <w:r>
        <w:rPr>
          <w:rFonts w:ascii="宋体" w:hAnsi="宋体"/>
          <w:bCs/>
          <w:color w:val="auto"/>
          <w:szCs w:val="21"/>
          <w:highlight w:val="none"/>
        </w:rPr>
        <w:t>本合同一式份，均具有同等法律效力，发包人执份，承包人执份。</w:t>
      </w:r>
    </w:p>
    <w:p w14:paraId="5D9156C8">
      <w:pPr>
        <w:spacing w:line="360" w:lineRule="auto"/>
        <w:rPr>
          <w:rFonts w:ascii="宋体" w:hAnsi="宋体"/>
          <w:color w:val="auto"/>
          <w:szCs w:val="21"/>
          <w:highlight w:val="none"/>
        </w:rPr>
      </w:pPr>
    </w:p>
    <w:p w14:paraId="7A9CC30D">
      <w:pPr>
        <w:spacing w:line="360" w:lineRule="auto"/>
        <w:rPr>
          <w:rFonts w:ascii="宋体" w:hAnsi="宋体"/>
          <w:color w:val="auto"/>
          <w:szCs w:val="21"/>
          <w:highlight w:val="none"/>
        </w:rPr>
      </w:pPr>
      <w:r>
        <w:rPr>
          <w:rFonts w:ascii="宋体" w:hAnsi="宋体"/>
          <w:color w:val="auto"/>
          <w:szCs w:val="21"/>
          <w:highlight w:val="none"/>
        </w:rPr>
        <w:t xml:space="preserve">发包人：  </w:t>
      </w:r>
      <w:r>
        <w:rPr>
          <w:rFonts w:hint="eastAsia" w:ascii="宋体" w:hAnsi="宋体"/>
          <w:color w:val="auto"/>
          <w:szCs w:val="21"/>
          <w:highlight w:val="none"/>
        </w:rPr>
        <w:t>（</w:t>
      </w:r>
      <w:r>
        <w:rPr>
          <w:rFonts w:ascii="宋体" w:hAnsi="宋体"/>
          <w:color w:val="auto"/>
          <w:szCs w:val="21"/>
          <w:highlight w:val="none"/>
        </w:rPr>
        <w:t>公章</w:t>
      </w:r>
      <w:r>
        <w:rPr>
          <w:rFonts w:hint="eastAsia" w:ascii="宋体" w:hAnsi="宋体"/>
          <w:color w:val="auto"/>
          <w:szCs w:val="21"/>
          <w:highlight w:val="none"/>
        </w:rPr>
        <w:t>）</w:t>
      </w:r>
      <w:r>
        <w:rPr>
          <w:rFonts w:ascii="宋体" w:hAnsi="宋体"/>
          <w:color w:val="auto"/>
          <w:szCs w:val="21"/>
          <w:highlight w:val="none"/>
        </w:rPr>
        <w:t xml:space="preserve">                              承包人：  </w:t>
      </w:r>
      <w:r>
        <w:rPr>
          <w:rFonts w:hint="eastAsia" w:ascii="宋体" w:hAnsi="宋体"/>
          <w:color w:val="auto"/>
          <w:szCs w:val="21"/>
          <w:highlight w:val="none"/>
        </w:rPr>
        <w:t>（</w:t>
      </w:r>
      <w:r>
        <w:rPr>
          <w:rFonts w:ascii="宋体" w:hAnsi="宋体"/>
          <w:color w:val="auto"/>
          <w:szCs w:val="21"/>
          <w:highlight w:val="none"/>
        </w:rPr>
        <w:t>公章</w:t>
      </w:r>
      <w:r>
        <w:rPr>
          <w:rFonts w:hint="eastAsia" w:ascii="宋体" w:hAnsi="宋体"/>
          <w:color w:val="auto"/>
          <w:szCs w:val="21"/>
          <w:highlight w:val="none"/>
        </w:rPr>
        <w:t>）</w:t>
      </w:r>
    </w:p>
    <w:p w14:paraId="4E34B7BE">
      <w:pPr>
        <w:spacing w:line="360" w:lineRule="auto"/>
        <w:rPr>
          <w:rFonts w:ascii="宋体" w:hAnsi="宋体"/>
          <w:color w:val="auto"/>
          <w:szCs w:val="21"/>
          <w:highlight w:val="none"/>
          <w:u w:val="single"/>
        </w:rPr>
      </w:pPr>
    </w:p>
    <w:p w14:paraId="66573861">
      <w:pPr>
        <w:spacing w:line="360" w:lineRule="auto"/>
        <w:rPr>
          <w:rFonts w:ascii="宋体" w:hAnsi="宋体"/>
          <w:color w:val="auto"/>
          <w:szCs w:val="21"/>
          <w:highlight w:val="none"/>
        </w:rPr>
      </w:pPr>
      <w:r>
        <w:rPr>
          <w:rFonts w:ascii="宋体" w:hAnsi="宋体"/>
          <w:color w:val="auto"/>
          <w:szCs w:val="21"/>
          <w:highlight w:val="none"/>
        </w:rPr>
        <w:t>法定代表人或其委托代理人：                    法定代表人或其委托代理人：</w:t>
      </w:r>
    </w:p>
    <w:p w14:paraId="37DB6C7E">
      <w:pPr>
        <w:spacing w:line="360" w:lineRule="auto"/>
        <w:rPr>
          <w:rFonts w:ascii="宋体" w:hAnsi="宋体"/>
          <w:color w:val="auto"/>
          <w:szCs w:val="21"/>
          <w:highlight w:val="none"/>
        </w:rPr>
      </w:pPr>
      <w:r>
        <w:rPr>
          <w:rFonts w:ascii="宋体" w:hAnsi="宋体"/>
          <w:color w:val="auto"/>
          <w:szCs w:val="21"/>
          <w:highlight w:val="none"/>
        </w:rPr>
        <w:t>（签字）                                     （签字）</w:t>
      </w:r>
    </w:p>
    <w:p w14:paraId="4CD93C17">
      <w:pPr>
        <w:spacing w:line="360" w:lineRule="auto"/>
        <w:rPr>
          <w:rFonts w:ascii="宋体" w:hAnsi="宋体"/>
          <w:color w:val="auto"/>
          <w:szCs w:val="21"/>
          <w:highlight w:val="none"/>
          <w:u w:val="single"/>
        </w:rPr>
      </w:pPr>
    </w:p>
    <w:p w14:paraId="5DE5812D">
      <w:pPr>
        <w:tabs>
          <w:tab w:val="left" w:pos="4410"/>
        </w:tabs>
        <w:spacing w:line="360" w:lineRule="auto"/>
        <w:rPr>
          <w:rFonts w:ascii="宋体" w:hAnsi="宋体"/>
          <w:color w:val="auto"/>
          <w:szCs w:val="21"/>
          <w:highlight w:val="none"/>
        </w:rPr>
      </w:pPr>
      <w:r>
        <w:rPr>
          <w:rFonts w:ascii="宋体" w:hAnsi="宋体"/>
          <w:color w:val="auto"/>
          <w:szCs w:val="21"/>
          <w:highlight w:val="none"/>
        </w:rPr>
        <w:t>组织机构代码：</w:t>
      </w:r>
      <w:r>
        <w:rPr>
          <w:rFonts w:hint="eastAsia" w:ascii="宋体" w:hAnsi="宋体"/>
          <w:color w:val="auto"/>
          <w:szCs w:val="21"/>
          <w:highlight w:val="none"/>
          <w:u w:val="single"/>
        </w:rPr>
        <w:t xml:space="preserve">                       </w:t>
      </w:r>
      <w:r>
        <w:rPr>
          <w:rFonts w:ascii="宋体" w:hAnsi="宋体"/>
          <w:color w:val="auto"/>
          <w:szCs w:val="21"/>
          <w:highlight w:val="none"/>
        </w:rPr>
        <w:t xml:space="preserve">   组织机构代码：</w:t>
      </w:r>
      <w:r>
        <w:rPr>
          <w:rFonts w:hint="eastAsia" w:ascii="宋体" w:hAnsi="宋体"/>
          <w:color w:val="auto"/>
          <w:szCs w:val="21"/>
          <w:highlight w:val="none"/>
          <w:u w:val="single"/>
        </w:rPr>
        <w:t xml:space="preserve">                 </w:t>
      </w:r>
    </w:p>
    <w:p w14:paraId="4137436F">
      <w:pPr>
        <w:spacing w:line="360" w:lineRule="auto"/>
        <w:rPr>
          <w:rFonts w:ascii="宋体" w:hAnsi="宋体"/>
          <w:color w:val="auto"/>
          <w:szCs w:val="21"/>
          <w:highlight w:val="none"/>
        </w:rPr>
      </w:pPr>
      <w:r>
        <w:rPr>
          <w:rFonts w:ascii="宋体" w:hAnsi="宋体"/>
          <w:color w:val="auto"/>
          <w:szCs w:val="21"/>
          <w:highlight w:val="none"/>
        </w:rPr>
        <w:t>地  址：</w:t>
      </w:r>
      <w:r>
        <w:rPr>
          <w:rFonts w:hint="eastAsia" w:ascii="宋体" w:hAnsi="宋体"/>
          <w:color w:val="auto"/>
          <w:szCs w:val="21"/>
          <w:highlight w:val="none"/>
          <w:u w:val="single"/>
        </w:rPr>
        <w:t xml:space="preserve">                       </w:t>
      </w:r>
      <w:r>
        <w:rPr>
          <w:rFonts w:ascii="宋体" w:hAnsi="宋体"/>
          <w:color w:val="auto"/>
          <w:szCs w:val="21"/>
          <w:highlight w:val="none"/>
        </w:rPr>
        <w:t xml:space="preserve">    </w:t>
      </w:r>
      <w:r>
        <w:rPr>
          <w:rFonts w:hint="eastAsia" w:ascii="宋体" w:hAnsi="宋体"/>
          <w:color w:val="auto"/>
          <w:szCs w:val="21"/>
          <w:highlight w:val="none"/>
        </w:rPr>
        <w:t xml:space="preserve">     </w:t>
      </w:r>
      <w:r>
        <w:rPr>
          <w:rFonts w:ascii="宋体" w:hAnsi="宋体"/>
          <w:color w:val="auto"/>
          <w:szCs w:val="21"/>
          <w:highlight w:val="none"/>
        </w:rPr>
        <w:t>地  址：</w:t>
      </w:r>
      <w:r>
        <w:rPr>
          <w:rFonts w:hint="eastAsia" w:ascii="宋体" w:hAnsi="宋体"/>
          <w:color w:val="auto"/>
          <w:szCs w:val="21"/>
          <w:highlight w:val="none"/>
          <w:u w:val="single"/>
        </w:rPr>
        <w:t xml:space="preserve">                       </w:t>
      </w:r>
    </w:p>
    <w:p w14:paraId="62B76D31">
      <w:pPr>
        <w:spacing w:line="360" w:lineRule="auto"/>
        <w:rPr>
          <w:rFonts w:ascii="宋体" w:hAnsi="宋体"/>
          <w:color w:val="auto"/>
          <w:szCs w:val="21"/>
          <w:highlight w:val="none"/>
        </w:rPr>
      </w:pPr>
      <w:r>
        <w:rPr>
          <w:rFonts w:ascii="宋体" w:hAnsi="宋体"/>
          <w:color w:val="auto"/>
          <w:szCs w:val="21"/>
          <w:highlight w:val="none"/>
        </w:rPr>
        <w:t>邮政编码：</w:t>
      </w:r>
      <w:r>
        <w:rPr>
          <w:rFonts w:hint="eastAsia" w:ascii="宋体" w:hAnsi="宋体"/>
          <w:color w:val="auto"/>
          <w:szCs w:val="21"/>
          <w:highlight w:val="none"/>
          <w:u w:val="single"/>
        </w:rPr>
        <w:t xml:space="preserve">                       </w:t>
      </w:r>
      <w:r>
        <w:rPr>
          <w:rFonts w:ascii="宋体" w:hAnsi="宋体"/>
          <w:color w:val="auto"/>
          <w:szCs w:val="21"/>
          <w:highlight w:val="none"/>
        </w:rPr>
        <w:t xml:space="preserve">   </w:t>
      </w:r>
      <w:r>
        <w:rPr>
          <w:rFonts w:hint="eastAsia" w:ascii="宋体" w:hAnsi="宋体"/>
          <w:color w:val="auto"/>
          <w:szCs w:val="21"/>
          <w:highlight w:val="none"/>
        </w:rPr>
        <w:t xml:space="preserve">    </w:t>
      </w:r>
      <w:r>
        <w:rPr>
          <w:rFonts w:ascii="宋体" w:hAnsi="宋体"/>
          <w:color w:val="auto"/>
          <w:szCs w:val="21"/>
          <w:highlight w:val="none"/>
        </w:rPr>
        <w:t>邮政编码：</w:t>
      </w:r>
      <w:r>
        <w:rPr>
          <w:rFonts w:hint="eastAsia" w:ascii="宋体" w:hAnsi="宋体"/>
          <w:color w:val="auto"/>
          <w:szCs w:val="21"/>
          <w:highlight w:val="none"/>
          <w:u w:val="single"/>
        </w:rPr>
        <w:t xml:space="preserve">                     </w:t>
      </w:r>
    </w:p>
    <w:p w14:paraId="79E4E5BC">
      <w:pPr>
        <w:spacing w:line="360" w:lineRule="auto"/>
        <w:rPr>
          <w:rFonts w:ascii="宋体" w:hAnsi="宋体"/>
          <w:color w:val="auto"/>
          <w:szCs w:val="21"/>
          <w:highlight w:val="none"/>
        </w:rPr>
      </w:pPr>
      <w:r>
        <w:rPr>
          <w:rFonts w:ascii="宋体" w:hAnsi="宋体"/>
          <w:color w:val="auto"/>
          <w:szCs w:val="21"/>
          <w:highlight w:val="none"/>
        </w:rPr>
        <w:t>法定代表人：</w:t>
      </w:r>
      <w:r>
        <w:rPr>
          <w:rFonts w:hint="eastAsia" w:ascii="宋体" w:hAnsi="宋体"/>
          <w:color w:val="auto"/>
          <w:szCs w:val="21"/>
          <w:highlight w:val="none"/>
          <w:u w:val="single"/>
        </w:rPr>
        <w:t xml:space="preserve">                       </w:t>
      </w:r>
      <w:r>
        <w:rPr>
          <w:rFonts w:ascii="宋体" w:hAnsi="宋体"/>
          <w:color w:val="auto"/>
          <w:szCs w:val="21"/>
          <w:highlight w:val="none"/>
        </w:rPr>
        <w:t xml:space="preserve">    </w:t>
      </w:r>
      <w:r>
        <w:rPr>
          <w:rFonts w:hint="eastAsia" w:ascii="宋体" w:hAnsi="宋体"/>
          <w:color w:val="auto"/>
          <w:szCs w:val="21"/>
          <w:highlight w:val="none"/>
        </w:rPr>
        <w:t xml:space="preserve"> </w:t>
      </w:r>
      <w:r>
        <w:rPr>
          <w:rFonts w:ascii="宋体" w:hAnsi="宋体"/>
          <w:color w:val="auto"/>
          <w:szCs w:val="21"/>
          <w:highlight w:val="none"/>
        </w:rPr>
        <w:t>法定代表人：</w:t>
      </w:r>
      <w:r>
        <w:rPr>
          <w:rFonts w:hint="eastAsia" w:ascii="宋体" w:hAnsi="宋体"/>
          <w:color w:val="auto"/>
          <w:szCs w:val="21"/>
          <w:highlight w:val="none"/>
          <w:u w:val="single"/>
        </w:rPr>
        <w:t xml:space="preserve">                   </w:t>
      </w:r>
    </w:p>
    <w:p w14:paraId="5A65D6A7">
      <w:pPr>
        <w:spacing w:line="360" w:lineRule="auto"/>
        <w:rPr>
          <w:rFonts w:ascii="宋体" w:hAnsi="宋体"/>
          <w:color w:val="auto"/>
          <w:szCs w:val="21"/>
          <w:highlight w:val="none"/>
        </w:rPr>
      </w:pPr>
      <w:r>
        <w:rPr>
          <w:rFonts w:ascii="宋体" w:hAnsi="宋体"/>
          <w:color w:val="auto"/>
          <w:szCs w:val="21"/>
          <w:highlight w:val="none"/>
        </w:rPr>
        <w:t xml:space="preserve">委托代理人： </w:t>
      </w:r>
      <w:r>
        <w:rPr>
          <w:rFonts w:hint="eastAsia" w:ascii="宋体" w:hAnsi="宋体"/>
          <w:color w:val="auto"/>
          <w:szCs w:val="21"/>
          <w:highlight w:val="none"/>
          <w:u w:val="single"/>
        </w:rPr>
        <w:t xml:space="preserve">                       </w:t>
      </w:r>
      <w:r>
        <w:rPr>
          <w:rFonts w:ascii="宋体" w:hAnsi="宋体"/>
          <w:color w:val="auto"/>
          <w:szCs w:val="21"/>
          <w:highlight w:val="none"/>
        </w:rPr>
        <w:t xml:space="preserve">   </w:t>
      </w:r>
      <w:r>
        <w:rPr>
          <w:rFonts w:hint="eastAsia" w:ascii="宋体" w:hAnsi="宋体"/>
          <w:color w:val="auto"/>
          <w:szCs w:val="21"/>
          <w:highlight w:val="none"/>
        </w:rPr>
        <w:t xml:space="preserve"> </w:t>
      </w:r>
      <w:r>
        <w:rPr>
          <w:rFonts w:ascii="宋体" w:hAnsi="宋体"/>
          <w:color w:val="auto"/>
          <w:szCs w:val="21"/>
          <w:highlight w:val="none"/>
        </w:rPr>
        <w:t>委托代理人：</w:t>
      </w:r>
      <w:r>
        <w:rPr>
          <w:rFonts w:hint="eastAsia" w:ascii="宋体" w:hAnsi="宋体"/>
          <w:color w:val="auto"/>
          <w:szCs w:val="21"/>
          <w:highlight w:val="none"/>
          <w:u w:val="single"/>
        </w:rPr>
        <w:t xml:space="preserve">                   </w:t>
      </w:r>
    </w:p>
    <w:p w14:paraId="2F6AECDF">
      <w:pPr>
        <w:spacing w:line="360" w:lineRule="auto"/>
        <w:rPr>
          <w:rFonts w:ascii="宋体" w:hAnsi="宋体"/>
          <w:color w:val="auto"/>
          <w:szCs w:val="21"/>
          <w:highlight w:val="none"/>
        </w:rPr>
      </w:pPr>
      <w:r>
        <w:rPr>
          <w:rFonts w:ascii="宋体" w:hAnsi="宋体"/>
          <w:color w:val="auto"/>
          <w:szCs w:val="21"/>
          <w:highlight w:val="none"/>
        </w:rPr>
        <w:t>电  话：</w:t>
      </w:r>
      <w:r>
        <w:rPr>
          <w:rFonts w:hint="eastAsia" w:ascii="宋体" w:hAnsi="宋体"/>
          <w:color w:val="auto"/>
          <w:szCs w:val="21"/>
          <w:highlight w:val="none"/>
          <w:u w:val="single"/>
        </w:rPr>
        <w:t xml:space="preserve">                       </w:t>
      </w:r>
      <w:r>
        <w:rPr>
          <w:rFonts w:ascii="宋体" w:hAnsi="宋体"/>
          <w:color w:val="auto"/>
          <w:szCs w:val="21"/>
          <w:highlight w:val="none"/>
        </w:rPr>
        <w:t xml:space="preserve">  </w:t>
      </w:r>
      <w:r>
        <w:rPr>
          <w:rFonts w:hint="eastAsia" w:ascii="宋体" w:hAnsi="宋体"/>
          <w:color w:val="auto"/>
          <w:szCs w:val="21"/>
          <w:highlight w:val="none"/>
        </w:rPr>
        <w:t xml:space="preserve">     </w:t>
      </w:r>
      <w:r>
        <w:rPr>
          <w:rFonts w:ascii="宋体" w:hAnsi="宋体"/>
          <w:color w:val="auto"/>
          <w:szCs w:val="21"/>
          <w:highlight w:val="none"/>
        </w:rPr>
        <w:t xml:space="preserve"> </w:t>
      </w:r>
      <w:r>
        <w:rPr>
          <w:rFonts w:hint="eastAsia" w:ascii="宋体" w:hAnsi="宋体"/>
          <w:color w:val="auto"/>
          <w:szCs w:val="21"/>
          <w:highlight w:val="none"/>
          <w:lang w:val="en-US" w:eastAsia="zh-CN"/>
        </w:rPr>
        <w:t xml:space="preserve"> </w:t>
      </w:r>
      <w:r>
        <w:rPr>
          <w:rFonts w:ascii="宋体" w:hAnsi="宋体"/>
          <w:color w:val="auto"/>
          <w:szCs w:val="21"/>
          <w:highlight w:val="none"/>
        </w:rPr>
        <w:t>电  话：</w:t>
      </w:r>
      <w:r>
        <w:rPr>
          <w:rFonts w:hint="eastAsia" w:ascii="宋体" w:hAnsi="宋体"/>
          <w:color w:val="auto"/>
          <w:szCs w:val="21"/>
          <w:highlight w:val="none"/>
          <w:u w:val="single"/>
        </w:rPr>
        <w:t xml:space="preserve">                    </w:t>
      </w:r>
      <w:r>
        <w:rPr>
          <w:rFonts w:hint="eastAsia" w:ascii="宋体" w:hAnsi="宋体"/>
          <w:color w:val="auto"/>
          <w:szCs w:val="21"/>
          <w:highlight w:val="none"/>
          <w:u w:val="single"/>
          <w:lang w:val="en-US" w:eastAsia="zh-CN"/>
        </w:rPr>
        <w:t xml:space="preserve"> </w:t>
      </w:r>
      <w:r>
        <w:rPr>
          <w:rFonts w:hint="eastAsia" w:ascii="宋体" w:hAnsi="宋体"/>
          <w:color w:val="auto"/>
          <w:szCs w:val="21"/>
          <w:highlight w:val="none"/>
          <w:u w:val="single"/>
        </w:rPr>
        <w:t xml:space="preserve">  </w:t>
      </w:r>
    </w:p>
    <w:p w14:paraId="2A457F06">
      <w:pPr>
        <w:spacing w:line="360" w:lineRule="auto"/>
        <w:rPr>
          <w:rFonts w:ascii="宋体" w:hAnsi="宋体"/>
          <w:color w:val="auto"/>
          <w:szCs w:val="21"/>
          <w:highlight w:val="none"/>
        </w:rPr>
      </w:pPr>
      <w:r>
        <w:rPr>
          <w:rFonts w:ascii="宋体" w:hAnsi="宋体"/>
          <w:color w:val="auto"/>
          <w:szCs w:val="21"/>
          <w:highlight w:val="none"/>
        </w:rPr>
        <w:t>传  真：</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w:t>
      </w:r>
      <w:r>
        <w:rPr>
          <w:rFonts w:hint="eastAsia" w:ascii="宋体" w:hAnsi="宋体"/>
          <w:color w:val="auto"/>
          <w:szCs w:val="21"/>
          <w:highlight w:val="none"/>
          <w:lang w:val="en-US" w:eastAsia="zh-CN"/>
        </w:rPr>
        <w:t xml:space="preserve"> </w:t>
      </w:r>
      <w:r>
        <w:rPr>
          <w:rFonts w:ascii="宋体" w:hAnsi="宋体"/>
          <w:color w:val="auto"/>
          <w:szCs w:val="21"/>
          <w:highlight w:val="none"/>
        </w:rPr>
        <w:t>传  真：</w:t>
      </w:r>
      <w:r>
        <w:rPr>
          <w:rFonts w:hint="eastAsia" w:ascii="宋体" w:hAnsi="宋体"/>
          <w:color w:val="auto"/>
          <w:szCs w:val="21"/>
          <w:highlight w:val="none"/>
          <w:u w:val="single"/>
        </w:rPr>
        <w:t xml:space="preserve">                    </w:t>
      </w:r>
      <w:r>
        <w:rPr>
          <w:rFonts w:hint="eastAsia" w:ascii="宋体" w:hAnsi="宋体"/>
          <w:color w:val="auto"/>
          <w:szCs w:val="21"/>
          <w:highlight w:val="none"/>
          <w:u w:val="single"/>
          <w:lang w:val="en-US" w:eastAsia="zh-CN"/>
        </w:rPr>
        <w:t xml:space="preserve"> </w:t>
      </w:r>
      <w:r>
        <w:rPr>
          <w:rFonts w:hint="eastAsia" w:ascii="宋体" w:hAnsi="宋体"/>
          <w:color w:val="auto"/>
          <w:szCs w:val="21"/>
          <w:highlight w:val="none"/>
          <w:u w:val="single"/>
        </w:rPr>
        <w:t xml:space="preserve">  </w:t>
      </w:r>
    </w:p>
    <w:p w14:paraId="0F570045">
      <w:pPr>
        <w:spacing w:line="360" w:lineRule="auto"/>
        <w:rPr>
          <w:rFonts w:ascii="宋体" w:hAnsi="宋体"/>
          <w:color w:val="auto"/>
          <w:szCs w:val="21"/>
          <w:highlight w:val="none"/>
        </w:rPr>
      </w:pPr>
      <w:r>
        <w:rPr>
          <w:rFonts w:ascii="宋体" w:hAnsi="宋体"/>
          <w:color w:val="auto"/>
          <w:szCs w:val="21"/>
          <w:highlight w:val="none"/>
        </w:rPr>
        <w:t>电子信箱：</w:t>
      </w:r>
      <w:r>
        <w:rPr>
          <w:rFonts w:hint="eastAsia" w:ascii="宋体" w:hAnsi="宋体"/>
          <w:color w:val="auto"/>
          <w:szCs w:val="21"/>
          <w:highlight w:val="none"/>
          <w:u w:val="single"/>
        </w:rPr>
        <w:t xml:space="preserve">                       </w:t>
      </w:r>
      <w:r>
        <w:rPr>
          <w:rFonts w:ascii="宋体" w:hAnsi="宋体"/>
          <w:color w:val="auto"/>
          <w:szCs w:val="21"/>
          <w:highlight w:val="none"/>
        </w:rPr>
        <w:t xml:space="preserve">  </w:t>
      </w:r>
      <w:r>
        <w:rPr>
          <w:rFonts w:hint="eastAsia" w:ascii="宋体" w:hAnsi="宋体"/>
          <w:color w:val="auto"/>
          <w:szCs w:val="21"/>
          <w:highlight w:val="none"/>
        </w:rPr>
        <w:t xml:space="preserve">    </w:t>
      </w:r>
      <w:r>
        <w:rPr>
          <w:rFonts w:hint="eastAsia" w:ascii="宋体" w:hAnsi="宋体"/>
          <w:color w:val="auto"/>
          <w:szCs w:val="21"/>
          <w:highlight w:val="none"/>
          <w:lang w:val="en-US" w:eastAsia="zh-CN"/>
        </w:rPr>
        <w:t xml:space="preserve"> </w:t>
      </w:r>
      <w:r>
        <w:rPr>
          <w:rFonts w:ascii="宋体" w:hAnsi="宋体"/>
          <w:color w:val="auto"/>
          <w:szCs w:val="21"/>
          <w:highlight w:val="none"/>
        </w:rPr>
        <w:t>电子信箱：</w:t>
      </w:r>
      <w:r>
        <w:rPr>
          <w:rFonts w:hint="eastAsia" w:ascii="宋体" w:hAnsi="宋体"/>
          <w:color w:val="auto"/>
          <w:szCs w:val="21"/>
          <w:highlight w:val="none"/>
          <w:u w:val="single"/>
        </w:rPr>
        <w:t xml:space="preserve">                     </w:t>
      </w:r>
    </w:p>
    <w:p w14:paraId="3E24F7E4">
      <w:pPr>
        <w:spacing w:line="360" w:lineRule="auto"/>
        <w:rPr>
          <w:rFonts w:ascii="宋体" w:hAnsi="宋体"/>
          <w:color w:val="auto"/>
          <w:szCs w:val="21"/>
          <w:highlight w:val="none"/>
        </w:rPr>
      </w:pPr>
      <w:r>
        <w:rPr>
          <w:rFonts w:ascii="宋体" w:hAnsi="宋体"/>
          <w:color w:val="auto"/>
          <w:szCs w:val="21"/>
          <w:highlight w:val="none"/>
        </w:rPr>
        <w:t>开户银行：</w:t>
      </w:r>
      <w:r>
        <w:rPr>
          <w:rFonts w:hint="eastAsia" w:ascii="宋体" w:hAnsi="宋体"/>
          <w:color w:val="auto"/>
          <w:szCs w:val="21"/>
          <w:highlight w:val="none"/>
          <w:u w:val="single"/>
        </w:rPr>
        <w:t xml:space="preserve">                       </w:t>
      </w:r>
      <w:r>
        <w:rPr>
          <w:rFonts w:ascii="宋体" w:hAnsi="宋体"/>
          <w:color w:val="auto"/>
          <w:szCs w:val="21"/>
          <w:highlight w:val="none"/>
        </w:rPr>
        <w:t xml:space="preserve"> </w:t>
      </w:r>
      <w:r>
        <w:rPr>
          <w:rFonts w:hint="eastAsia" w:ascii="宋体" w:hAnsi="宋体"/>
          <w:color w:val="auto"/>
          <w:szCs w:val="21"/>
          <w:highlight w:val="none"/>
        </w:rPr>
        <w:t xml:space="preserve">     </w:t>
      </w:r>
      <w:r>
        <w:rPr>
          <w:rFonts w:hint="eastAsia" w:ascii="宋体" w:hAnsi="宋体"/>
          <w:color w:val="auto"/>
          <w:szCs w:val="21"/>
          <w:highlight w:val="none"/>
          <w:lang w:val="en-US" w:eastAsia="zh-CN"/>
        </w:rPr>
        <w:t xml:space="preserve"> </w:t>
      </w:r>
      <w:r>
        <w:rPr>
          <w:rFonts w:ascii="宋体" w:hAnsi="宋体"/>
          <w:color w:val="auto"/>
          <w:szCs w:val="21"/>
          <w:highlight w:val="none"/>
        </w:rPr>
        <w:t>开户银行：</w:t>
      </w:r>
      <w:r>
        <w:rPr>
          <w:rFonts w:hint="eastAsia" w:ascii="宋体" w:hAnsi="宋体"/>
          <w:color w:val="auto"/>
          <w:szCs w:val="21"/>
          <w:highlight w:val="none"/>
          <w:u w:val="single"/>
        </w:rPr>
        <w:t xml:space="preserve">                     </w:t>
      </w:r>
    </w:p>
    <w:p w14:paraId="31507BB8">
      <w:pPr>
        <w:spacing w:line="360" w:lineRule="auto"/>
        <w:rPr>
          <w:rFonts w:ascii="宋体" w:hAnsi="宋体"/>
          <w:color w:val="auto"/>
          <w:szCs w:val="21"/>
          <w:highlight w:val="none"/>
          <w:u w:val="single"/>
        </w:rPr>
      </w:pPr>
      <w:r>
        <w:rPr>
          <w:rFonts w:ascii="宋体" w:hAnsi="宋体"/>
          <w:color w:val="auto"/>
          <w:szCs w:val="21"/>
          <w:highlight w:val="none"/>
        </w:rPr>
        <w:t>账  号：</w:t>
      </w:r>
      <w:r>
        <w:rPr>
          <w:rFonts w:hint="eastAsia" w:ascii="宋体" w:hAnsi="宋体"/>
          <w:color w:val="auto"/>
          <w:szCs w:val="21"/>
          <w:highlight w:val="none"/>
          <w:u w:val="single"/>
        </w:rPr>
        <w:t xml:space="preserve">                       </w:t>
      </w:r>
      <w:r>
        <w:rPr>
          <w:rFonts w:ascii="宋体" w:hAnsi="宋体"/>
          <w:color w:val="auto"/>
          <w:szCs w:val="21"/>
          <w:highlight w:val="none"/>
        </w:rPr>
        <w:t xml:space="preserve">  </w:t>
      </w:r>
      <w:r>
        <w:rPr>
          <w:rFonts w:hint="eastAsia" w:ascii="宋体" w:hAnsi="宋体"/>
          <w:color w:val="auto"/>
          <w:szCs w:val="21"/>
          <w:highlight w:val="none"/>
        </w:rPr>
        <w:t xml:space="preserve">      </w:t>
      </w:r>
      <w:r>
        <w:rPr>
          <w:rFonts w:hint="eastAsia" w:ascii="宋体" w:hAnsi="宋体"/>
          <w:color w:val="auto"/>
          <w:szCs w:val="21"/>
          <w:highlight w:val="none"/>
          <w:lang w:val="en-US" w:eastAsia="zh-CN"/>
        </w:rPr>
        <w:t xml:space="preserve"> </w:t>
      </w:r>
      <w:r>
        <w:rPr>
          <w:rFonts w:ascii="宋体" w:hAnsi="宋体"/>
          <w:color w:val="auto"/>
          <w:szCs w:val="21"/>
          <w:highlight w:val="none"/>
        </w:rPr>
        <w:t>账  号：</w:t>
      </w:r>
      <w:r>
        <w:rPr>
          <w:rFonts w:hint="eastAsia" w:ascii="宋体" w:hAnsi="宋体"/>
          <w:color w:val="auto"/>
          <w:szCs w:val="21"/>
          <w:highlight w:val="none"/>
          <w:u w:val="single"/>
        </w:rPr>
        <w:t xml:space="preserve">                 </w:t>
      </w:r>
      <w:r>
        <w:rPr>
          <w:rFonts w:hint="eastAsia" w:ascii="宋体" w:hAnsi="宋体"/>
          <w:color w:val="auto"/>
          <w:szCs w:val="21"/>
          <w:highlight w:val="none"/>
          <w:u w:val="single"/>
          <w:lang w:val="en-US" w:eastAsia="zh-CN"/>
        </w:rPr>
        <w:t xml:space="preserve"> </w:t>
      </w:r>
      <w:r>
        <w:rPr>
          <w:rFonts w:hint="eastAsia" w:ascii="宋体" w:hAnsi="宋体"/>
          <w:color w:val="auto"/>
          <w:szCs w:val="21"/>
          <w:highlight w:val="none"/>
          <w:u w:val="single"/>
        </w:rPr>
        <w:t xml:space="preserve">     </w:t>
      </w:r>
    </w:p>
    <w:p w14:paraId="6C0CB00F">
      <w:pPr>
        <w:spacing w:line="360" w:lineRule="auto"/>
        <w:rPr>
          <w:rFonts w:ascii="宋体" w:hAnsi="宋体"/>
          <w:color w:val="auto"/>
          <w:sz w:val="20"/>
          <w:szCs w:val="21"/>
          <w:highlight w:val="none"/>
          <w:u w:val="single"/>
        </w:rPr>
      </w:pPr>
    </w:p>
    <w:p w14:paraId="268C626D">
      <w:pPr>
        <w:spacing w:line="360" w:lineRule="auto"/>
        <w:jc w:val="center"/>
        <w:rPr>
          <w:rFonts w:ascii="宋体" w:hAnsi="宋体"/>
          <w:color w:val="auto"/>
          <w:highlight w:val="none"/>
        </w:rPr>
      </w:pPr>
    </w:p>
    <w:p w14:paraId="0407A1E0">
      <w:pPr>
        <w:spacing w:line="360" w:lineRule="auto"/>
        <w:rPr>
          <w:rFonts w:ascii="宋体" w:hAnsi="宋体"/>
          <w:color w:val="auto"/>
          <w:highlight w:val="none"/>
        </w:rPr>
      </w:pPr>
    </w:p>
    <w:p w14:paraId="3E11127A">
      <w:pPr>
        <w:pStyle w:val="4"/>
        <w:bidi w:val="0"/>
        <w:spacing w:line="360" w:lineRule="auto"/>
        <w:jc w:val="center"/>
        <w:rPr>
          <w:rFonts w:hint="eastAsia"/>
          <w:color w:val="auto"/>
        </w:rPr>
      </w:pPr>
      <w:bookmarkStart w:id="388" w:name="_Toc18705"/>
      <w:bookmarkStart w:id="389" w:name="_Toc508379683"/>
      <w:bookmarkStart w:id="390" w:name="_Toc20233"/>
      <w:bookmarkStart w:id="391" w:name="_Toc31585"/>
      <w:bookmarkStart w:id="392" w:name="_Toc86935833"/>
      <w:bookmarkStart w:id="393" w:name="_Toc351203494"/>
      <w:r>
        <w:rPr>
          <w:rFonts w:hint="eastAsia"/>
          <w:color w:val="auto"/>
          <w:lang w:eastAsia="zh-CN"/>
        </w:rPr>
        <w:t>第二部分</w:t>
      </w:r>
      <w:r>
        <w:rPr>
          <w:rFonts w:hint="eastAsia"/>
          <w:color w:val="auto"/>
          <w:lang w:val="en-US" w:eastAsia="zh-CN"/>
        </w:rPr>
        <w:t xml:space="preserve">  </w:t>
      </w:r>
      <w:r>
        <w:rPr>
          <w:rFonts w:hint="eastAsia"/>
          <w:color w:val="auto"/>
        </w:rPr>
        <w:t>通用合同条款</w:t>
      </w:r>
      <w:bookmarkEnd w:id="388"/>
      <w:bookmarkEnd w:id="389"/>
      <w:bookmarkEnd w:id="390"/>
      <w:bookmarkEnd w:id="391"/>
      <w:bookmarkEnd w:id="392"/>
      <w:bookmarkEnd w:id="393"/>
    </w:p>
    <w:p w14:paraId="0E5C9FC5">
      <w:pPr>
        <w:spacing w:line="360" w:lineRule="auto"/>
        <w:ind w:firstLine="422" w:firstLineChars="200"/>
        <w:rPr>
          <w:rFonts w:hAnsi="宋体"/>
          <w:b/>
          <w:bCs/>
          <w:color w:val="auto"/>
          <w:kern w:val="0"/>
          <w:highlight w:val="none"/>
        </w:rPr>
      </w:pPr>
      <w:r>
        <w:rPr>
          <w:rFonts w:hint="eastAsia" w:hAnsi="宋体" w:cs="宋体"/>
          <w:b/>
          <w:bCs/>
          <w:color w:val="auto"/>
          <w:kern w:val="0"/>
          <w:highlight w:val="none"/>
        </w:rPr>
        <w:t>采用《建设工程施工合同（示范文本）》（</w:t>
      </w:r>
      <w:r>
        <w:rPr>
          <w:rFonts w:hAnsi="宋体"/>
          <w:b/>
          <w:bCs/>
          <w:color w:val="auto"/>
          <w:kern w:val="0"/>
          <w:highlight w:val="none"/>
        </w:rPr>
        <w:t>GF</w:t>
      </w:r>
      <w:r>
        <w:rPr>
          <w:rFonts w:hAnsi="宋体" w:cs="宋体"/>
          <w:b/>
          <w:bCs/>
          <w:color w:val="auto"/>
          <w:kern w:val="0"/>
          <w:highlight w:val="none"/>
        </w:rPr>
        <w:t>—</w:t>
      </w:r>
      <w:r>
        <w:rPr>
          <w:rFonts w:hAnsi="宋体"/>
          <w:b/>
          <w:bCs/>
          <w:color w:val="auto"/>
          <w:kern w:val="0"/>
          <w:highlight w:val="none"/>
        </w:rPr>
        <w:t>201</w:t>
      </w:r>
      <w:r>
        <w:rPr>
          <w:rFonts w:hint="eastAsia" w:hAnsi="宋体"/>
          <w:b/>
          <w:bCs/>
          <w:color w:val="auto"/>
          <w:kern w:val="0"/>
          <w:highlight w:val="none"/>
        </w:rPr>
        <w:t>7</w:t>
      </w:r>
      <w:r>
        <w:rPr>
          <w:rFonts w:hAnsi="宋体" w:cs="宋体"/>
          <w:b/>
          <w:bCs/>
          <w:color w:val="auto"/>
          <w:kern w:val="0"/>
          <w:highlight w:val="none"/>
        </w:rPr>
        <w:t>—</w:t>
      </w:r>
      <w:r>
        <w:rPr>
          <w:rFonts w:hAnsi="宋体"/>
          <w:b/>
          <w:bCs/>
          <w:color w:val="auto"/>
          <w:kern w:val="0"/>
          <w:highlight w:val="none"/>
        </w:rPr>
        <w:t>0201</w:t>
      </w:r>
      <w:r>
        <w:rPr>
          <w:rFonts w:hint="eastAsia" w:hAnsi="宋体" w:cs="宋体"/>
          <w:b/>
          <w:bCs/>
          <w:color w:val="auto"/>
          <w:kern w:val="0"/>
          <w:highlight w:val="none"/>
        </w:rPr>
        <w:t>）。</w:t>
      </w:r>
    </w:p>
    <w:p w14:paraId="4B55D635">
      <w:pPr>
        <w:spacing w:line="360" w:lineRule="auto"/>
        <w:rPr>
          <w:rFonts w:hint="eastAsia" w:ascii="宋体" w:hAnsi="宋体"/>
          <w:b/>
          <w:bCs/>
          <w:color w:val="auto"/>
          <w:sz w:val="32"/>
          <w:szCs w:val="32"/>
          <w:highlight w:val="none"/>
        </w:rPr>
      </w:pPr>
      <w:r>
        <w:rPr>
          <w:rFonts w:hint="eastAsia" w:ascii="宋体" w:hAnsi="宋体"/>
          <w:b/>
          <w:bCs/>
          <w:color w:val="auto"/>
          <w:sz w:val="32"/>
          <w:szCs w:val="32"/>
          <w:highlight w:val="none"/>
        </w:rPr>
        <w:br w:type="page"/>
      </w:r>
    </w:p>
    <w:p w14:paraId="493432C4">
      <w:pPr>
        <w:pStyle w:val="4"/>
        <w:bidi w:val="0"/>
        <w:spacing w:line="360" w:lineRule="auto"/>
        <w:jc w:val="center"/>
        <w:rPr>
          <w:color w:val="auto"/>
        </w:rPr>
      </w:pPr>
      <w:bookmarkStart w:id="394" w:name="_Toc86935854"/>
      <w:bookmarkStart w:id="395" w:name="_Toc495673369"/>
      <w:bookmarkStart w:id="396" w:name="_Toc508379704"/>
      <w:bookmarkStart w:id="397" w:name="_Toc2477"/>
      <w:bookmarkStart w:id="398" w:name="_Toc407135193"/>
      <w:bookmarkStart w:id="399" w:name="_Toc27176"/>
      <w:bookmarkStart w:id="400" w:name="_Toc389065257"/>
      <w:bookmarkStart w:id="401" w:name="_Toc13621"/>
      <w:r>
        <w:rPr>
          <w:color w:val="auto"/>
        </w:rPr>
        <w:t>第</w:t>
      </w:r>
      <w:r>
        <w:rPr>
          <w:rFonts w:hint="eastAsia"/>
          <w:color w:val="auto"/>
        </w:rPr>
        <w:t>三</w:t>
      </w:r>
      <w:r>
        <w:rPr>
          <w:color w:val="auto"/>
        </w:rPr>
        <w:t>部分 专用合同条款</w:t>
      </w:r>
      <w:bookmarkEnd w:id="394"/>
      <w:bookmarkEnd w:id="395"/>
      <w:bookmarkEnd w:id="396"/>
      <w:bookmarkEnd w:id="397"/>
      <w:bookmarkEnd w:id="398"/>
      <w:bookmarkEnd w:id="399"/>
      <w:bookmarkEnd w:id="400"/>
      <w:bookmarkEnd w:id="401"/>
    </w:p>
    <w:p w14:paraId="78EB2F88">
      <w:pPr>
        <w:keepNext/>
        <w:keepLines/>
        <w:spacing w:before="260" w:after="260" w:line="360" w:lineRule="auto"/>
        <w:outlineLvl w:val="1"/>
        <w:rPr>
          <w:rFonts w:ascii="宋体" w:hAnsi="宋体"/>
          <w:b/>
          <w:bCs/>
          <w:color w:val="auto"/>
          <w:sz w:val="32"/>
          <w:szCs w:val="32"/>
          <w:highlight w:val="none"/>
        </w:rPr>
      </w:pPr>
      <w:bookmarkStart w:id="402" w:name="_Toc18205"/>
      <w:bookmarkStart w:id="403" w:name="_Toc373478339"/>
      <w:bookmarkStart w:id="404" w:name="_Toc86935855"/>
      <w:bookmarkStart w:id="405" w:name="_Toc351203633"/>
      <w:bookmarkStart w:id="406" w:name="_Toc407135194"/>
      <w:bookmarkStart w:id="407" w:name="_Toc389065258"/>
      <w:bookmarkStart w:id="408" w:name="_Toc508379705"/>
      <w:bookmarkStart w:id="409" w:name="_Toc373227692"/>
      <w:bookmarkStart w:id="410" w:name="_Toc29065"/>
      <w:bookmarkStart w:id="411" w:name="_Toc495673370"/>
      <w:r>
        <w:rPr>
          <w:rFonts w:ascii="宋体" w:hAnsi="宋体"/>
          <w:b/>
          <w:bCs/>
          <w:color w:val="auto"/>
          <w:sz w:val="32"/>
          <w:szCs w:val="32"/>
          <w:highlight w:val="none"/>
        </w:rPr>
        <w:t>1</w:t>
      </w:r>
      <w:bookmarkStart w:id="412" w:name="_Toc296944495"/>
      <w:bookmarkStart w:id="413" w:name="_Toc297120456"/>
      <w:bookmarkStart w:id="414" w:name="_Toc292559361"/>
      <w:bookmarkStart w:id="415" w:name="_Toc292559866"/>
      <w:bookmarkStart w:id="416" w:name="_Toc296890984"/>
      <w:bookmarkStart w:id="417" w:name="_Toc297048342"/>
      <w:bookmarkStart w:id="418" w:name="_Toc296503156"/>
      <w:bookmarkStart w:id="419" w:name="_Toc296347155"/>
      <w:bookmarkStart w:id="420" w:name="_Toc296346657"/>
      <w:bookmarkStart w:id="421" w:name="_Toc296891196"/>
      <w:r>
        <w:rPr>
          <w:rFonts w:ascii="宋体" w:hAnsi="宋体"/>
          <w:b/>
          <w:bCs/>
          <w:color w:val="auto"/>
          <w:sz w:val="32"/>
          <w:szCs w:val="32"/>
          <w:highlight w:val="none"/>
        </w:rPr>
        <w:t>. 一般约定</w:t>
      </w:r>
      <w:bookmarkEnd w:id="402"/>
      <w:bookmarkEnd w:id="403"/>
      <w:bookmarkEnd w:id="404"/>
      <w:bookmarkEnd w:id="405"/>
      <w:bookmarkEnd w:id="406"/>
      <w:bookmarkEnd w:id="407"/>
      <w:bookmarkEnd w:id="408"/>
      <w:bookmarkEnd w:id="409"/>
      <w:bookmarkEnd w:id="410"/>
      <w:bookmarkEnd w:id="411"/>
    </w:p>
    <w:bookmarkEnd w:id="412"/>
    <w:bookmarkEnd w:id="413"/>
    <w:bookmarkEnd w:id="414"/>
    <w:bookmarkEnd w:id="415"/>
    <w:bookmarkEnd w:id="416"/>
    <w:bookmarkEnd w:id="417"/>
    <w:bookmarkEnd w:id="418"/>
    <w:bookmarkEnd w:id="419"/>
    <w:bookmarkEnd w:id="420"/>
    <w:bookmarkEnd w:id="421"/>
    <w:p w14:paraId="3C84C01C">
      <w:pPr>
        <w:keepNext/>
        <w:keepLines/>
        <w:spacing w:before="260" w:after="260" w:line="360" w:lineRule="auto"/>
        <w:outlineLvl w:val="2"/>
        <w:rPr>
          <w:rFonts w:ascii="宋体" w:hAnsi="宋体"/>
          <w:b/>
          <w:bCs/>
          <w:color w:val="auto"/>
          <w:sz w:val="32"/>
          <w:szCs w:val="32"/>
          <w:highlight w:val="none"/>
        </w:rPr>
      </w:pPr>
      <w:bookmarkStart w:id="422" w:name="_Toc3407"/>
      <w:bookmarkStart w:id="423" w:name="_Toc407135195"/>
      <w:bookmarkStart w:id="424" w:name="_Toc508379706"/>
      <w:bookmarkStart w:id="425" w:name="_Toc373227693"/>
      <w:bookmarkStart w:id="426" w:name="_Toc373478340"/>
      <w:bookmarkStart w:id="427" w:name="_Toc389065259"/>
      <w:bookmarkStart w:id="428" w:name="_Toc18027"/>
      <w:bookmarkStart w:id="429" w:name="_Toc495673371"/>
      <w:bookmarkStart w:id="430" w:name="_Toc86935856"/>
      <w:r>
        <w:rPr>
          <w:rFonts w:ascii="宋体" w:hAnsi="宋体"/>
          <w:b/>
          <w:bCs/>
          <w:color w:val="auto"/>
          <w:sz w:val="32"/>
          <w:szCs w:val="32"/>
          <w:highlight w:val="none"/>
        </w:rPr>
        <w:t>1.1 词语定义</w:t>
      </w:r>
      <w:bookmarkEnd w:id="422"/>
      <w:bookmarkEnd w:id="423"/>
      <w:bookmarkEnd w:id="424"/>
      <w:bookmarkEnd w:id="425"/>
      <w:bookmarkEnd w:id="426"/>
      <w:bookmarkEnd w:id="427"/>
      <w:bookmarkEnd w:id="428"/>
      <w:bookmarkEnd w:id="429"/>
      <w:bookmarkEnd w:id="430"/>
    </w:p>
    <w:p w14:paraId="169EA993">
      <w:pPr>
        <w:spacing w:line="360" w:lineRule="auto"/>
        <w:ind w:firstLine="420" w:firstLineChars="200"/>
        <w:rPr>
          <w:rFonts w:ascii="宋体" w:hAnsi="宋体"/>
          <w:color w:val="auto"/>
          <w:kern w:val="0"/>
          <w:szCs w:val="21"/>
          <w:highlight w:val="none"/>
        </w:rPr>
      </w:pPr>
      <w:r>
        <w:rPr>
          <w:rFonts w:ascii="宋体" w:hAnsi="宋体"/>
          <w:color w:val="auto"/>
          <w:kern w:val="0"/>
          <w:szCs w:val="21"/>
          <w:highlight w:val="none"/>
        </w:rPr>
        <w:t>1.1.1合同</w:t>
      </w:r>
    </w:p>
    <w:p w14:paraId="446F6BE8">
      <w:pPr>
        <w:spacing w:line="360" w:lineRule="auto"/>
        <w:ind w:firstLine="420" w:firstLineChars="200"/>
        <w:rPr>
          <w:rFonts w:ascii="宋体" w:hAnsi="宋体"/>
          <w:color w:val="auto"/>
          <w:kern w:val="0"/>
          <w:szCs w:val="21"/>
          <w:highlight w:val="none"/>
        </w:rPr>
      </w:pPr>
      <w:r>
        <w:rPr>
          <w:rFonts w:ascii="宋体" w:hAnsi="宋体"/>
          <w:color w:val="auto"/>
          <w:kern w:val="0"/>
          <w:szCs w:val="21"/>
          <w:highlight w:val="none"/>
        </w:rPr>
        <w:t>1.1.1.10其他合同文件包括：</w:t>
      </w:r>
      <w:r>
        <w:rPr>
          <w:rStyle w:val="35"/>
          <w:rFonts w:hint="eastAsia" w:ascii="宋体" w:hAnsi="宋体" w:eastAsia="宋体"/>
          <w:color w:val="auto"/>
          <w:kern w:val="28"/>
          <w:highlight w:val="none"/>
          <w:u w:val="single"/>
        </w:rPr>
        <w:t>合同履行中</w:t>
      </w:r>
      <w:r>
        <w:rPr>
          <w:rStyle w:val="35"/>
          <w:rFonts w:hint="eastAsia" w:ascii="宋体" w:hAnsi="宋体" w:eastAsia="宋体"/>
          <w:color w:val="auto"/>
          <w:kern w:val="28"/>
          <w:highlight w:val="none"/>
        </w:rPr>
        <w:t>，</w:t>
      </w:r>
      <w:r>
        <w:rPr>
          <w:rStyle w:val="35"/>
          <w:rFonts w:hint="eastAsia" w:ascii="宋体" w:hAnsi="宋体" w:eastAsia="宋体"/>
          <w:color w:val="auto"/>
          <w:kern w:val="28"/>
          <w:highlight w:val="none"/>
          <w:u w:val="single"/>
        </w:rPr>
        <w:t>发包人承包人有关工程的洽商、变更等书面协议或文件视为本合同的组成部分</w:t>
      </w:r>
      <w:r>
        <w:rPr>
          <w:rFonts w:ascii="宋体" w:hAnsi="宋体"/>
          <w:color w:val="auto"/>
          <w:szCs w:val="21"/>
          <w:highlight w:val="none"/>
        </w:rPr>
        <w:t>。</w:t>
      </w:r>
    </w:p>
    <w:p w14:paraId="717D484F">
      <w:pPr>
        <w:spacing w:line="360" w:lineRule="auto"/>
        <w:ind w:firstLine="420" w:firstLineChars="200"/>
        <w:rPr>
          <w:rFonts w:ascii="宋体" w:hAnsi="宋体"/>
          <w:color w:val="auto"/>
          <w:szCs w:val="21"/>
          <w:highlight w:val="none"/>
        </w:rPr>
      </w:pPr>
      <w:r>
        <w:rPr>
          <w:rFonts w:ascii="宋体" w:hAnsi="宋体"/>
          <w:color w:val="auto"/>
          <w:szCs w:val="21"/>
          <w:highlight w:val="none"/>
        </w:rPr>
        <w:t>1.1.2 合同当事人及其他相关方</w:t>
      </w:r>
    </w:p>
    <w:p w14:paraId="320D60CE">
      <w:pPr>
        <w:spacing w:line="360" w:lineRule="auto"/>
        <w:ind w:firstLine="420" w:firstLineChars="200"/>
        <w:rPr>
          <w:rFonts w:ascii="宋体" w:hAnsi="宋体"/>
          <w:color w:val="auto"/>
          <w:szCs w:val="21"/>
          <w:highlight w:val="none"/>
        </w:rPr>
      </w:pPr>
      <w:r>
        <w:rPr>
          <w:rFonts w:ascii="宋体" w:hAnsi="宋体"/>
          <w:color w:val="auto"/>
          <w:szCs w:val="21"/>
          <w:highlight w:val="none"/>
        </w:rPr>
        <w:t>1.1.2.4监理人：</w:t>
      </w:r>
    </w:p>
    <w:p w14:paraId="30B92756">
      <w:pPr>
        <w:spacing w:line="360" w:lineRule="auto"/>
        <w:ind w:firstLine="420" w:firstLineChars="200"/>
        <w:rPr>
          <w:rFonts w:ascii="宋体" w:hAnsi="宋体"/>
          <w:color w:val="auto"/>
          <w:szCs w:val="21"/>
          <w:highlight w:val="none"/>
        </w:rPr>
      </w:pPr>
      <w:r>
        <w:rPr>
          <w:rFonts w:ascii="宋体" w:hAnsi="宋体"/>
          <w:color w:val="auto"/>
          <w:szCs w:val="21"/>
          <w:highlight w:val="none"/>
        </w:rPr>
        <w:t>名    称：</w:t>
      </w:r>
      <w:r>
        <w:rPr>
          <w:rFonts w:hint="eastAsia" w:ascii="宋体" w:hAnsi="宋体"/>
          <w:color w:val="auto"/>
          <w:szCs w:val="21"/>
          <w:highlight w:val="none"/>
          <w:u w:val="single"/>
        </w:rPr>
        <w:t xml:space="preserve">                       </w:t>
      </w:r>
      <w:r>
        <w:rPr>
          <w:rFonts w:ascii="宋体" w:hAnsi="宋体"/>
          <w:color w:val="auto"/>
          <w:szCs w:val="21"/>
          <w:highlight w:val="none"/>
        </w:rPr>
        <w:t>；</w:t>
      </w:r>
    </w:p>
    <w:p w14:paraId="79A7C803">
      <w:pPr>
        <w:spacing w:line="360" w:lineRule="auto"/>
        <w:ind w:firstLine="420" w:firstLineChars="200"/>
        <w:rPr>
          <w:rFonts w:ascii="宋体" w:hAnsi="宋体"/>
          <w:color w:val="auto"/>
          <w:szCs w:val="21"/>
          <w:highlight w:val="none"/>
        </w:rPr>
      </w:pPr>
      <w:r>
        <w:rPr>
          <w:rFonts w:ascii="宋体" w:hAnsi="宋体"/>
          <w:color w:val="auto"/>
          <w:szCs w:val="21"/>
          <w:highlight w:val="none"/>
        </w:rPr>
        <w:t>资质类别和等级：</w:t>
      </w:r>
      <w:r>
        <w:rPr>
          <w:rFonts w:hint="eastAsia" w:ascii="宋体" w:hAnsi="宋体"/>
          <w:color w:val="auto"/>
          <w:szCs w:val="21"/>
          <w:highlight w:val="none"/>
          <w:u w:val="single"/>
        </w:rPr>
        <w:t xml:space="preserve">                       </w:t>
      </w:r>
      <w:r>
        <w:rPr>
          <w:rFonts w:ascii="宋体" w:hAnsi="宋体"/>
          <w:color w:val="auto"/>
          <w:szCs w:val="21"/>
          <w:highlight w:val="none"/>
        </w:rPr>
        <w:t>；</w:t>
      </w:r>
    </w:p>
    <w:p w14:paraId="1C2A8249">
      <w:pPr>
        <w:spacing w:line="360" w:lineRule="auto"/>
        <w:ind w:firstLine="420" w:firstLineChars="200"/>
        <w:rPr>
          <w:rFonts w:ascii="宋体" w:hAnsi="宋体"/>
          <w:color w:val="auto"/>
          <w:szCs w:val="21"/>
          <w:highlight w:val="none"/>
        </w:rPr>
      </w:pPr>
      <w:r>
        <w:rPr>
          <w:rFonts w:ascii="宋体" w:hAnsi="宋体"/>
          <w:color w:val="auto"/>
          <w:szCs w:val="21"/>
          <w:highlight w:val="none"/>
        </w:rPr>
        <w:t>联系电话：</w:t>
      </w:r>
      <w:r>
        <w:rPr>
          <w:rFonts w:hint="eastAsia" w:ascii="宋体" w:hAnsi="宋体"/>
          <w:color w:val="auto"/>
          <w:szCs w:val="21"/>
          <w:highlight w:val="none"/>
          <w:u w:val="single"/>
        </w:rPr>
        <w:t xml:space="preserve">                       </w:t>
      </w:r>
      <w:r>
        <w:rPr>
          <w:rFonts w:ascii="宋体" w:hAnsi="宋体"/>
          <w:color w:val="auto"/>
          <w:szCs w:val="21"/>
          <w:highlight w:val="none"/>
        </w:rPr>
        <w:t>；</w:t>
      </w:r>
    </w:p>
    <w:p w14:paraId="613CF6A0">
      <w:pPr>
        <w:spacing w:line="360" w:lineRule="auto"/>
        <w:ind w:firstLine="420" w:firstLineChars="200"/>
        <w:rPr>
          <w:rFonts w:ascii="宋体" w:hAnsi="宋体"/>
          <w:color w:val="auto"/>
          <w:szCs w:val="21"/>
          <w:highlight w:val="none"/>
        </w:rPr>
      </w:pPr>
      <w:r>
        <w:rPr>
          <w:rFonts w:ascii="宋体" w:hAnsi="宋体"/>
          <w:color w:val="auto"/>
          <w:szCs w:val="21"/>
          <w:highlight w:val="none"/>
        </w:rPr>
        <w:t>电子信箱：</w:t>
      </w:r>
      <w:r>
        <w:rPr>
          <w:rFonts w:hint="eastAsia" w:ascii="宋体" w:hAnsi="宋体"/>
          <w:color w:val="auto"/>
          <w:szCs w:val="21"/>
          <w:highlight w:val="none"/>
          <w:u w:val="single"/>
        </w:rPr>
        <w:t xml:space="preserve">                       </w:t>
      </w:r>
      <w:r>
        <w:rPr>
          <w:rFonts w:ascii="宋体" w:hAnsi="宋体"/>
          <w:color w:val="auto"/>
          <w:szCs w:val="21"/>
          <w:highlight w:val="none"/>
        </w:rPr>
        <w:t>；</w:t>
      </w:r>
    </w:p>
    <w:p w14:paraId="656DEAF7">
      <w:pPr>
        <w:spacing w:line="360" w:lineRule="auto"/>
        <w:ind w:firstLine="420" w:firstLineChars="200"/>
        <w:rPr>
          <w:rFonts w:ascii="宋体" w:hAnsi="宋体"/>
          <w:color w:val="auto"/>
          <w:szCs w:val="21"/>
          <w:highlight w:val="none"/>
        </w:rPr>
      </w:pPr>
      <w:r>
        <w:rPr>
          <w:rFonts w:ascii="宋体" w:hAnsi="宋体"/>
          <w:color w:val="auto"/>
          <w:szCs w:val="21"/>
          <w:highlight w:val="none"/>
        </w:rPr>
        <w:t>通信地址：</w:t>
      </w:r>
      <w:r>
        <w:rPr>
          <w:rFonts w:hint="eastAsia" w:ascii="宋体" w:hAnsi="宋体"/>
          <w:color w:val="auto"/>
          <w:szCs w:val="21"/>
          <w:highlight w:val="none"/>
          <w:u w:val="single"/>
        </w:rPr>
        <w:t xml:space="preserve">                       </w:t>
      </w:r>
      <w:r>
        <w:rPr>
          <w:rFonts w:ascii="宋体" w:hAnsi="宋体"/>
          <w:color w:val="auto"/>
          <w:szCs w:val="21"/>
          <w:highlight w:val="none"/>
        </w:rPr>
        <w:t>。</w:t>
      </w:r>
    </w:p>
    <w:p w14:paraId="7C6160D1">
      <w:pPr>
        <w:spacing w:line="360" w:lineRule="auto"/>
        <w:ind w:firstLine="420" w:firstLineChars="200"/>
        <w:rPr>
          <w:rFonts w:ascii="宋体" w:hAnsi="宋体"/>
          <w:color w:val="auto"/>
          <w:szCs w:val="21"/>
          <w:highlight w:val="none"/>
        </w:rPr>
      </w:pPr>
      <w:r>
        <w:rPr>
          <w:rFonts w:ascii="宋体" w:hAnsi="宋体"/>
          <w:color w:val="auto"/>
          <w:szCs w:val="21"/>
          <w:highlight w:val="none"/>
        </w:rPr>
        <w:t>1.1.2.5 设计人：</w:t>
      </w:r>
    </w:p>
    <w:p w14:paraId="507127B6">
      <w:pPr>
        <w:spacing w:line="360" w:lineRule="auto"/>
        <w:ind w:firstLine="420" w:firstLineChars="200"/>
        <w:rPr>
          <w:rFonts w:ascii="宋体" w:hAnsi="宋体"/>
          <w:color w:val="auto"/>
          <w:szCs w:val="21"/>
          <w:highlight w:val="none"/>
        </w:rPr>
      </w:pPr>
      <w:r>
        <w:rPr>
          <w:rFonts w:ascii="宋体" w:hAnsi="宋体"/>
          <w:color w:val="auto"/>
          <w:szCs w:val="21"/>
          <w:highlight w:val="none"/>
        </w:rPr>
        <w:t>名    称：</w:t>
      </w:r>
      <w:r>
        <w:rPr>
          <w:rFonts w:hint="eastAsia" w:ascii="宋体" w:hAnsi="宋体"/>
          <w:color w:val="auto"/>
          <w:szCs w:val="21"/>
          <w:highlight w:val="none"/>
          <w:u w:val="single"/>
        </w:rPr>
        <w:t xml:space="preserve">                       </w:t>
      </w:r>
      <w:r>
        <w:rPr>
          <w:rFonts w:ascii="宋体" w:hAnsi="宋体"/>
          <w:color w:val="auto"/>
          <w:szCs w:val="21"/>
          <w:highlight w:val="none"/>
        </w:rPr>
        <w:t>；</w:t>
      </w:r>
    </w:p>
    <w:p w14:paraId="3B774584">
      <w:pPr>
        <w:spacing w:line="360" w:lineRule="auto"/>
        <w:ind w:firstLine="420" w:firstLineChars="200"/>
        <w:rPr>
          <w:rFonts w:ascii="宋体" w:hAnsi="宋体"/>
          <w:color w:val="auto"/>
          <w:szCs w:val="21"/>
          <w:highlight w:val="none"/>
        </w:rPr>
      </w:pPr>
      <w:r>
        <w:rPr>
          <w:rFonts w:ascii="宋体" w:hAnsi="宋体"/>
          <w:color w:val="auto"/>
          <w:szCs w:val="21"/>
          <w:highlight w:val="none"/>
        </w:rPr>
        <w:t>资质类别和等级：</w:t>
      </w:r>
      <w:r>
        <w:rPr>
          <w:rFonts w:hint="eastAsia" w:ascii="宋体" w:hAnsi="宋体"/>
          <w:color w:val="auto"/>
          <w:szCs w:val="21"/>
          <w:highlight w:val="none"/>
          <w:u w:val="single"/>
        </w:rPr>
        <w:t xml:space="preserve">                       </w:t>
      </w:r>
      <w:r>
        <w:rPr>
          <w:rFonts w:ascii="宋体" w:hAnsi="宋体"/>
          <w:color w:val="auto"/>
          <w:szCs w:val="21"/>
          <w:highlight w:val="none"/>
        </w:rPr>
        <w:t>；</w:t>
      </w:r>
    </w:p>
    <w:p w14:paraId="5B9FF7ED">
      <w:pPr>
        <w:spacing w:line="360" w:lineRule="auto"/>
        <w:ind w:firstLine="420" w:firstLineChars="200"/>
        <w:rPr>
          <w:rFonts w:ascii="宋体" w:hAnsi="宋体"/>
          <w:color w:val="auto"/>
          <w:szCs w:val="21"/>
          <w:highlight w:val="none"/>
        </w:rPr>
      </w:pPr>
      <w:r>
        <w:rPr>
          <w:rFonts w:ascii="宋体" w:hAnsi="宋体"/>
          <w:color w:val="auto"/>
          <w:szCs w:val="21"/>
          <w:highlight w:val="none"/>
        </w:rPr>
        <w:t>联系电话：</w:t>
      </w:r>
      <w:r>
        <w:rPr>
          <w:rFonts w:hint="eastAsia" w:ascii="宋体" w:hAnsi="宋体"/>
          <w:color w:val="auto"/>
          <w:szCs w:val="21"/>
          <w:highlight w:val="none"/>
          <w:u w:val="single"/>
        </w:rPr>
        <w:t xml:space="preserve">                       </w:t>
      </w:r>
      <w:r>
        <w:rPr>
          <w:rFonts w:ascii="宋体" w:hAnsi="宋体"/>
          <w:color w:val="auto"/>
          <w:szCs w:val="21"/>
          <w:highlight w:val="none"/>
        </w:rPr>
        <w:t>；</w:t>
      </w:r>
    </w:p>
    <w:p w14:paraId="1B3524F4">
      <w:pPr>
        <w:spacing w:line="360" w:lineRule="auto"/>
        <w:ind w:firstLine="420" w:firstLineChars="200"/>
        <w:rPr>
          <w:rFonts w:ascii="宋体" w:hAnsi="宋体"/>
          <w:color w:val="auto"/>
          <w:szCs w:val="21"/>
          <w:highlight w:val="none"/>
        </w:rPr>
      </w:pPr>
      <w:r>
        <w:rPr>
          <w:rFonts w:ascii="宋体" w:hAnsi="宋体"/>
          <w:color w:val="auto"/>
          <w:szCs w:val="21"/>
          <w:highlight w:val="none"/>
        </w:rPr>
        <w:t>电子信箱：</w:t>
      </w:r>
      <w:r>
        <w:rPr>
          <w:rFonts w:hint="eastAsia" w:ascii="宋体" w:hAnsi="宋体"/>
          <w:color w:val="auto"/>
          <w:szCs w:val="21"/>
          <w:highlight w:val="none"/>
          <w:u w:val="single"/>
        </w:rPr>
        <w:t xml:space="preserve">                       </w:t>
      </w:r>
      <w:r>
        <w:rPr>
          <w:rFonts w:ascii="宋体" w:hAnsi="宋体"/>
          <w:color w:val="auto"/>
          <w:szCs w:val="21"/>
          <w:highlight w:val="none"/>
        </w:rPr>
        <w:t>；</w:t>
      </w:r>
    </w:p>
    <w:p w14:paraId="7B4927EC">
      <w:pPr>
        <w:spacing w:line="360" w:lineRule="auto"/>
        <w:ind w:firstLine="420" w:firstLineChars="200"/>
        <w:rPr>
          <w:rFonts w:ascii="宋体" w:hAnsi="宋体"/>
          <w:color w:val="auto"/>
          <w:szCs w:val="21"/>
          <w:highlight w:val="none"/>
        </w:rPr>
      </w:pPr>
      <w:r>
        <w:rPr>
          <w:rFonts w:ascii="宋体" w:hAnsi="宋体"/>
          <w:color w:val="auto"/>
          <w:szCs w:val="21"/>
          <w:highlight w:val="none"/>
        </w:rPr>
        <w:t>通信地址：</w:t>
      </w:r>
      <w:r>
        <w:rPr>
          <w:rFonts w:hint="eastAsia" w:ascii="宋体" w:hAnsi="宋体"/>
          <w:color w:val="auto"/>
          <w:szCs w:val="21"/>
          <w:highlight w:val="none"/>
          <w:u w:val="single"/>
        </w:rPr>
        <w:t xml:space="preserve">                       </w:t>
      </w:r>
      <w:r>
        <w:rPr>
          <w:rFonts w:ascii="宋体" w:hAnsi="宋体"/>
          <w:color w:val="auto"/>
          <w:szCs w:val="21"/>
          <w:highlight w:val="none"/>
        </w:rPr>
        <w:t>。</w:t>
      </w:r>
    </w:p>
    <w:p w14:paraId="688AED9D">
      <w:pPr>
        <w:spacing w:line="360" w:lineRule="auto"/>
        <w:ind w:firstLine="420" w:firstLineChars="200"/>
        <w:rPr>
          <w:rFonts w:ascii="宋体" w:hAnsi="宋体"/>
          <w:color w:val="auto"/>
          <w:szCs w:val="21"/>
          <w:highlight w:val="none"/>
        </w:rPr>
      </w:pPr>
      <w:r>
        <w:rPr>
          <w:rFonts w:ascii="宋体" w:hAnsi="宋体"/>
          <w:color w:val="auto"/>
          <w:szCs w:val="21"/>
          <w:highlight w:val="none"/>
        </w:rPr>
        <w:t>1.1.3 工程和设备</w:t>
      </w:r>
    </w:p>
    <w:p w14:paraId="0F0DC1C2">
      <w:pPr>
        <w:spacing w:line="360" w:lineRule="auto"/>
        <w:ind w:firstLine="420" w:firstLineChars="200"/>
        <w:rPr>
          <w:rFonts w:ascii="宋体" w:hAnsi="宋体"/>
          <w:color w:val="auto"/>
          <w:szCs w:val="21"/>
          <w:highlight w:val="none"/>
        </w:rPr>
      </w:pPr>
      <w:r>
        <w:rPr>
          <w:rFonts w:ascii="宋体" w:hAnsi="宋体"/>
          <w:color w:val="auto"/>
          <w:szCs w:val="21"/>
          <w:highlight w:val="none"/>
        </w:rPr>
        <w:t>1.1.3.7 作为施工现场组成部分的其他场所包括：</w:t>
      </w:r>
      <w:r>
        <w:rPr>
          <w:rStyle w:val="35"/>
          <w:rFonts w:hint="eastAsia" w:ascii="宋体" w:hAnsi="宋体" w:eastAsia="宋体"/>
          <w:color w:val="auto"/>
          <w:highlight w:val="none"/>
          <w:u w:val="single"/>
        </w:rPr>
        <w:t>永久及临时占地、施工道路、工棚、施工办公生活区、加工场等</w:t>
      </w:r>
      <w:r>
        <w:rPr>
          <w:rFonts w:ascii="宋体" w:hAnsi="宋体"/>
          <w:color w:val="auto"/>
          <w:szCs w:val="21"/>
          <w:highlight w:val="none"/>
        </w:rPr>
        <w:t>。</w:t>
      </w:r>
    </w:p>
    <w:p w14:paraId="1ADDA2C4">
      <w:pPr>
        <w:spacing w:line="360" w:lineRule="auto"/>
        <w:ind w:firstLine="420" w:firstLineChars="200"/>
        <w:jc w:val="left"/>
        <w:rPr>
          <w:rFonts w:ascii="宋体" w:hAnsi="宋体"/>
          <w:color w:val="auto"/>
          <w:kern w:val="0"/>
          <w:szCs w:val="21"/>
          <w:highlight w:val="none"/>
        </w:rPr>
      </w:pPr>
      <w:r>
        <w:rPr>
          <w:rFonts w:ascii="宋体" w:hAnsi="宋体"/>
          <w:color w:val="auto"/>
          <w:kern w:val="0"/>
          <w:szCs w:val="21"/>
          <w:highlight w:val="none"/>
        </w:rPr>
        <w:t>1.1.3.9 永久占地包括：</w:t>
      </w:r>
      <w:r>
        <w:rPr>
          <w:rStyle w:val="35"/>
          <w:rFonts w:hint="eastAsia" w:ascii="宋体" w:hAnsi="宋体" w:eastAsia="宋体"/>
          <w:color w:val="auto"/>
          <w:highlight w:val="none"/>
          <w:u w:val="single"/>
        </w:rPr>
        <w:t>施工图所示占地线范围</w:t>
      </w:r>
      <w:r>
        <w:rPr>
          <w:rStyle w:val="35"/>
          <w:rFonts w:hint="eastAsia" w:ascii="宋体" w:hAnsi="宋体" w:eastAsia="宋体"/>
          <w:color w:val="auto"/>
          <w:highlight w:val="none"/>
        </w:rPr>
        <w:t>，</w:t>
      </w:r>
      <w:r>
        <w:rPr>
          <w:rStyle w:val="35"/>
          <w:rFonts w:hint="eastAsia" w:ascii="宋体" w:hAnsi="宋体" w:eastAsia="宋体"/>
          <w:color w:val="auto"/>
          <w:highlight w:val="none"/>
          <w:u w:val="single"/>
        </w:rPr>
        <w:t>范围、坐标详见施工图</w:t>
      </w:r>
      <w:r>
        <w:rPr>
          <w:rFonts w:ascii="宋体" w:hAnsi="宋体"/>
          <w:color w:val="auto"/>
          <w:kern w:val="0"/>
          <w:szCs w:val="21"/>
          <w:highlight w:val="none"/>
        </w:rPr>
        <w:t>。</w:t>
      </w:r>
    </w:p>
    <w:p w14:paraId="6DAA160E">
      <w:pPr>
        <w:spacing w:line="360" w:lineRule="auto"/>
        <w:ind w:firstLine="420" w:firstLineChars="200"/>
        <w:jc w:val="left"/>
        <w:rPr>
          <w:rFonts w:ascii="宋体" w:hAnsi="宋体"/>
          <w:color w:val="auto"/>
          <w:szCs w:val="21"/>
          <w:highlight w:val="none"/>
        </w:rPr>
      </w:pPr>
      <w:r>
        <w:rPr>
          <w:rFonts w:ascii="宋体" w:hAnsi="宋体"/>
          <w:color w:val="auto"/>
          <w:kern w:val="0"/>
          <w:szCs w:val="21"/>
          <w:highlight w:val="none"/>
        </w:rPr>
        <w:t>1.1.3.10 临时占地包括：</w:t>
      </w:r>
      <w:r>
        <w:rPr>
          <w:rStyle w:val="35"/>
          <w:rFonts w:hint="eastAsia" w:ascii="宋体" w:hAnsi="宋体" w:eastAsia="宋体"/>
          <w:bCs/>
          <w:color w:val="auto"/>
          <w:highlight w:val="none"/>
          <w:u w:val="single"/>
        </w:rPr>
        <w:t>合同签订后3日内发包人提交不少于5份的临时占地资料</w:t>
      </w:r>
      <w:r>
        <w:rPr>
          <w:rStyle w:val="35"/>
          <w:rFonts w:hint="eastAsia" w:ascii="宋体" w:hAnsi="宋体" w:eastAsia="宋体"/>
          <w:bCs/>
          <w:color w:val="auto"/>
          <w:highlight w:val="none"/>
        </w:rPr>
        <w:t>，</w:t>
      </w:r>
      <w:r>
        <w:rPr>
          <w:rStyle w:val="35"/>
          <w:rFonts w:hint="eastAsia" w:ascii="宋体" w:hAnsi="宋体" w:eastAsia="宋体"/>
          <w:bCs/>
          <w:color w:val="auto"/>
          <w:highlight w:val="none"/>
          <w:u w:val="single"/>
        </w:rPr>
        <w:t>在不影响施工的前提下</w:t>
      </w:r>
      <w:r>
        <w:rPr>
          <w:rStyle w:val="35"/>
          <w:rFonts w:hint="eastAsia" w:ascii="宋体" w:hAnsi="宋体" w:eastAsia="宋体"/>
          <w:bCs/>
          <w:color w:val="auto"/>
          <w:highlight w:val="none"/>
        </w:rPr>
        <w:t>，</w:t>
      </w:r>
      <w:r>
        <w:rPr>
          <w:rStyle w:val="35"/>
          <w:rFonts w:hint="eastAsia" w:ascii="宋体" w:hAnsi="宋体" w:eastAsia="宋体"/>
          <w:bCs/>
          <w:color w:val="auto"/>
          <w:highlight w:val="none"/>
          <w:u w:val="single"/>
        </w:rPr>
        <w:t>经发包人、监理单位审批</w:t>
      </w:r>
      <w:r>
        <w:rPr>
          <w:rStyle w:val="35"/>
          <w:rFonts w:hint="eastAsia" w:ascii="宋体" w:hAnsi="宋体" w:eastAsia="宋体"/>
          <w:bCs/>
          <w:color w:val="auto"/>
          <w:highlight w:val="none"/>
        </w:rPr>
        <w:t>，</w:t>
      </w:r>
      <w:r>
        <w:rPr>
          <w:rStyle w:val="35"/>
          <w:rFonts w:hint="eastAsia" w:ascii="宋体" w:hAnsi="宋体" w:eastAsia="宋体"/>
          <w:bCs/>
          <w:color w:val="auto"/>
          <w:highlight w:val="none"/>
          <w:u w:val="single"/>
        </w:rPr>
        <w:t>可免费提供红线范围内的场地作为施工临时占地</w:t>
      </w:r>
      <w:r>
        <w:rPr>
          <w:rFonts w:ascii="宋体" w:hAnsi="宋体"/>
          <w:color w:val="auto"/>
          <w:kern w:val="0"/>
          <w:szCs w:val="21"/>
          <w:highlight w:val="none"/>
        </w:rPr>
        <w:t>。</w:t>
      </w:r>
    </w:p>
    <w:p w14:paraId="7DA50BF2">
      <w:pPr>
        <w:keepNext/>
        <w:keepLines/>
        <w:spacing w:before="260" w:after="260" w:line="360" w:lineRule="auto"/>
        <w:outlineLvl w:val="2"/>
        <w:rPr>
          <w:rFonts w:ascii="宋体" w:hAnsi="宋体"/>
          <w:b/>
          <w:bCs/>
          <w:color w:val="auto"/>
          <w:sz w:val="32"/>
          <w:szCs w:val="32"/>
          <w:highlight w:val="none"/>
        </w:rPr>
      </w:pPr>
      <w:bookmarkStart w:id="431" w:name="_Toc508379707"/>
      <w:bookmarkStart w:id="432" w:name="_Toc373227694"/>
      <w:bookmarkStart w:id="433" w:name="_Toc373478341"/>
      <w:bookmarkStart w:id="434" w:name="_Toc12250"/>
      <w:bookmarkStart w:id="435" w:name="_Toc495673372"/>
      <w:bookmarkStart w:id="436" w:name="_Toc4062"/>
      <w:bookmarkStart w:id="437" w:name="_Toc407135196"/>
      <w:bookmarkStart w:id="438" w:name="_Toc86935857"/>
      <w:bookmarkStart w:id="439" w:name="_Toc389065260"/>
      <w:r>
        <w:rPr>
          <w:rFonts w:ascii="宋体" w:hAnsi="宋体"/>
          <w:b/>
          <w:bCs/>
          <w:color w:val="auto"/>
          <w:sz w:val="32"/>
          <w:szCs w:val="32"/>
          <w:highlight w:val="none"/>
        </w:rPr>
        <w:t>1.3法律</w:t>
      </w:r>
      <w:bookmarkEnd w:id="431"/>
      <w:bookmarkEnd w:id="432"/>
      <w:bookmarkEnd w:id="433"/>
      <w:bookmarkEnd w:id="434"/>
      <w:bookmarkEnd w:id="435"/>
      <w:bookmarkEnd w:id="436"/>
      <w:bookmarkEnd w:id="437"/>
      <w:bookmarkEnd w:id="438"/>
      <w:bookmarkEnd w:id="439"/>
    </w:p>
    <w:p w14:paraId="48AC5890">
      <w:pPr>
        <w:spacing w:line="360" w:lineRule="auto"/>
        <w:ind w:firstLine="420" w:firstLineChars="200"/>
        <w:rPr>
          <w:rFonts w:ascii="宋体" w:hAnsi="宋体"/>
          <w:color w:val="auto"/>
          <w:szCs w:val="21"/>
          <w:highlight w:val="none"/>
        </w:rPr>
      </w:pPr>
      <w:r>
        <w:rPr>
          <w:rFonts w:ascii="宋体" w:hAnsi="宋体"/>
          <w:color w:val="auto"/>
          <w:szCs w:val="21"/>
          <w:highlight w:val="none"/>
        </w:rPr>
        <w:t>适用于合同的其他规范性文件：</w:t>
      </w:r>
      <w:r>
        <w:rPr>
          <w:rStyle w:val="35"/>
          <w:rFonts w:hint="eastAsia" w:ascii="宋体" w:hAnsi="宋体" w:eastAsia="宋体"/>
          <w:color w:val="auto"/>
          <w:highlight w:val="none"/>
          <w:u w:val="single"/>
        </w:rPr>
        <w:t>包括中华人民共和国法律、行政法规、部门规章</w:t>
      </w:r>
      <w:r>
        <w:rPr>
          <w:rStyle w:val="35"/>
          <w:rFonts w:hint="eastAsia" w:ascii="宋体" w:hAnsi="宋体" w:eastAsia="宋体"/>
          <w:color w:val="auto"/>
          <w:highlight w:val="none"/>
        </w:rPr>
        <w:t>，</w:t>
      </w:r>
      <w:r>
        <w:rPr>
          <w:rStyle w:val="35"/>
          <w:rFonts w:hint="eastAsia" w:ascii="宋体" w:hAnsi="宋体" w:eastAsia="宋体"/>
          <w:color w:val="auto"/>
          <w:highlight w:val="none"/>
          <w:u w:val="single"/>
        </w:rPr>
        <w:t>以及工程所在地的地方法规、自治条例、单行条例和地方政府规章</w:t>
      </w:r>
      <w:r>
        <w:rPr>
          <w:rFonts w:ascii="宋体" w:hAnsi="宋体"/>
          <w:color w:val="auto"/>
          <w:szCs w:val="21"/>
          <w:highlight w:val="none"/>
        </w:rPr>
        <w:t>。</w:t>
      </w:r>
    </w:p>
    <w:p w14:paraId="3D0D57EA">
      <w:pPr>
        <w:keepNext/>
        <w:keepLines/>
        <w:spacing w:before="260" w:after="260" w:line="360" w:lineRule="auto"/>
        <w:outlineLvl w:val="2"/>
        <w:rPr>
          <w:rFonts w:ascii="宋体" w:hAnsi="宋体"/>
          <w:b/>
          <w:bCs/>
          <w:color w:val="auto"/>
          <w:sz w:val="32"/>
          <w:szCs w:val="32"/>
          <w:highlight w:val="none"/>
        </w:rPr>
      </w:pPr>
      <w:bookmarkStart w:id="440" w:name="_Toc86935858"/>
      <w:bookmarkStart w:id="441" w:name="_Toc389065261"/>
      <w:bookmarkStart w:id="442" w:name="_Toc508379708"/>
      <w:bookmarkStart w:id="443" w:name="_Toc495673373"/>
      <w:bookmarkStart w:id="444" w:name="_Toc373478342"/>
      <w:bookmarkStart w:id="445" w:name="_Toc407135197"/>
      <w:bookmarkStart w:id="446" w:name="_Toc22222"/>
      <w:bookmarkStart w:id="447" w:name="_Toc373227695"/>
      <w:bookmarkStart w:id="448" w:name="_Toc27170"/>
      <w:r>
        <w:rPr>
          <w:rFonts w:ascii="宋体" w:hAnsi="宋体"/>
          <w:b/>
          <w:bCs/>
          <w:color w:val="auto"/>
          <w:sz w:val="32"/>
          <w:szCs w:val="32"/>
          <w:highlight w:val="none"/>
        </w:rPr>
        <w:t>1.4 标准和规范</w:t>
      </w:r>
      <w:bookmarkEnd w:id="440"/>
      <w:bookmarkEnd w:id="441"/>
      <w:bookmarkEnd w:id="442"/>
      <w:bookmarkEnd w:id="443"/>
      <w:bookmarkEnd w:id="444"/>
      <w:bookmarkEnd w:id="445"/>
      <w:bookmarkEnd w:id="446"/>
      <w:bookmarkEnd w:id="447"/>
      <w:bookmarkEnd w:id="448"/>
    </w:p>
    <w:p w14:paraId="2D4D67DD">
      <w:pPr>
        <w:spacing w:line="360" w:lineRule="auto"/>
        <w:ind w:firstLine="420" w:firstLineChars="200"/>
        <w:rPr>
          <w:rFonts w:ascii="宋体" w:hAnsi="宋体"/>
          <w:color w:val="auto"/>
          <w:szCs w:val="21"/>
          <w:highlight w:val="none"/>
        </w:rPr>
      </w:pPr>
      <w:r>
        <w:rPr>
          <w:rFonts w:ascii="宋体" w:hAnsi="宋体"/>
          <w:color w:val="auto"/>
          <w:szCs w:val="21"/>
          <w:highlight w:val="none"/>
        </w:rPr>
        <w:t>1.4.1适用于工程的标准规范包括：</w:t>
      </w:r>
      <w:r>
        <w:rPr>
          <w:rFonts w:hint="eastAsia" w:ascii="宋体" w:hAnsi="宋体"/>
          <w:color w:val="auto"/>
          <w:szCs w:val="21"/>
          <w:highlight w:val="none"/>
          <w:u w:val="single"/>
        </w:rPr>
        <w:t xml:space="preserve"> </w:t>
      </w:r>
      <w:r>
        <w:rPr>
          <w:rStyle w:val="35"/>
          <w:rFonts w:hint="eastAsia" w:ascii="宋体" w:hAnsi="宋体" w:eastAsia="宋体"/>
          <w:color w:val="auto"/>
          <w:highlight w:val="none"/>
          <w:u w:val="single"/>
        </w:rPr>
        <w:t>现行国家、地方、部门有关标准规范</w:t>
      </w:r>
      <w:r>
        <w:rPr>
          <w:rFonts w:hint="eastAsia" w:ascii="宋体" w:hAnsi="宋体"/>
          <w:color w:val="auto"/>
          <w:szCs w:val="21"/>
          <w:highlight w:val="none"/>
          <w:u w:val="single"/>
        </w:rPr>
        <w:t xml:space="preserve"> </w:t>
      </w:r>
      <w:r>
        <w:rPr>
          <w:rFonts w:ascii="宋体" w:hAnsi="宋体"/>
          <w:color w:val="auto"/>
          <w:szCs w:val="21"/>
          <w:highlight w:val="none"/>
        </w:rPr>
        <w:t>。</w:t>
      </w:r>
    </w:p>
    <w:p w14:paraId="788CB31E">
      <w:pPr>
        <w:spacing w:line="360" w:lineRule="auto"/>
        <w:ind w:firstLine="420" w:firstLineChars="200"/>
        <w:rPr>
          <w:rFonts w:ascii="宋体" w:hAnsi="宋体"/>
          <w:color w:val="auto"/>
          <w:kern w:val="0"/>
          <w:szCs w:val="21"/>
          <w:highlight w:val="none"/>
        </w:rPr>
      </w:pPr>
      <w:r>
        <w:rPr>
          <w:rFonts w:ascii="宋体" w:hAnsi="宋体"/>
          <w:color w:val="auto"/>
          <w:kern w:val="0"/>
          <w:szCs w:val="21"/>
          <w:highlight w:val="none"/>
        </w:rPr>
        <w:t>1.4.2 发包人提供国外标准、规范的名称：</w:t>
      </w:r>
      <w:r>
        <w:rPr>
          <w:rFonts w:hint="eastAsia" w:ascii="宋体" w:hAnsi="宋体"/>
          <w:color w:val="auto"/>
          <w:szCs w:val="21"/>
          <w:highlight w:val="none"/>
          <w:u w:val="single"/>
        </w:rPr>
        <w:t xml:space="preserve">           </w:t>
      </w:r>
      <w:r>
        <w:rPr>
          <w:rFonts w:hint="eastAsia" w:ascii="宋体" w:hAnsi="宋体"/>
          <w:color w:val="auto"/>
          <w:szCs w:val="21"/>
          <w:highlight w:val="none"/>
          <w:u w:val="single"/>
          <w:lang w:val="en-US" w:eastAsia="zh-CN"/>
        </w:rPr>
        <w:t>/</w:t>
      </w:r>
      <w:r>
        <w:rPr>
          <w:rFonts w:hint="eastAsia" w:ascii="宋体" w:hAnsi="宋体"/>
          <w:color w:val="auto"/>
          <w:szCs w:val="21"/>
          <w:highlight w:val="none"/>
          <w:u w:val="single"/>
        </w:rPr>
        <w:t xml:space="preserve">            </w:t>
      </w:r>
      <w:r>
        <w:rPr>
          <w:rFonts w:hint="eastAsia" w:ascii="宋体" w:hAnsi="宋体"/>
          <w:color w:val="auto"/>
          <w:szCs w:val="21"/>
          <w:highlight w:val="none"/>
        </w:rPr>
        <w:t>；</w:t>
      </w:r>
    </w:p>
    <w:p w14:paraId="062ABA93">
      <w:pPr>
        <w:spacing w:line="360" w:lineRule="auto"/>
        <w:ind w:firstLine="420" w:firstLineChars="200"/>
        <w:rPr>
          <w:rFonts w:ascii="宋体" w:hAnsi="宋体"/>
          <w:color w:val="auto"/>
          <w:kern w:val="0"/>
          <w:szCs w:val="21"/>
          <w:highlight w:val="none"/>
        </w:rPr>
      </w:pPr>
      <w:r>
        <w:rPr>
          <w:rFonts w:ascii="宋体" w:hAnsi="宋体"/>
          <w:color w:val="auto"/>
          <w:kern w:val="0"/>
          <w:szCs w:val="21"/>
          <w:highlight w:val="none"/>
        </w:rPr>
        <w:t>发包人提供国外标准、规范的份数：</w:t>
      </w:r>
      <w:r>
        <w:rPr>
          <w:rFonts w:hint="eastAsia" w:ascii="宋体" w:hAnsi="宋体"/>
          <w:color w:val="auto"/>
          <w:szCs w:val="21"/>
          <w:highlight w:val="none"/>
          <w:u w:val="single"/>
        </w:rPr>
        <w:t xml:space="preserve">              </w:t>
      </w:r>
      <w:r>
        <w:rPr>
          <w:rFonts w:hint="eastAsia" w:ascii="宋体" w:hAnsi="宋体"/>
          <w:color w:val="auto"/>
          <w:szCs w:val="21"/>
          <w:highlight w:val="none"/>
          <w:u w:val="single"/>
          <w:lang w:val="en-US" w:eastAsia="zh-CN"/>
        </w:rPr>
        <w:t>/</w:t>
      </w:r>
      <w:r>
        <w:rPr>
          <w:rFonts w:hint="eastAsia" w:ascii="宋体" w:hAnsi="宋体"/>
          <w:color w:val="auto"/>
          <w:szCs w:val="21"/>
          <w:highlight w:val="none"/>
          <w:u w:val="single"/>
        </w:rPr>
        <w:t xml:space="preserve">         </w:t>
      </w:r>
      <w:r>
        <w:rPr>
          <w:rFonts w:ascii="宋体" w:hAnsi="宋体"/>
          <w:color w:val="auto"/>
          <w:kern w:val="0"/>
          <w:szCs w:val="21"/>
          <w:highlight w:val="none"/>
        </w:rPr>
        <w:t>；</w:t>
      </w:r>
    </w:p>
    <w:p w14:paraId="4C8085FB">
      <w:pPr>
        <w:spacing w:line="360" w:lineRule="auto"/>
        <w:ind w:firstLine="420" w:firstLineChars="200"/>
        <w:rPr>
          <w:rFonts w:ascii="宋体" w:hAnsi="宋体"/>
          <w:color w:val="auto"/>
          <w:szCs w:val="21"/>
          <w:highlight w:val="none"/>
        </w:rPr>
      </w:pPr>
      <w:r>
        <w:rPr>
          <w:rFonts w:ascii="宋体" w:hAnsi="宋体"/>
          <w:color w:val="auto"/>
          <w:kern w:val="0"/>
          <w:szCs w:val="21"/>
          <w:highlight w:val="none"/>
        </w:rPr>
        <w:t>发包人提供国外标准、规范的名称：</w:t>
      </w:r>
      <w:r>
        <w:rPr>
          <w:rFonts w:hint="eastAsia" w:ascii="宋体" w:hAnsi="宋体"/>
          <w:color w:val="auto"/>
          <w:szCs w:val="21"/>
          <w:highlight w:val="none"/>
          <w:u w:val="single"/>
        </w:rPr>
        <w:t xml:space="preserve">              </w:t>
      </w:r>
      <w:r>
        <w:rPr>
          <w:rFonts w:hint="eastAsia" w:ascii="宋体" w:hAnsi="宋体"/>
          <w:color w:val="auto"/>
          <w:szCs w:val="21"/>
          <w:highlight w:val="none"/>
          <w:u w:val="single"/>
          <w:lang w:val="en-US" w:eastAsia="zh-CN"/>
        </w:rPr>
        <w:t>/</w:t>
      </w:r>
      <w:r>
        <w:rPr>
          <w:rFonts w:hint="eastAsia" w:ascii="宋体" w:hAnsi="宋体"/>
          <w:color w:val="auto"/>
          <w:szCs w:val="21"/>
          <w:highlight w:val="none"/>
          <w:u w:val="single"/>
        </w:rPr>
        <w:t xml:space="preserve">         </w:t>
      </w:r>
      <w:r>
        <w:rPr>
          <w:rFonts w:ascii="宋体" w:hAnsi="宋体"/>
          <w:color w:val="auto"/>
          <w:kern w:val="0"/>
          <w:szCs w:val="21"/>
          <w:highlight w:val="none"/>
        </w:rPr>
        <w:t>。</w:t>
      </w:r>
    </w:p>
    <w:p w14:paraId="7B859C09">
      <w:pPr>
        <w:spacing w:line="360" w:lineRule="auto"/>
        <w:ind w:firstLine="420" w:firstLineChars="200"/>
        <w:rPr>
          <w:rFonts w:ascii="宋体" w:hAnsi="宋体"/>
          <w:color w:val="auto"/>
          <w:szCs w:val="21"/>
          <w:highlight w:val="none"/>
        </w:rPr>
      </w:pPr>
      <w:r>
        <w:rPr>
          <w:rFonts w:ascii="宋体" w:hAnsi="宋体"/>
          <w:color w:val="auto"/>
          <w:szCs w:val="21"/>
          <w:highlight w:val="none"/>
        </w:rPr>
        <w:t>1.4.3发包人对工程的技术标准和功能要求的特殊要求：</w:t>
      </w:r>
      <w:r>
        <w:rPr>
          <w:rFonts w:hint="eastAsia" w:ascii="宋体" w:hAnsi="宋体"/>
          <w:color w:val="auto"/>
          <w:szCs w:val="21"/>
          <w:highlight w:val="none"/>
          <w:u w:val="single"/>
        </w:rPr>
        <w:t xml:space="preserve">       </w:t>
      </w:r>
      <w:r>
        <w:rPr>
          <w:rStyle w:val="35"/>
          <w:rFonts w:hint="eastAsia" w:ascii="宋体" w:hAnsi="宋体" w:eastAsia="宋体"/>
          <w:color w:val="auto"/>
          <w:highlight w:val="none"/>
          <w:u w:val="single"/>
        </w:rPr>
        <w:t>另行协商确定</w:t>
      </w:r>
      <w:r>
        <w:rPr>
          <w:rFonts w:hint="eastAsia" w:ascii="宋体" w:hAnsi="宋体"/>
          <w:color w:val="auto"/>
          <w:szCs w:val="21"/>
          <w:highlight w:val="none"/>
          <w:u w:val="single"/>
        </w:rPr>
        <w:t xml:space="preserve">    </w:t>
      </w:r>
      <w:r>
        <w:rPr>
          <w:rFonts w:ascii="宋体" w:hAnsi="宋体"/>
          <w:color w:val="auto"/>
          <w:szCs w:val="21"/>
          <w:highlight w:val="none"/>
        </w:rPr>
        <w:t>。</w:t>
      </w:r>
    </w:p>
    <w:p w14:paraId="189AF136">
      <w:pPr>
        <w:keepNext/>
        <w:keepLines/>
        <w:spacing w:before="260" w:after="260" w:line="360" w:lineRule="auto"/>
        <w:outlineLvl w:val="2"/>
        <w:rPr>
          <w:rFonts w:ascii="宋体" w:hAnsi="宋体"/>
          <w:b/>
          <w:bCs/>
          <w:color w:val="auto"/>
          <w:sz w:val="32"/>
          <w:szCs w:val="32"/>
          <w:highlight w:val="none"/>
        </w:rPr>
      </w:pPr>
      <w:bookmarkStart w:id="449" w:name="_Toc389065262"/>
      <w:bookmarkStart w:id="450" w:name="_Toc9635"/>
      <w:bookmarkStart w:id="451" w:name="_Toc373227696"/>
      <w:bookmarkStart w:id="452" w:name="_Toc508379709"/>
      <w:bookmarkStart w:id="453" w:name="_Toc86935859"/>
      <w:bookmarkStart w:id="454" w:name="_Toc407135198"/>
      <w:bookmarkStart w:id="455" w:name="_Toc20845"/>
      <w:bookmarkStart w:id="456" w:name="_Toc373478343"/>
      <w:bookmarkStart w:id="457" w:name="_Toc495673374"/>
      <w:r>
        <w:rPr>
          <w:rFonts w:ascii="宋体" w:hAnsi="宋体"/>
          <w:b/>
          <w:bCs/>
          <w:color w:val="auto"/>
          <w:sz w:val="32"/>
          <w:szCs w:val="32"/>
          <w:highlight w:val="none"/>
        </w:rPr>
        <w:t>1.5 合同文件的优先顺序</w:t>
      </w:r>
      <w:bookmarkEnd w:id="449"/>
      <w:bookmarkEnd w:id="450"/>
      <w:bookmarkEnd w:id="451"/>
      <w:bookmarkEnd w:id="452"/>
      <w:bookmarkEnd w:id="453"/>
      <w:bookmarkEnd w:id="454"/>
      <w:bookmarkEnd w:id="455"/>
      <w:bookmarkEnd w:id="456"/>
      <w:bookmarkEnd w:id="457"/>
    </w:p>
    <w:p w14:paraId="67AD88AE">
      <w:pPr>
        <w:spacing w:line="360" w:lineRule="auto"/>
        <w:ind w:firstLine="420" w:firstLineChars="200"/>
        <w:rPr>
          <w:rFonts w:ascii="宋体" w:hAnsi="宋体"/>
          <w:color w:val="auto"/>
          <w:szCs w:val="21"/>
          <w:highlight w:val="none"/>
        </w:rPr>
      </w:pPr>
      <w:bookmarkStart w:id="458" w:name="_Toc373227697"/>
      <w:bookmarkStart w:id="459" w:name="_Toc389065263"/>
      <w:bookmarkStart w:id="460" w:name="_Toc407135199"/>
      <w:bookmarkStart w:id="461" w:name="_Toc373478344"/>
      <w:r>
        <w:rPr>
          <w:rFonts w:ascii="宋体" w:hAnsi="宋体"/>
          <w:color w:val="auto"/>
          <w:szCs w:val="21"/>
          <w:highlight w:val="none"/>
        </w:rPr>
        <w:t>合同文件组成及优先顺序为：</w:t>
      </w:r>
    </w:p>
    <w:p w14:paraId="33106D1F">
      <w:pPr>
        <w:spacing w:line="360" w:lineRule="auto"/>
        <w:ind w:firstLine="420" w:firstLineChars="200"/>
        <w:rPr>
          <w:rFonts w:ascii="宋体" w:hAnsi="宋体"/>
          <w:color w:val="auto"/>
          <w:kern w:val="0"/>
          <w:szCs w:val="21"/>
          <w:highlight w:val="none"/>
        </w:rPr>
      </w:pPr>
      <w:r>
        <w:rPr>
          <w:rFonts w:hint="eastAsia" w:ascii="宋体" w:hAnsi="宋体"/>
          <w:color w:val="auto"/>
          <w:kern w:val="0"/>
          <w:szCs w:val="21"/>
          <w:highlight w:val="none"/>
        </w:rPr>
        <w:t>（1）合同协议书；</w:t>
      </w:r>
    </w:p>
    <w:p w14:paraId="736F50CD">
      <w:pPr>
        <w:spacing w:line="360" w:lineRule="auto"/>
        <w:ind w:firstLine="420" w:firstLineChars="200"/>
        <w:rPr>
          <w:rFonts w:ascii="宋体" w:hAnsi="宋体"/>
          <w:color w:val="auto"/>
          <w:kern w:val="0"/>
          <w:szCs w:val="21"/>
          <w:highlight w:val="none"/>
        </w:rPr>
      </w:pPr>
      <w:r>
        <w:rPr>
          <w:rFonts w:ascii="宋体" w:hAnsi="宋体"/>
          <w:color w:val="auto"/>
          <w:kern w:val="0"/>
          <w:szCs w:val="21"/>
          <w:highlight w:val="none"/>
        </w:rPr>
        <w:t>（</w:t>
      </w:r>
      <w:r>
        <w:rPr>
          <w:rFonts w:hint="eastAsia" w:ascii="宋体" w:hAnsi="宋体"/>
          <w:color w:val="auto"/>
          <w:kern w:val="0"/>
          <w:szCs w:val="21"/>
          <w:highlight w:val="none"/>
        </w:rPr>
        <w:t>2</w:t>
      </w:r>
      <w:r>
        <w:rPr>
          <w:rFonts w:ascii="宋体" w:hAnsi="宋体"/>
          <w:color w:val="auto"/>
          <w:kern w:val="0"/>
          <w:szCs w:val="21"/>
          <w:highlight w:val="none"/>
        </w:rPr>
        <w:t>）</w:t>
      </w:r>
      <w:r>
        <w:rPr>
          <w:rFonts w:hint="eastAsia" w:ascii="宋体" w:hAnsi="宋体"/>
          <w:color w:val="auto"/>
          <w:kern w:val="0"/>
          <w:szCs w:val="21"/>
          <w:highlight w:val="none"/>
          <w:lang w:val="en-US" w:eastAsia="zh-CN"/>
        </w:rPr>
        <w:t>成交通知书</w:t>
      </w:r>
      <w:r>
        <w:rPr>
          <w:rFonts w:ascii="宋体" w:hAnsi="宋体"/>
          <w:color w:val="auto"/>
          <w:kern w:val="0"/>
          <w:szCs w:val="21"/>
          <w:highlight w:val="none"/>
        </w:rPr>
        <w:t>（如果有）；</w:t>
      </w:r>
    </w:p>
    <w:p w14:paraId="39F70AA6">
      <w:pPr>
        <w:spacing w:line="360" w:lineRule="auto"/>
        <w:ind w:firstLine="420" w:firstLineChars="200"/>
        <w:rPr>
          <w:rFonts w:ascii="宋体" w:hAnsi="宋体"/>
          <w:color w:val="auto"/>
          <w:kern w:val="0"/>
          <w:szCs w:val="21"/>
          <w:highlight w:val="none"/>
        </w:rPr>
      </w:pPr>
      <w:r>
        <w:rPr>
          <w:rFonts w:ascii="宋体" w:hAnsi="宋体"/>
          <w:color w:val="auto"/>
          <w:kern w:val="0"/>
          <w:szCs w:val="21"/>
          <w:highlight w:val="none"/>
        </w:rPr>
        <w:t>（</w:t>
      </w:r>
      <w:r>
        <w:rPr>
          <w:rFonts w:hint="eastAsia" w:ascii="宋体" w:hAnsi="宋体"/>
          <w:color w:val="auto"/>
          <w:kern w:val="0"/>
          <w:szCs w:val="21"/>
          <w:highlight w:val="none"/>
        </w:rPr>
        <w:t>3</w:t>
      </w:r>
      <w:r>
        <w:rPr>
          <w:rFonts w:ascii="宋体" w:hAnsi="宋体"/>
          <w:color w:val="auto"/>
          <w:kern w:val="0"/>
          <w:szCs w:val="21"/>
          <w:highlight w:val="none"/>
        </w:rPr>
        <w:t>）</w:t>
      </w:r>
      <w:r>
        <w:rPr>
          <w:rFonts w:hint="eastAsia" w:ascii="宋体" w:hAnsi="宋体"/>
          <w:color w:val="auto"/>
          <w:kern w:val="0"/>
          <w:szCs w:val="21"/>
          <w:highlight w:val="none"/>
          <w:lang w:val="en-US" w:eastAsia="zh-CN"/>
        </w:rPr>
        <w:t>磋商函</w:t>
      </w:r>
      <w:r>
        <w:rPr>
          <w:rFonts w:ascii="宋体" w:hAnsi="宋体"/>
          <w:color w:val="auto"/>
          <w:kern w:val="0"/>
          <w:szCs w:val="21"/>
          <w:highlight w:val="none"/>
        </w:rPr>
        <w:t>及其附录（如果有）；</w:t>
      </w:r>
    </w:p>
    <w:p w14:paraId="1AF2077A">
      <w:pPr>
        <w:spacing w:line="360" w:lineRule="auto"/>
        <w:ind w:firstLine="420" w:firstLineChars="200"/>
        <w:rPr>
          <w:rFonts w:ascii="宋体" w:hAnsi="宋体"/>
          <w:color w:val="auto"/>
          <w:kern w:val="0"/>
          <w:szCs w:val="21"/>
          <w:highlight w:val="none"/>
        </w:rPr>
      </w:pPr>
      <w:r>
        <w:rPr>
          <w:rFonts w:ascii="宋体" w:hAnsi="宋体"/>
          <w:color w:val="auto"/>
          <w:kern w:val="0"/>
          <w:szCs w:val="21"/>
          <w:highlight w:val="none"/>
        </w:rPr>
        <w:t>（</w:t>
      </w:r>
      <w:r>
        <w:rPr>
          <w:rFonts w:hint="eastAsia" w:ascii="宋体" w:hAnsi="宋体"/>
          <w:color w:val="auto"/>
          <w:kern w:val="0"/>
          <w:szCs w:val="21"/>
          <w:highlight w:val="none"/>
        </w:rPr>
        <w:t>4</w:t>
      </w:r>
      <w:r>
        <w:rPr>
          <w:rFonts w:ascii="宋体" w:hAnsi="宋体"/>
          <w:color w:val="auto"/>
          <w:kern w:val="0"/>
          <w:szCs w:val="21"/>
          <w:highlight w:val="none"/>
        </w:rPr>
        <w:t>）专用合同条款及其附件；</w:t>
      </w:r>
    </w:p>
    <w:p w14:paraId="3C55027C">
      <w:pPr>
        <w:spacing w:line="360" w:lineRule="auto"/>
        <w:ind w:firstLine="420" w:firstLineChars="200"/>
        <w:rPr>
          <w:rFonts w:ascii="宋体" w:hAnsi="宋体"/>
          <w:color w:val="auto"/>
          <w:kern w:val="0"/>
          <w:szCs w:val="21"/>
          <w:highlight w:val="none"/>
        </w:rPr>
      </w:pPr>
      <w:r>
        <w:rPr>
          <w:rFonts w:ascii="宋体" w:hAnsi="宋体"/>
          <w:color w:val="auto"/>
          <w:kern w:val="0"/>
          <w:szCs w:val="21"/>
          <w:highlight w:val="none"/>
        </w:rPr>
        <w:t>（</w:t>
      </w:r>
      <w:r>
        <w:rPr>
          <w:rFonts w:hint="eastAsia" w:ascii="宋体" w:hAnsi="宋体"/>
          <w:color w:val="auto"/>
          <w:kern w:val="0"/>
          <w:szCs w:val="21"/>
          <w:highlight w:val="none"/>
        </w:rPr>
        <w:t>5</w:t>
      </w:r>
      <w:r>
        <w:rPr>
          <w:rFonts w:ascii="宋体" w:hAnsi="宋体"/>
          <w:color w:val="auto"/>
          <w:kern w:val="0"/>
          <w:szCs w:val="21"/>
          <w:highlight w:val="none"/>
        </w:rPr>
        <w:t>）通用合同条款；</w:t>
      </w:r>
    </w:p>
    <w:p w14:paraId="71DB939A">
      <w:pPr>
        <w:pStyle w:val="135"/>
        <w:widowControl/>
        <w:spacing w:line="360" w:lineRule="auto"/>
        <w:ind w:firstLine="424" w:firstLineChars="202"/>
        <w:rPr>
          <w:rStyle w:val="35"/>
          <w:rFonts w:hint="eastAsia" w:ascii="宋体" w:hAnsi="宋体" w:eastAsia="宋体"/>
          <w:color w:val="auto"/>
          <w:kern w:val="0"/>
          <w:highlight w:val="none"/>
        </w:rPr>
      </w:pPr>
      <w:r>
        <w:rPr>
          <w:rStyle w:val="35"/>
          <w:rFonts w:hint="eastAsia" w:ascii="宋体" w:hAnsi="宋体" w:eastAsia="宋体"/>
          <w:color w:val="auto"/>
          <w:kern w:val="0"/>
          <w:highlight w:val="none"/>
        </w:rPr>
        <w:t>（6）标准、规范及有关技术文件；</w:t>
      </w:r>
    </w:p>
    <w:p w14:paraId="54FC9DC9">
      <w:pPr>
        <w:pStyle w:val="135"/>
        <w:widowControl/>
        <w:spacing w:line="360" w:lineRule="auto"/>
        <w:ind w:firstLine="424" w:firstLineChars="202"/>
        <w:rPr>
          <w:rStyle w:val="35"/>
          <w:rFonts w:hint="eastAsia" w:ascii="宋体" w:hAnsi="宋体" w:eastAsia="宋体"/>
          <w:color w:val="auto"/>
          <w:kern w:val="0"/>
          <w:highlight w:val="none"/>
        </w:rPr>
      </w:pPr>
      <w:r>
        <w:rPr>
          <w:rStyle w:val="35"/>
          <w:rFonts w:hint="eastAsia" w:ascii="宋体" w:hAnsi="宋体" w:eastAsia="宋体"/>
          <w:color w:val="auto"/>
          <w:kern w:val="0"/>
          <w:highlight w:val="none"/>
        </w:rPr>
        <w:t>（7）</w:t>
      </w:r>
      <w:r>
        <w:rPr>
          <w:rStyle w:val="35"/>
          <w:rFonts w:hint="eastAsia" w:ascii="宋体" w:hAnsi="宋体" w:eastAsia="宋体"/>
          <w:color w:val="auto"/>
          <w:kern w:val="0"/>
          <w:highlight w:val="none"/>
          <w:lang w:val="en-US" w:eastAsia="zh-CN"/>
        </w:rPr>
        <w:t>图纸</w:t>
      </w:r>
      <w:r>
        <w:rPr>
          <w:rStyle w:val="35"/>
          <w:rFonts w:hint="eastAsia" w:ascii="宋体" w:hAnsi="宋体" w:eastAsia="宋体"/>
          <w:color w:val="auto"/>
          <w:kern w:val="0"/>
          <w:highlight w:val="none"/>
        </w:rPr>
        <w:t>；</w:t>
      </w:r>
    </w:p>
    <w:p w14:paraId="2A44D68F">
      <w:pPr>
        <w:pStyle w:val="135"/>
        <w:widowControl/>
        <w:spacing w:line="360" w:lineRule="auto"/>
        <w:ind w:firstLine="424" w:firstLineChars="202"/>
        <w:rPr>
          <w:rStyle w:val="35"/>
          <w:rFonts w:hint="eastAsia" w:ascii="宋体" w:hAnsi="宋体" w:eastAsia="宋体"/>
          <w:color w:val="auto"/>
          <w:kern w:val="0"/>
          <w:highlight w:val="none"/>
        </w:rPr>
      </w:pPr>
      <w:r>
        <w:rPr>
          <w:rStyle w:val="35"/>
          <w:rFonts w:hint="eastAsia" w:ascii="宋体" w:hAnsi="宋体" w:eastAsia="宋体"/>
          <w:color w:val="auto"/>
          <w:kern w:val="0"/>
          <w:highlight w:val="none"/>
        </w:rPr>
        <w:t>（8）已标价工程量清单或预算书；</w:t>
      </w:r>
    </w:p>
    <w:p w14:paraId="510FFE0A">
      <w:pPr>
        <w:pStyle w:val="135"/>
        <w:widowControl/>
        <w:spacing w:line="360" w:lineRule="auto"/>
        <w:ind w:firstLine="424" w:firstLineChars="202"/>
        <w:rPr>
          <w:rStyle w:val="35"/>
          <w:rFonts w:hint="eastAsia" w:ascii="宋体" w:hAnsi="宋体" w:eastAsia="宋体"/>
          <w:color w:val="auto"/>
          <w:kern w:val="0"/>
          <w:highlight w:val="none"/>
        </w:rPr>
      </w:pPr>
      <w:r>
        <w:rPr>
          <w:rStyle w:val="35"/>
          <w:rFonts w:hint="eastAsia" w:ascii="宋体" w:hAnsi="宋体" w:eastAsia="宋体"/>
          <w:color w:val="auto"/>
          <w:kern w:val="0"/>
          <w:highlight w:val="none"/>
        </w:rPr>
        <w:t>（9）其他合同文件。</w:t>
      </w:r>
    </w:p>
    <w:p w14:paraId="3370147A">
      <w:pPr>
        <w:spacing w:line="360" w:lineRule="auto"/>
        <w:ind w:firstLine="420" w:firstLineChars="200"/>
        <w:rPr>
          <w:rFonts w:ascii="宋体" w:hAnsi="宋体"/>
          <w:color w:val="auto"/>
          <w:kern w:val="0"/>
          <w:szCs w:val="21"/>
          <w:highlight w:val="none"/>
        </w:rPr>
      </w:pPr>
      <w:r>
        <w:rPr>
          <w:rFonts w:hint="eastAsia" w:ascii="宋体" w:hAnsi="宋体"/>
          <w:color w:val="auto"/>
          <w:kern w:val="0"/>
          <w:szCs w:val="21"/>
          <w:highlight w:val="none"/>
        </w:rPr>
        <w:t>（10）</w:t>
      </w:r>
      <w:r>
        <w:rPr>
          <w:rStyle w:val="35"/>
          <w:rFonts w:hint="eastAsia" w:ascii="宋体" w:hAnsi="宋体" w:eastAsia="宋体"/>
          <w:color w:val="auto"/>
          <w:kern w:val="0"/>
          <w:highlight w:val="none"/>
        </w:rPr>
        <w:t>《建设工程工程量清单计价规范（GB/T50500-2024）》、《建设工程工程量清单计价规范（GB50500-2013）广西壮族自治区实施细则》、《关于建筑业实施营业税改征增值税后广西壮族自治区建设工程计价依据调整的通知》（桂建标〔2016〕17号）、《广西壮族自治区住房城乡建设厅关于调整建设工程计价增值税税率的通知》（桂建标【2019】12号）</w:t>
      </w:r>
      <w:r>
        <w:rPr>
          <w:rFonts w:hint="eastAsia" w:ascii="宋体" w:hAnsi="宋体"/>
          <w:color w:val="auto"/>
          <w:kern w:val="0"/>
          <w:szCs w:val="21"/>
          <w:highlight w:val="none"/>
        </w:rPr>
        <w:t>、《</w:t>
      </w:r>
      <w:r>
        <w:rPr>
          <w:rFonts w:ascii="宋体" w:hAnsi="宋体"/>
          <w:color w:val="auto"/>
          <w:kern w:val="0"/>
          <w:szCs w:val="21"/>
          <w:highlight w:val="none"/>
        </w:rPr>
        <w:t>建设工程工程量清单计</w:t>
      </w:r>
      <w:r>
        <w:rPr>
          <w:rFonts w:hint="eastAsia" w:ascii="宋体" w:hAnsi="宋体"/>
          <w:color w:val="auto"/>
          <w:kern w:val="0"/>
          <w:szCs w:val="21"/>
          <w:highlight w:val="none"/>
        </w:rPr>
        <w:t>算</w:t>
      </w:r>
      <w:r>
        <w:rPr>
          <w:rFonts w:ascii="宋体" w:hAnsi="宋体"/>
          <w:color w:val="auto"/>
          <w:kern w:val="0"/>
          <w:szCs w:val="21"/>
          <w:highlight w:val="none"/>
        </w:rPr>
        <w:t>规范（GB5</w:t>
      </w:r>
      <w:r>
        <w:rPr>
          <w:rFonts w:hint="eastAsia" w:ascii="宋体" w:hAnsi="宋体"/>
          <w:color w:val="auto"/>
          <w:kern w:val="0"/>
          <w:szCs w:val="21"/>
          <w:highlight w:val="none"/>
        </w:rPr>
        <w:t>854~50862</w:t>
      </w:r>
      <w:r>
        <w:rPr>
          <w:rFonts w:ascii="宋体" w:hAnsi="宋体"/>
          <w:color w:val="auto"/>
          <w:kern w:val="0"/>
          <w:szCs w:val="21"/>
          <w:highlight w:val="none"/>
        </w:rPr>
        <w:t>-2013）</w:t>
      </w:r>
      <w:r>
        <w:rPr>
          <w:rFonts w:hint="eastAsia" w:ascii="宋体" w:hAnsi="宋体"/>
          <w:color w:val="auto"/>
          <w:kern w:val="0"/>
          <w:szCs w:val="21"/>
          <w:highlight w:val="none"/>
        </w:rPr>
        <w:t>》及其</w:t>
      </w:r>
      <w:r>
        <w:rPr>
          <w:rFonts w:ascii="宋体" w:hAnsi="宋体"/>
          <w:color w:val="auto"/>
          <w:kern w:val="0"/>
          <w:szCs w:val="21"/>
          <w:highlight w:val="none"/>
        </w:rPr>
        <w:t>广西实施细则</w:t>
      </w:r>
      <w:r>
        <w:rPr>
          <w:rFonts w:hint="eastAsia" w:ascii="宋体" w:hAnsi="宋体"/>
          <w:color w:val="auto"/>
          <w:kern w:val="0"/>
          <w:szCs w:val="21"/>
          <w:highlight w:val="none"/>
        </w:rPr>
        <w:t>（修订本）</w:t>
      </w:r>
      <w:r>
        <w:rPr>
          <w:rFonts w:ascii="宋体" w:hAnsi="宋体"/>
          <w:color w:val="auto"/>
          <w:kern w:val="0"/>
          <w:szCs w:val="21"/>
          <w:highlight w:val="none"/>
        </w:rPr>
        <w:t>。</w:t>
      </w:r>
    </w:p>
    <w:p w14:paraId="6F5AA04D">
      <w:pPr>
        <w:keepNext/>
        <w:keepLines/>
        <w:spacing w:before="260" w:after="260" w:line="360" w:lineRule="auto"/>
        <w:outlineLvl w:val="2"/>
        <w:rPr>
          <w:rFonts w:ascii="宋体" w:hAnsi="宋体"/>
          <w:b/>
          <w:bCs/>
          <w:color w:val="auto"/>
          <w:sz w:val="32"/>
          <w:szCs w:val="32"/>
          <w:highlight w:val="none"/>
        </w:rPr>
      </w:pPr>
      <w:bookmarkStart w:id="462" w:name="_Toc495673375"/>
      <w:bookmarkStart w:id="463" w:name="_Toc508379710"/>
      <w:bookmarkStart w:id="464" w:name="_Toc11129"/>
      <w:bookmarkStart w:id="465" w:name="_Toc86935860"/>
      <w:bookmarkStart w:id="466" w:name="_Toc24515"/>
      <w:r>
        <w:rPr>
          <w:rFonts w:ascii="宋体" w:hAnsi="宋体"/>
          <w:b/>
          <w:bCs/>
          <w:color w:val="auto"/>
          <w:sz w:val="32"/>
          <w:szCs w:val="32"/>
          <w:highlight w:val="none"/>
        </w:rPr>
        <w:t>1.6 图纸和承包人文件</w:t>
      </w:r>
      <w:bookmarkEnd w:id="458"/>
      <w:bookmarkEnd w:id="459"/>
      <w:bookmarkEnd w:id="460"/>
      <w:bookmarkEnd w:id="461"/>
      <w:bookmarkEnd w:id="462"/>
      <w:bookmarkEnd w:id="463"/>
      <w:bookmarkEnd w:id="464"/>
      <w:bookmarkEnd w:id="465"/>
      <w:bookmarkEnd w:id="466"/>
      <w:r>
        <w:rPr>
          <w:rFonts w:ascii="宋体" w:hAnsi="宋体"/>
          <w:b/>
          <w:bCs/>
          <w:color w:val="auto"/>
          <w:sz w:val="32"/>
          <w:szCs w:val="32"/>
          <w:highlight w:val="none"/>
        </w:rPr>
        <w:tab/>
      </w:r>
    </w:p>
    <w:p w14:paraId="5EAEFF9F">
      <w:pPr>
        <w:spacing w:line="360" w:lineRule="auto"/>
        <w:ind w:firstLine="420" w:firstLineChars="200"/>
        <w:rPr>
          <w:rFonts w:ascii="宋体" w:hAnsi="宋体"/>
          <w:color w:val="auto"/>
          <w:szCs w:val="21"/>
          <w:highlight w:val="none"/>
        </w:rPr>
      </w:pPr>
      <w:r>
        <w:rPr>
          <w:rFonts w:ascii="宋体" w:hAnsi="宋体"/>
          <w:color w:val="auto"/>
          <w:szCs w:val="21"/>
          <w:highlight w:val="none"/>
        </w:rPr>
        <w:t>1.6.1 图纸的提供</w:t>
      </w:r>
    </w:p>
    <w:p w14:paraId="7F1FEEC4">
      <w:pPr>
        <w:spacing w:line="360" w:lineRule="auto"/>
        <w:ind w:firstLine="420" w:firstLineChars="200"/>
        <w:rPr>
          <w:rFonts w:ascii="宋体" w:hAnsi="宋体"/>
          <w:color w:val="auto"/>
          <w:szCs w:val="21"/>
          <w:highlight w:val="none"/>
        </w:rPr>
      </w:pPr>
      <w:r>
        <w:rPr>
          <w:rFonts w:ascii="宋体" w:hAnsi="宋体"/>
          <w:color w:val="auto"/>
          <w:szCs w:val="21"/>
          <w:highlight w:val="none"/>
        </w:rPr>
        <w:t>发包人向承包人提供图纸的期限：</w:t>
      </w:r>
      <w:r>
        <w:rPr>
          <w:rFonts w:hint="eastAsia" w:ascii="宋体" w:hAnsi="宋体"/>
          <w:color w:val="auto"/>
          <w:szCs w:val="21"/>
          <w:highlight w:val="none"/>
          <w:u w:val="single"/>
        </w:rPr>
        <w:t xml:space="preserve"> </w:t>
      </w:r>
      <w:r>
        <w:rPr>
          <w:rStyle w:val="35"/>
          <w:rFonts w:hint="eastAsia" w:ascii="宋体" w:hAnsi="宋体" w:eastAsia="宋体"/>
          <w:color w:val="auto"/>
          <w:highlight w:val="none"/>
          <w:u w:val="single"/>
        </w:rPr>
        <w:t>合同生效后</w:t>
      </w:r>
      <w:r>
        <w:rPr>
          <w:rStyle w:val="35"/>
          <w:rFonts w:hint="eastAsia" w:ascii="宋体" w:hAnsi="宋体" w:eastAsia="宋体"/>
          <w:color w:val="auto"/>
          <w:highlight w:val="none"/>
          <w:u w:val="single"/>
          <w:lang w:val="en-US" w:eastAsia="zh-CN"/>
        </w:rPr>
        <w:t xml:space="preserve"> </w:t>
      </w:r>
      <w:r>
        <w:rPr>
          <w:rStyle w:val="35"/>
          <w:rFonts w:hint="eastAsia" w:ascii="宋体" w:hAnsi="宋体" w:eastAsia="宋体"/>
          <w:color w:val="auto"/>
          <w:highlight w:val="none"/>
          <w:u w:val="single"/>
        </w:rPr>
        <w:t>天内</w:t>
      </w:r>
      <w:r>
        <w:rPr>
          <w:rFonts w:hint="eastAsia" w:ascii="宋体" w:hAnsi="宋体"/>
          <w:color w:val="auto"/>
          <w:szCs w:val="21"/>
          <w:highlight w:val="none"/>
          <w:u w:val="single"/>
        </w:rPr>
        <w:t xml:space="preserve"> </w:t>
      </w:r>
      <w:r>
        <w:rPr>
          <w:rFonts w:ascii="宋体" w:hAnsi="宋体"/>
          <w:color w:val="auto"/>
          <w:szCs w:val="21"/>
          <w:highlight w:val="none"/>
        </w:rPr>
        <w:t>；</w:t>
      </w:r>
    </w:p>
    <w:p w14:paraId="30644D32">
      <w:pPr>
        <w:spacing w:line="360" w:lineRule="auto"/>
        <w:ind w:firstLine="420" w:firstLineChars="200"/>
        <w:rPr>
          <w:rFonts w:ascii="宋体" w:hAnsi="宋体"/>
          <w:color w:val="auto"/>
          <w:szCs w:val="21"/>
          <w:highlight w:val="none"/>
        </w:rPr>
      </w:pPr>
      <w:r>
        <w:rPr>
          <w:rFonts w:ascii="宋体" w:hAnsi="宋体"/>
          <w:color w:val="auto"/>
          <w:szCs w:val="21"/>
          <w:highlight w:val="none"/>
        </w:rPr>
        <w:t>发包人向承包人提供图纸的数量：</w:t>
      </w:r>
      <w:r>
        <w:rPr>
          <w:rFonts w:hint="eastAsia" w:ascii="宋体" w:hAnsi="宋体"/>
          <w:color w:val="auto"/>
          <w:szCs w:val="21"/>
          <w:highlight w:val="none"/>
          <w:u w:val="single"/>
          <w:lang w:val="en-US" w:eastAsia="zh-CN"/>
        </w:rPr>
        <w:t xml:space="preserve">    </w:t>
      </w:r>
      <w:r>
        <w:rPr>
          <w:rFonts w:ascii="宋体" w:hAnsi="宋体"/>
          <w:color w:val="auto"/>
          <w:szCs w:val="21"/>
          <w:highlight w:val="none"/>
          <w:u w:val="single"/>
        </w:rPr>
        <w:t>套，承包人需要增加图纸套数的，发包人应代为复制，复制费用由承包人承担</w:t>
      </w:r>
      <w:r>
        <w:rPr>
          <w:rFonts w:ascii="宋体" w:hAnsi="宋体"/>
          <w:color w:val="auto"/>
          <w:szCs w:val="21"/>
          <w:highlight w:val="none"/>
        </w:rPr>
        <w:t>；</w:t>
      </w:r>
    </w:p>
    <w:p w14:paraId="2BA06BE8">
      <w:pPr>
        <w:spacing w:line="360" w:lineRule="auto"/>
        <w:ind w:firstLine="420" w:firstLineChars="200"/>
        <w:rPr>
          <w:rFonts w:ascii="宋体" w:hAnsi="宋体"/>
          <w:color w:val="auto"/>
          <w:szCs w:val="21"/>
          <w:highlight w:val="none"/>
        </w:rPr>
      </w:pPr>
      <w:r>
        <w:rPr>
          <w:rFonts w:ascii="宋体" w:hAnsi="宋体"/>
          <w:color w:val="auto"/>
          <w:szCs w:val="21"/>
          <w:highlight w:val="none"/>
        </w:rPr>
        <w:t>发包人向承包人提供图纸的内容：</w:t>
      </w:r>
      <w:r>
        <w:rPr>
          <w:rStyle w:val="35"/>
          <w:rFonts w:hint="eastAsia" w:ascii="宋体" w:hAnsi="宋体" w:eastAsia="宋体"/>
          <w:color w:val="auto"/>
          <w:highlight w:val="none"/>
          <w:u w:val="single"/>
        </w:rPr>
        <w:t>本合同发包内容中的全部图纸</w:t>
      </w:r>
      <w:r>
        <w:rPr>
          <w:rFonts w:ascii="宋体" w:hAnsi="宋体"/>
          <w:color w:val="auto"/>
          <w:szCs w:val="21"/>
          <w:highlight w:val="none"/>
        </w:rPr>
        <w:t>。</w:t>
      </w:r>
    </w:p>
    <w:p w14:paraId="059F70A0">
      <w:pPr>
        <w:spacing w:line="360" w:lineRule="auto"/>
        <w:ind w:firstLine="420" w:firstLineChars="200"/>
        <w:rPr>
          <w:rFonts w:ascii="宋体" w:hAnsi="宋体"/>
          <w:color w:val="auto"/>
          <w:szCs w:val="21"/>
          <w:highlight w:val="none"/>
        </w:rPr>
      </w:pPr>
      <w:r>
        <w:rPr>
          <w:rFonts w:ascii="宋体" w:hAnsi="宋体"/>
          <w:color w:val="auto"/>
          <w:szCs w:val="21"/>
          <w:highlight w:val="none"/>
        </w:rPr>
        <w:t>1.6.4 承包人文件</w:t>
      </w:r>
    </w:p>
    <w:p w14:paraId="746C297A">
      <w:pPr>
        <w:spacing w:line="360" w:lineRule="auto"/>
        <w:ind w:firstLine="420" w:firstLineChars="200"/>
        <w:jc w:val="left"/>
        <w:rPr>
          <w:rFonts w:ascii="宋体" w:hAnsi="宋体"/>
          <w:color w:val="auto"/>
          <w:szCs w:val="21"/>
          <w:highlight w:val="none"/>
          <w:u w:val="single"/>
        </w:rPr>
      </w:pPr>
      <w:r>
        <w:rPr>
          <w:rFonts w:ascii="宋体" w:hAnsi="宋体"/>
          <w:color w:val="auto"/>
          <w:szCs w:val="21"/>
          <w:highlight w:val="none"/>
        </w:rPr>
        <w:t>需要由承包人提供的文件，包括：</w:t>
      </w:r>
      <w:r>
        <w:rPr>
          <w:rStyle w:val="35"/>
          <w:rFonts w:hint="eastAsia" w:ascii="宋体" w:hAnsi="宋体" w:eastAsia="宋体"/>
          <w:color w:val="auto"/>
          <w:highlight w:val="none"/>
          <w:u w:val="single"/>
        </w:rPr>
        <w:t>必要的加工图和大样图</w:t>
      </w:r>
      <w:r>
        <w:rPr>
          <w:rStyle w:val="35"/>
          <w:rFonts w:hint="eastAsia" w:ascii="宋体" w:hAnsi="宋体" w:eastAsia="宋体"/>
          <w:color w:val="auto"/>
          <w:highlight w:val="none"/>
        </w:rPr>
        <w:t>，</w:t>
      </w:r>
      <w:r>
        <w:rPr>
          <w:rStyle w:val="35"/>
          <w:rFonts w:hint="eastAsia" w:ascii="宋体" w:hAnsi="宋体" w:eastAsia="宋体"/>
          <w:color w:val="auto"/>
          <w:highlight w:val="none"/>
          <w:u w:val="single"/>
        </w:rPr>
        <w:t>均不是合同计量与支付的依据文件</w:t>
      </w:r>
      <w:r>
        <w:rPr>
          <w:rStyle w:val="35"/>
          <w:rFonts w:hint="eastAsia" w:ascii="宋体" w:hAnsi="宋体" w:eastAsia="宋体"/>
          <w:color w:val="auto"/>
          <w:highlight w:val="none"/>
        </w:rPr>
        <w:t>。</w:t>
      </w:r>
      <w:r>
        <w:rPr>
          <w:rStyle w:val="35"/>
          <w:rFonts w:hint="eastAsia" w:ascii="宋体" w:hAnsi="宋体" w:eastAsia="宋体"/>
          <w:color w:val="auto"/>
          <w:highlight w:val="none"/>
          <w:u w:val="single"/>
        </w:rPr>
        <w:t>施工组织设计、专项施工方案、安全应急方案、进度报表、次月进度计划等</w:t>
      </w:r>
      <w:r>
        <w:rPr>
          <w:rFonts w:ascii="宋体" w:hAnsi="宋体"/>
          <w:color w:val="auto"/>
          <w:szCs w:val="21"/>
          <w:highlight w:val="none"/>
        </w:rPr>
        <w:t>；</w:t>
      </w:r>
    </w:p>
    <w:p w14:paraId="0CE15B2C">
      <w:pPr>
        <w:spacing w:line="360" w:lineRule="auto"/>
        <w:ind w:firstLine="420" w:firstLineChars="200"/>
        <w:rPr>
          <w:rFonts w:ascii="宋体" w:hAnsi="宋体"/>
          <w:color w:val="auto"/>
          <w:szCs w:val="21"/>
          <w:highlight w:val="none"/>
        </w:rPr>
      </w:pPr>
      <w:r>
        <w:rPr>
          <w:rFonts w:ascii="宋体" w:hAnsi="宋体"/>
          <w:color w:val="auto"/>
          <w:szCs w:val="21"/>
          <w:highlight w:val="none"/>
        </w:rPr>
        <w:t>承包人提供的文件的期限为：</w:t>
      </w:r>
      <w:r>
        <w:rPr>
          <w:rStyle w:val="35"/>
          <w:rFonts w:hint="eastAsia" w:ascii="宋体" w:hAnsi="宋体" w:eastAsia="宋体"/>
          <w:color w:val="auto"/>
          <w:highlight w:val="none"/>
          <w:u w:val="single"/>
        </w:rPr>
        <w:t>合同签订后</w:t>
      </w:r>
      <w:r>
        <w:rPr>
          <w:rStyle w:val="35"/>
          <w:rFonts w:hint="eastAsia" w:ascii="宋体" w:hAnsi="宋体" w:eastAsia="宋体"/>
          <w:color w:val="auto"/>
          <w:highlight w:val="none"/>
          <w:u w:val="single"/>
          <w:lang w:val="en-US" w:eastAsia="zh-CN"/>
        </w:rPr>
        <w:t xml:space="preserve"> </w:t>
      </w:r>
      <w:r>
        <w:rPr>
          <w:rStyle w:val="35"/>
          <w:rFonts w:hint="eastAsia" w:ascii="宋体" w:hAnsi="宋体" w:eastAsia="宋体"/>
          <w:color w:val="auto"/>
          <w:highlight w:val="none"/>
          <w:u w:val="single"/>
        </w:rPr>
        <w:t>天</w:t>
      </w:r>
      <w:r>
        <w:rPr>
          <w:rFonts w:ascii="宋体" w:hAnsi="宋体"/>
          <w:color w:val="auto"/>
          <w:szCs w:val="21"/>
          <w:highlight w:val="none"/>
        </w:rPr>
        <w:t>；</w:t>
      </w:r>
    </w:p>
    <w:p w14:paraId="20DE663A">
      <w:pPr>
        <w:spacing w:line="360" w:lineRule="auto"/>
        <w:ind w:firstLine="420" w:firstLineChars="200"/>
        <w:rPr>
          <w:rFonts w:ascii="宋体" w:hAnsi="宋体"/>
          <w:color w:val="auto"/>
          <w:szCs w:val="21"/>
          <w:highlight w:val="none"/>
        </w:rPr>
      </w:pPr>
      <w:r>
        <w:rPr>
          <w:rFonts w:ascii="宋体" w:hAnsi="宋体"/>
          <w:color w:val="auto"/>
          <w:szCs w:val="21"/>
          <w:highlight w:val="none"/>
        </w:rPr>
        <w:t>承包人提供的文件的数量为：</w:t>
      </w:r>
      <w:r>
        <w:rPr>
          <w:rStyle w:val="35"/>
          <w:rFonts w:hint="eastAsia" w:ascii="宋体" w:hAnsi="宋体" w:eastAsia="宋体"/>
          <w:color w:val="auto"/>
          <w:highlight w:val="none"/>
          <w:u w:val="single"/>
        </w:rPr>
        <w:t>提供施工组织设计和安全应急方案一式</w:t>
      </w:r>
      <w:r>
        <w:rPr>
          <w:rStyle w:val="35"/>
          <w:rFonts w:hint="eastAsia" w:ascii="宋体" w:hAnsi="宋体" w:eastAsia="宋体"/>
          <w:color w:val="auto"/>
          <w:highlight w:val="none"/>
          <w:u w:val="single"/>
          <w:lang w:val="en-US" w:eastAsia="zh-CN"/>
        </w:rPr>
        <w:t xml:space="preserve">  </w:t>
      </w:r>
      <w:r>
        <w:rPr>
          <w:rStyle w:val="35"/>
          <w:rFonts w:hint="eastAsia" w:ascii="宋体" w:hAnsi="宋体" w:eastAsia="宋体"/>
          <w:color w:val="auto"/>
          <w:highlight w:val="none"/>
          <w:u w:val="single"/>
        </w:rPr>
        <w:t>份,专项工程合同签订后</w:t>
      </w:r>
      <w:r>
        <w:rPr>
          <w:rStyle w:val="35"/>
          <w:rFonts w:hint="eastAsia" w:ascii="宋体" w:hAnsi="宋体" w:eastAsia="宋体"/>
          <w:color w:val="auto"/>
          <w:highlight w:val="none"/>
          <w:u w:val="single"/>
          <w:lang w:val="en-US" w:eastAsia="zh-CN"/>
        </w:rPr>
        <w:t xml:space="preserve">  </w:t>
      </w:r>
      <w:r>
        <w:rPr>
          <w:rStyle w:val="35"/>
          <w:rFonts w:hint="eastAsia" w:ascii="宋体" w:hAnsi="宋体" w:eastAsia="宋体"/>
          <w:color w:val="auto"/>
          <w:highlight w:val="none"/>
          <w:u w:val="single"/>
        </w:rPr>
        <w:t>天提供专项施工方案一式</w:t>
      </w:r>
      <w:r>
        <w:rPr>
          <w:rStyle w:val="35"/>
          <w:rFonts w:hint="eastAsia" w:ascii="宋体" w:hAnsi="宋体" w:eastAsia="宋体"/>
          <w:color w:val="auto"/>
          <w:highlight w:val="none"/>
          <w:u w:val="single"/>
          <w:lang w:val="en-US" w:eastAsia="zh-CN"/>
        </w:rPr>
        <w:t xml:space="preserve">  </w:t>
      </w:r>
      <w:r>
        <w:rPr>
          <w:rStyle w:val="35"/>
          <w:rFonts w:hint="eastAsia" w:ascii="宋体" w:hAnsi="宋体" w:eastAsia="宋体"/>
          <w:color w:val="auto"/>
          <w:highlight w:val="none"/>
          <w:u w:val="single"/>
        </w:rPr>
        <w:t>份,每月</w:t>
      </w:r>
      <w:r>
        <w:rPr>
          <w:rStyle w:val="35"/>
          <w:rFonts w:hint="eastAsia" w:ascii="宋体" w:hAnsi="宋体" w:eastAsia="宋体"/>
          <w:color w:val="auto"/>
          <w:highlight w:val="none"/>
          <w:u w:val="single"/>
          <w:lang w:val="en-US" w:eastAsia="zh-CN"/>
        </w:rPr>
        <w:t xml:space="preserve">  </w:t>
      </w:r>
      <w:r>
        <w:rPr>
          <w:rStyle w:val="35"/>
          <w:rFonts w:hint="eastAsia" w:ascii="宋体" w:hAnsi="宋体" w:eastAsia="宋体"/>
          <w:color w:val="auto"/>
          <w:highlight w:val="none"/>
          <w:u w:val="single"/>
        </w:rPr>
        <w:t>日提供本月完成进度报表和次月进度计划一式</w:t>
      </w:r>
      <w:r>
        <w:rPr>
          <w:rStyle w:val="35"/>
          <w:rFonts w:hint="eastAsia" w:ascii="宋体" w:hAnsi="宋体" w:eastAsia="宋体"/>
          <w:color w:val="auto"/>
          <w:highlight w:val="none"/>
          <w:u w:val="single"/>
          <w:lang w:val="en-US" w:eastAsia="zh-CN"/>
        </w:rPr>
        <w:t xml:space="preserve">  </w:t>
      </w:r>
      <w:r>
        <w:rPr>
          <w:rStyle w:val="35"/>
          <w:rFonts w:hint="eastAsia" w:ascii="宋体" w:hAnsi="宋体" w:eastAsia="宋体"/>
          <w:color w:val="auto"/>
          <w:highlight w:val="none"/>
          <w:u w:val="single"/>
        </w:rPr>
        <w:t>份</w:t>
      </w:r>
      <w:r>
        <w:rPr>
          <w:rFonts w:hint="eastAsia" w:ascii="宋体" w:hAnsi="宋体"/>
          <w:color w:val="auto"/>
          <w:szCs w:val="21"/>
          <w:highlight w:val="none"/>
          <w:u w:val="single"/>
        </w:rPr>
        <w:t xml:space="preserve"> </w:t>
      </w:r>
      <w:r>
        <w:rPr>
          <w:rFonts w:ascii="宋体" w:hAnsi="宋体"/>
          <w:color w:val="auto"/>
          <w:szCs w:val="21"/>
          <w:highlight w:val="none"/>
        </w:rPr>
        <w:t>；</w:t>
      </w:r>
    </w:p>
    <w:p w14:paraId="68B66DF0">
      <w:pPr>
        <w:spacing w:line="360" w:lineRule="auto"/>
        <w:ind w:firstLine="420" w:firstLineChars="200"/>
        <w:rPr>
          <w:rFonts w:ascii="宋体" w:hAnsi="宋体"/>
          <w:color w:val="auto"/>
          <w:szCs w:val="21"/>
          <w:highlight w:val="none"/>
        </w:rPr>
      </w:pPr>
      <w:r>
        <w:rPr>
          <w:rFonts w:ascii="宋体" w:hAnsi="宋体"/>
          <w:color w:val="auto"/>
          <w:szCs w:val="21"/>
          <w:highlight w:val="none"/>
        </w:rPr>
        <w:t>承包人提供的文件的形式为：</w:t>
      </w:r>
      <w:r>
        <w:rPr>
          <w:rFonts w:hint="eastAsia" w:ascii="宋体" w:hAnsi="宋体"/>
          <w:color w:val="auto"/>
          <w:szCs w:val="21"/>
          <w:highlight w:val="none"/>
          <w:u w:val="single"/>
        </w:rPr>
        <w:t xml:space="preserve">    </w:t>
      </w:r>
      <w:r>
        <w:rPr>
          <w:rStyle w:val="35"/>
          <w:rFonts w:hint="eastAsia" w:ascii="宋体" w:hAnsi="宋体" w:eastAsia="宋体"/>
          <w:color w:val="auto"/>
          <w:highlight w:val="none"/>
          <w:u w:val="single"/>
        </w:rPr>
        <w:t>书面及电子文件</w:t>
      </w:r>
      <w:r>
        <w:rPr>
          <w:rFonts w:hint="eastAsia" w:ascii="宋体" w:hAnsi="宋体"/>
          <w:color w:val="auto"/>
          <w:szCs w:val="21"/>
          <w:highlight w:val="none"/>
          <w:u w:val="single"/>
        </w:rPr>
        <w:t xml:space="preserve">        </w:t>
      </w:r>
      <w:r>
        <w:rPr>
          <w:rFonts w:ascii="宋体" w:hAnsi="宋体"/>
          <w:color w:val="auto"/>
          <w:szCs w:val="21"/>
          <w:highlight w:val="none"/>
        </w:rPr>
        <w:t>；</w:t>
      </w:r>
    </w:p>
    <w:p w14:paraId="5DA16F50">
      <w:pPr>
        <w:spacing w:line="360" w:lineRule="auto"/>
        <w:ind w:firstLine="420" w:firstLineChars="200"/>
        <w:rPr>
          <w:rFonts w:ascii="宋体" w:hAnsi="宋体"/>
          <w:color w:val="auto"/>
          <w:szCs w:val="21"/>
          <w:highlight w:val="none"/>
        </w:rPr>
      </w:pPr>
      <w:r>
        <w:rPr>
          <w:rFonts w:ascii="宋体" w:hAnsi="宋体"/>
          <w:color w:val="auto"/>
          <w:szCs w:val="21"/>
          <w:highlight w:val="none"/>
        </w:rPr>
        <w:t>发包人审批承包人文件的期限：</w:t>
      </w:r>
      <w:r>
        <w:rPr>
          <w:rFonts w:hint="eastAsia" w:ascii="宋体" w:hAnsi="宋体"/>
          <w:color w:val="auto"/>
          <w:szCs w:val="21"/>
          <w:highlight w:val="none"/>
          <w:u w:val="single"/>
        </w:rPr>
        <w:t xml:space="preserve">  </w:t>
      </w:r>
      <w:r>
        <w:rPr>
          <w:rStyle w:val="35"/>
          <w:rFonts w:hint="eastAsia" w:ascii="宋体" w:hAnsi="宋体" w:eastAsia="宋体"/>
          <w:color w:val="auto"/>
          <w:highlight w:val="none"/>
          <w:u w:val="single"/>
        </w:rPr>
        <w:t>收到提供的文件后</w:t>
      </w:r>
      <w:r>
        <w:rPr>
          <w:rStyle w:val="35"/>
          <w:rFonts w:hint="eastAsia" w:ascii="宋体" w:hAnsi="宋体" w:eastAsia="宋体"/>
          <w:color w:val="auto"/>
          <w:highlight w:val="none"/>
          <w:u w:val="single"/>
          <w:lang w:val="en-US" w:eastAsia="zh-CN"/>
        </w:rPr>
        <w:t xml:space="preserve">   </w:t>
      </w:r>
      <w:r>
        <w:rPr>
          <w:rStyle w:val="35"/>
          <w:rFonts w:hint="eastAsia" w:ascii="宋体" w:hAnsi="宋体" w:eastAsia="宋体"/>
          <w:color w:val="auto"/>
          <w:highlight w:val="none"/>
          <w:u w:val="single"/>
        </w:rPr>
        <w:t>天内,逾期不确认也不提出书面意见的</w:t>
      </w:r>
      <w:r>
        <w:rPr>
          <w:rStyle w:val="35"/>
          <w:rFonts w:hint="eastAsia" w:ascii="宋体" w:hAnsi="宋体" w:eastAsia="宋体"/>
          <w:color w:val="auto"/>
          <w:highlight w:val="none"/>
        </w:rPr>
        <w:t>，</w:t>
      </w:r>
      <w:r>
        <w:rPr>
          <w:rStyle w:val="35"/>
          <w:rFonts w:hint="eastAsia" w:ascii="宋体" w:hAnsi="宋体" w:eastAsia="宋体"/>
          <w:color w:val="auto"/>
          <w:highlight w:val="none"/>
          <w:u w:val="single"/>
        </w:rPr>
        <w:t>视为同意</w:t>
      </w:r>
      <w:r>
        <w:rPr>
          <w:rFonts w:hint="eastAsia" w:ascii="宋体" w:hAnsi="宋体"/>
          <w:color w:val="auto"/>
          <w:szCs w:val="21"/>
          <w:highlight w:val="none"/>
          <w:u w:val="single"/>
        </w:rPr>
        <w:t xml:space="preserve"> </w:t>
      </w:r>
      <w:r>
        <w:rPr>
          <w:rFonts w:ascii="宋体" w:hAnsi="宋体"/>
          <w:color w:val="auto"/>
          <w:szCs w:val="21"/>
          <w:highlight w:val="none"/>
        </w:rPr>
        <w:t>。</w:t>
      </w:r>
    </w:p>
    <w:p w14:paraId="076BEEC6">
      <w:pPr>
        <w:spacing w:line="360" w:lineRule="auto"/>
        <w:ind w:firstLine="420" w:firstLineChars="200"/>
        <w:rPr>
          <w:rFonts w:ascii="宋体" w:hAnsi="宋体"/>
          <w:color w:val="auto"/>
          <w:szCs w:val="21"/>
          <w:highlight w:val="none"/>
        </w:rPr>
      </w:pPr>
      <w:r>
        <w:rPr>
          <w:rFonts w:ascii="宋体" w:hAnsi="宋体"/>
          <w:color w:val="auto"/>
          <w:szCs w:val="21"/>
          <w:highlight w:val="none"/>
        </w:rPr>
        <w:t>1.6.5 现场图纸准备</w:t>
      </w:r>
    </w:p>
    <w:p w14:paraId="4C815590">
      <w:pPr>
        <w:spacing w:line="360" w:lineRule="auto"/>
        <w:ind w:firstLine="420" w:firstLineChars="200"/>
        <w:rPr>
          <w:rFonts w:ascii="宋体" w:hAnsi="宋体"/>
          <w:color w:val="auto"/>
          <w:szCs w:val="21"/>
          <w:highlight w:val="none"/>
        </w:rPr>
      </w:pPr>
      <w:r>
        <w:rPr>
          <w:rFonts w:ascii="宋体" w:hAnsi="宋体"/>
          <w:color w:val="auto"/>
          <w:szCs w:val="21"/>
          <w:highlight w:val="none"/>
        </w:rPr>
        <w:t>关于现场图纸准备的约定：</w:t>
      </w:r>
      <w:r>
        <w:rPr>
          <w:rFonts w:hint="eastAsia" w:ascii="宋体" w:hAnsi="宋体"/>
          <w:color w:val="auto"/>
          <w:szCs w:val="21"/>
          <w:highlight w:val="none"/>
          <w:u w:val="single"/>
        </w:rPr>
        <w:t xml:space="preserve">     </w:t>
      </w:r>
      <w:r>
        <w:rPr>
          <w:rStyle w:val="35"/>
          <w:rFonts w:hint="eastAsia" w:ascii="宋体" w:hAnsi="宋体" w:eastAsia="宋体"/>
          <w:color w:val="auto"/>
          <w:highlight w:val="none"/>
          <w:u w:val="single"/>
        </w:rPr>
        <w:t>由承包</w:t>
      </w:r>
      <w:r>
        <w:rPr>
          <w:rStyle w:val="35"/>
          <w:rFonts w:hint="eastAsia" w:ascii="宋体" w:hAnsi="宋体" w:eastAsia="宋体"/>
          <w:color w:val="auto"/>
          <w:highlight w:val="none"/>
          <w:u w:val="single"/>
          <w:lang w:eastAsia="zh-CN"/>
        </w:rPr>
        <w:t>人</w:t>
      </w:r>
      <w:r>
        <w:rPr>
          <w:rStyle w:val="35"/>
          <w:rFonts w:hint="eastAsia" w:ascii="宋体" w:hAnsi="宋体" w:eastAsia="宋体"/>
          <w:color w:val="auto"/>
          <w:highlight w:val="none"/>
          <w:u w:val="single"/>
        </w:rPr>
        <w:t>准备</w:t>
      </w:r>
      <w:r>
        <w:rPr>
          <w:rFonts w:hint="eastAsia" w:ascii="宋体" w:hAnsi="宋体"/>
          <w:color w:val="auto"/>
          <w:szCs w:val="21"/>
          <w:highlight w:val="none"/>
          <w:u w:val="single"/>
        </w:rPr>
        <w:t xml:space="preserve">       </w:t>
      </w:r>
      <w:r>
        <w:rPr>
          <w:rFonts w:ascii="宋体" w:hAnsi="宋体"/>
          <w:color w:val="auto"/>
          <w:szCs w:val="21"/>
          <w:highlight w:val="none"/>
        </w:rPr>
        <w:t>。</w:t>
      </w:r>
    </w:p>
    <w:p w14:paraId="1A134DCC">
      <w:pPr>
        <w:keepNext/>
        <w:keepLines/>
        <w:spacing w:before="260" w:after="260" w:line="360" w:lineRule="auto"/>
        <w:outlineLvl w:val="2"/>
        <w:rPr>
          <w:rFonts w:ascii="宋体" w:hAnsi="宋体"/>
          <w:b/>
          <w:bCs/>
          <w:color w:val="auto"/>
          <w:sz w:val="32"/>
          <w:szCs w:val="32"/>
          <w:highlight w:val="none"/>
        </w:rPr>
      </w:pPr>
      <w:bookmarkStart w:id="467" w:name="_Toc373478345"/>
      <w:bookmarkStart w:id="468" w:name="_Toc10361"/>
      <w:bookmarkStart w:id="469" w:name="_Toc389065264"/>
      <w:bookmarkStart w:id="470" w:name="_Toc22273"/>
      <w:bookmarkStart w:id="471" w:name="_Toc373227698"/>
      <w:bookmarkStart w:id="472" w:name="_Toc407135200"/>
      <w:bookmarkStart w:id="473" w:name="_Toc495673376"/>
      <w:bookmarkStart w:id="474" w:name="_Toc86935861"/>
      <w:bookmarkStart w:id="475" w:name="_Toc508379711"/>
      <w:r>
        <w:rPr>
          <w:rFonts w:ascii="宋体" w:hAnsi="宋体"/>
          <w:b/>
          <w:bCs/>
          <w:color w:val="auto"/>
          <w:sz w:val="32"/>
          <w:szCs w:val="32"/>
          <w:highlight w:val="none"/>
        </w:rPr>
        <w:t>1.7 联络</w:t>
      </w:r>
      <w:bookmarkEnd w:id="467"/>
      <w:bookmarkEnd w:id="468"/>
      <w:bookmarkEnd w:id="469"/>
      <w:bookmarkEnd w:id="470"/>
      <w:bookmarkEnd w:id="471"/>
      <w:bookmarkEnd w:id="472"/>
      <w:bookmarkEnd w:id="473"/>
      <w:bookmarkEnd w:id="474"/>
      <w:bookmarkEnd w:id="475"/>
    </w:p>
    <w:p w14:paraId="3E88EA64">
      <w:pPr>
        <w:spacing w:line="360" w:lineRule="auto"/>
        <w:ind w:firstLine="420" w:firstLineChars="200"/>
        <w:rPr>
          <w:rFonts w:ascii="宋体" w:hAnsi="宋体"/>
          <w:color w:val="auto"/>
          <w:kern w:val="0"/>
          <w:szCs w:val="21"/>
          <w:highlight w:val="none"/>
        </w:rPr>
      </w:pPr>
      <w:r>
        <w:rPr>
          <w:rFonts w:ascii="宋体" w:hAnsi="宋体"/>
          <w:color w:val="auto"/>
          <w:kern w:val="0"/>
          <w:szCs w:val="21"/>
          <w:highlight w:val="none"/>
        </w:rPr>
        <w:t>1.7.1发包人和承包人应当在天内将与合同有关的通知、批准、证明、证书、指示、指令、要求、请求、同意、意见、确定和决定等书面函件送达对方当事人。</w:t>
      </w:r>
    </w:p>
    <w:p w14:paraId="67FE01E1">
      <w:pPr>
        <w:spacing w:line="360" w:lineRule="auto"/>
        <w:ind w:firstLine="420" w:firstLineChars="200"/>
        <w:rPr>
          <w:rFonts w:ascii="宋体" w:hAnsi="宋体"/>
          <w:color w:val="auto"/>
          <w:kern w:val="0"/>
          <w:szCs w:val="21"/>
          <w:highlight w:val="none"/>
        </w:rPr>
      </w:pPr>
      <w:r>
        <w:rPr>
          <w:rFonts w:ascii="宋体" w:hAnsi="宋体"/>
          <w:color w:val="auto"/>
          <w:kern w:val="0"/>
          <w:szCs w:val="21"/>
          <w:highlight w:val="none"/>
        </w:rPr>
        <w:t>1.7.2 发包人接收文件的地点：</w:t>
      </w:r>
      <w:r>
        <w:rPr>
          <w:rFonts w:hint="eastAsia" w:ascii="宋体" w:hAnsi="宋体"/>
          <w:color w:val="auto"/>
          <w:szCs w:val="21"/>
          <w:highlight w:val="none"/>
          <w:u w:val="single"/>
        </w:rPr>
        <w:t xml:space="preserve">                       </w:t>
      </w:r>
      <w:r>
        <w:rPr>
          <w:rFonts w:ascii="宋体" w:hAnsi="宋体"/>
          <w:color w:val="auto"/>
          <w:kern w:val="0"/>
          <w:szCs w:val="21"/>
          <w:highlight w:val="none"/>
        </w:rPr>
        <w:t>；</w:t>
      </w:r>
    </w:p>
    <w:p w14:paraId="61FE65B7">
      <w:pPr>
        <w:spacing w:line="360" w:lineRule="auto"/>
        <w:ind w:firstLine="420" w:firstLineChars="200"/>
        <w:rPr>
          <w:rFonts w:ascii="宋体" w:hAnsi="宋体"/>
          <w:color w:val="auto"/>
          <w:kern w:val="0"/>
          <w:szCs w:val="21"/>
          <w:highlight w:val="none"/>
        </w:rPr>
      </w:pPr>
      <w:r>
        <w:rPr>
          <w:rFonts w:ascii="宋体" w:hAnsi="宋体"/>
          <w:color w:val="auto"/>
          <w:kern w:val="0"/>
          <w:szCs w:val="21"/>
          <w:highlight w:val="none"/>
        </w:rPr>
        <w:t>发包人指定的接收人为：</w:t>
      </w:r>
      <w:r>
        <w:rPr>
          <w:rFonts w:hint="eastAsia" w:ascii="宋体" w:hAnsi="宋体"/>
          <w:color w:val="auto"/>
          <w:szCs w:val="21"/>
          <w:highlight w:val="none"/>
          <w:u w:val="single"/>
        </w:rPr>
        <w:t xml:space="preserve">                       </w:t>
      </w:r>
      <w:r>
        <w:rPr>
          <w:rFonts w:ascii="宋体" w:hAnsi="宋体"/>
          <w:color w:val="auto"/>
          <w:kern w:val="0"/>
          <w:szCs w:val="21"/>
          <w:highlight w:val="none"/>
        </w:rPr>
        <w:t>。</w:t>
      </w:r>
    </w:p>
    <w:p w14:paraId="1F5E3C8A">
      <w:pPr>
        <w:spacing w:line="360" w:lineRule="auto"/>
        <w:ind w:firstLine="420" w:firstLineChars="200"/>
        <w:rPr>
          <w:rFonts w:ascii="宋体" w:hAnsi="宋体"/>
          <w:color w:val="auto"/>
          <w:kern w:val="0"/>
          <w:szCs w:val="21"/>
          <w:highlight w:val="none"/>
        </w:rPr>
      </w:pPr>
      <w:r>
        <w:rPr>
          <w:rFonts w:ascii="宋体" w:hAnsi="宋体"/>
          <w:color w:val="auto"/>
          <w:kern w:val="0"/>
          <w:szCs w:val="21"/>
          <w:highlight w:val="none"/>
        </w:rPr>
        <w:t>承包人接收文件的地点：</w:t>
      </w:r>
      <w:r>
        <w:rPr>
          <w:rFonts w:hint="eastAsia" w:ascii="宋体" w:hAnsi="宋体"/>
          <w:color w:val="auto"/>
          <w:szCs w:val="21"/>
          <w:highlight w:val="none"/>
          <w:u w:val="single"/>
        </w:rPr>
        <w:t xml:space="preserve">                       </w:t>
      </w:r>
      <w:r>
        <w:rPr>
          <w:rFonts w:ascii="宋体" w:hAnsi="宋体"/>
          <w:color w:val="auto"/>
          <w:kern w:val="0"/>
          <w:szCs w:val="21"/>
          <w:highlight w:val="none"/>
        </w:rPr>
        <w:t>；</w:t>
      </w:r>
    </w:p>
    <w:p w14:paraId="132E1207">
      <w:pPr>
        <w:spacing w:line="360" w:lineRule="auto"/>
        <w:ind w:firstLine="420" w:firstLineChars="200"/>
        <w:rPr>
          <w:rFonts w:ascii="宋体" w:hAnsi="宋体"/>
          <w:color w:val="auto"/>
          <w:kern w:val="0"/>
          <w:szCs w:val="21"/>
          <w:highlight w:val="none"/>
        </w:rPr>
      </w:pPr>
      <w:r>
        <w:rPr>
          <w:rFonts w:ascii="宋体" w:hAnsi="宋体"/>
          <w:color w:val="auto"/>
          <w:kern w:val="0"/>
          <w:szCs w:val="21"/>
          <w:highlight w:val="none"/>
        </w:rPr>
        <w:t>承包人指定的接收人为：</w:t>
      </w:r>
      <w:r>
        <w:rPr>
          <w:rFonts w:hint="eastAsia" w:ascii="宋体" w:hAnsi="宋体"/>
          <w:color w:val="auto"/>
          <w:szCs w:val="21"/>
          <w:highlight w:val="none"/>
          <w:u w:val="single"/>
        </w:rPr>
        <w:t xml:space="preserve">                       </w:t>
      </w:r>
      <w:r>
        <w:rPr>
          <w:rFonts w:ascii="宋体" w:hAnsi="宋体"/>
          <w:color w:val="auto"/>
          <w:kern w:val="0"/>
          <w:szCs w:val="21"/>
          <w:highlight w:val="none"/>
        </w:rPr>
        <w:t>。</w:t>
      </w:r>
    </w:p>
    <w:p w14:paraId="5408A131">
      <w:pPr>
        <w:spacing w:line="360" w:lineRule="auto"/>
        <w:ind w:firstLine="420" w:firstLineChars="200"/>
        <w:rPr>
          <w:rFonts w:ascii="宋体" w:hAnsi="宋体"/>
          <w:color w:val="auto"/>
          <w:kern w:val="0"/>
          <w:szCs w:val="21"/>
          <w:highlight w:val="none"/>
        </w:rPr>
      </w:pPr>
      <w:r>
        <w:rPr>
          <w:rFonts w:ascii="宋体" w:hAnsi="宋体"/>
          <w:color w:val="auto"/>
          <w:kern w:val="0"/>
          <w:szCs w:val="21"/>
          <w:highlight w:val="none"/>
        </w:rPr>
        <w:t>监理人接收文件的地点：</w:t>
      </w:r>
      <w:r>
        <w:rPr>
          <w:rFonts w:hint="eastAsia" w:ascii="宋体" w:hAnsi="宋体"/>
          <w:color w:val="auto"/>
          <w:szCs w:val="21"/>
          <w:highlight w:val="none"/>
          <w:u w:val="single"/>
        </w:rPr>
        <w:t xml:space="preserve">                       </w:t>
      </w:r>
      <w:r>
        <w:rPr>
          <w:rFonts w:ascii="宋体" w:hAnsi="宋体"/>
          <w:color w:val="auto"/>
          <w:kern w:val="0"/>
          <w:szCs w:val="21"/>
          <w:highlight w:val="none"/>
        </w:rPr>
        <w:t>；</w:t>
      </w:r>
    </w:p>
    <w:p w14:paraId="0F17D3F0">
      <w:pPr>
        <w:spacing w:line="360" w:lineRule="auto"/>
        <w:ind w:firstLine="420" w:firstLineChars="200"/>
        <w:rPr>
          <w:rFonts w:ascii="宋体" w:hAnsi="宋体"/>
          <w:color w:val="auto"/>
          <w:kern w:val="0"/>
          <w:szCs w:val="21"/>
          <w:highlight w:val="none"/>
        </w:rPr>
      </w:pPr>
      <w:r>
        <w:rPr>
          <w:rFonts w:ascii="宋体" w:hAnsi="宋体"/>
          <w:color w:val="auto"/>
          <w:kern w:val="0"/>
          <w:szCs w:val="21"/>
          <w:highlight w:val="none"/>
        </w:rPr>
        <w:t>监理人指定的接收人为：</w:t>
      </w:r>
      <w:r>
        <w:rPr>
          <w:rFonts w:hint="eastAsia" w:ascii="宋体" w:hAnsi="宋体"/>
          <w:color w:val="auto"/>
          <w:szCs w:val="21"/>
          <w:highlight w:val="none"/>
          <w:u w:val="single"/>
        </w:rPr>
        <w:t xml:space="preserve">                       </w:t>
      </w:r>
      <w:r>
        <w:rPr>
          <w:rFonts w:ascii="宋体" w:hAnsi="宋体"/>
          <w:color w:val="auto"/>
          <w:kern w:val="0"/>
          <w:szCs w:val="21"/>
          <w:highlight w:val="none"/>
        </w:rPr>
        <w:t>。</w:t>
      </w:r>
    </w:p>
    <w:p w14:paraId="7CFB2917">
      <w:pPr>
        <w:keepNext/>
        <w:keepLines/>
        <w:spacing w:before="260" w:after="260" w:line="360" w:lineRule="auto"/>
        <w:outlineLvl w:val="2"/>
        <w:rPr>
          <w:rFonts w:ascii="宋体" w:hAnsi="宋体"/>
          <w:b/>
          <w:bCs/>
          <w:color w:val="auto"/>
          <w:sz w:val="32"/>
          <w:szCs w:val="32"/>
          <w:highlight w:val="none"/>
        </w:rPr>
      </w:pPr>
      <w:bookmarkStart w:id="476" w:name="_Toc11025"/>
      <w:bookmarkStart w:id="477" w:name="_Toc389065265"/>
      <w:bookmarkStart w:id="478" w:name="_Toc26692"/>
      <w:bookmarkStart w:id="479" w:name="_Toc86935862"/>
      <w:bookmarkStart w:id="480" w:name="_Toc407135201"/>
      <w:bookmarkStart w:id="481" w:name="_Toc373227699"/>
      <w:bookmarkStart w:id="482" w:name="_Toc508379712"/>
      <w:bookmarkStart w:id="483" w:name="_Toc495673377"/>
      <w:bookmarkStart w:id="484" w:name="_Toc373478346"/>
      <w:r>
        <w:rPr>
          <w:rFonts w:ascii="宋体" w:hAnsi="宋体"/>
          <w:b/>
          <w:bCs/>
          <w:color w:val="auto"/>
          <w:sz w:val="32"/>
          <w:szCs w:val="32"/>
          <w:highlight w:val="none"/>
        </w:rPr>
        <w:t>1.10 交通运输</w:t>
      </w:r>
      <w:bookmarkEnd w:id="476"/>
      <w:bookmarkEnd w:id="477"/>
      <w:bookmarkEnd w:id="478"/>
      <w:bookmarkEnd w:id="479"/>
      <w:bookmarkEnd w:id="480"/>
      <w:bookmarkEnd w:id="481"/>
      <w:bookmarkEnd w:id="482"/>
      <w:bookmarkEnd w:id="483"/>
      <w:bookmarkEnd w:id="484"/>
    </w:p>
    <w:p w14:paraId="4AD55ABE">
      <w:pPr>
        <w:spacing w:line="360" w:lineRule="auto"/>
        <w:ind w:firstLine="420" w:firstLineChars="200"/>
        <w:rPr>
          <w:rFonts w:ascii="宋体" w:hAnsi="宋体"/>
          <w:color w:val="auto"/>
          <w:szCs w:val="21"/>
          <w:highlight w:val="none"/>
        </w:rPr>
      </w:pPr>
      <w:r>
        <w:rPr>
          <w:rFonts w:ascii="宋体" w:hAnsi="宋体"/>
          <w:color w:val="auto"/>
          <w:szCs w:val="21"/>
          <w:highlight w:val="none"/>
        </w:rPr>
        <w:t>1</w:t>
      </w:r>
      <w:bookmarkStart w:id="485" w:name="_Toc304295521"/>
      <w:bookmarkStart w:id="486" w:name="_Toc312677986"/>
      <w:bookmarkStart w:id="487" w:name="_Toc300934943"/>
      <w:bookmarkStart w:id="488" w:name="_Toc303539100"/>
      <w:bookmarkStart w:id="489" w:name="_Toc318581155"/>
      <w:r>
        <w:rPr>
          <w:rFonts w:ascii="宋体" w:hAnsi="宋体"/>
          <w:color w:val="auto"/>
          <w:szCs w:val="21"/>
          <w:highlight w:val="none"/>
        </w:rPr>
        <w:t>.10.1 出入现场的权利</w:t>
      </w:r>
    </w:p>
    <w:p w14:paraId="2602E6FD">
      <w:pPr>
        <w:spacing w:line="360" w:lineRule="auto"/>
        <w:ind w:firstLine="420" w:firstLineChars="200"/>
        <w:rPr>
          <w:rFonts w:ascii="宋体" w:hAnsi="宋体"/>
          <w:color w:val="auto"/>
          <w:szCs w:val="21"/>
          <w:highlight w:val="none"/>
          <w:u w:val="single"/>
        </w:rPr>
      </w:pPr>
      <w:r>
        <w:rPr>
          <w:rFonts w:ascii="宋体" w:hAnsi="宋体"/>
          <w:color w:val="auto"/>
          <w:szCs w:val="21"/>
          <w:highlight w:val="none"/>
        </w:rPr>
        <w:t>关于出入现场的权利的约定：</w:t>
      </w:r>
      <w:r>
        <w:rPr>
          <w:rFonts w:hint="eastAsia" w:ascii="宋体" w:hAnsi="宋体"/>
          <w:color w:val="auto"/>
          <w:szCs w:val="21"/>
          <w:highlight w:val="none"/>
          <w:u w:val="single"/>
        </w:rPr>
        <w:t xml:space="preserve"> </w:t>
      </w:r>
      <w:r>
        <w:rPr>
          <w:rStyle w:val="35"/>
          <w:rFonts w:hint="eastAsia" w:ascii="宋体" w:hAnsi="宋体" w:eastAsia="宋体"/>
          <w:color w:val="auto"/>
          <w:highlight w:val="none"/>
          <w:u w:val="single"/>
        </w:rPr>
        <w:t>由承包人按发包人要求负责取得出入施工现场所需的批准手续和全部权利</w:t>
      </w:r>
      <w:r>
        <w:rPr>
          <w:rStyle w:val="35"/>
          <w:rFonts w:hint="eastAsia" w:ascii="宋体" w:hAnsi="宋体" w:eastAsia="宋体"/>
          <w:color w:val="auto"/>
          <w:highlight w:val="none"/>
        </w:rPr>
        <w:t>，</w:t>
      </w:r>
      <w:r>
        <w:rPr>
          <w:rStyle w:val="35"/>
          <w:rFonts w:hint="eastAsia" w:ascii="宋体" w:hAnsi="宋体" w:eastAsia="宋体"/>
          <w:color w:val="auto"/>
          <w:highlight w:val="none"/>
          <w:u w:val="single"/>
        </w:rPr>
        <w:t>以及取得因施工所需修建道路、桥梁以及其他基础设施的权利</w:t>
      </w:r>
      <w:r>
        <w:rPr>
          <w:rStyle w:val="35"/>
          <w:rFonts w:hint="eastAsia" w:ascii="宋体" w:hAnsi="宋体" w:eastAsia="宋体"/>
          <w:color w:val="auto"/>
          <w:highlight w:val="none"/>
        </w:rPr>
        <w:t>，</w:t>
      </w:r>
      <w:r>
        <w:rPr>
          <w:rStyle w:val="35"/>
          <w:rFonts w:hint="eastAsia" w:ascii="宋体" w:hAnsi="宋体" w:eastAsia="宋体"/>
          <w:color w:val="auto"/>
          <w:highlight w:val="none"/>
          <w:u w:val="single"/>
        </w:rPr>
        <w:t>并承担相关手续费用和建设费用</w:t>
      </w:r>
      <w:r>
        <w:rPr>
          <w:rStyle w:val="35"/>
          <w:rFonts w:hint="eastAsia" w:ascii="宋体" w:hAnsi="宋体" w:eastAsia="宋体"/>
          <w:color w:val="auto"/>
          <w:highlight w:val="none"/>
        </w:rPr>
        <w:t>，</w:t>
      </w:r>
      <w:r>
        <w:rPr>
          <w:rStyle w:val="35"/>
          <w:rFonts w:hint="eastAsia" w:ascii="宋体" w:hAnsi="宋体" w:eastAsia="宋体"/>
          <w:color w:val="auto"/>
          <w:highlight w:val="none"/>
          <w:u w:val="single"/>
        </w:rPr>
        <w:t>与施工无关的人员需出入现场须经承发包双方同意</w:t>
      </w:r>
      <w:r>
        <w:rPr>
          <w:rFonts w:hint="eastAsia" w:ascii="宋体" w:hAnsi="宋体"/>
          <w:color w:val="auto"/>
          <w:szCs w:val="21"/>
          <w:highlight w:val="none"/>
          <w:u w:val="single"/>
        </w:rPr>
        <w:t xml:space="preserve">  </w:t>
      </w:r>
      <w:r>
        <w:rPr>
          <w:rFonts w:ascii="宋体" w:hAnsi="宋体"/>
          <w:color w:val="auto"/>
          <w:szCs w:val="21"/>
          <w:highlight w:val="none"/>
        </w:rPr>
        <w:t>。</w:t>
      </w:r>
    </w:p>
    <w:bookmarkEnd w:id="485"/>
    <w:bookmarkEnd w:id="486"/>
    <w:bookmarkEnd w:id="487"/>
    <w:bookmarkEnd w:id="488"/>
    <w:bookmarkEnd w:id="489"/>
    <w:p w14:paraId="169415FC">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1</w:t>
      </w:r>
      <w:bookmarkStart w:id="490" w:name="_Toc318581156"/>
      <w:bookmarkStart w:id="491" w:name="_Toc304295522"/>
      <w:bookmarkStart w:id="492" w:name="_Toc303539101"/>
      <w:bookmarkStart w:id="493" w:name="_Toc300934944"/>
      <w:bookmarkStart w:id="494" w:name="_Toc312677987"/>
      <w:r>
        <w:rPr>
          <w:rFonts w:ascii="宋体" w:hAnsi="宋体"/>
          <w:color w:val="auto"/>
          <w:szCs w:val="21"/>
          <w:highlight w:val="none"/>
        </w:rPr>
        <w:t>.10.3 场内交通</w:t>
      </w:r>
    </w:p>
    <w:p w14:paraId="2A10BDBA">
      <w:pPr>
        <w:spacing w:line="360" w:lineRule="auto"/>
        <w:ind w:firstLine="420" w:firstLineChars="200"/>
        <w:jc w:val="left"/>
        <w:rPr>
          <w:rFonts w:ascii="宋体" w:hAnsi="宋体"/>
          <w:color w:val="auto"/>
          <w:kern w:val="0"/>
          <w:szCs w:val="21"/>
          <w:highlight w:val="none"/>
        </w:rPr>
      </w:pPr>
      <w:r>
        <w:rPr>
          <w:rFonts w:ascii="宋体" w:hAnsi="宋体"/>
          <w:color w:val="auto"/>
          <w:kern w:val="0"/>
          <w:szCs w:val="21"/>
          <w:highlight w:val="none"/>
        </w:rPr>
        <w:t>关于场外交通和场内交通的边界的约定：</w:t>
      </w:r>
      <w:r>
        <w:rPr>
          <w:rFonts w:hint="eastAsia" w:ascii="宋体" w:hAnsi="宋体"/>
          <w:color w:val="auto"/>
          <w:szCs w:val="21"/>
          <w:highlight w:val="none"/>
          <w:u w:val="single"/>
        </w:rPr>
        <w:t xml:space="preserve">  </w:t>
      </w:r>
      <w:r>
        <w:rPr>
          <w:rStyle w:val="35"/>
          <w:rFonts w:hint="eastAsia" w:ascii="宋体" w:hAnsi="宋体" w:eastAsia="宋体"/>
          <w:color w:val="auto"/>
          <w:highlight w:val="none"/>
          <w:u w:val="single"/>
        </w:rPr>
        <w:t>按经批准的施工组织设计规定</w:t>
      </w:r>
      <w:r>
        <w:rPr>
          <w:rFonts w:hint="eastAsia" w:ascii="宋体" w:hAnsi="宋体"/>
          <w:color w:val="auto"/>
          <w:szCs w:val="21"/>
          <w:highlight w:val="none"/>
          <w:u w:val="single"/>
        </w:rPr>
        <w:t xml:space="preserve">   </w:t>
      </w:r>
      <w:r>
        <w:rPr>
          <w:rFonts w:ascii="宋体" w:hAnsi="宋体"/>
          <w:color w:val="auto"/>
          <w:szCs w:val="21"/>
          <w:highlight w:val="none"/>
        </w:rPr>
        <w:t>。</w:t>
      </w:r>
    </w:p>
    <w:p w14:paraId="74D2D008">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关于发包人向承包人免费提供满足工程施工需要的场内道路和交通设施的约定：</w:t>
      </w:r>
      <w:r>
        <w:rPr>
          <w:rStyle w:val="35"/>
          <w:rFonts w:hint="eastAsia" w:ascii="宋体" w:hAnsi="宋体" w:eastAsia="宋体"/>
          <w:color w:val="auto"/>
          <w:highlight w:val="none"/>
          <w:u w:val="single"/>
        </w:rPr>
        <w:t>按经批准的施工组织设计规定</w:t>
      </w:r>
      <w:r>
        <w:rPr>
          <w:rStyle w:val="35"/>
          <w:rFonts w:hint="eastAsia" w:ascii="宋体" w:hAnsi="宋体" w:eastAsia="宋体"/>
          <w:color w:val="auto"/>
          <w:highlight w:val="none"/>
        </w:rPr>
        <w:t>，</w:t>
      </w:r>
      <w:r>
        <w:rPr>
          <w:rStyle w:val="35"/>
          <w:rFonts w:hint="eastAsia" w:ascii="宋体" w:hAnsi="宋体" w:eastAsia="宋体"/>
          <w:color w:val="auto"/>
          <w:highlight w:val="none"/>
          <w:u w:val="single"/>
        </w:rPr>
        <w:t>工程竣工后承包人须恢复</w:t>
      </w:r>
      <w:r>
        <w:rPr>
          <w:rStyle w:val="35"/>
          <w:rFonts w:hint="eastAsia" w:ascii="宋体" w:hAnsi="宋体" w:eastAsia="宋体"/>
          <w:color w:val="auto"/>
          <w:highlight w:val="none"/>
        </w:rPr>
        <w:t>，</w:t>
      </w:r>
      <w:r>
        <w:rPr>
          <w:rStyle w:val="35"/>
          <w:rFonts w:hint="eastAsia" w:ascii="宋体" w:hAnsi="宋体" w:eastAsia="宋体"/>
          <w:color w:val="auto"/>
          <w:highlight w:val="none"/>
          <w:u w:val="single"/>
        </w:rPr>
        <w:t>施工现场内临时道路由承包人负责建设并承担相关费用</w:t>
      </w:r>
      <w:r>
        <w:rPr>
          <w:rFonts w:hint="eastAsia" w:ascii="宋体" w:hAnsi="宋体"/>
          <w:color w:val="auto"/>
          <w:szCs w:val="21"/>
          <w:highlight w:val="none"/>
          <w:u w:val="single"/>
        </w:rPr>
        <w:t xml:space="preserve"> </w:t>
      </w:r>
      <w:r>
        <w:rPr>
          <w:rFonts w:ascii="宋体" w:hAnsi="宋体"/>
          <w:color w:val="auto"/>
          <w:szCs w:val="21"/>
          <w:highlight w:val="none"/>
        </w:rPr>
        <w:t>。</w:t>
      </w:r>
      <w:bookmarkEnd w:id="490"/>
      <w:bookmarkEnd w:id="491"/>
      <w:bookmarkEnd w:id="492"/>
      <w:bookmarkEnd w:id="493"/>
      <w:bookmarkEnd w:id="494"/>
      <w:bookmarkStart w:id="495" w:name="_Toc318581157"/>
    </w:p>
    <w:p w14:paraId="2C5D8E74">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1.10.4超大件和超重件的运输</w:t>
      </w:r>
    </w:p>
    <w:p w14:paraId="4A92A953">
      <w:pPr>
        <w:spacing w:line="360" w:lineRule="auto"/>
        <w:ind w:firstLine="420" w:firstLineChars="200"/>
        <w:jc w:val="left"/>
        <w:rPr>
          <w:rFonts w:ascii="宋体" w:hAnsi="宋体"/>
          <w:color w:val="auto"/>
          <w:szCs w:val="21"/>
          <w:highlight w:val="none"/>
          <w:u w:val="single"/>
        </w:rPr>
      </w:pPr>
      <w:r>
        <w:rPr>
          <w:rFonts w:ascii="宋体" w:hAnsi="宋体"/>
          <w:color w:val="auto"/>
          <w:szCs w:val="21"/>
          <w:highlight w:val="none"/>
        </w:rPr>
        <w:t>运输超大件或超重件所需的道路和桥梁临时加固改造费用和其他有关费用由</w:t>
      </w:r>
      <w:r>
        <w:rPr>
          <w:rStyle w:val="35"/>
          <w:rFonts w:hint="eastAsia" w:ascii="宋体" w:hAnsi="宋体" w:eastAsia="宋体"/>
          <w:color w:val="auto"/>
          <w:highlight w:val="none"/>
          <w:u w:val="single"/>
        </w:rPr>
        <w:t>承包人</w:t>
      </w:r>
      <w:r>
        <w:rPr>
          <w:rFonts w:ascii="宋体" w:hAnsi="宋体"/>
          <w:color w:val="auto"/>
          <w:szCs w:val="21"/>
          <w:highlight w:val="none"/>
        </w:rPr>
        <w:t>承担。</w:t>
      </w:r>
    </w:p>
    <w:bookmarkEnd w:id="495"/>
    <w:p w14:paraId="03D30470">
      <w:pPr>
        <w:keepNext/>
        <w:keepLines/>
        <w:spacing w:before="260" w:after="260" w:line="360" w:lineRule="auto"/>
        <w:outlineLvl w:val="2"/>
        <w:rPr>
          <w:rFonts w:ascii="宋体" w:hAnsi="宋体"/>
          <w:b/>
          <w:bCs/>
          <w:color w:val="auto"/>
          <w:sz w:val="32"/>
          <w:szCs w:val="32"/>
          <w:highlight w:val="none"/>
        </w:rPr>
      </w:pPr>
      <w:bookmarkStart w:id="496" w:name="_Toc373227700"/>
      <w:bookmarkStart w:id="497" w:name="_Toc373478347"/>
      <w:bookmarkStart w:id="498" w:name="_Toc389065266"/>
      <w:bookmarkStart w:id="499" w:name="_Toc495673378"/>
      <w:bookmarkStart w:id="500" w:name="_Toc407135202"/>
      <w:bookmarkStart w:id="501" w:name="_Toc7563"/>
      <w:bookmarkStart w:id="502" w:name="_Toc24536"/>
      <w:bookmarkStart w:id="503" w:name="_Toc86935863"/>
      <w:bookmarkStart w:id="504" w:name="_Toc508379713"/>
      <w:r>
        <w:rPr>
          <w:rFonts w:ascii="宋体" w:hAnsi="宋体"/>
          <w:b/>
          <w:bCs/>
          <w:color w:val="auto"/>
          <w:sz w:val="32"/>
          <w:szCs w:val="32"/>
          <w:highlight w:val="none"/>
        </w:rPr>
        <w:t>1.11 知识产权</w:t>
      </w:r>
      <w:bookmarkEnd w:id="496"/>
      <w:bookmarkEnd w:id="497"/>
      <w:bookmarkEnd w:id="498"/>
      <w:bookmarkEnd w:id="499"/>
      <w:bookmarkEnd w:id="500"/>
      <w:bookmarkEnd w:id="501"/>
      <w:bookmarkEnd w:id="502"/>
      <w:bookmarkEnd w:id="503"/>
      <w:bookmarkEnd w:id="504"/>
    </w:p>
    <w:p w14:paraId="048942D0">
      <w:pPr>
        <w:spacing w:line="360" w:lineRule="auto"/>
        <w:ind w:firstLine="420" w:firstLineChars="200"/>
        <w:rPr>
          <w:rFonts w:ascii="宋体" w:hAnsi="宋体"/>
          <w:color w:val="auto"/>
          <w:szCs w:val="21"/>
          <w:highlight w:val="none"/>
        </w:rPr>
      </w:pPr>
      <w:r>
        <w:rPr>
          <w:rFonts w:ascii="宋体" w:hAnsi="宋体"/>
          <w:color w:val="auto"/>
          <w:szCs w:val="21"/>
          <w:highlight w:val="none"/>
        </w:rPr>
        <w:t>1.11.1关于发包人提供给承包人的图纸、发包人为实施工程自行编制或委托编制的技术规范以及反映发包人关于合同要求或其他类似性质的文件的著作权的归属</w:t>
      </w:r>
      <w:r>
        <w:rPr>
          <w:rFonts w:hint="eastAsia" w:ascii="宋体" w:hAnsi="宋体"/>
          <w:color w:val="auto"/>
          <w:szCs w:val="21"/>
          <w:highlight w:val="none"/>
        </w:rPr>
        <w:t>:</w:t>
      </w:r>
      <w:r>
        <w:rPr>
          <w:rFonts w:hint="eastAsia" w:ascii="宋体" w:hAnsi="宋体"/>
          <w:color w:val="auto"/>
          <w:szCs w:val="21"/>
          <w:highlight w:val="none"/>
          <w:u w:val="single"/>
        </w:rPr>
        <w:t xml:space="preserve">  </w:t>
      </w:r>
      <w:r>
        <w:rPr>
          <w:rStyle w:val="35"/>
          <w:rFonts w:hint="eastAsia" w:ascii="宋体" w:hAnsi="宋体" w:eastAsia="宋体"/>
          <w:color w:val="auto"/>
          <w:highlight w:val="none"/>
          <w:u w:val="single"/>
        </w:rPr>
        <w:t>发包人</w:t>
      </w:r>
      <w:r>
        <w:rPr>
          <w:rFonts w:hint="eastAsia" w:ascii="宋体" w:hAnsi="宋体"/>
          <w:color w:val="auto"/>
          <w:szCs w:val="21"/>
          <w:highlight w:val="none"/>
          <w:u w:val="single"/>
        </w:rPr>
        <w:t xml:space="preserve">      </w:t>
      </w:r>
      <w:r>
        <w:rPr>
          <w:rFonts w:ascii="宋体" w:hAnsi="宋体"/>
          <w:color w:val="auto"/>
          <w:szCs w:val="21"/>
          <w:highlight w:val="none"/>
        </w:rPr>
        <w:t>。</w:t>
      </w:r>
    </w:p>
    <w:p w14:paraId="17077B05">
      <w:pPr>
        <w:spacing w:line="360" w:lineRule="auto"/>
        <w:ind w:firstLine="420" w:firstLineChars="200"/>
        <w:rPr>
          <w:rFonts w:ascii="宋体" w:hAnsi="宋体"/>
          <w:color w:val="auto"/>
          <w:szCs w:val="21"/>
          <w:highlight w:val="none"/>
        </w:rPr>
      </w:pPr>
      <w:r>
        <w:rPr>
          <w:rFonts w:ascii="宋体" w:hAnsi="宋体"/>
          <w:color w:val="auto"/>
          <w:szCs w:val="21"/>
          <w:highlight w:val="none"/>
        </w:rPr>
        <w:t>关于发包人提供的上述文件的使用限制的要求：</w:t>
      </w:r>
      <w:r>
        <w:rPr>
          <w:rFonts w:hint="eastAsia" w:ascii="宋体" w:hAnsi="宋体"/>
          <w:color w:val="auto"/>
          <w:szCs w:val="21"/>
          <w:highlight w:val="none"/>
          <w:u w:val="single"/>
        </w:rPr>
        <w:t xml:space="preserve"> </w:t>
      </w:r>
      <w:r>
        <w:rPr>
          <w:rStyle w:val="35"/>
          <w:rFonts w:hint="eastAsia" w:ascii="宋体" w:hAnsi="宋体" w:eastAsia="宋体"/>
          <w:color w:val="auto"/>
          <w:highlight w:val="none"/>
          <w:u w:val="single"/>
        </w:rPr>
        <w:t>只能用于本项目</w:t>
      </w:r>
      <w:r>
        <w:rPr>
          <w:rStyle w:val="35"/>
          <w:rFonts w:hint="eastAsia" w:ascii="宋体" w:hAnsi="宋体" w:eastAsia="宋体"/>
          <w:color w:val="auto"/>
          <w:highlight w:val="none"/>
        </w:rPr>
        <w:t>，</w:t>
      </w:r>
      <w:r>
        <w:rPr>
          <w:rStyle w:val="35"/>
          <w:rFonts w:hint="eastAsia" w:ascii="宋体" w:hAnsi="宋体" w:eastAsia="宋体"/>
          <w:color w:val="auto"/>
          <w:highlight w:val="none"/>
          <w:u w:val="single"/>
        </w:rPr>
        <w:t>未经发包人同意不得向第三方提供图纸</w:t>
      </w:r>
      <w:r>
        <w:rPr>
          <w:rFonts w:hint="eastAsia" w:ascii="宋体" w:hAnsi="宋体"/>
          <w:color w:val="auto"/>
          <w:szCs w:val="21"/>
          <w:highlight w:val="none"/>
          <w:u w:val="single"/>
        </w:rPr>
        <w:t xml:space="preserve">  </w:t>
      </w:r>
      <w:r>
        <w:rPr>
          <w:rFonts w:ascii="宋体" w:hAnsi="宋体"/>
          <w:color w:val="auto"/>
          <w:szCs w:val="21"/>
          <w:highlight w:val="none"/>
        </w:rPr>
        <w:t>。</w:t>
      </w:r>
    </w:p>
    <w:p w14:paraId="64DBF7C5">
      <w:pPr>
        <w:spacing w:line="360" w:lineRule="auto"/>
        <w:ind w:firstLine="420" w:firstLineChars="200"/>
        <w:rPr>
          <w:rFonts w:ascii="宋体" w:hAnsi="宋体"/>
          <w:color w:val="auto"/>
          <w:szCs w:val="21"/>
          <w:highlight w:val="none"/>
        </w:rPr>
      </w:pPr>
      <w:r>
        <w:rPr>
          <w:rFonts w:ascii="宋体" w:hAnsi="宋体"/>
          <w:color w:val="auto"/>
          <w:szCs w:val="21"/>
          <w:highlight w:val="none"/>
        </w:rPr>
        <w:t>1.11.2 关于承包人为实施工程所编制文件的著作权的归属：</w:t>
      </w:r>
      <w:r>
        <w:rPr>
          <w:rFonts w:hint="eastAsia" w:ascii="宋体" w:hAnsi="宋体"/>
          <w:color w:val="auto"/>
          <w:szCs w:val="21"/>
          <w:highlight w:val="none"/>
          <w:u w:val="single"/>
        </w:rPr>
        <w:t xml:space="preserve">  </w:t>
      </w:r>
      <w:r>
        <w:rPr>
          <w:rStyle w:val="35"/>
          <w:rFonts w:hint="eastAsia" w:ascii="宋体" w:hAnsi="宋体" w:eastAsia="宋体"/>
          <w:color w:val="auto"/>
          <w:highlight w:val="none"/>
          <w:u w:val="single"/>
        </w:rPr>
        <w:t>承包人、发包人</w:t>
      </w:r>
      <w:r>
        <w:rPr>
          <w:rFonts w:hint="eastAsia" w:ascii="宋体" w:hAnsi="宋体"/>
          <w:color w:val="auto"/>
          <w:szCs w:val="21"/>
          <w:highlight w:val="none"/>
          <w:u w:val="single"/>
        </w:rPr>
        <w:t xml:space="preserve">   </w:t>
      </w:r>
      <w:r>
        <w:rPr>
          <w:rFonts w:ascii="宋体" w:hAnsi="宋体"/>
          <w:color w:val="auto"/>
          <w:szCs w:val="21"/>
          <w:highlight w:val="none"/>
        </w:rPr>
        <w:t>。</w:t>
      </w:r>
    </w:p>
    <w:p w14:paraId="167F4D05">
      <w:pPr>
        <w:spacing w:line="360" w:lineRule="auto"/>
        <w:ind w:firstLine="420" w:firstLineChars="200"/>
        <w:rPr>
          <w:rFonts w:ascii="宋体" w:hAnsi="宋体"/>
          <w:color w:val="auto"/>
          <w:szCs w:val="21"/>
          <w:highlight w:val="none"/>
          <w:u w:val="single"/>
        </w:rPr>
      </w:pPr>
      <w:r>
        <w:rPr>
          <w:rFonts w:ascii="宋体" w:hAnsi="宋体"/>
          <w:color w:val="auto"/>
          <w:szCs w:val="21"/>
          <w:highlight w:val="none"/>
        </w:rPr>
        <w:t>关于承包人提供的上述文件的使用限制的要求：</w:t>
      </w:r>
      <w:r>
        <w:rPr>
          <w:rFonts w:hint="eastAsia" w:ascii="宋体" w:hAnsi="宋体"/>
          <w:color w:val="auto"/>
          <w:szCs w:val="21"/>
          <w:highlight w:val="none"/>
          <w:u w:val="single"/>
        </w:rPr>
        <w:t xml:space="preserve">  </w:t>
      </w:r>
      <w:r>
        <w:rPr>
          <w:rStyle w:val="35"/>
          <w:rFonts w:hint="eastAsia" w:ascii="宋体" w:hAnsi="宋体" w:eastAsia="宋体"/>
          <w:color w:val="auto"/>
          <w:highlight w:val="none"/>
          <w:u w:val="single"/>
        </w:rPr>
        <w:t>只能用于本工地施工、保修</w:t>
      </w:r>
      <w:r>
        <w:rPr>
          <w:rStyle w:val="35"/>
          <w:rFonts w:hint="eastAsia" w:ascii="宋体" w:hAnsi="宋体" w:eastAsia="宋体"/>
          <w:color w:val="auto"/>
          <w:highlight w:val="none"/>
        </w:rPr>
        <w:t>，</w:t>
      </w:r>
      <w:r>
        <w:rPr>
          <w:rStyle w:val="35"/>
          <w:rFonts w:hint="eastAsia" w:ascii="宋体" w:hAnsi="宋体" w:eastAsia="宋体"/>
          <w:color w:val="auto"/>
          <w:highlight w:val="none"/>
          <w:u w:val="single"/>
        </w:rPr>
        <w:t>未经承包人同意不得向第三方提供</w:t>
      </w:r>
      <w:r>
        <w:rPr>
          <w:rFonts w:hint="eastAsia" w:ascii="宋体" w:hAnsi="宋体"/>
          <w:color w:val="auto"/>
          <w:szCs w:val="21"/>
          <w:highlight w:val="none"/>
          <w:u w:val="single"/>
        </w:rPr>
        <w:t xml:space="preserve">  </w:t>
      </w:r>
      <w:r>
        <w:rPr>
          <w:rFonts w:ascii="宋体" w:hAnsi="宋体"/>
          <w:color w:val="auto"/>
          <w:szCs w:val="21"/>
          <w:highlight w:val="none"/>
        </w:rPr>
        <w:t>。</w:t>
      </w:r>
    </w:p>
    <w:p w14:paraId="2F1FB6C1">
      <w:pPr>
        <w:spacing w:line="360" w:lineRule="auto"/>
        <w:ind w:firstLine="420" w:firstLineChars="200"/>
        <w:rPr>
          <w:rFonts w:ascii="宋体" w:hAnsi="宋体"/>
          <w:color w:val="auto"/>
          <w:szCs w:val="21"/>
          <w:highlight w:val="none"/>
          <w:u w:val="single"/>
        </w:rPr>
      </w:pPr>
      <w:r>
        <w:rPr>
          <w:rFonts w:ascii="宋体" w:hAnsi="宋体"/>
          <w:color w:val="auto"/>
          <w:szCs w:val="21"/>
          <w:highlight w:val="none"/>
        </w:rPr>
        <w:t>1.11.4 承包人在施工过程中所采用的专利、专有技术、技术秘密的使用费的承担方式：</w:t>
      </w:r>
      <w:r>
        <w:rPr>
          <w:rFonts w:hint="eastAsia" w:ascii="宋体" w:hAnsi="宋体"/>
          <w:color w:val="auto"/>
          <w:szCs w:val="21"/>
          <w:highlight w:val="none"/>
          <w:u w:val="single"/>
        </w:rPr>
        <w:t xml:space="preserve"> </w:t>
      </w:r>
      <w:r>
        <w:rPr>
          <w:rStyle w:val="35"/>
          <w:rFonts w:hint="eastAsia" w:ascii="宋体" w:hAnsi="宋体" w:eastAsia="宋体"/>
          <w:color w:val="auto"/>
          <w:highlight w:val="none"/>
          <w:u w:val="single"/>
        </w:rPr>
        <w:t>承包人负责</w:t>
      </w:r>
      <w:r>
        <w:rPr>
          <w:rFonts w:hint="eastAsia" w:ascii="宋体" w:hAnsi="宋体"/>
          <w:color w:val="auto"/>
          <w:szCs w:val="21"/>
          <w:highlight w:val="none"/>
          <w:u w:val="single"/>
        </w:rPr>
        <w:t xml:space="preserve">         </w:t>
      </w:r>
      <w:r>
        <w:rPr>
          <w:rFonts w:ascii="宋体" w:hAnsi="宋体"/>
          <w:color w:val="auto"/>
          <w:kern w:val="0"/>
          <w:szCs w:val="21"/>
          <w:highlight w:val="none"/>
        </w:rPr>
        <w:t>。</w:t>
      </w:r>
    </w:p>
    <w:p w14:paraId="0D532072">
      <w:pPr>
        <w:keepNext/>
        <w:keepLines/>
        <w:spacing w:before="260" w:after="260" w:line="360" w:lineRule="auto"/>
        <w:outlineLvl w:val="2"/>
        <w:rPr>
          <w:rFonts w:ascii="宋体" w:hAnsi="宋体"/>
          <w:b/>
          <w:bCs/>
          <w:color w:val="auto"/>
          <w:sz w:val="32"/>
          <w:szCs w:val="32"/>
          <w:highlight w:val="none"/>
        </w:rPr>
      </w:pPr>
      <w:bookmarkStart w:id="505" w:name="_Toc20431"/>
      <w:bookmarkStart w:id="506" w:name="_Toc86935864"/>
      <w:bookmarkStart w:id="507" w:name="_Toc373478348"/>
      <w:bookmarkStart w:id="508" w:name="_Toc6257"/>
      <w:bookmarkStart w:id="509" w:name="_Toc407135203"/>
      <w:bookmarkStart w:id="510" w:name="_Toc389065267"/>
      <w:bookmarkStart w:id="511" w:name="_Toc508379714"/>
      <w:bookmarkStart w:id="512" w:name="_Toc373227701"/>
      <w:bookmarkStart w:id="513" w:name="_Toc495673379"/>
      <w:r>
        <w:rPr>
          <w:rFonts w:ascii="宋体" w:hAnsi="宋体"/>
          <w:b/>
          <w:bCs/>
          <w:color w:val="auto"/>
          <w:sz w:val="32"/>
          <w:szCs w:val="32"/>
          <w:highlight w:val="none"/>
        </w:rPr>
        <w:t>1.13工程量清单错误的修正</w:t>
      </w:r>
      <w:bookmarkEnd w:id="505"/>
      <w:bookmarkEnd w:id="506"/>
      <w:bookmarkEnd w:id="507"/>
      <w:bookmarkEnd w:id="508"/>
      <w:bookmarkEnd w:id="509"/>
      <w:bookmarkEnd w:id="510"/>
      <w:bookmarkEnd w:id="511"/>
      <w:bookmarkEnd w:id="512"/>
      <w:bookmarkEnd w:id="513"/>
    </w:p>
    <w:p w14:paraId="31FEDF7E">
      <w:pPr>
        <w:spacing w:line="360" w:lineRule="auto"/>
        <w:ind w:firstLine="420" w:firstLineChars="200"/>
        <w:rPr>
          <w:rFonts w:ascii="宋体" w:hAnsi="宋体"/>
          <w:color w:val="auto"/>
          <w:szCs w:val="21"/>
          <w:highlight w:val="none"/>
        </w:rPr>
      </w:pPr>
      <w:r>
        <w:rPr>
          <w:rFonts w:ascii="宋体" w:hAnsi="宋体"/>
          <w:color w:val="auto"/>
          <w:szCs w:val="21"/>
          <w:highlight w:val="none"/>
        </w:rPr>
        <w:t>出现工程量清单工程量偏差时，是否调整合同价格：</w:t>
      </w:r>
      <w:r>
        <w:rPr>
          <w:rFonts w:hint="eastAsia" w:ascii="宋体" w:hAnsi="宋体"/>
          <w:color w:val="auto"/>
          <w:szCs w:val="21"/>
          <w:highlight w:val="none"/>
          <w:u w:val="single"/>
        </w:rPr>
        <w:t xml:space="preserve">                       </w:t>
      </w:r>
      <w:r>
        <w:rPr>
          <w:rFonts w:ascii="宋体" w:hAnsi="宋体"/>
          <w:color w:val="auto"/>
          <w:kern w:val="0"/>
          <w:szCs w:val="21"/>
          <w:highlight w:val="none"/>
        </w:rPr>
        <w:t>。</w:t>
      </w:r>
    </w:p>
    <w:p w14:paraId="397C9BCF">
      <w:pPr>
        <w:pStyle w:val="135"/>
        <w:widowControl/>
        <w:spacing w:line="360" w:lineRule="auto"/>
        <w:ind w:firstLine="424" w:firstLineChars="202"/>
        <w:rPr>
          <w:rStyle w:val="35"/>
          <w:rFonts w:hint="eastAsia" w:ascii="宋体" w:hAnsi="宋体" w:eastAsia="宋体"/>
          <w:color w:val="auto"/>
          <w:highlight w:val="none"/>
        </w:rPr>
      </w:pPr>
      <w:r>
        <w:rPr>
          <w:rStyle w:val="35"/>
          <w:rFonts w:hint="eastAsia" w:ascii="宋体" w:hAnsi="宋体" w:eastAsia="宋体"/>
          <w:color w:val="auto"/>
          <w:highlight w:val="none"/>
        </w:rPr>
        <w:t>允许调整合同价格的工程量偏差范围及其调整办法：</w:t>
      </w:r>
    </w:p>
    <w:p w14:paraId="0F87AAC7">
      <w:pPr>
        <w:pStyle w:val="135"/>
        <w:widowControl/>
        <w:spacing w:line="360" w:lineRule="auto"/>
        <w:ind w:firstLine="424" w:firstLineChars="202"/>
        <w:rPr>
          <w:rStyle w:val="35"/>
          <w:rFonts w:hint="eastAsia" w:ascii="宋体" w:hAnsi="宋体" w:eastAsia="宋体"/>
          <w:color w:val="auto"/>
          <w:kern w:val="0"/>
          <w:highlight w:val="none"/>
        </w:rPr>
      </w:pPr>
      <w:r>
        <w:rPr>
          <w:rStyle w:val="35"/>
          <w:rFonts w:hint="eastAsia" w:ascii="宋体" w:hAnsi="宋体" w:eastAsia="宋体"/>
          <w:color w:val="auto"/>
          <w:kern w:val="0"/>
          <w:highlight w:val="none"/>
        </w:rPr>
        <w:sym w:font="Wingdings" w:char="00A8"/>
      </w:r>
      <w:r>
        <w:rPr>
          <w:rStyle w:val="35"/>
          <w:rFonts w:hint="eastAsia" w:ascii="宋体" w:hAnsi="宋体" w:eastAsia="宋体"/>
          <w:color w:val="auto"/>
          <w:kern w:val="0"/>
          <w:highlight w:val="none"/>
        </w:rPr>
        <w:t>除严重不平衡报价外，无论分部分项工程量清单项目中的工程量变化多少均不调整。</w:t>
      </w:r>
    </w:p>
    <w:p w14:paraId="2F3AA7CB">
      <w:pPr>
        <w:pStyle w:val="135"/>
        <w:widowControl/>
        <w:spacing w:line="360" w:lineRule="auto"/>
        <w:ind w:firstLine="424" w:firstLineChars="202"/>
        <w:rPr>
          <w:rStyle w:val="35"/>
          <w:rFonts w:hint="eastAsia" w:ascii="宋体" w:hAnsi="宋体" w:eastAsia="宋体"/>
          <w:color w:val="auto"/>
          <w:kern w:val="0"/>
          <w:highlight w:val="none"/>
        </w:rPr>
      </w:pPr>
      <w:r>
        <w:rPr>
          <w:rStyle w:val="35"/>
          <w:rFonts w:hint="eastAsia" w:ascii="宋体" w:hAnsi="宋体" w:eastAsia="宋体"/>
          <w:color w:val="auto"/>
          <w:kern w:val="0"/>
          <w:highlight w:val="none"/>
        </w:rPr>
        <w:sym w:font="Wingdings" w:char="00A8"/>
      </w:r>
      <w:r>
        <w:rPr>
          <w:rStyle w:val="35"/>
          <w:rFonts w:hint="eastAsia" w:ascii="宋体" w:hAnsi="宋体" w:eastAsia="宋体"/>
          <w:color w:val="auto"/>
          <w:kern w:val="0"/>
          <w:highlight w:val="none"/>
        </w:rPr>
        <w:t>承包人实际完成的某单项清单项目工程量与招标工程量清单工程量偏差超过15%且该单项清单造价超过合同总价0%以上的，超过后增加部分工程量综合单价按以下方法调整：按变更时最新出台计价规则计算出的市场价格（当期信息价）×中标下浮率×85%予以调低。当工程量减少15%以上时，减少后剩余部分的工程量的综合单价应按中标单价×115%予以调高。</w:t>
      </w:r>
    </w:p>
    <w:p w14:paraId="1812D624">
      <w:pPr>
        <w:pStyle w:val="135"/>
        <w:widowControl/>
        <w:spacing w:line="360" w:lineRule="auto"/>
        <w:ind w:firstLine="424" w:firstLineChars="202"/>
        <w:rPr>
          <w:rStyle w:val="35"/>
          <w:rFonts w:hint="eastAsia" w:ascii="宋体" w:hAnsi="宋体" w:eastAsia="宋体"/>
          <w:color w:val="auto"/>
          <w:kern w:val="0"/>
          <w:highlight w:val="none"/>
        </w:rPr>
      </w:pPr>
      <w:r>
        <w:rPr>
          <w:rStyle w:val="35"/>
          <w:rFonts w:hint="eastAsia" w:ascii="宋体" w:hAnsi="宋体" w:eastAsia="宋体"/>
          <w:color w:val="auto"/>
          <w:kern w:val="0"/>
          <w:highlight w:val="none"/>
        </w:rPr>
        <w:t>关于招标工程量清单缺项、漏项综合单价按以下方法调整：按变更时最新出台计价规则计算出的市场价格（当期信息价）×中标下浮率。没有相应信息价的，由建设单位、施工单位、监理单位或造价咨询单位根据市场行情协商确定；无定额可套的，由建设单位、施工单位、监理单位或造价咨询单位根据市场行情协商确定包含除税金以外所有费用的税前综合价格。</w:t>
      </w:r>
    </w:p>
    <w:p w14:paraId="2E49B0B6">
      <w:pPr>
        <w:pStyle w:val="135"/>
        <w:widowControl/>
        <w:spacing w:line="360" w:lineRule="auto"/>
        <w:ind w:firstLine="424" w:firstLineChars="202"/>
        <w:rPr>
          <w:rStyle w:val="35"/>
          <w:rFonts w:hint="eastAsia" w:ascii="宋体" w:hAnsi="宋体" w:eastAsia="宋体"/>
          <w:color w:val="auto"/>
          <w:kern w:val="0"/>
          <w:highlight w:val="none"/>
        </w:rPr>
      </w:pPr>
      <w:r>
        <w:rPr>
          <w:rStyle w:val="35"/>
          <w:rFonts w:hint="eastAsia" w:ascii="宋体" w:hAnsi="宋体" w:eastAsia="宋体"/>
          <w:color w:val="auto"/>
          <w:kern w:val="0"/>
          <w:highlight w:val="none"/>
        </w:rPr>
        <w:t>同时，调整工程价款的，必须按贺州市和平桂区有关规定办理报批。</w:t>
      </w:r>
    </w:p>
    <w:p w14:paraId="6F44C6BC">
      <w:pPr>
        <w:keepNext/>
        <w:keepLines/>
        <w:spacing w:before="260" w:after="260" w:line="360" w:lineRule="auto"/>
        <w:outlineLvl w:val="1"/>
        <w:rPr>
          <w:rFonts w:ascii="宋体" w:hAnsi="宋体"/>
          <w:b/>
          <w:bCs/>
          <w:color w:val="auto"/>
          <w:sz w:val="32"/>
          <w:szCs w:val="32"/>
          <w:highlight w:val="none"/>
        </w:rPr>
      </w:pPr>
      <w:bookmarkStart w:id="514" w:name="_Toc351203634"/>
      <w:bookmarkStart w:id="515" w:name="_Toc86935865"/>
      <w:bookmarkStart w:id="516" w:name="_Toc11642"/>
      <w:bookmarkStart w:id="517" w:name="_Toc495673380"/>
      <w:bookmarkStart w:id="518" w:name="_Toc373227702"/>
      <w:bookmarkStart w:id="519" w:name="_Toc407135204"/>
      <w:bookmarkStart w:id="520" w:name="_Toc12661"/>
      <w:bookmarkStart w:id="521" w:name="_Toc389065268"/>
      <w:bookmarkStart w:id="522" w:name="_Toc373478349"/>
      <w:bookmarkStart w:id="523" w:name="_Toc508379715"/>
      <w:r>
        <w:rPr>
          <w:rFonts w:ascii="宋体" w:hAnsi="宋体"/>
          <w:b/>
          <w:bCs/>
          <w:color w:val="auto"/>
          <w:sz w:val="32"/>
          <w:szCs w:val="32"/>
          <w:highlight w:val="none"/>
        </w:rPr>
        <w:t>2</w:t>
      </w:r>
      <w:bookmarkStart w:id="524" w:name="_Toc297120457"/>
      <w:bookmarkStart w:id="525" w:name="_Toc292559867"/>
      <w:bookmarkStart w:id="526" w:name="_Toc292559362"/>
      <w:bookmarkStart w:id="527" w:name="_Toc296891197"/>
      <w:bookmarkStart w:id="528" w:name="_Toc296503157"/>
      <w:bookmarkStart w:id="529" w:name="_Toc297048343"/>
      <w:bookmarkStart w:id="530" w:name="_Toc296347156"/>
      <w:bookmarkStart w:id="531" w:name="_Toc296944496"/>
      <w:bookmarkStart w:id="532" w:name="_Toc296890985"/>
      <w:bookmarkStart w:id="533" w:name="_Toc296346658"/>
      <w:r>
        <w:rPr>
          <w:rFonts w:ascii="宋体" w:hAnsi="宋体"/>
          <w:b/>
          <w:bCs/>
          <w:color w:val="auto"/>
          <w:sz w:val="32"/>
          <w:szCs w:val="32"/>
          <w:highlight w:val="none"/>
        </w:rPr>
        <w:t>. 发包人</w:t>
      </w:r>
      <w:bookmarkEnd w:id="514"/>
      <w:bookmarkEnd w:id="515"/>
      <w:bookmarkEnd w:id="516"/>
      <w:bookmarkEnd w:id="517"/>
      <w:bookmarkEnd w:id="518"/>
      <w:bookmarkEnd w:id="519"/>
      <w:bookmarkEnd w:id="520"/>
      <w:bookmarkEnd w:id="521"/>
      <w:bookmarkEnd w:id="522"/>
      <w:bookmarkEnd w:id="523"/>
    </w:p>
    <w:bookmarkEnd w:id="524"/>
    <w:bookmarkEnd w:id="525"/>
    <w:bookmarkEnd w:id="526"/>
    <w:bookmarkEnd w:id="527"/>
    <w:bookmarkEnd w:id="528"/>
    <w:bookmarkEnd w:id="529"/>
    <w:bookmarkEnd w:id="530"/>
    <w:bookmarkEnd w:id="531"/>
    <w:bookmarkEnd w:id="532"/>
    <w:bookmarkEnd w:id="533"/>
    <w:p w14:paraId="42C46760">
      <w:pPr>
        <w:keepNext/>
        <w:keepLines/>
        <w:spacing w:before="260" w:after="260" w:line="360" w:lineRule="auto"/>
        <w:outlineLvl w:val="2"/>
        <w:rPr>
          <w:rFonts w:ascii="宋体" w:hAnsi="宋体"/>
          <w:b/>
          <w:bCs/>
          <w:color w:val="auto"/>
          <w:sz w:val="32"/>
          <w:szCs w:val="32"/>
          <w:highlight w:val="none"/>
        </w:rPr>
      </w:pPr>
      <w:bookmarkStart w:id="534" w:name="_Toc389065269"/>
      <w:bookmarkStart w:id="535" w:name="_Toc86935866"/>
      <w:bookmarkStart w:id="536" w:name="_Toc7010"/>
      <w:bookmarkStart w:id="537" w:name="_Toc8852"/>
      <w:bookmarkStart w:id="538" w:name="_Toc508379716"/>
      <w:bookmarkStart w:id="539" w:name="_Toc407135205"/>
      <w:bookmarkStart w:id="540" w:name="_Toc495673381"/>
      <w:bookmarkStart w:id="541" w:name="_Toc373478350"/>
      <w:bookmarkStart w:id="542" w:name="_Toc373227703"/>
      <w:r>
        <w:rPr>
          <w:rFonts w:ascii="宋体" w:hAnsi="宋体"/>
          <w:b/>
          <w:bCs/>
          <w:color w:val="auto"/>
          <w:sz w:val="32"/>
          <w:szCs w:val="32"/>
          <w:highlight w:val="none"/>
        </w:rPr>
        <w:t>2.2 发包人代表</w:t>
      </w:r>
      <w:bookmarkEnd w:id="534"/>
      <w:bookmarkEnd w:id="535"/>
      <w:bookmarkEnd w:id="536"/>
      <w:bookmarkEnd w:id="537"/>
      <w:bookmarkEnd w:id="538"/>
      <w:bookmarkEnd w:id="539"/>
      <w:bookmarkEnd w:id="540"/>
      <w:bookmarkEnd w:id="541"/>
      <w:bookmarkEnd w:id="542"/>
    </w:p>
    <w:p w14:paraId="5EEFE2A0">
      <w:pPr>
        <w:spacing w:line="360" w:lineRule="auto"/>
        <w:ind w:firstLine="420" w:firstLineChars="200"/>
        <w:rPr>
          <w:rFonts w:ascii="宋体" w:hAnsi="宋体"/>
          <w:color w:val="auto"/>
          <w:szCs w:val="21"/>
          <w:highlight w:val="none"/>
        </w:rPr>
      </w:pPr>
      <w:r>
        <w:rPr>
          <w:rFonts w:ascii="宋体" w:hAnsi="宋体"/>
          <w:color w:val="auto"/>
          <w:szCs w:val="21"/>
          <w:highlight w:val="none"/>
        </w:rPr>
        <w:t>姓    名：</w:t>
      </w:r>
      <w:r>
        <w:rPr>
          <w:rFonts w:hint="eastAsia" w:ascii="宋体" w:hAnsi="宋体"/>
          <w:color w:val="auto"/>
          <w:szCs w:val="21"/>
          <w:highlight w:val="none"/>
          <w:u w:val="single"/>
        </w:rPr>
        <w:t xml:space="preserve">                      </w:t>
      </w:r>
      <w:r>
        <w:rPr>
          <w:rFonts w:ascii="宋体" w:hAnsi="宋体"/>
          <w:color w:val="auto"/>
          <w:szCs w:val="21"/>
          <w:highlight w:val="none"/>
        </w:rPr>
        <w:t>；</w:t>
      </w:r>
    </w:p>
    <w:p w14:paraId="3A7171BC">
      <w:pPr>
        <w:spacing w:line="360" w:lineRule="auto"/>
        <w:ind w:firstLine="420" w:firstLineChars="200"/>
        <w:rPr>
          <w:rFonts w:ascii="宋体" w:hAnsi="宋体"/>
          <w:color w:val="auto"/>
          <w:szCs w:val="21"/>
          <w:highlight w:val="none"/>
        </w:rPr>
      </w:pPr>
      <w:r>
        <w:rPr>
          <w:rFonts w:ascii="宋体" w:hAnsi="宋体"/>
          <w:color w:val="auto"/>
          <w:szCs w:val="21"/>
          <w:highlight w:val="none"/>
        </w:rPr>
        <w:t>身份证号：</w:t>
      </w:r>
      <w:r>
        <w:rPr>
          <w:rFonts w:hint="eastAsia" w:ascii="宋体" w:hAnsi="宋体"/>
          <w:color w:val="auto"/>
          <w:szCs w:val="21"/>
          <w:highlight w:val="none"/>
          <w:u w:val="single"/>
        </w:rPr>
        <w:t xml:space="preserve">                      </w:t>
      </w:r>
      <w:r>
        <w:rPr>
          <w:rFonts w:ascii="宋体" w:hAnsi="宋体"/>
          <w:color w:val="auto"/>
          <w:szCs w:val="21"/>
          <w:highlight w:val="none"/>
        </w:rPr>
        <w:t>；</w:t>
      </w:r>
    </w:p>
    <w:p w14:paraId="3A785CB4">
      <w:pPr>
        <w:spacing w:line="360" w:lineRule="auto"/>
        <w:ind w:firstLine="420" w:firstLineChars="200"/>
        <w:rPr>
          <w:rFonts w:ascii="宋体" w:hAnsi="宋体"/>
          <w:color w:val="auto"/>
          <w:szCs w:val="21"/>
          <w:highlight w:val="none"/>
        </w:rPr>
      </w:pPr>
      <w:r>
        <w:rPr>
          <w:rFonts w:ascii="宋体" w:hAnsi="宋体"/>
          <w:color w:val="auto"/>
          <w:szCs w:val="21"/>
          <w:highlight w:val="none"/>
        </w:rPr>
        <w:t>职    务：</w:t>
      </w:r>
      <w:r>
        <w:rPr>
          <w:rFonts w:hint="eastAsia" w:ascii="宋体" w:hAnsi="宋体"/>
          <w:color w:val="auto"/>
          <w:szCs w:val="21"/>
          <w:highlight w:val="none"/>
          <w:u w:val="single"/>
        </w:rPr>
        <w:t xml:space="preserve">                      </w:t>
      </w:r>
      <w:r>
        <w:rPr>
          <w:rFonts w:ascii="宋体" w:hAnsi="宋体"/>
          <w:color w:val="auto"/>
          <w:szCs w:val="21"/>
          <w:highlight w:val="none"/>
        </w:rPr>
        <w:t>；</w:t>
      </w:r>
    </w:p>
    <w:p w14:paraId="02A244B0">
      <w:pPr>
        <w:spacing w:line="360" w:lineRule="auto"/>
        <w:ind w:firstLine="420" w:firstLineChars="200"/>
        <w:rPr>
          <w:rFonts w:ascii="宋体" w:hAnsi="宋体"/>
          <w:color w:val="auto"/>
          <w:szCs w:val="21"/>
          <w:highlight w:val="none"/>
        </w:rPr>
      </w:pPr>
      <w:r>
        <w:rPr>
          <w:rFonts w:ascii="宋体" w:hAnsi="宋体"/>
          <w:color w:val="auto"/>
          <w:szCs w:val="21"/>
          <w:highlight w:val="none"/>
        </w:rPr>
        <w:t>联系电话：</w:t>
      </w:r>
      <w:r>
        <w:rPr>
          <w:rFonts w:hint="eastAsia" w:ascii="宋体" w:hAnsi="宋体"/>
          <w:color w:val="auto"/>
          <w:szCs w:val="21"/>
          <w:highlight w:val="none"/>
          <w:u w:val="single"/>
        </w:rPr>
        <w:t xml:space="preserve">                      </w:t>
      </w:r>
      <w:r>
        <w:rPr>
          <w:rFonts w:ascii="宋体" w:hAnsi="宋体"/>
          <w:color w:val="auto"/>
          <w:szCs w:val="21"/>
          <w:highlight w:val="none"/>
        </w:rPr>
        <w:t>；</w:t>
      </w:r>
    </w:p>
    <w:p w14:paraId="3563DA2D">
      <w:pPr>
        <w:spacing w:line="360" w:lineRule="auto"/>
        <w:ind w:firstLine="420" w:firstLineChars="200"/>
        <w:rPr>
          <w:rFonts w:ascii="宋体" w:hAnsi="宋体"/>
          <w:color w:val="auto"/>
          <w:szCs w:val="21"/>
          <w:highlight w:val="none"/>
        </w:rPr>
      </w:pPr>
      <w:r>
        <w:rPr>
          <w:rFonts w:ascii="宋体" w:hAnsi="宋体"/>
          <w:color w:val="auto"/>
          <w:szCs w:val="21"/>
          <w:highlight w:val="none"/>
        </w:rPr>
        <w:t>电子信箱：</w:t>
      </w:r>
      <w:r>
        <w:rPr>
          <w:rFonts w:hint="eastAsia" w:ascii="宋体" w:hAnsi="宋体"/>
          <w:color w:val="auto"/>
          <w:szCs w:val="21"/>
          <w:highlight w:val="none"/>
          <w:u w:val="single"/>
        </w:rPr>
        <w:t xml:space="preserve">                      </w:t>
      </w:r>
      <w:r>
        <w:rPr>
          <w:rFonts w:ascii="宋体" w:hAnsi="宋体"/>
          <w:color w:val="auto"/>
          <w:szCs w:val="21"/>
          <w:highlight w:val="none"/>
        </w:rPr>
        <w:t>；</w:t>
      </w:r>
    </w:p>
    <w:p w14:paraId="59F6361D">
      <w:pPr>
        <w:spacing w:line="360" w:lineRule="auto"/>
        <w:ind w:firstLine="420" w:firstLineChars="200"/>
        <w:rPr>
          <w:rFonts w:ascii="宋体" w:hAnsi="宋体"/>
          <w:color w:val="auto"/>
          <w:szCs w:val="21"/>
          <w:highlight w:val="none"/>
        </w:rPr>
      </w:pPr>
      <w:r>
        <w:rPr>
          <w:rFonts w:ascii="宋体" w:hAnsi="宋体"/>
          <w:color w:val="auto"/>
          <w:szCs w:val="21"/>
          <w:highlight w:val="none"/>
        </w:rPr>
        <w:t>通信地址：</w:t>
      </w:r>
      <w:r>
        <w:rPr>
          <w:rFonts w:hint="eastAsia" w:ascii="宋体" w:hAnsi="宋体"/>
          <w:color w:val="auto"/>
          <w:szCs w:val="21"/>
          <w:highlight w:val="none"/>
          <w:u w:val="single"/>
        </w:rPr>
        <w:t xml:space="preserve">                      </w:t>
      </w:r>
      <w:r>
        <w:rPr>
          <w:rFonts w:ascii="宋体" w:hAnsi="宋体"/>
          <w:color w:val="auto"/>
          <w:szCs w:val="21"/>
          <w:highlight w:val="none"/>
        </w:rPr>
        <w:t>。</w:t>
      </w:r>
    </w:p>
    <w:p w14:paraId="69056F81">
      <w:pPr>
        <w:spacing w:line="360" w:lineRule="auto"/>
        <w:ind w:firstLine="420" w:firstLineChars="200"/>
        <w:rPr>
          <w:rFonts w:ascii="宋体" w:hAnsi="宋体"/>
          <w:color w:val="auto"/>
          <w:szCs w:val="21"/>
          <w:highlight w:val="none"/>
          <w:u w:val="single"/>
        </w:rPr>
      </w:pPr>
      <w:r>
        <w:rPr>
          <w:rFonts w:ascii="宋体" w:hAnsi="宋体"/>
          <w:color w:val="auto"/>
          <w:szCs w:val="21"/>
          <w:highlight w:val="none"/>
        </w:rPr>
        <w:t>发包人对发包人代表的授权范围如下：</w:t>
      </w:r>
      <w:r>
        <w:rPr>
          <w:rFonts w:hint="eastAsia" w:ascii="宋体" w:hAnsi="宋体"/>
          <w:color w:val="auto"/>
          <w:szCs w:val="21"/>
          <w:highlight w:val="none"/>
          <w:u w:val="single"/>
        </w:rPr>
        <w:t xml:space="preserve">                      。</w:t>
      </w:r>
    </w:p>
    <w:p w14:paraId="66F41FD1">
      <w:pPr>
        <w:keepNext/>
        <w:keepLines/>
        <w:spacing w:before="260" w:after="260" w:line="360" w:lineRule="auto"/>
        <w:outlineLvl w:val="2"/>
        <w:rPr>
          <w:rFonts w:ascii="宋体" w:hAnsi="宋体"/>
          <w:b/>
          <w:bCs/>
          <w:color w:val="auto"/>
          <w:sz w:val="32"/>
          <w:szCs w:val="32"/>
          <w:highlight w:val="none"/>
        </w:rPr>
      </w:pPr>
      <w:bookmarkStart w:id="543" w:name="_Toc495673382"/>
      <w:bookmarkStart w:id="544" w:name="_Toc508379717"/>
      <w:bookmarkStart w:id="545" w:name="_Toc19705"/>
      <w:bookmarkStart w:id="546" w:name="_Toc20498"/>
      <w:bookmarkStart w:id="547" w:name="_Toc373478351"/>
      <w:bookmarkStart w:id="548" w:name="_Toc407135206"/>
      <w:bookmarkStart w:id="549" w:name="_Toc373227704"/>
      <w:bookmarkStart w:id="550" w:name="_Toc389065270"/>
      <w:bookmarkStart w:id="551" w:name="_Toc86935867"/>
      <w:r>
        <w:rPr>
          <w:rFonts w:ascii="宋体" w:hAnsi="宋体"/>
          <w:b/>
          <w:bCs/>
          <w:color w:val="auto"/>
          <w:sz w:val="32"/>
          <w:szCs w:val="32"/>
          <w:highlight w:val="none"/>
        </w:rPr>
        <w:t>2.4 施工现场、施工条件和基础资料的提供</w:t>
      </w:r>
      <w:bookmarkEnd w:id="543"/>
      <w:bookmarkEnd w:id="544"/>
      <w:bookmarkEnd w:id="545"/>
      <w:bookmarkEnd w:id="546"/>
      <w:bookmarkEnd w:id="547"/>
      <w:bookmarkEnd w:id="548"/>
      <w:bookmarkEnd w:id="549"/>
      <w:bookmarkEnd w:id="550"/>
      <w:bookmarkEnd w:id="551"/>
    </w:p>
    <w:p w14:paraId="396FC597">
      <w:pPr>
        <w:spacing w:line="360" w:lineRule="auto"/>
        <w:ind w:firstLine="420" w:firstLineChars="200"/>
        <w:rPr>
          <w:rFonts w:ascii="宋体" w:hAnsi="宋体"/>
          <w:color w:val="auto"/>
          <w:szCs w:val="21"/>
          <w:highlight w:val="none"/>
        </w:rPr>
      </w:pPr>
      <w:r>
        <w:rPr>
          <w:rFonts w:ascii="宋体" w:hAnsi="宋体"/>
          <w:color w:val="auto"/>
          <w:szCs w:val="21"/>
          <w:highlight w:val="none"/>
        </w:rPr>
        <w:t>2.4.1 提供施工现场</w:t>
      </w:r>
    </w:p>
    <w:p w14:paraId="5E05025C">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关于发包人移交施工现场的期限要求：</w:t>
      </w:r>
      <w:r>
        <w:rPr>
          <w:rStyle w:val="35"/>
          <w:rFonts w:hint="eastAsia" w:ascii="宋体" w:hAnsi="宋体" w:eastAsia="宋体"/>
          <w:color w:val="auto"/>
          <w:highlight w:val="none"/>
          <w:u w:val="single"/>
        </w:rPr>
        <w:t xml:space="preserve">施工场地应当在监理人发出的开工通知中载明的开工日期前 </w:t>
      </w:r>
      <w:r>
        <w:rPr>
          <w:rStyle w:val="35"/>
          <w:rFonts w:hint="eastAsia" w:ascii="宋体" w:hAnsi="宋体" w:eastAsia="宋体"/>
          <w:color w:val="auto"/>
          <w:highlight w:val="none"/>
          <w:u w:val="single"/>
          <w:lang w:val="en-US" w:eastAsia="zh-CN"/>
        </w:rPr>
        <w:t xml:space="preserve"> </w:t>
      </w:r>
      <w:r>
        <w:rPr>
          <w:rStyle w:val="35"/>
          <w:rFonts w:hint="eastAsia" w:ascii="宋体" w:hAnsi="宋体" w:eastAsia="宋体"/>
          <w:color w:val="auto"/>
          <w:highlight w:val="none"/>
          <w:u w:val="single"/>
        </w:rPr>
        <w:t xml:space="preserve"> 天具备施工条件并移交给承包人</w:t>
      </w:r>
      <w:r>
        <w:rPr>
          <w:rFonts w:hint="eastAsia" w:ascii="宋体" w:hAnsi="宋体"/>
          <w:color w:val="auto"/>
          <w:szCs w:val="21"/>
          <w:highlight w:val="none"/>
          <w:u w:val="single"/>
        </w:rPr>
        <w:t xml:space="preserve"> </w:t>
      </w:r>
      <w:r>
        <w:rPr>
          <w:rFonts w:ascii="宋体" w:hAnsi="宋体"/>
          <w:color w:val="auto"/>
          <w:szCs w:val="21"/>
          <w:highlight w:val="none"/>
        </w:rPr>
        <w:t>。</w:t>
      </w:r>
    </w:p>
    <w:p w14:paraId="1664B1F6">
      <w:pPr>
        <w:spacing w:line="360" w:lineRule="auto"/>
        <w:ind w:firstLine="420" w:firstLineChars="200"/>
        <w:rPr>
          <w:rFonts w:ascii="宋体" w:hAnsi="宋体"/>
          <w:color w:val="auto"/>
          <w:szCs w:val="21"/>
          <w:highlight w:val="none"/>
        </w:rPr>
      </w:pPr>
      <w:r>
        <w:rPr>
          <w:rFonts w:ascii="宋体" w:hAnsi="宋体"/>
          <w:color w:val="auto"/>
          <w:szCs w:val="21"/>
          <w:highlight w:val="none"/>
        </w:rPr>
        <w:t>2.4.2 提供施工条件</w:t>
      </w:r>
    </w:p>
    <w:p w14:paraId="1E06DE5A">
      <w:pPr>
        <w:pStyle w:val="135"/>
        <w:widowControl/>
        <w:spacing w:line="360" w:lineRule="auto"/>
        <w:ind w:firstLine="424" w:firstLineChars="202"/>
        <w:rPr>
          <w:rStyle w:val="35"/>
          <w:rFonts w:hint="eastAsia" w:ascii="宋体" w:hAnsi="宋体" w:eastAsia="宋体"/>
          <w:b/>
          <w:color w:val="auto"/>
          <w:highlight w:val="none"/>
        </w:rPr>
      </w:pPr>
      <w:r>
        <w:rPr>
          <w:rFonts w:hint="eastAsia" w:asciiTheme="minorEastAsia" w:hAnsiTheme="minorEastAsia" w:eastAsiaTheme="minorEastAsia" w:cstheme="minorEastAsia"/>
          <w:color w:val="auto"/>
          <w:szCs w:val="21"/>
          <w:highlight w:val="none"/>
        </w:rPr>
        <w:t>关于发包人应负责提供施工所需要的条件，包括：</w:t>
      </w:r>
      <w:r>
        <w:rPr>
          <w:rStyle w:val="35"/>
          <w:rFonts w:hint="eastAsia" w:ascii="宋体" w:hAnsi="宋体" w:eastAsia="宋体"/>
          <w:color w:val="auto"/>
          <w:highlight w:val="none"/>
          <w:u w:val="single"/>
        </w:rPr>
        <w:t>①发包人最迟应当在移交施工场地的同时向承包人提供施工场地内地下管线和地下设施等有关资料</w:t>
      </w:r>
      <w:r>
        <w:rPr>
          <w:rStyle w:val="35"/>
          <w:rFonts w:hint="eastAsia" w:ascii="宋体" w:hAnsi="宋体" w:eastAsia="宋体"/>
          <w:color w:val="auto"/>
          <w:highlight w:val="none"/>
        </w:rPr>
        <w:t>，</w:t>
      </w:r>
      <w:r>
        <w:rPr>
          <w:rStyle w:val="35"/>
          <w:rFonts w:hint="eastAsia" w:ascii="宋体" w:hAnsi="宋体" w:eastAsia="宋体"/>
          <w:color w:val="auto"/>
          <w:highlight w:val="none"/>
          <w:u w:val="single"/>
        </w:rPr>
        <w:t>并保证资料的真实、准确和完整</w:t>
      </w:r>
      <w:r>
        <w:rPr>
          <w:rStyle w:val="35"/>
          <w:rFonts w:hint="eastAsia" w:ascii="宋体" w:hAnsi="宋体" w:eastAsia="宋体"/>
          <w:color w:val="auto"/>
          <w:highlight w:val="none"/>
        </w:rPr>
        <w:t>，</w:t>
      </w:r>
      <w:r>
        <w:rPr>
          <w:rStyle w:val="35"/>
          <w:rFonts w:hint="eastAsia" w:ascii="宋体" w:hAnsi="宋体" w:eastAsia="宋体"/>
          <w:color w:val="auto"/>
          <w:highlight w:val="none"/>
          <w:u w:val="single"/>
        </w:rPr>
        <w:t>组织设计交底等</w:t>
      </w:r>
      <w:r>
        <w:rPr>
          <w:rStyle w:val="35"/>
          <w:rFonts w:hint="eastAsia" w:ascii="宋体" w:hAnsi="宋体" w:eastAsia="宋体"/>
          <w:color w:val="auto"/>
          <w:highlight w:val="none"/>
        </w:rPr>
        <w:t>。</w:t>
      </w:r>
      <w:r>
        <w:rPr>
          <w:rStyle w:val="35"/>
          <w:rFonts w:hint="eastAsia" w:ascii="宋体" w:hAnsi="宋体" w:eastAsia="宋体"/>
          <w:color w:val="auto"/>
          <w:highlight w:val="none"/>
          <w:u w:val="single"/>
        </w:rPr>
        <w:t>②将施工所需的水、电线路接至施工场地的时间、地点和供应要求</w:t>
      </w:r>
      <w:r>
        <w:rPr>
          <w:rStyle w:val="35"/>
          <w:rFonts w:hint="eastAsia" w:ascii="宋体" w:hAnsi="宋体" w:eastAsia="宋体"/>
          <w:color w:val="auto"/>
          <w:highlight w:val="none"/>
        </w:rPr>
        <w:t>：</w:t>
      </w:r>
      <w:r>
        <w:rPr>
          <w:rStyle w:val="35"/>
          <w:rFonts w:hint="eastAsia" w:ascii="宋体" w:hAnsi="宋体" w:eastAsia="宋体"/>
          <w:color w:val="auto"/>
          <w:highlight w:val="none"/>
          <w:u w:val="single"/>
        </w:rPr>
        <w:t>发包人于开工前7日负责把水、电接口接至到施工场地</w:t>
      </w:r>
      <w:r>
        <w:rPr>
          <w:rStyle w:val="35"/>
          <w:rFonts w:hint="eastAsia" w:ascii="宋体" w:hAnsi="宋体" w:eastAsia="宋体"/>
          <w:color w:val="auto"/>
          <w:highlight w:val="none"/>
        </w:rPr>
        <w:t>，</w:t>
      </w:r>
      <w:r>
        <w:rPr>
          <w:rStyle w:val="35"/>
          <w:rFonts w:hint="eastAsia" w:ascii="宋体" w:hAnsi="宋体" w:eastAsia="宋体"/>
          <w:color w:val="auto"/>
          <w:highlight w:val="none"/>
          <w:u w:val="single"/>
        </w:rPr>
        <w:t>接口后的水、电线路由承包方自行负责</w:t>
      </w:r>
      <w:r>
        <w:rPr>
          <w:rStyle w:val="35"/>
          <w:rFonts w:hint="eastAsia" w:ascii="宋体" w:hAnsi="宋体" w:eastAsia="宋体"/>
          <w:color w:val="auto"/>
          <w:highlight w:val="none"/>
        </w:rPr>
        <w:t>。</w:t>
      </w:r>
      <w:r>
        <w:rPr>
          <w:rStyle w:val="35"/>
          <w:rFonts w:hint="eastAsia" w:ascii="宋体" w:hAnsi="宋体" w:eastAsia="宋体"/>
          <w:color w:val="auto"/>
          <w:highlight w:val="none"/>
          <w:u w:val="single"/>
        </w:rPr>
        <w:t>③水准点与座标控制点交验要求</w:t>
      </w:r>
      <w:r>
        <w:rPr>
          <w:rStyle w:val="35"/>
          <w:rFonts w:hint="eastAsia" w:ascii="宋体" w:hAnsi="宋体" w:eastAsia="宋体"/>
          <w:color w:val="auto"/>
          <w:highlight w:val="none"/>
        </w:rPr>
        <w:t>：</w:t>
      </w:r>
      <w:r>
        <w:rPr>
          <w:rStyle w:val="35"/>
          <w:rFonts w:hint="eastAsia" w:ascii="宋体" w:hAnsi="宋体" w:eastAsia="宋体"/>
          <w:color w:val="auto"/>
          <w:highlight w:val="none"/>
          <w:u w:val="single"/>
        </w:rPr>
        <w:t>于开工前7日内现场交验</w:t>
      </w:r>
      <w:r>
        <w:rPr>
          <w:rStyle w:val="35"/>
          <w:rFonts w:hint="eastAsia" w:ascii="宋体" w:hAnsi="宋体" w:eastAsia="宋体"/>
          <w:color w:val="auto"/>
          <w:highlight w:val="none"/>
        </w:rPr>
        <w:t>，</w:t>
      </w:r>
      <w:r>
        <w:rPr>
          <w:rStyle w:val="35"/>
          <w:rFonts w:hint="eastAsia" w:ascii="宋体" w:hAnsi="宋体" w:eastAsia="宋体"/>
          <w:color w:val="auto"/>
          <w:highlight w:val="none"/>
          <w:u w:val="single"/>
        </w:rPr>
        <w:t>双方做好签认工作</w:t>
      </w:r>
      <w:r>
        <w:rPr>
          <w:rStyle w:val="35"/>
          <w:rFonts w:hint="eastAsia" w:ascii="宋体" w:hAnsi="宋体" w:eastAsia="宋体"/>
          <w:color w:val="auto"/>
          <w:highlight w:val="none"/>
        </w:rPr>
        <w:t>。</w:t>
      </w:r>
      <w:r>
        <w:rPr>
          <w:rStyle w:val="35"/>
          <w:rFonts w:hint="eastAsia" w:ascii="宋体" w:hAnsi="宋体" w:eastAsia="宋体"/>
          <w:color w:val="auto"/>
          <w:highlight w:val="none"/>
          <w:u w:val="single"/>
        </w:rPr>
        <w:t>④由发包人办理的施工所需证件、批件的名称和完成时间</w:t>
      </w:r>
      <w:r>
        <w:rPr>
          <w:rStyle w:val="35"/>
          <w:rFonts w:hint="eastAsia" w:ascii="宋体" w:hAnsi="宋体" w:eastAsia="宋体"/>
          <w:color w:val="auto"/>
          <w:highlight w:val="none"/>
        </w:rPr>
        <w:t>：</w:t>
      </w:r>
      <w:r>
        <w:rPr>
          <w:rStyle w:val="35"/>
          <w:rFonts w:hint="eastAsia" w:ascii="宋体" w:hAnsi="宋体" w:eastAsia="宋体"/>
          <w:color w:val="auto"/>
          <w:highlight w:val="none"/>
          <w:u w:val="single"/>
        </w:rPr>
        <w:t>由发包人负责办理</w:t>
      </w:r>
      <w:r>
        <w:rPr>
          <w:rStyle w:val="35"/>
          <w:rFonts w:hint="eastAsia" w:ascii="宋体" w:hAnsi="宋体" w:eastAsia="宋体"/>
          <w:color w:val="auto"/>
          <w:highlight w:val="none"/>
        </w:rPr>
        <w:t>。</w:t>
      </w:r>
    </w:p>
    <w:p w14:paraId="65744BA8">
      <w:pPr>
        <w:spacing w:line="360" w:lineRule="auto"/>
        <w:ind w:firstLine="420" w:firstLineChars="200"/>
        <w:rPr>
          <w:rFonts w:ascii="宋体" w:hAnsi="宋体"/>
          <w:color w:val="auto"/>
          <w:szCs w:val="21"/>
          <w:highlight w:val="none"/>
          <w:u w:val="single"/>
        </w:rPr>
      </w:pPr>
    </w:p>
    <w:p w14:paraId="45EAB23B">
      <w:pPr>
        <w:keepNext/>
        <w:keepLines/>
        <w:spacing w:before="260" w:after="260" w:line="360" w:lineRule="auto"/>
        <w:outlineLvl w:val="2"/>
        <w:rPr>
          <w:rFonts w:ascii="宋体" w:hAnsi="宋体"/>
          <w:b/>
          <w:bCs/>
          <w:color w:val="auto"/>
          <w:sz w:val="32"/>
          <w:szCs w:val="32"/>
          <w:highlight w:val="none"/>
        </w:rPr>
      </w:pPr>
      <w:bookmarkStart w:id="552" w:name="_Toc389065271"/>
      <w:bookmarkStart w:id="553" w:name="_Toc495673383"/>
      <w:bookmarkStart w:id="554" w:name="_Toc21683"/>
      <w:bookmarkStart w:id="555" w:name="_Toc373227705"/>
      <w:bookmarkStart w:id="556" w:name="_Toc407135207"/>
      <w:bookmarkStart w:id="557" w:name="_Toc508379718"/>
      <w:bookmarkStart w:id="558" w:name="_Toc86935868"/>
      <w:bookmarkStart w:id="559" w:name="_Toc373478352"/>
      <w:bookmarkStart w:id="560" w:name="_Toc26235"/>
      <w:r>
        <w:rPr>
          <w:rFonts w:ascii="宋体" w:hAnsi="宋体"/>
          <w:b/>
          <w:bCs/>
          <w:color w:val="auto"/>
          <w:sz w:val="32"/>
          <w:szCs w:val="32"/>
          <w:highlight w:val="none"/>
        </w:rPr>
        <w:t>2.5 资金来源证明及支付担保</w:t>
      </w:r>
      <w:bookmarkEnd w:id="552"/>
      <w:bookmarkEnd w:id="553"/>
      <w:bookmarkEnd w:id="554"/>
      <w:bookmarkEnd w:id="555"/>
      <w:bookmarkEnd w:id="556"/>
      <w:bookmarkEnd w:id="557"/>
      <w:bookmarkEnd w:id="558"/>
      <w:bookmarkEnd w:id="559"/>
      <w:bookmarkEnd w:id="560"/>
    </w:p>
    <w:p w14:paraId="1EA96A76">
      <w:pPr>
        <w:spacing w:line="360" w:lineRule="auto"/>
        <w:ind w:firstLine="420" w:firstLineChars="200"/>
        <w:rPr>
          <w:rFonts w:ascii="宋体" w:hAnsi="宋体"/>
          <w:color w:val="auto"/>
          <w:szCs w:val="21"/>
          <w:highlight w:val="none"/>
        </w:rPr>
      </w:pPr>
      <w:r>
        <w:rPr>
          <w:rFonts w:ascii="宋体" w:hAnsi="宋体"/>
          <w:color w:val="auto"/>
          <w:szCs w:val="21"/>
          <w:highlight w:val="none"/>
        </w:rPr>
        <w:t>发包人是否提供支付担保：</w:t>
      </w:r>
      <w:r>
        <w:rPr>
          <w:rFonts w:hint="eastAsia" w:ascii="MingLiU_HKSCS" w:hAnsi="MingLiU_HKSCS" w:cs="MingLiU_HKSCS"/>
          <w:color w:val="auto"/>
          <w:szCs w:val="21"/>
          <w:highlight w:val="none"/>
          <w:u w:val="single"/>
        </w:rPr>
        <w:t>否</w:t>
      </w:r>
      <w:r>
        <w:rPr>
          <w:rFonts w:ascii="宋体" w:hAnsi="宋体"/>
          <w:color w:val="auto"/>
          <w:szCs w:val="21"/>
          <w:highlight w:val="none"/>
        </w:rPr>
        <w:t>。</w:t>
      </w:r>
    </w:p>
    <w:p w14:paraId="0BF5732C">
      <w:pPr>
        <w:keepNext/>
        <w:keepLines/>
        <w:spacing w:before="260" w:after="260" w:line="360" w:lineRule="auto"/>
        <w:outlineLvl w:val="1"/>
        <w:rPr>
          <w:rFonts w:ascii="宋体" w:hAnsi="宋体"/>
          <w:b/>
          <w:bCs/>
          <w:color w:val="auto"/>
          <w:sz w:val="32"/>
          <w:szCs w:val="32"/>
          <w:highlight w:val="none"/>
        </w:rPr>
      </w:pPr>
      <w:bookmarkStart w:id="561" w:name="_Toc495673384"/>
      <w:bookmarkStart w:id="562" w:name="_Toc351203635"/>
      <w:bookmarkStart w:id="563" w:name="_Toc389065272"/>
      <w:bookmarkStart w:id="564" w:name="_Toc373478353"/>
      <w:bookmarkStart w:id="565" w:name="_Toc508379719"/>
      <w:bookmarkStart w:id="566" w:name="_Toc373227706"/>
      <w:bookmarkStart w:id="567" w:name="_Toc86935869"/>
      <w:bookmarkStart w:id="568" w:name="_Toc407135208"/>
      <w:bookmarkStart w:id="569" w:name="_Toc14024"/>
      <w:bookmarkStart w:id="570" w:name="_Toc26681"/>
      <w:r>
        <w:rPr>
          <w:rFonts w:ascii="宋体" w:hAnsi="宋体"/>
          <w:b/>
          <w:bCs/>
          <w:color w:val="auto"/>
          <w:sz w:val="32"/>
          <w:szCs w:val="32"/>
          <w:highlight w:val="none"/>
        </w:rPr>
        <w:t>3</w:t>
      </w:r>
      <w:bookmarkStart w:id="571" w:name="_Toc297048344"/>
      <w:bookmarkStart w:id="572" w:name="_Toc296890986"/>
      <w:bookmarkStart w:id="573" w:name="_Toc296944497"/>
      <w:bookmarkStart w:id="574" w:name="_Toc296503158"/>
      <w:bookmarkStart w:id="575" w:name="_Toc297120458"/>
      <w:bookmarkStart w:id="576" w:name="_Toc296347157"/>
      <w:bookmarkStart w:id="577" w:name="_Toc292559363"/>
      <w:bookmarkStart w:id="578" w:name="_Toc292559868"/>
      <w:bookmarkStart w:id="579" w:name="_Toc296346659"/>
      <w:bookmarkStart w:id="580" w:name="_Toc296891198"/>
      <w:r>
        <w:rPr>
          <w:rFonts w:ascii="宋体" w:hAnsi="宋体"/>
          <w:b/>
          <w:bCs/>
          <w:color w:val="auto"/>
          <w:sz w:val="32"/>
          <w:szCs w:val="32"/>
          <w:highlight w:val="none"/>
        </w:rPr>
        <w:t>. 承包人</w:t>
      </w:r>
      <w:bookmarkEnd w:id="561"/>
      <w:bookmarkEnd w:id="562"/>
      <w:bookmarkEnd w:id="563"/>
      <w:bookmarkEnd w:id="564"/>
      <w:bookmarkEnd w:id="565"/>
      <w:bookmarkEnd w:id="566"/>
      <w:bookmarkEnd w:id="567"/>
      <w:bookmarkEnd w:id="568"/>
      <w:bookmarkEnd w:id="569"/>
      <w:bookmarkEnd w:id="570"/>
    </w:p>
    <w:bookmarkEnd w:id="571"/>
    <w:bookmarkEnd w:id="572"/>
    <w:bookmarkEnd w:id="573"/>
    <w:bookmarkEnd w:id="574"/>
    <w:bookmarkEnd w:id="575"/>
    <w:bookmarkEnd w:id="576"/>
    <w:bookmarkEnd w:id="577"/>
    <w:bookmarkEnd w:id="578"/>
    <w:bookmarkEnd w:id="579"/>
    <w:bookmarkEnd w:id="580"/>
    <w:p w14:paraId="56B7FB87">
      <w:pPr>
        <w:keepNext/>
        <w:keepLines/>
        <w:spacing w:before="260" w:after="260" w:line="360" w:lineRule="auto"/>
        <w:outlineLvl w:val="2"/>
        <w:rPr>
          <w:rFonts w:ascii="宋体" w:hAnsi="宋体"/>
          <w:b/>
          <w:bCs/>
          <w:color w:val="auto"/>
          <w:sz w:val="32"/>
          <w:szCs w:val="32"/>
          <w:highlight w:val="none"/>
        </w:rPr>
      </w:pPr>
      <w:bookmarkStart w:id="581" w:name="_Toc389065273"/>
      <w:bookmarkStart w:id="582" w:name="_Toc495673385"/>
      <w:bookmarkStart w:id="583" w:name="_Toc373227707"/>
      <w:bookmarkStart w:id="584" w:name="_Toc407135209"/>
      <w:bookmarkStart w:id="585" w:name="_Toc12087"/>
      <w:bookmarkStart w:id="586" w:name="_Toc373478354"/>
      <w:bookmarkStart w:id="587" w:name="_Toc508379720"/>
      <w:bookmarkStart w:id="588" w:name="_Toc86935870"/>
      <w:bookmarkStart w:id="589" w:name="_Toc14451"/>
      <w:r>
        <w:rPr>
          <w:rFonts w:ascii="宋体" w:hAnsi="宋体"/>
          <w:b/>
          <w:bCs/>
          <w:color w:val="auto"/>
          <w:sz w:val="32"/>
          <w:szCs w:val="32"/>
          <w:highlight w:val="none"/>
        </w:rPr>
        <w:t>3.1 承包人的一般义务</w:t>
      </w:r>
      <w:bookmarkEnd w:id="581"/>
      <w:bookmarkEnd w:id="582"/>
      <w:bookmarkEnd w:id="583"/>
      <w:bookmarkEnd w:id="584"/>
      <w:bookmarkEnd w:id="585"/>
      <w:bookmarkEnd w:id="586"/>
      <w:bookmarkEnd w:id="587"/>
      <w:bookmarkEnd w:id="588"/>
      <w:bookmarkEnd w:id="589"/>
    </w:p>
    <w:p w14:paraId="12E6D141">
      <w:pPr>
        <w:pStyle w:val="135"/>
        <w:widowControl/>
        <w:spacing w:line="360" w:lineRule="auto"/>
        <w:ind w:firstLine="420" w:firstLineChars="200"/>
        <w:rPr>
          <w:rStyle w:val="35"/>
          <w:rFonts w:hint="eastAsia" w:ascii="宋体" w:hAnsi="宋体" w:eastAsia="宋体"/>
          <w:color w:val="auto"/>
          <w:highlight w:val="none"/>
        </w:rPr>
      </w:pPr>
      <w:bookmarkStart w:id="590" w:name="_Toc468214052"/>
      <w:r>
        <w:rPr>
          <w:rStyle w:val="35"/>
          <w:rFonts w:hint="eastAsia" w:ascii="宋体" w:hAnsi="宋体" w:eastAsia="宋体"/>
          <w:color w:val="auto"/>
          <w:highlight w:val="none"/>
        </w:rPr>
        <w:t>（1）承包人应按合同约定以及监理人作出的指示，实施、完成全部工程，并修补工程中的任何缺陷。</w:t>
      </w:r>
      <w:bookmarkEnd w:id="590"/>
    </w:p>
    <w:p w14:paraId="3D4C94FC">
      <w:pPr>
        <w:pStyle w:val="135"/>
        <w:widowControl/>
        <w:spacing w:line="360" w:lineRule="auto"/>
        <w:ind w:firstLine="424" w:firstLineChars="202"/>
        <w:rPr>
          <w:rStyle w:val="35"/>
          <w:rFonts w:hint="eastAsia" w:ascii="宋体" w:hAnsi="宋体" w:eastAsia="宋体"/>
          <w:color w:val="auto"/>
          <w:highlight w:val="none"/>
        </w:rPr>
      </w:pPr>
      <w:r>
        <w:rPr>
          <w:rStyle w:val="35"/>
          <w:rFonts w:hint="eastAsia" w:ascii="宋体" w:hAnsi="宋体" w:eastAsia="宋体"/>
          <w:color w:val="auto"/>
          <w:highlight w:val="none"/>
        </w:rPr>
        <w:t>（2）承包人应按合同约定的工作内容和施工进度要求，编制施工组织设计，并对所有施工作业和施工方法的完备性和安全可靠性负责。</w:t>
      </w:r>
    </w:p>
    <w:p w14:paraId="6CEDD31A">
      <w:pPr>
        <w:pStyle w:val="135"/>
        <w:widowControl/>
        <w:spacing w:line="360" w:lineRule="auto"/>
        <w:ind w:firstLine="424" w:firstLineChars="202"/>
        <w:rPr>
          <w:rStyle w:val="35"/>
          <w:rFonts w:hint="eastAsia" w:ascii="宋体" w:hAnsi="宋体" w:eastAsia="宋体"/>
          <w:color w:val="auto"/>
          <w:highlight w:val="none"/>
        </w:rPr>
      </w:pPr>
      <w:r>
        <w:rPr>
          <w:rStyle w:val="35"/>
          <w:rFonts w:hint="eastAsia" w:ascii="宋体" w:hAnsi="宋体" w:eastAsia="宋体"/>
          <w:color w:val="auto"/>
          <w:highlight w:val="none"/>
        </w:rPr>
        <w:t>（3）承包人应按约定采取施工安全措施，确保工程及其人员、材料、设备和设施的安全，防止因工程施工造成的人身伤害和财产损失。</w:t>
      </w:r>
    </w:p>
    <w:p w14:paraId="518E57E1">
      <w:pPr>
        <w:pStyle w:val="135"/>
        <w:widowControl/>
        <w:spacing w:line="360" w:lineRule="auto"/>
        <w:ind w:firstLine="424" w:firstLineChars="202"/>
        <w:rPr>
          <w:rStyle w:val="35"/>
          <w:rFonts w:hint="eastAsia" w:ascii="宋体" w:hAnsi="宋体" w:eastAsia="宋体"/>
          <w:color w:val="auto"/>
          <w:highlight w:val="none"/>
        </w:rPr>
      </w:pPr>
      <w:r>
        <w:rPr>
          <w:rStyle w:val="35"/>
          <w:rFonts w:hint="eastAsia" w:ascii="宋体" w:hAnsi="宋体" w:eastAsia="宋体"/>
          <w:color w:val="auto"/>
          <w:highlight w:val="none"/>
        </w:rPr>
        <w:t>（4）承包人应确保及时支付专业承包人和劳务分包人的工程款或报酬，及时支付临时聘用人员的工资。</w:t>
      </w:r>
    </w:p>
    <w:p w14:paraId="2C362B3F">
      <w:pPr>
        <w:pStyle w:val="135"/>
        <w:widowControl/>
        <w:spacing w:line="360" w:lineRule="auto"/>
        <w:ind w:firstLine="424" w:firstLineChars="202"/>
        <w:rPr>
          <w:rStyle w:val="35"/>
          <w:rFonts w:hint="eastAsia" w:ascii="宋体" w:hAnsi="宋体" w:eastAsia="宋体"/>
          <w:color w:val="auto"/>
          <w:highlight w:val="none"/>
        </w:rPr>
      </w:pPr>
      <w:r>
        <w:rPr>
          <w:rStyle w:val="35"/>
          <w:rFonts w:hint="eastAsia" w:ascii="宋体" w:hAnsi="宋体" w:eastAsia="宋体"/>
          <w:color w:val="auto"/>
          <w:highlight w:val="none"/>
        </w:rPr>
        <w:t>（5）承包人应按照约定负责施工场地及其周边环境与生态的保护工作。</w:t>
      </w:r>
    </w:p>
    <w:p w14:paraId="38969857">
      <w:pPr>
        <w:pStyle w:val="135"/>
        <w:widowControl/>
        <w:spacing w:line="360" w:lineRule="auto"/>
        <w:ind w:firstLine="424" w:firstLineChars="202"/>
        <w:rPr>
          <w:rStyle w:val="35"/>
          <w:rFonts w:hint="eastAsia" w:ascii="宋体" w:hAnsi="宋体" w:eastAsia="宋体"/>
          <w:color w:val="auto"/>
          <w:highlight w:val="none"/>
        </w:rPr>
      </w:pPr>
      <w:r>
        <w:rPr>
          <w:rStyle w:val="35"/>
          <w:rFonts w:hint="eastAsia" w:ascii="宋体" w:hAnsi="宋体" w:eastAsia="宋体"/>
          <w:color w:val="auto"/>
          <w:highlight w:val="none"/>
        </w:rPr>
        <w:t>（6）承包人应将本单位形成的工程文件立卷，并负责收集、汇总各分包单位形成的工程档案，及时向发包人移交；</w:t>
      </w:r>
    </w:p>
    <w:p w14:paraId="630F7FC1">
      <w:pPr>
        <w:pStyle w:val="135"/>
        <w:widowControl/>
        <w:spacing w:line="360" w:lineRule="auto"/>
        <w:ind w:firstLine="424" w:firstLineChars="202"/>
        <w:rPr>
          <w:rStyle w:val="35"/>
          <w:rFonts w:hint="eastAsia" w:ascii="宋体" w:hAnsi="宋体" w:eastAsia="宋体"/>
          <w:color w:val="auto"/>
          <w:highlight w:val="none"/>
        </w:rPr>
      </w:pPr>
      <w:r>
        <w:rPr>
          <w:rStyle w:val="35"/>
          <w:rFonts w:hint="eastAsia" w:ascii="宋体" w:hAnsi="宋体" w:eastAsia="宋体"/>
          <w:color w:val="auto"/>
          <w:highlight w:val="none"/>
        </w:rPr>
        <w:t>（7）承包人应按监理人的指示为他人在施工现场或附近实施与工程有关的其他各项工作提供可能的条件。</w:t>
      </w:r>
    </w:p>
    <w:p w14:paraId="09DBBCAB">
      <w:pPr>
        <w:pStyle w:val="135"/>
        <w:widowControl/>
        <w:spacing w:line="360" w:lineRule="auto"/>
        <w:ind w:firstLine="424" w:firstLineChars="202"/>
        <w:rPr>
          <w:rStyle w:val="35"/>
          <w:rFonts w:hint="eastAsia" w:ascii="宋体" w:hAnsi="宋体" w:eastAsia="宋体"/>
          <w:color w:val="auto"/>
          <w:highlight w:val="none"/>
        </w:rPr>
      </w:pPr>
      <w:r>
        <w:rPr>
          <w:rStyle w:val="35"/>
          <w:rFonts w:hint="eastAsia" w:ascii="宋体" w:hAnsi="宋体" w:eastAsia="宋体"/>
          <w:color w:val="auto"/>
          <w:highlight w:val="none"/>
        </w:rPr>
        <w:t>（8）工程接收证书颁发前，承包人应负责照管和维护工程。工程接收证书颁发时尚有部分未竣工工程的，承包人还应负责该未竣工工程的照管和维护工作，直至竣工后移交给发包人为止。</w:t>
      </w:r>
    </w:p>
    <w:p w14:paraId="1E242293">
      <w:pPr>
        <w:pStyle w:val="137"/>
        <w:widowControl/>
        <w:spacing w:line="360" w:lineRule="auto"/>
        <w:ind w:firstLine="424" w:firstLineChars="202"/>
        <w:rPr>
          <w:rStyle w:val="35"/>
          <w:rFonts w:hint="eastAsia" w:ascii="宋体" w:hAnsi="宋体" w:eastAsia="宋体"/>
          <w:color w:val="auto"/>
          <w:kern w:val="0"/>
          <w:highlight w:val="none"/>
        </w:rPr>
      </w:pPr>
      <w:r>
        <w:rPr>
          <w:rStyle w:val="35"/>
          <w:rFonts w:hint="eastAsia" w:ascii="宋体" w:hAnsi="宋体" w:eastAsia="宋体"/>
          <w:color w:val="auto"/>
          <w:kern w:val="0"/>
          <w:highlight w:val="none"/>
        </w:rPr>
        <w:t>（9）承包人未能按照合同约定履行其他义务的。</w:t>
      </w:r>
    </w:p>
    <w:p w14:paraId="295BEB3E">
      <w:pPr>
        <w:pStyle w:val="135"/>
        <w:widowControl/>
        <w:spacing w:line="360" w:lineRule="auto"/>
        <w:ind w:firstLine="424" w:firstLineChars="202"/>
        <w:rPr>
          <w:rStyle w:val="35"/>
          <w:rFonts w:hint="eastAsia" w:ascii="宋体" w:hAnsi="宋体" w:eastAsia="宋体"/>
          <w:color w:val="auto"/>
          <w:kern w:val="0"/>
          <w:highlight w:val="none"/>
        </w:rPr>
      </w:pPr>
      <w:r>
        <w:rPr>
          <w:rStyle w:val="35"/>
          <w:rFonts w:hint="eastAsia" w:ascii="宋体" w:hAnsi="宋体" w:eastAsia="宋体"/>
          <w:color w:val="auto"/>
          <w:kern w:val="0"/>
          <w:highlight w:val="none"/>
        </w:rPr>
        <w:t>（10）承包人提交的竣工资料的内容：</w:t>
      </w:r>
      <w:r>
        <w:rPr>
          <w:rStyle w:val="35"/>
          <w:rFonts w:hint="eastAsia" w:ascii="宋体" w:hAnsi="宋体" w:eastAsia="宋体"/>
          <w:color w:val="auto"/>
          <w:kern w:val="0"/>
          <w:highlight w:val="none"/>
          <w:u w:val="single"/>
        </w:rPr>
        <w:t>按照法律规定和合同约定编制竣工资料</w:t>
      </w:r>
      <w:r>
        <w:rPr>
          <w:rStyle w:val="35"/>
          <w:rFonts w:hint="eastAsia" w:ascii="宋体" w:hAnsi="宋体" w:eastAsia="宋体"/>
          <w:color w:val="auto"/>
          <w:kern w:val="0"/>
          <w:highlight w:val="none"/>
        </w:rPr>
        <w:t>，</w:t>
      </w:r>
      <w:r>
        <w:rPr>
          <w:rStyle w:val="35"/>
          <w:rFonts w:hint="eastAsia" w:ascii="宋体" w:hAnsi="宋体" w:eastAsia="宋体"/>
          <w:color w:val="auto"/>
          <w:kern w:val="0"/>
          <w:highlight w:val="none"/>
          <w:u w:val="single"/>
        </w:rPr>
        <w:t>完成竣工资料立卷及归档</w:t>
      </w:r>
      <w:r>
        <w:rPr>
          <w:rStyle w:val="35"/>
          <w:rFonts w:hint="eastAsia" w:ascii="宋体" w:hAnsi="宋体" w:eastAsia="宋体"/>
          <w:color w:val="auto"/>
          <w:kern w:val="0"/>
          <w:highlight w:val="none"/>
        </w:rPr>
        <w:t>，</w:t>
      </w:r>
      <w:r>
        <w:rPr>
          <w:rStyle w:val="35"/>
          <w:rFonts w:hint="eastAsia" w:ascii="宋体" w:hAnsi="宋体" w:eastAsia="宋体"/>
          <w:color w:val="auto"/>
          <w:kern w:val="0"/>
          <w:highlight w:val="none"/>
          <w:u w:val="single"/>
        </w:rPr>
        <w:t>并按如下约定的竣工资料的套数、内容、时间等要求移交发包人</w:t>
      </w:r>
      <w:r>
        <w:rPr>
          <w:rStyle w:val="35"/>
          <w:rFonts w:hint="eastAsia" w:ascii="宋体" w:hAnsi="宋体" w:eastAsia="宋体"/>
          <w:color w:val="auto"/>
          <w:kern w:val="0"/>
          <w:highlight w:val="none"/>
        </w:rPr>
        <w:t>；</w:t>
      </w:r>
    </w:p>
    <w:p w14:paraId="2F52FD2C">
      <w:pPr>
        <w:pStyle w:val="135"/>
        <w:widowControl/>
        <w:spacing w:line="360" w:lineRule="auto"/>
        <w:ind w:firstLine="424" w:firstLineChars="202"/>
        <w:rPr>
          <w:rStyle w:val="35"/>
          <w:rFonts w:hint="eastAsia" w:ascii="宋体" w:hAnsi="宋体" w:eastAsia="宋体"/>
          <w:color w:val="auto"/>
          <w:kern w:val="0"/>
          <w:highlight w:val="none"/>
        </w:rPr>
      </w:pPr>
      <w:r>
        <w:rPr>
          <w:rStyle w:val="35"/>
          <w:rFonts w:hint="eastAsia" w:ascii="宋体" w:hAnsi="宋体" w:eastAsia="宋体"/>
          <w:color w:val="auto"/>
          <w:kern w:val="0"/>
          <w:highlight w:val="none"/>
        </w:rPr>
        <w:t>承包人提交的竣工资料的内容：</w:t>
      </w:r>
      <w:r>
        <w:rPr>
          <w:rStyle w:val="35"/>
          <w:rFonts w:hint="eastAsia" w:ascii="宋体" w:hAnsi="宋体" w:eastAsia="宋体"/>
          <w:color w:val="auto"/>
          <w:kern w:val="0"/>
          <w:highlight w:val="none"/>
          <w:u w:val="single"/>
        </w:rPr>
        <w:t>按竣工资料移交的有关规定办理</w:t>
      </w:r>
      <w:r>
        <w:rPr>
          <w:rStyle w:val="35"/>
          <w:rFonts w:hint="eastAsia" w:ascii="宋体" w:hAnsi="宋体" w:eastAsia="宋体"/>
          <w:color w:val="auto"/>
          <w:kern w:val="0"/>
          <w:highlight w:val="none"/>
        </w:rPr>
        <w:t>。</w:t>
      </w:r>
    </w:p>
    <w:p w14:paraId="4903B7CD">
      <w:pPr>
        <w:pStyle w:val="135"/>
        <w:widowControl/>
        <w:spacing w:line="360" w:lineRule="auto"/>
        <w:ind w:firstLine="424" w:firstLineChars="202"/>
        <w:rPr>
          <w:rStyle w:val="35"/>
          <w:rFonts w:hint="eastAsia" w:ascii="宋体" w:hAnsi="宋体" w:eastAsia="宋体"/>
          <w:color w:val="auto"/>
          <w:kern w:val="0"/>
          <w:highlight w:val="none"/>
        </w:rPr>
      </w:pPr>
      <w:r>
        <w:rPr>
          <w:rStyle w:val="35"/>
          <w:rFonts w:hint="eastAsia" w:ascii="宋体" w:hAnsi="宋体" w:eastAsia="宋体"/>
          <w:color w:val="auto"/>
          <w:kern w:val="0"/>
          <w:highlight w:val="none"/>
        </w:rPr>
        <w:t>承包人提交竣工资料份数：</w:t>
      </w:r>
      <w:r>
        <w:rPr>
          <w:rStyle w:val="35"/>
          <w:rFonts w:hint="eastAsia" w:ascii="宋体" w:hAnsi="宋体" w:eastAsia="宋体"/>
          <w:color w:val="auto"/>
          <w:kern w:val="0"/>
          <w:highlight w:val="none"/>
          <w:u w:val="single"/>
        </w:rPr>
        <w:t>陆份</w:t>
      </w:r>
      <w:r>
        <w:rPr>
          <w:rStyle w:val="35"/>
          <w:rFonts w:hint="eastAsia" w:ascii="宋体" w:hAnsi="宋体" w:eastAsia="宋体"/>
          <w:color w:val="auto"/>
          <w:kern w:val="0"/>
          <w:highlight w:val="none"/>
        </w:rPr>
        <w:t>。</w:t>
      </w:r>
    </w:p>
    <w:p w14:paraId="390C96FD">
      <w:pPr>
        <w:pStyle w:val="135"/>
        <w:widowControl/>
        <w:spacing w:line="360" w:lineRule="auto"/>
        <w:ind w:firstLine="424" w:firstLineChars="202"/>
        <w:rPr>
          <w:rStyle w:val="35"/>
          <w:rFonts w:hint="eastAsia" w:ascii="宋体" w:hAnsi="宋体" w:eastAsia="宋体"/>
          <w:color w:val="auto"/>
          <w:kern w:val="0"/>
          <w:highlight w:val="none"/>
        </w:rPr>
      </w:pPr>
      <w:r>
        <w:rPr>
          <w:rStyle w:val="35"/>
          <w:rFonts w:hint="eastAsia" w:ascii="宋体" w:hAnsi="宋体" w:eastAsia="宋体"/>
          <w:color w:val="auto"/>
          <w:kern w:val="0"/>
          <w:highlight w:val="none"/>
        </w:rPr>
        <w:t>承包人提交的竣工资料的费用承担：</w:t>
      </w:r>
      <w:r>
        <w:rPr>
          <w:rStyle w:val="35"/>
          <w:rFonts w:hint="eastAsia" w:ascii="宋体" w:hAnsi="宋体" w:eastAsia="宋体"/>
          <w:color w:val="auto"/>
          <w:kern w:val="0"/>
          <w:highlight w:val="none"/>
          <w:u w:val="single"/>
        </w:rPr>
        <w:t>由承包人承担</w:t>
      </w:r>
      <w:r>
        <w:rPr>
          <w:rStyle w:val="35"/>
          <w:rFonts w:hint="eastAsia" w:ascii="宋体" w:hAnsi="宋体" w:eastAsia="宋体"/>
          <w:color w:val="auto"/>
          <w:kern w:val="0"/>
          <w:highlight w:val="none"/>
        </w:rPr>
        <w:t>。</w:t>
      </w:r>
    </w:p>
    <w:p w14:paraId="7DA8D4BE">
      <w:pPr>
        <w:pStyle w:val="135"/>
        <w:widowControl/>
        <w:spacing w:line="360" w:lineRule="auto"/>
        <w:ind w:firstLine="424" w:firstLineChars="202"/>
        <w:rPr>
          <w:rStyle w:val="35"/>
          <w:rFonts w:hint="eastAsia" w:ascii="宋体" w:hAnsi="宋体" w:eastAsia="宋体"/>
          <w:color w:val="auto"/>
          <w:kern w:val="0"/>
          <w:highlight w:val="none"/>
        </w:rPr>
      </w:pPr>
      <w:r>
        <w:rPr>
          <w:rStyle w:val="35"/>
          <w:rFonts w:hint="eastAsia" w:ascii="宋体" w:hAnsi="宋体" w:eastAsia="宋体"/>
          <w:color w:val="auto"/>
          <w:kern w:val="0"/>
          <w:highlight w:val="none"/>
        </w:rPr>
        <w:t>承包人提交的竣工资料移交时间：</w:t>
      </w:r>
      <w:r>
        <w:rPr>
          <w:rStyle w:val="35"/>
          <w:rFonts w:hint="eastAsia" w:ascii="宋体" w:hAnsi="宋体" w:eastAsia="宋体"/>
          <w:color w:val="auto"/>
          <w:kern w:val="0"/>
          <w:highlight w:val="none"/>
          <w:u w:val="single"/>
        </w:rPr>
        <w:t>竣工验收正式通过后15天内</w:t>
      </w:r>
      <w:r>
        <w:rPr>
          <w:rStyle w:val="35"/>
          <w:rFonts w:hint="eastAsia" w:ascii="宋体" w:hAnsi="宋体" w:eastAsia="宋体"/>
          <w:color w:val="auto"/>
          <w:kern w:val="0"/>
          <w:highlight w:val="none"/>
        </w:rPr>
        <w:t>。</w:t>
      </w:r>
    </w:p>
    <w:p w14:paraId="728C94D1">
      <w:pPr>
        <w:pStyle w:val="135"/>
        <w:widowControl/>
        <w:spacing w:line="360" w:lineRule="auto"/>
        <w:ind w:firstLine="424" w:firstLineChars="202"/>
        <w:rPr>
          <w:rStyle w:val="35"/>
          <w:rFonts w:hint="eastAsia" w:ascii="宋体" w:hAnsi="宋体" w:eastAsia="宋体"/>
          <w:color w:val="auto"/>
          <w:kern w:val="0"/>
          <w:highlight w:val="none"/>
        </w:rPr>
      </w:pPr>
      <w:r>
        <w:rPr>
          <w:rStyle w:val="35"/>
          <w:rFonts w:hint="eastAsia" w:ascii="宋体" w:hAnsi="宋体" w:eastAsia="宋体"/>
          <w:color w:val="auto"/>
          <w:kern w:val="0"/>
          <w:highlight w:val="none"/>
        </w:rPr>
        <w:t>承包人提交的竣工资料形式要求：</w:t>
      </w:r>
      <w:r>
        <w:rPr>
          <w:rStyle w:val="35"/>
          <w:rFonts w:hint="eastAsia" w:ascii="宋体" w:hAnsi="宋体" w:eastAsia="宋体"/>
          <w:color w:val="auto"/>
          <w:kern w:val="0"/>
          <w:highlight w:val="none"/>
          <w:u w:val="single"/>
        </w:rPr>
        <w:t>按竣工资料移交的有关规定办理</w:t>
      </w:r>
      <w:r>
        <w:rPr>
          <w:rStyle w:val="35"/>
          <w:rFonts w:hint="eastAsia" w:ascii="宋体" w:hAnsi="宋体" w:eastAsia="宋体"/>
          <w:color w:val="auto"/>
          <w:kern w:val="0"/>
          <w:highlight w:val="none"/>
        </w:rPr>
        <w:t>。</w:t>
      </w:r>
    </w:p>
    <w:p w14:paraId="12C24BF7">
      <w:pPr>
        <w:pStyle w:val="135"/>
        <w:widowControl/>
        <w:spacing w:line="360" w:lineRule="auto"/>
        <w:ind w:firstLine="424" w:firstLineChars="202"/>
        <w:rPr>
          <w:rStyle w:val="35"/>
          <w:rFonts w:hint="eastAsia" w:ascii="宋体" w:hAnsi="宋体" w:eastAsia="宋体"/>
          <w:color w:val="auto"/>
          <w:kern w:val="0"/>
          <w:highlight w:val="none"/>
        </w:rPr>
      </w:pPr>
      <w:r>
        <w:rPr>
          <w:rStyle w:val="35"/>
          <w:rFonts w:hint="eastAsia" w:ascii="宋体" w:hAnsi="宋体" w:eastAsia="宋体"/>
          <w:color w:val="auto"/>
          <w:kern w:val="0"/>
          <w:highlight w:val="none"/>
        </w:rPr>
        <w:t>（11）承包人应履行的其他义务：</w:t>
      </w:r>
      <w:r>
        <w:rPr>
          <w:rStyle w:val="35"/>
          <w:rFonts w:hint="eastAsia" w:ascii="宋体" w:hAnsi="宋体" w:eastAsia="宋体"/>
          <w:color w:val="auto"/>
          <w:kern w:val="0"/>
          <w:highlight w:val="none"/>
          <w:u w:val="single"/>
        </w:rPr>
        <w:t>对开工的项目，须组建项目工会，全面完成合同约定的有关承包人的义务</w:t>
      </w:r>
      <w:r>
        <w:rPr>
          <w:rStyle w:val="35"/>
          <w:rFonts w:hint="eastAsia" w:ascii="宋体" w:hAnsi="宋体" w:eastAsia="宋体"/>
          <w:color w:val="auto"/>
          <w:kern w:val="0"/>
          <w:highlight w:val="none"/>
        </w:rPr>
        <w:t>，</w:t>
      </w:r>
      <w:r>
        <w:rPr>
          <w:rStyle w:val="35"/>
          <w:rFonts w:hint="eastAsia" w:ascii="宋体" w:hAnsi="宋体" w:eastAsia="宋体"/>
          <w:color w:val="auto"/>
          <w:kern w:val="0"/>
          <w:highlight w:val="none"/>
          <w:u w:val="single"/>
        </w:rPr>
        <w:t>包括但不限于</w:t>
      </w:r>
      <w:r>
        <w:rPr>
          <w:rStyle w:val="35"/>
          <w:rFonts w:hint="eastAsia" w:ascii="宋体" w:hAnsi="宋体" w:eastAsia="宋体"/>
          <w:color w:val="auto"/>
          <w:kern w:val="0"/>
          <w:highlight w:val="none"/>
        </w:rPr>
        <w:t>：</w:t>
      </w:r>
      <w:r>
        <w:rPr>
          <w:rStyle w:val="35"/>
          <w:rFonts w:hint="eastAsia" w:ascii="宋体" w:hAnsi="宋体" w:eastAsia="宋体"/>
          <w:color w:val="auto"/>
          <w:kern w:val="0"/>
          <w:highlight w:val="none"/>
          <w:u w:val="single"/>
        </w:rPr>
        <w:t>①取土场及弃土场由承包人自行解决</w:t>
      </w:r>
      <w:r>
        <w:rPr>
          <w:rStyle w:val="35"/>
          <w:rFonts w:hint="eastAsia" w:ascii="宋体" w:hAnsi="宋体" w:eastAsia="宋体"/>
          <w:color w:val="auto"/>
          <w:kern w:val="0"/>
          <w:highlight w:val="none"/>
        </w:rPr>
        <w:t>，</w:t>
      </w:r>
      <w:r>
        <w:rPr>
          <w:rStyle w:val="35"/>
          <w:rFonts w:hint="eastAsia" w:ascii="宋体" w:hAnsi="宋体" w:eastAsia="宋体"/>
          <w:color w:val="auto"/>
          <w:kern w:val="0"/>
          <w:highlight w:val="none"/>
          <w:u w:val="single"/>
        </w:rPr>
        <w:t>但不得违反相关管理规定</w:t>
      </w:r>
      <w:r>
        <w:rPr>
          <w:rStyle w:val="35"/>
          <w:rFonts w:hint="eastAsia" w:ascii="宋体" w:hAnsi="宋体" w:eastAsia="宋体"/>
          <w:color w:val="auto"/>
          <w:kern w:val="0"/>
          <w:highlight w:val="none"/>
        </w:rPr>
        <w:t>，</w:t>
      </w:r>
      <w:r>
        <w:rPr>
          <w:rStyle w:val="35"/>
          <w:rFonts w:hint="eastAsia" w:ascii="宋体" w:hAnsi="宋体" w:eastAsia="宋体"/>
          <w:color w:val="auto"/>
          <w:kern w:val="0"/>
          <w:highlight w:val="none"/>
          <w:u w:val="single"/>
        </w:rPr>
        <w:t>并承担相关费用。②向发包人提供的办公和生活房屋及设施的要求</w:t>
      </w:r>
      <w:r>
        <w:rPr>
          <w:rStyle w:val="35"/>
          <w:rFonts w:hint="eastAsia" w:ascii="宋体" w:hAnsi="宋体" w:eastAsia="宋体"/>
          <w:color w:val="auto"/>
          <w:kern w:val="0"/>
          <w:highlight w:val="none"/>
        </w:rPr>
        <w:t>：</w:t>
      </w:r>
      <w:r>
        <w:rPr>
          <w:rStyle w:val="35"/>
          <w:rFonts w:hint="eastAsia" w:ascii="宋体" w:hAnsi="宋体" w:eastAsia="宋体"/>
          <w:color w:val="auto"/>
          <w:kern w:val="0"/>
          <w:highlight w:val="none"/>
          <w:u w:val="single"/>
        </w:rPr>
        <w:t>承包人搭建</w:t>
      </w:r>
      <w:r>
        <w:rPr>
          <w:rStyle w:val="35"/>
          <w:rFonts w:hint="eastAsia" w:ascii="宋体" w:hAnsi="宋体" w:eastAsia="宋体"/>
          <w:color w:val="auto"/>
          <w:kern w:val="0"/>
          <w:highlight w:val="none"/>
        </w:rPr>
        <w:t>，</w:t>
      </w:r>
      <w:r>
        <w:rPr>
          <w:rStyle w:val="35"/>
          <w:rFonts w:hint="eastAsia" w:ascii="宋体" w:hAnsi="宋体" w:eastAsia="宋体"/>
          <w:color w:val="auto"/>
          <w:kern w:val="0"/>
          <w:highlight w:val="none"/>
          <w:u w:val="single"/>
        </w:rPr>
        <w:t>由承包人承担相应费用。③按时足额将农民工工资保障金存入建设行政主管部门指定的账户</w:t>
      </w:r>
      <w:r>
        <w:rPr>
          <w:rStyle w:val="35"/>
          <w:rFonts w:hint="eastAsia" w:ascii="宋体" w:hAnsi="宋体" w:eastAsia="宋体"/>
          <w:color w:val="auto"/>
          <w:kern w:val="0"/>
          <w:highlight w:val="none"/>
        </w:rPr>
        <w:t>，</w:t>
      </w:r>
      <w:r>
        <w:rPr>
          <w:rStyle w:val="35"/>
          <w:rFonts w:hint="eastAsia" w:ascii="宋体" w:hAnsi="宋体" w:eastAsia="宋体"/>
          <w:color w:val="auto"/>
          <w:kern w:val="0"/>
          <w:highlight w:val="none"/>
          <w:u w:val="single"/>
        </w:rPr>
        <w:t>对农民工工资保障金的使用做出承诺。④承包人必须配合发包人做好竣工财务决算工作</w:t>
      </w:r>
      <w:r>
        <w:rPr>
          <w:rStyle w:val="35"/>
          <w:rFonts w:hint="eastAsia" w:ascii="宋体" w:hAnsi="宋体" w:eastAsia="宋体"/>
          <w:color w:val="auto"/>
          <w:kern w:val="0"/>
          <w:highlight w:val="none"/>
        </w:rPr>
        <w:t>。</w:t>
      </w:r>
      <w:r>
        <w:rPr>
          <w:rStyle w:val="35"/>
          <w:rFonts w:hint="eastAsia" w:ascii="宋体" w:hAnsi="宋体" w:eastAsia="宋体"/>
          <w:color w:val="auto"/>
          <w:kern w:val="0"/>
          <w:highlight w:val="none"/>
          <w:u w:val="single"/>
        </w:rPr>
        <w:t>不尽事宜由双方另行协商确定</w:t>
      </w:r>
      <w:r>
        <w:rPr>
          <w:rStyle w:val="35"/>
          <w:rFonts w:hint="eastAsia" w:ascii="宋体" w:hAnsi="宋体" w:eastAsia="宋体"/>
          <w:color w:val="auto"/>
          <w:kern w:val="0"/>
          <w:highlight w:val="none"/>
        </w:rPr>
        <w:t>。</w:t>
      </w:r>
    </w:p>
    <w:p w14:paraId="19B63BAC">
      <w:pPr>
        <w:keepNext/>
        <w:keepLines/>
        <w:spacing w:before="260" w:after="260" w:line="360" w:lineRule="auto"/>
        <w:outlineLvl w:val="2"/>
        <w:rPr>
          <w:rFonts w:ascii="宋体" w:hAnsi="宋体"/>
          <w:b/>
          <w:bCs/>
          <w:color w:val="auto"/>
          <w:sz w:val="32"/>
          <w:szCs w:val="32"/>
          <w:highlight w:val="none"/>
        </w:rPr>
      </w:pPr>
      <w:bookmarkStart w:id="591" w:name="_Toc373478355"/>
      <w:bookmarkStart w:id="592" w:name="_Toc373227708"/>
      <w:bookmarkStart w:id="593" w:name="_Toc86935871"/>
      <w:bookmarkStart w:id="594" w:name="_Toc5160"/>
      <w:bookmarkStart w:id="595" w:name="_Toc407135210"/>
      <w:bookmarkStart w:id="596" w:name="_Toc495673386"/>
      <w:bookmarkStart w:id="597" w:name="_Toc4217"/>
      <w:bookmarkStart w:id="598" w:name="_Toc389065274"/>
      <w:bookmarkStart w:id="599" w:name="_Toc508379721"/>
      <w:r>
        <w:rPr>
          <w:rFonts w:ascii="宋体" w:hAnsi="宋体"/>
          <w:b/>
          <w:bCs/>
          <w:color w:val="auto"/>
          <w:sz w:val="32"/>
          <w:szCs w:val="32"/>
          <w:highlight w:val="none"/>
        </w:rPr>
        <w:t>3.2 项目经理</w:t>
      </w:r>
      <w:bookmarkEnd w:id="591"/>
      <w:bookmarkEnd w:id="592"/>
      <w:bookmarkEnd w:id="593"/>
      <w:bookmarkEnd w:id="594"/>
      <w:bookmarkEnd w:id="595"/>
      <w:bookmarkEnd w:id="596"/>
      <w:bookmarkEnd w:id="597"/>
      <w:bookmarkEnd w:id="598"/>
      <w:bookmarkEnd w:id="599"/>
    </w:p>
    <w:p w14:paraId="1773C77F">
      <w:pPr>
        <w:spacing w:line="360" w:lineRule="auto"/>
        <w:ind w:firstLine="420" w:firstLineChars="200"/>
        <w:rPr>
          <w:rFonts w:ascii="宋体" w:hAnsi="宋体"/>
          <w:color w:val="auto"/>
          <w:szCs w:val="21"/>
          <w:highlight w:val="none"/>
        </w:rPr>
      </w:pPr>
      <w:r>
        <w:rPr>
          <w:rFonts w:ascii="宋体" w:hAnsi="宋体"/>
          <w:color w:val="auto"/>
          <w:kern w:val="0"/>
          <w:szCs w:val="21"/>
          <w:highlight w:val="none"/>
        </w:rPr>
        <w:t xml:space="preserve">3.2.1 </w:t>
      </w:r>
      <w:r>
        <w:rPr>
          <w:rFonts w:ascii="宋体" w:hAnsi="宋体"/>
          <w:color w:val="auto"/>
          <w:szCs w:val="21"/>
          <w:highlight w:val="none"/>
        </w:rPr>
        <w:t>项目经理：</w:t>
      </w:r>
    </w:p>
    <w:p w14:paraId="6870A190">
      <w:pPr>
        <w:spacing w:line="360" w:lineRule="auto"/>
        <w:ind w:firstLine="420" w:firstLineChars="200"/>
        <w:rPr>
          <w:rFonts w:ascii="宋体" w:hAnsi="宋体"/>
          <w:color w:val="auto"/>
          <w:szCs w:val="21"/>
          <w:highlight w:val="none"/>
        </w:rPr>
      </w:pPr>
      <w:r>
        <w:rPr>
          <w:rFonts w:ascii="宋体" w:hAnsi="宋体"/>
          <w:color w:val="auto"/>
          <w:szCs w:val="21"/>
          <w:highlight w:val="none"/>
        </w:rPr>
        <w:t>姓    名：</w:t>
      </w:r>
      <w:r>
        <w:rPr>
          <w:rFonts w:hint="eastAsia" w:ascii="宋体" w:hAnsi="宋体"/>
          <w:color w:val="auto"/>
          <w:szCs w:val="21"/>
          <w:highlight w:val="none"/>
          <w:u w:val="single"/>
        </w:rPr>
        <w:t xml:space="preserve">                      </w:t>
      </w:r>
      <w:r>
        <w:rPr>
          <w:rFonts w:ascii="宋体" w:hAnsi="宋体"/>
          <w:color w:val="auto"/>
          <w:szCs w:val="21"/>
          <w:highlight w:val="none"/>
        </w:rPr>
        <w:t>；</w:t>
      </w:r>
    </w:p>
    <w:p w14:paraId="7E3755F3">
      <w:pPr>
        <w:spacing w:line="360" w:lineRule="auto"/>
        <w:ind w:firstLine="420" w:firstLineChars="200"/>
        <w:rPr>
          <w:rFonts w:ascii="宋体" w:hAnsi="宋体"/>
          <w:color w:val="auto"/>
          <w:szCs w:val="21"/>
          <w:highlight w:val="none"/>
        </w:rPr>
      </w:pPr>
      <w:r>
        <w:rPr>
          <w:rFonts w:ascii="宋体" w:hAnsi="宋体"/>
          <w:color w:val="auto"/>
          <w:szCs w:val="21"/>
          <w:highlight w:val="none"/>
        </w:rPr>
        <w:t>身份证号：</w:t>
      </w:r>
      <w:r>
        <w:rPr>
          <w:rFonts w:hint="eastAsia" w:ascii="宋体" w:hAnsi="宋体"/>
          <w:color w:val="auto"/>
          <w:szCs w:val="21"/>
          <w:highlight w:val="none"/>
          <w:u w:val="single"/>
        </w:rPr>
        <w:t xml:space="preserve">                      </w:t>
      </w:r>
      <w:r>
        <w:rPr>
          <w:rFonts w:ascii="宋体" w:hAnsi="宋体"/>
          <w:color w:val="auto"/>
          <w:szCs w:val="21"/>
          <w:highlight w:val="none"/>
        </w:rPr>
        <w:t>；</w:t>
      </w:r>
    </w:p>
    <w:p w14:paraId="053236F0">
      <w:pPr>
        <w:spacing w:line="360" w:lineRule="auto"/>
        <w:ind w:firstLine="420" w:firstLineChars="200"/>
        <w:rPr>
          <w:rFonts w:ascii="宋体" w:hAnsi="宋体"/>
          <w:color w:val="auto"/>
          <w:szCs w:val="21"/>
          <w:highlight w:val="none"/>
        </w:rPr>
      </w:pPr>
      <w:r>
        <w:rPr>
          <w:rFonts w:ascii="宋体" w:hAnsi="宋体"/>
          <w:color w:val="auto"/>
          <w:szCs w:val="21"/>
          <w:highlight w:val="none"/>
        </w:rPr>
        <w:t>建造师执业资格等级：</w:t>
      </w:r>
      <w:r>
        <w:rPr>
          <w:rFonts w:hint="eastAsia" w:ascii="宋体" w:hAnsi="宋体"/>
          <w:color w:val="auto"/>
          <w:szCs w:val="21"/>
          <w:highlight w:val="none"/>
          <w:u w:val="single"/>
        </w:rPr>
        <w:t xml:space="preserve">                      </w:t>
      </w:r>
      <w:r>
        <w:rPr>
          <w:rFonts w:ascii="宋体" w:hAnsi="宋体"/>
          <w:color w:val="auto"/>
          <w:szCs w:val="21"/>
          <w:highlight w:val="none"/>
        </w:rPr>
        <w:t>；</w:t>
      </w:r>
    </w:p>
    <w:p w14:paraId="4335CEAC">
      <w:pPr>
        <w:spacing w:line="360" w:lineRule="auto"/>
        <w:ind w:firstLine="420" w:firstLineChars="200"/>
        <w:rPr>
          <w:rFonts w:ascii="宋体" w:hAnsi="宋体"/>
          <w:color w:val="auto"/>
          <w:szCs w:val="21"/>
          <w:highlight w:val="none"/>
        </w:rPr>
      </w:pPr>
      <w:r>
        <w:rPr>
          <w:rFonts w:ascii="宋体" w:hAnsi="宋体"/>
          <w:color w:val="auto"/>
          <w:szCs w:val="21"/>
          <w:highlight w:val="none"/>
        </w:rPr>
        <w:t>建造师注册证书号：</w:t>
      </w:r>
      <w:r>
        <w:rPr>
          <w:rFonts w:hint="eastAsia" w:ascii="宋体" w:hAnsi="宋体"/>
          <w:color w:val="auto"/>
          <w:szCs w:val="21"/>
          <w:highlight w:val="none"/>
          <w:u w:val="single"/>
        </w:rPr>
        <w:t xml:space="preserve">                      </w:t>
      </w:r>
      <w:r>
        <w:rPr>
          <w:rFonts w:ascii="宋体" w:hAnsi="宋体"/>
          <w:color w:val="auto"/>
          <w:szCs w:val="21"/>
          <w:highlight w:val="none"/>
        </w:rPr>
        <w:t>；</w:t>
      </w:r>
    </w:p>
    <w:p w14:paraId="38A92FDD">
      <w:pPr>
        <w:spacing w:line="360" w:lineRule="auto"/>
        <w:ind w:firstLine="420" w:firstLineChars="200"/>
        <w:rPr>
          <w:rFonts w:ascii="宋体" w:hAnsi="宋体"/>
          <w:color w:val="auto"/>
          <w:szCs w:val="21"/>
          <w:highlight w:val="none"/>
        </w:rPr>
      </w:pPr>
      <w:r>
        <w:rPr>
          <w:rFonts w:ascii="宋体" w:hAnsi="宋体"/>
          <w:color w:val="auto"/>
          <w:szCs w:val="21"/>
          <w:highlight w:val="none"/>
        </w:rPr>
        <w:t>建造师执业印章号：</w:t>
      </w:r>
      <w:r>
        <w:rPr>
          <w:rFonts w:hint="eastAsia" w:ascii="宋体" w:hAnsi="宋体"/>
          <w:color w:val="auto"/>
          <w:szCs w:val="21"/>
          <w:highlight w:val="none"/>
          <w:u w:val="single"/>
        </w:rPr>
        <w:t xml:space="preserve">                      </w:t>
      </w:r>
      <w:r>
        <w:rPr>
          <w:rFonts w:ascii="宋体" w:hAnsi="宋体"/>
          <w:color w:val="auto"/>
          <w:szCs w:val="21"/>
          <w:highlight w:val="none"/>
        </w:rPr>
        <w:t>；</w:t>
      </w:r>
    </w:p>
    <w:p w14:paraId="019CD25E">
      <w:pPr>
        <w:spacing w:line="360" w:lineRule="auto"/>
        <w:ind w:firstLine="420" w:firstLineChars="200"/>
        <w:rPr>
          <w:rFonts w:ascii="宋体" w:hAnsi="宋体"/>
          <w:color w:val="auto"/>
          <w:szCs w:val="21"/>
          <w:highlight w:val="none"/>
        </w:rPr>
      </w:pPr>
      <w:r>
        <w:rPr>
          <w:rFonts w:ascii="宋体" w:hAnsi="宋体"/>
          <w:color w:val="auto"/>
          <w:szCs w:val="21"/>
          <w:highlight w:val="none"/>
        </w:rPr>
        <w:t>安全生产考核合格证书号：</w:t>
      </w:r>
      <w:r>
        <w:rPr>
          <w:rFonts w:hint="eastAsia" w:ascii="宋体" w:hAnsi="宋体"/>
          <w:color w:val="auto"/>
          <w:szCs w:val="21"/>
          <w:highlight w:val="none"/>
          <w:u w:val="single"/>
        </w:rPr>
        <w:t xml:space="preserve">                      </w:t>
      </w:r>
      <w:r>
        <w:rPr>
          <w:rFonts w:ascii="宋体" w:hAnsi="宋体"/>
          <w:color w:val="auto"/>
          <w:szCs w:val="21"/>
          <w:highlight w:val="none"/>
        </w:rPr>
        <w:t>；</w:t>
      </w:r>
    </w:p>
    <w:p w14:paraId="1B69EFB7">
      <w:pPr>
        <w:spacing w:line="360" w:lineRule="auto"/>
        <w:ind w:firstLine="420" w:firstLineChars="200"/>
        <w:rPr>
          <w:rFonts w:ascii="宋体" w:hAnsi="宋体"/>
          <w:color w:val="auto"/>
          <w:szCs w:val="21"/>
          <w:highlight w:val="none"/>
        </w:rPr>
      </w:pPr>
      <w:r>
        <w:rPr>
          <w:rFonts w:ascii="宋体" w:hAnsi="宋体"/>
          <w:color w:val="auto"/>
          <w:szCs w:val="21"/>
          <w:highlight w:val="none"/>
        </w:rPr>
        <w:t>联系电话：</w:t>
      </w:r>
      <w:r>
        <w:rPr>
          <w:rFonts w:hint="eastAsia" w:ascii="宋体" w:hAnsi="宋体"/>
          <w:color w:val="auto"/>
          <w:szCs w:val="21"/>
          <w:highlight w:val="none"/>
          <w:u w:val="single"/>
        </w:rPr>
        <w:t xml:space="preserve">                      </w:t>
      </w:r>
      <w:r>
        <w:rPr>
          <w:rFonts w:ascii="宋体" w:hAnsi="宋体"/>
          <w:color w:val="auto"/>
          <w:szCs w:val="21"/>
          <w:highlight w:val="none"/>
        </w:rPr>
        <w:t>；</w:t>
      </w:r>
    </w:p>
    <w:p w14:paraId="6E13CDAE">
      <w:pPr>
        <w:spacing w:line="360" w:lineRule="auto"/>
        <w:ind w:firstLine="420" w:firstLineChars="200"/>
        <w:rPr>
          <w:rFonts w:ascii="宋体" w:hAnsi="宋体"/>
          <w:color w:val="auto"/>
          <w:szCs w:val="21"/>
          <w:highlight w:val="none"/>
        </w:rPr>
      </w:pPr>
      <w:r>
        <w:rPr>
          <w:rFonts w:ascii="宋体" w:hAnsi="宋体"/>
          <w:color w:val="auto"/>
          <w:szCs w:val="21"/>
          <w:highlight w:val="none"/>
        </w:rPr>
        <w:t>电子信箱：</w:t>
      </w:r>
      <w:r>
        <w:rPr>
          <w:rFonts w:hint="eastAsia" w:ascii="宋体" w:hAnsi="宋体"/>
          <w:color w:val="auto"/>
          <w:szCs w:val="21"/>
          <w:highlight w:val="none"/>
          <w:u w:val="single"/>
        </w:rPr>
        <w:t xml:space="preserve">                      </w:t>
      </w:r>
      <w:r>
        <w:rPr>
          <w:rFonts w:ascii="宋体" w:hAnsi="宋体"/>
          <w:color w:val="auto"/>
          <w:szCs w:val="21"/>
          <w:highlight w:val="none"/>
        </w:rPr>
        <w:t>；</w:t>
      </w:r>
    </w:p>
    <w:p w14:paraId="51E8854B">
      <w:pPr>
        <w:spacing w:line="360" w:lineRule="auto"/>
        <w:ind w:firstLine="420" w:firstLineChars="200"/>
        <w:rPr>
          <w:rFonts w:ascii="宋体" w:hAnsi="宋体"/>
          <w:color w:val="auto"/>
          <w:szCs w:val="21"/>
          <w:highlight w:val="none"/>
        </w:rPr>
      </w:pPr>
      <w:r>
        <w:rPr>
          <w:rFonts w:ascii="宋体" w:hAnsi="宋体"/>
          <w:color w:val="auto"/>
          <w:szCs w:val="21"/>
          <w:highlight w:val="none"/>
        </w:rPr>
        <w:t>通信地址：</w:t>
      </w:r>
      <w:r>
        <w:rPr>
          <w:rFonts w:hint="eastAsia" w:ascii="宋体" w:hAnsi="宋体"/>
          <w:color w:val="auto"/>
          <w:szCs w:val="21"/>
          <w:highlight w:val="none"/>
          <w:u w:val="single"/>
        </w:rPr>
        <w:t xml:space="preserve">                      </w:t>
      </w:r>
      <w:r>
        <w:rPr>
          <w:rFonts w:ascii="宋体" w:hAnsi="宋体"/>
          <w:color w:val="auto"/>
          <w:szCs w:val="21"/>
          <w:highlight w:val="none"/>
        </w:rPr>
        <w:t>；</w:t>
      </w:r>
    </w:p>
    <w:p w14:paraId="36A5C795">
      <w:pPr>
        <w:spacing w:line="360" w:lineRule="auto"/>
        <w:ind w:firstLine="420" w:firstLineChars="200"/>
        <w:rPr>
          <w:rFonts w:ascii="宋体" w:hAnsi="宋体"/>
          <w:color w:val="auto"/>
          <w:szCs w:val="21"/>
          <w:highlight w:val="none"/>
        </w:rPr>
      </w:pPr>
      <w:r>
        <w:rPr>
          <w:rFonts w:ascii="宋体" w:hAnsi="宋体"/>
          <w:color w:val="auto"/>
          <w:szCs w:val="21"/>
          <w:highlight w:val="none"/>
        </w:rPr>
        <w:t>承包人对项目经理的授权范围如下：</w:t>
      </w:r>
      <w:r>
        <w:rPr>
          <w:rFonts w:hint="eastAsia" w:ascii="宋体" w:hAnsi="宋体"/>
          <w:color w:val="auto"/>
          <w:szCs w:val="21"/>
          <w:highlight w:val="none"/>
          <w:u w:val="single"/>
        </w:rPr>
        <w:t xml:space="preserve"> </w:t>
      </w:r>
      <w:r>
        <w:rPr>
          <w:rStyle w:val="35"/>
          <w:rFonts w:hint="eastAsia" w:ascii="宋体" w:hAnsi="宋体" w:eastAsia="宋体"/>
          <w:color w:val="auto"/>
          <w:kern w:val="0"/>
          <w:highlight w:val="none"/>
          <w:u w:val="single"/>
        </w:rPr>
        <w:t>1.对施工现场的日常施工管理</w:t>
      </w:r>
      <w:r>
        <w:rPr>
          <w:rStyle w:val="35"/>
          <w:rFonts w:hint="eastAsia" w:ascii="宋体" w:hAnsi="宋体" w:eastAsia="宋体"/>
          <w:color w:val="auto"/>
          <w:kern w:val="0"/>
          <w:highlight w:val="none"/>
        </w:rPr>
        <w:t>，</w:t>
      </w:r>
      <w:r>
        <w:rPr>
          <w:rStyle w:val="35"/>
          <w:rFonts w:hint="eastAsia" w:ascii="宋体" w:hAnsi="宋体" w:eastAsia="宋体"/>
          <w:color w:val="auto"/>
          <w:kern w:val="0"/>
          <w:highlight w:val="none"/>
          <w:u w:val="single"/>
        </w:rPr>
        <w:t>如需具体授权以授权委托书为准；2.因本工程施工必须签订其他合同或产生债权债务文书的</w:t>
      </w:r>
      <w:r>
        <w:rPr>
          <w:rStyle w:val="35"/>
          <w:rFonts w:hint="eastAsia" w:ascii="宋体" w:hAnsi="宋体" w:eastAsia="宋体"/>
          <w:color w:val="auto"/>
          <w:kern w:val="0"/>
          <w:highlight w:val="none"/>
        </w:rPr>
        <w:t>，</w:t>
      </w:r>
      <w:r>
        <w:rPr>
          <w:rStyle w:val="35"/>
          <w:rFonts w:hint="eastAsia" w:ascii="宋体" w:hAnsi="宋体" w:eastAsia="宋体"/>
          <w:color w:val="auto"/>
          <w:kern w:val="0"/>
          <w:highlight w:val="none"/>
          <w:u w:val="single"/>
        </w:rPr>
        <w:t>合同应加盖承包人在公安及工商部门登记备案的法人公章</w:t>
      </w:r>
      <w:r>
        <w:rPr>
          <w:rStyle w:val="35"/>
          <w:rFonts w:hint="eastAsia" w:ascii="宋体" w:hAnsi="宋体" w:eastAsia="宋体"/>
          <w:color w:val="auto"/>
          <w:kern w:val="0"/>
          <w:highlight w:val="none"/>
        </w:rPr>
        <w:t>，</w:t>
      </w:r>
      <w:r>
        <w:rPr>
          <w:rStyle w:val="35"/>
          <w:rFonts w:hint="eastAsia" w:ascii="宋体" w:hAnsi="宋体" w:eastAsia="宋体"/>
          <w:color w:val="auto"/>
          <w:kern w:val="0"/>
          <w:highlight w:val="none"/>
          <w:u w:val="single"/>
        </w:rPr>
        <w:t>不可由项目经理或他人私自签订</w:t>
      </w:r>
      <w:r>
        <w:rPr>
          <w:rStyle w:val="35"/>
          <w:rFonts w:hint="eastAsia" w:ascii="宋体" w:hAnsi="宋体" w:eastAsia="宋体"/>
          <w:color w:val="auto"/>
          <w:kern w:val="0"/>
          <w:highlight w:val="none"/>
        </w:rPr>
        <w:t>。</w:t>
      </w:r>
      <w:r>
        <w:rPr>
          <w:rStyle w:val="35"/>
          <w:rFonts w:hint="eastAsia" w:ascii="宋体" w:hAnsi="宋体" w:eastAsia="宋体"/>
          <w:color w:val="auto"/>
          <w:kern w:val="0"/>
          <w:highlight w:val="none"/>
          <w:u w:val="single"/>
        </w:rPr>
        <w:t>3.项目经理仅限于工程的现场施工管理，但未经承包人盖章同意，不得以承包人名义向外采购材料设备、租用建筑周转材料、雇用劳动力、签订分包合同等从事一切为承包人设立义务或责任的行为</w:t>
      </w:r>
      <w:r>
        <w:rPr>
          <w:rFonts w:hint="eastAsia" w:ascii="宋体" w:hAnsi="宋体"/>
          <w:color w:val="auto"/>
          <w:szCs w:val="21"/>
          <w:highlight w:val="none"/>
          <w:u w:val="single"/>
        </w:rPr>
        <w:t xml:space="preserve"> </w:t>
      </w:r>
      <w:r>
        <w:rPr>
          <w:rFonts w:ascii="宋体" w:hAnsi="宋体"/>
          <w:color w:val="auto"/>
          <w:szCs w:val="21"/>
          <w:highlight w:val="none"/>
        </w:rPr>
        <w:t xml:space="preserve">  。</w:t>
      </w:r>
    </w:p>
    <w:p w14:paraId="788A9512">
      <w:pPr>
        <w:spacing w:line="360" w:lineRule="auto"/>
        <w:ind w:firstLine="420" w:firstLineChars="200"/>
        <w:jc w:val="left"/>
        <w:rPr>
          <w:rFonts w:ascii="宋体" w:hAnsi="宋体"/>
          <w:color w:val="auto"/>
          <w:kern w:val="0"/>
          <w:szCs w:val="21"/>
          <w:highlight w:val="none"/>
        </w:rPr>
      </w:pPr>
      <w:r>
        <w:rPr>
          <w:rFonts w:ascii="宋体" w:hAnsi="宋体"/>
          <w:color w:val="auto"/>
          <w:kern w:val="0"/>
          <w:szCs w:val="21"/>
          <w:highlight w:val="none"/>
        </w:rPr>
        <w:t>关于项目经理每月在施工现场的时间要求：</w:t>
      </w:r>
      <w:r>
        <w:rPr>
          <w:rStyle w:val="35"/>
          <w:rFonts w:hint="eastAsia" w:ascii="宋体" w:hAnsi="宋体" w:eastAsia="宋体"/>
          <w:bCs/>
          <w:color w:val="auto"/>
          <w:highlight w:val="none"/>
          <w:u w:val="single"/>
        </w:rPr>
        <w:t>项目经理每月在现场时间不得少于22日历天</w:t>
      </w:r>
      <w:r>
        <w:rPr>
          <w:rFonts w:hint="eastAsia" w:ascii="宋体" w:hAnsi="宋体"/>
          <w:color w:val="auto"/>
          <w:szCs w:val="21"/>
          <w:highlight w:val="none"/>
          <w:u w:val="single"/>
        </w:rPr>
        <w:t xml:space="preserve"> </w:t>
      </w:r>
      <w:r>
        <w:rPr>
          <w:rFonts w:ascii="宋体" w:hAnsi="宋体"/>
          <w:color w:val="auto"/>
          <w:szCs w:val="21"/>
          <w:highlight w:val="none"/>
        </w:rPr>
        <w:t>。</w:t>
      </w:r>
    </w:p>
    <w:p w14:paraId="76A5965E">
      <w:pPr>
        <w:spacing w:line="360" w:lineRule="auto"/>
        <w:ind w:firstLine="420" w:firstLineChars="200"/>
        <w:rPr>
          <w:rFonts w:ascii="宋体" w:hAnsi="宋体"/>
          <w:color w:val="auto"/>
          <w:kern w:val="0"/>
          <w:szCs w:val="21"/>
          <w:highlight w:val="none"/>
        </w:rPr>
      </w:pPr>
      <w:r>
        <w:rPr>
          <w:rFonts w:ascii="宋体" w:hAnsi="宋体"/>
          <w:color w:val="auto"/>
          <w:kern w:val="0"/>
          <w:szCs w:val="21"/>
          <w:highlight w:val="none"/>
        </w:rPr>
        <w:t>承包人未提交劳动合同，以及没有为项目经理缴纳社会保险证明的违约责任：</w:t>
      </w:r>
      <w:r>
        <w:rPr>
          <w:rFonts w:hint="eastAsia" w:ascii="宋体" w:hAnsi="宋体"/>
          <w:color w:val="auto"/>
          <w:szCs w:val="21"/>
          <w:highlight w:val="none"/>
          <w:u w:val="single"/>
        </w:rPr>
        <w:t xml:space="preserve">  </w:t>
      </w:r>
      <w:r>
        <w:rPr>
          <w:rStyle w:val="35"/>
          <w:rFonts w:hint="eastAsia" w:ascii="宋体" w:hAnsi="宋体" w:eastAsia="宋体"/>
          <w:color w:val="auto"/>
          <w:highlight w:val="none"/>
          <w:u w:val="single"/>
        </w:rPr>
        <w:t>项目经理无权履行职责</w:t>
      </w:r>
      <w:r>
        <w:rPr>
          <w:rStyle w:val="35"/>
          <w:rFonts w:hint="eastAsia" w:ascii="宋体" w:hAnsi="宋体" w:eastAsia="宋体"/>
          <w:color w:val="auto"/>
          <w:highlight w:val="none"/>
        </w:rPr>
        <w:t>，</w:t>
      </w:r>
      <w:r>
        <w:rPr>
          <w:rStyle w:val="35"/>
          <w:rFonts w:hint="eastAsia" w:ascii="宋体" w:hAnsi="宋体" w:eastAsia="宋体"/>
          <w:color w:val="auto"/>
          <w:highlight w:val="none"/>
          <w:u w:val="single"/>
        </w:rPr>
        <w:t>由此影响工程进度或发生其它问题的</w:t>
      </w:r>
      <w:r>
        <w:rPr>
          <w:rStyle w:val="35"/>
          <w:rFonts w:hint="eastAsia" w:ascii="宋体" w:hAnsi="宋体" w:eastAsia="宋体"/>
          <w:color w:val="auto"/>
          <w:highlight w:val="none"/>
        </w:rPr>
        <w:t>，</w:t>
      </w:r>
      <w:r>
        <w:rPr>
          <w:rStyle w:val="35"/>
          <w:rFonts w:hint="eastAsia" w:ascii="宋体" w:hAnsi="宋体" w:eastAsia="宋体"/>
          <w:color w:val="auto"/>
          <w:highlight w:val="none"/>
          <w:u w:val="single"/>
        </w:rPr>
        <w:t>由承包人承担责任</w:t>
      </w:r>
      <w:r>
        <w:rPr>
          <w:rFonts w:hint="eastAsia" w:ascii="宋体" w:hAnsi="宋体"/>
          <w:color w:val="auto"/>
          <w:szCs w:val="21"/>
          <w:highlight w:val="none"/>
          <w:u w:val="single"/>
        </w:rPr>
        <w:t xml:space="preserve">   </w:t>
      </w:r>
      <w:r>
        <w:rPr>
          <w:rFonts w:ascii="宋体" w:hAnsi="宋体"/>
          <w:color w:val="auto"/>
          <w:szCs w:val="21"/>
          <w:highlight w:val="none"/>
        </w:rPr>
        <w:t>。</w:t>
      </w:r>
    </w:p>
    <w:p w14:paraId="19A888D4">
      <w:pPr>
        <w:spacing w:line="360" w:lineRule="auto"/>
        <w:ind w:firstLine="420" w:firstLineChars="200"/>
        <w:rPr>
          <w:rFonts w:ascii="宋体" w:hAnsi="宋体"/>
          <w:color w:val="auto"/>
          <w:szCs w:val="21"/>
          <w:highlight w:val="none"/>
          <w:u w:val="single"/>
        </w:rPr>
      </w:pPr>
      <w:r>
        <w:rPr>
          <w:rFonts w:ascii="宋体" w:hAnsi="宋体"/>
          <w:color w:val="auto"/>
          <w:kern w:val="0"/>
          <w:szCs w:val="21"/>
          <w:highlight w:val="none"/>
        </w:rPr>
        <w:t>项目经理未经批准，擅自离开施工现场的违约责任：</w:t>
      </w:r>
      <w:r>
        <w:rPr>
          <w:rFonts w:hint="eastAsia" w:ascii="宋体" w:hAnsi="宋体"/>
          <w:color w:val="auto"/>
          <w:szCs w:val="21"/>
          <w:highlight w:val="none"/>
          <w:u w:val="single"/>
        </w:rPr>
        <w:t>项目经理每月在岗带班时间不得少于当月施工时间的80%。</w:t>
      </w:r>
      <w:r>
        <w:rPr>
          <w:rFonts w:ascii="宋体" w:hAnsi="宋体"/>
          <w:color w:val="auto"/>
          <w:szCs w:val="21"/>
          <w:highlight w:val="none"/>
          <w:u w:val="single"/>
        </w:rPr>
        <w:t>未经发包人同意或正当理由，项目经理</w:t>
      </w:r>
      <w:r>
        <w:rPr>
          <w:rFonts w:hint="eastAsia" w:ascii="宋体" w:hAnsi="宋体"/>
          <w:color w:val="auto"/>
          <w:szCs w:val="21"/>
          <w:highlight w:val="none"/>
          <w:u w:val="single"/>
        </w:rPr>
        <w:t>每月在岗带班时间少于当月施工时间80%的，少在岗带班一天</w:t>
      </w:r>
      <w:r>
        <w:rPr>
          <w:rFonts w:ascii="宋体" w:hAnsi="宋体"/>
          <w:color w:val="auto"/>
          <w:szCs w:val="21"/>
          <w:highlight w:val="none"/>
          <w:u w:val="single"/>
        </w:rPr>
        <w:t>，发包人有权处违约金</w:t>
      </w:r>
      <w:r>
        <w:rPr>
          <w:rFonts w:hint="eastAsia" w:ascii="宋体" w:hAnsi="宋体"/>
          <w:color w:val="auto"/>
          <w:szCs w:val="21"/>
          <w:highlight w:val="none"/>
          <w:u w:val="single"/>
        </w:rPr>
        <w:t>1000</w:t>
      </w:r>
      <w:r>
        <w:rPr>
          <w:rFonts w:ascii="宋体" w:hAnsi="宋体"/>
          <w:color w:val="auto"/>
          <w:szCs w:val="21"/>
          <w:highlight w:val="none"/>
          <w:u w:val="single"/>
        </w:rPr>
        <w:t>元/</w:t>
      </w:r>
      <w:r>
        <w:rPr>
          <w:rFonts w:hint="eastAsia" w:ascii="宋体" w:hAnsi="宋体"/>
          <w:color w:val="auto"/>
          <w:szCs w:val="21"/>
          <w:highlight w:val="none"/>
          <w:u w:val="single"/>
        </w:rPr>
        <w:t>日（</w:t>
      </w:r>
      <w:r>
        <w:rPr>
          <w:rFonts w:ascii="宋体" w:hAnsi="宋体"/>
          <w:color w:val="auto"/>
          <w:szCs w:val="21"/>
          <w:highlight w:val="none"/>
          <w:u w:val="single"/>
        </w:rPr>
        <w:t>人民币</w:t>
      </w:r>
      <w:r>
        <w:rPr>
          <w:rFonts w:hint="eastAsia" w:ascii="宋体" w:hAnsi="宋体"/>
          <w:color w:val="auto"/>
          <w:szCs w:val="21"/>
          <w:highlight w:val="none"/>
          <w:u w:val="single"/>
        </w:rPr>
        <w:t xml:space="preserve">）  </w:t>
      </w:r>
      <w:r>
        <w:rPr>
          <w:rFonts w:ascii="宋体" w:hAnsi="宋体"/>
          <w:color w:val="auto"/>
          <w:szCs w:val="21"/>
          <w:highlight w:val="none"/>
        </w:rPr>
        <w:t>。</w:t>
      </w:r>
    </w:p>
    <w:p w14:paraId="04BBF603">
      <w:pPr>
        <w:spacing w:line="360" w:lineRule="auto"/>
        <w:ind w:firstLine="420" w:firstLineChars="200"/>
        <w:rPr>
          <w:rFonts w:ascii="宋体" w:hAnsi="宋体"/>
          <w:color w:val="auto"/>
          <w:szCs w:val="21"/>
          <w:highlight w:val="none"/>
        </w:rPr>
      </w:pPr>
      <w:r>
        <w:rPr>
          <w:rFonts w:ascii="宋体" w:hAnsi="宋体"/>
          <w:color w:val="auto"/>
          <w:szCs w:val="21"/>
          <w:highlight w:val="none"/>
        </w:rPr>
        <w:t>3.2.3 承包人擅自更换项目经理的违约责任：</w:t>
      </w:r>
      <w:r>
        <w:rPr>
          <w:rFonts w:ascii="宋体" w:hAnsi="宋体"/>
          <w:color w:val="auto"/>
          <w:szCs w:val="21"/>
          <w:highlight w:val="none"/>
          <w:u w:val="single"/>
        </w:rPr>
        <w:t>承包人项目经理必须与承包人投标时所承诺的人员一致，并在  （开工日期）  前到任。在监理人向承包人颁发    （竣工证明材料名称）    前，项目经理不得同时兼任其他任何项目的项目经理</w:t>
      </w:r>
      <w:r>
        <w:rPr>
          <w:rFonts w:ascii="宋体" w:hAnsi="宋体"/>
          <w:color w:val="auto"/>
          <w:kern w:val="0"/>
          <w:szCs w:val="21"/>
          <w:highlight w:val="none"/>
          <w:u w:val="single"/>
        </w:rPr>
        <w:t>（符合桂建管</w:t>
      </w:r>
      <w:r>
        <w:rPr>
          <w:rFonts w:ascii="宋体" w:hAnsi="宋体"/>
          <w:color w:val="auto"/>
          <w:szCs w:val="21"/>
          <w:highlight w:val="none"/>
          <w:u w:val="single"/>
        </w:rPr>
        <w:t>﹝2013﹞</w:t>
      </w:r>
      <w:r>
        <w:rPr>
          <w:rFonts w:ascii="宋体" w:hAnsi="宋体"/>
          <w:color w:val="auto"/>
          <w:kern w:val="0"/>
          <w:szCs w:val="21"/>
          <w:highlight w:val="none"/>
          <w:u w:val="single"/>
        </w:rPr>
        <w:t>17号和</w:t>
      </w:r>
      <w:r>
        <w:rPr>
          <w:rFonts w:ascii="宋体" w:hAnsi="宋体"/>
          <w:color w:val="auto"/>
          <w:szCs w:val="21"/>
          <w:highlight w:val="none"/>
          <w:u w:val="single"/>
        </w:rPr>
        <w:t>桂建管﹝2014﹞25号</w:t>
      </w:r>
      <w:r>
        <w:rPr>
          <w:rFonts w:ascii="宋体" w:hAnsi="宋体"/>
          <w:color w:val="auto"/>
          <w:kern w:val="0"/>
          <w:szCs w:val="21"/>
          <w:highlight w:val="none"/>
          <w:u w:val="single"/>
        </w:rPr>
        <w:t>文除外）</w:t>
      </w:r>
      <w:r>
        <w:rPr>
          <w:rFonts w:ascii="宋体" w:hAnsi="宋体"/>
          <w:color w:val="auto"/>
          <w:szCs w:val="21"/>
          <w:highlight w:val="none"/>
          <w:u w:val="single"/>
        </w:rPr>
        <w:t>。未经发包人书面同意，承包人擅自更换项目经理的视为违约</w:t>
      </w:r>
      <w:r>
        <w:rPr>
          <w:rFonts w:hint="eastAsia" w:ascii="宋体" w:hAnsi="宋体"/>
          <w:color w:val="auto"/>
          <w:szCs w:val="21"/>
          <w:highlight w:val="none"/>
          <w:u w:val="single"/>
        </w:rPr>
        <w:t>，</w:t>
      </w:r>
      <w:r>
        <w:rPr>
          <w:rFonts w:ascii="宋体" w:hAnsi="宋体"/>
          <w:color w:val="auto"/>
          <w:szCs w:val="21"/>
          <w:highlight w:val="none"/>
          <w:u w:val="single"/>
        </w:rPr>
        <w:t>违约金处</w:t>
      </w:r>
      <w:r>
        <w:rPr>
          <w:rFonts w:hint="eastAsia" w:ascii="宋体" w:hAnsi="宋体"/>
          <w:color w:val="auto"/>
          <w:szCs w:val="21"/>
          <w:highlight w:val="none"/>
          <w:u w:val="single"/>
        </w:rPr>
        <w:t>20000</w:t>
      </w:r>
      <w:r>
        <w:rPr>
          <w:rFonts w:ascii="宋体" w:hAnsi="宋体"/>
          <w:color w:val="auto"/>
          <w:szCs w:val="21"/>
          <w:highlight w:val="none"/>
          <w:u w:val="single"/>
        </w:rPr>
        <w:t>元/人•次</w:t>
      </w:r>
      <w:r>
        <w:rPr>
          <w:rFonts w:hint="eastAsia" w:ascii="宋体" w:hAnsi="宋体"/>
          <w:color w:val="auto"/>
          <w:szCs w:val="21"/>
          <w:highlight w:val="none"/>
          <w:u w:val="single"/>
        </w:rPr>
        <w:t>（</w:t>
      </w:r>
      <w:r>
        <w:rPr>
          <w:rFonts w:ascii="宋体" w:hAnsi="宋体"/>
          <w:color w:val="auto"/>
          <w:szCs w:val="21"/>
          <w:highlight w:val="none"/>
          <w:u w:val="single"/>
        </w:rPr>
        <w:t>人民币</w:t>
      </w:r>
      <w:r>
        <w:rPr>
          <w:rFonts w:hint="eastAsia" w:ascii="宋体" w:hAnsi="宋体"/>
          <w:color w:val="auto"/>
          <w:szCs w:val="21"/>
          <w:highlight w:val="none"/>
          <w:u w:val="single"/>
        </w:rPr>
        <w:t>）</w:t>
      </w:r>
      <w:r>
        <w:rPr>
          <w:rFonts w:ascii="宋体" w:hAnsi="宋体"/>
          <w:color w:val="auto"/>
          <w:szCs w:val="21"/>
          <w:highlight w:val="none"/>
        </w:rPr>
        <w:t>。</w:t>
      </w:r>
    </w:p>
    <w:p w14:paraId="34652662">
      <w:pPr>
        <w:spacing w:line="360" w:lineRule="auto"/>
        <w:ind w:firstLine="420" w:firstLineChars="200"/>
        <w:rPr>
          <w:rFonts w:ascii="宋体" w:hAnsi="宋体"/>
          <w:color w:val="auto"/>
          <w:szCs w:val="21"/>
          <w:highlight w:val="none"/>
        </w:rPr>
      </w:pPr>
      <w:r>
        <w:rPr>
          <w:rFonts w:ascii="宋体" w:hAnsi="宋体"/>
          <w:color w:val="auto"/>
          <w:szCs w:val="21"/>
          <w:highlight w:val="none"/>
        </w:rPr>
        <w:t>3.2.4 承包人无正当理由拒绝更换项目经理的违约责任：</w:t>
      </w:r>
      <w:r>
        <w:rPr>
          <w:rFonts w:ascii="宋体" w:hAnsi="宋体"/>
          <w:color w:val="auto"/>
          <w:szCs w:val="21"/>
          <w:highlight w:val="none"/>
          <w:u w:val="single"/>
        </w:rPr>
        <w:t>因承包人项目经理不称职，发包人要求调换而未及时调换的，视为承包人违约，必须向发包人交纳处罚金</w:t>
      </w:r>
      <w:r>
        <w:rPr>
          <w:rFonts w:hint="eastAsia" w:ascii="宋体" w:hAnsi="宋体"/>
          <w:color w:val="auto"/>
          <w:szCs w:val="21"/>
          <w:highlight w:val="none"/>
          <w:u w:val="single"/>
        </w:rPr>
        <w:t>10000</w:t>
      </w:r>
      <w:r>
        <w:rPr>
          <w:rFonts w:ascii="宋体" w:hAnsi="宋体"/>
          <w:color w:val="auto"/>
          <w:szCs w:val="21"/>
          <w:highlight w:val="none"/>
          <w:u w:val="single"/>
        </w:rPr>
        <w:t>元/人•次</w:t>
      </w:r>
      <w:r>
        <w:rPr>
          <w:rFonts w:hint="eastAsia" w:ascii="宋体" w:hAnsi="宋体"/>
          <w:color w:val="auto"/>
          <w:szCs w:val="21"/>
          <w:highlight w:val="none"/>
          <w:u w:val="single"/>
        </w:rPr>
        <w:t>（</w:t>
      </w:r>
      <w:r>
        <w:rPr>
          <w:rFonts w:ascii="宋体" w:hAnsi="宋体"/>
          <w:color w:val="auto"/>
          <w:szCs w:val="21"/>
          <w:highlight w:val="none"/>
          <w:u w:val="single"/>
        </w:rPr>
        <w:t>人民币</w:t>
      </w:r>
      <w:r>
        <w:rPr>
          <w:rFonts w:hint="eastAsia" w:ascii="宋体" w:hAnsi="宋体"/>
          <w:color w:val="auto"/>
          <w:szCs w:val="21"/>
          <w:highlight w:val="none"/>
          <w:u w:val="single"/>
        </w:rPr>
        <w:t>）</w:t>
      </w:r>
      <w:r>
        <w:rPr>
          <w:rFonts w:ascii="宋体" w:hAnsi="宋体"/>
          <w:color w:val="auto"/>
          <w:szCs w:val="21"/>
          <w:highlight w:val="none"/>
        </w:rPr>
        <w:t>。</w:t>
      </w:r>
    </w:p>
    <w:p w14:paraId="6473CBAE">
      <w:pPr>
        <w:keepNext/>
        <w:keepLines/>
        <w:spacing w:before="260" w:after="260" w:line="360" w:lineRule="auto"/>
        <w:outlineLvl w:val="2"/>
        <w:rPr>
          <w:rFonts w:ascii="宋体" w:hAnsi="宋体"/>
          <w:b/>
          <w:bCs/>
          <w:color w:val="auto"/>
          <w:sz w:val="32"/>
          <w:szCs w:val="32"/>
          <w:highlight w:val="none"/>
        </w:rPr>
      </w:pPr>
      <w:bookmarkStart w:id="600" w:name="_Toc373227709"/>
      <w:bookmarkStart w:id="601" w:name="_Toc495673387"/>
      <w:bookmarkStart w:id="602" w:name="_Toc22836"/>
      <w:bookmarkStart w:id="603" w:name="_Toc30104"/>
      <w:bookmarkStart w:id="604" w:name="_Toc86935872"/>
      <w:bookmarkStart w:id="605" w:name="_Toc508379722"/>
      <w:bookmarkStart w:id="606" w:name="_Toc407135211"/>
      <w:bookmarkStart w:id="607" w:name="_Toc373478356"/>
      <w:bookmarkStart w:id="608" w:name="_Toc389065275"/>
      <w:r>
        <w:rPr>
          <w:rFonts w:ascii="宋体" w:hAnsi="宋体"/>
          <w:b/>
          <w:bCs/>
          <w:color w:val="auto"/>
          <w:sz w:val="32"/>
          <w:szCs w:val="32"/>
          <w:highlight w:val="none"/>
        </w:rPr>
        <w:t>3.3 承包人人员</w:t>
      </w:r>
      <w:bookmarkEnd w:id="600"/>
      <w:bookmarkEnd w:id="601"/>
      <w:bookmarkEnd w:id="602"/>
      <w:bookmarkEnd w:id="603"/>
      <w:bookmarkEnd w:id="604"/>
      <w:bookmarkEnd w:id="605"/>
      <w:bookmarkEnd w:id="606"/>
      <w:bookmarkEnd w:id="607"/>
      <w:bookmarkEnd w:id="608"/>
    </w:p>
    <w:p w14:paraId="5871843C">
      <w:pPr>
        <w:spacing w:line="360" w:lineRule="auto"/>
        <w:ind w:firstLine="420" w:firstLineChars="200"/>
        <w:rPr>
          <w:rFonts w:ascii="宋体" w:hAnsi="宋体"/>
          <w:color w:val="auto"/>
          <w:szCs w:val="21"/>
          <w:highlight w:val="none"/>
        </w:rPr>
      </w:pPr>
      <w:r>
        <w:rPr>
          <w:rFonts w:ascii="宋体" w:hAnsi="宋体"/>
          <w:color w:val="auto"/>
          <w:szCs w:val="21"/>
          <w:highlight w:val="none"/>
        </w:rPr>
        <w:t>3.3.1 承包人提交项目管理机构及施工现场管理人员安排报告</w:t>
      </w:r>
      <w:r>
        <w:rPr>
          <w:rFonts w:hint="eastAsia" w:ascii="宋体" w:hAnsi="宋体"/>
          <w:color w:val="auto"/>
          <w:szCs w:val="21"/>
          <w:highlight w:val="none"/>
        </w:rPr>
        <w:t>（格式见合同附件3）</w:t>
      </w:r>
      <w:r>
        <w:rPr>
          <w:rFonts w:ascii="宋体" w:hAnsi="宋体"/>
          <w:color w:val="auto"/>
          <w:szCs w:val="21"/>
          <w:highlight w:val="none"/>
        </w:rPr>
        <w:t>的期限：</w:t>
      </w:r>
    </w:p>
    <w:p w14:paraId="704C9C2E">
      <w:pPr>
        <w:spacing w:line="360" w:lineRule="auto"/>
        <w:rPr>
          <w:rFonts w:ascii="宋体" w:hAnsi="宋体"/>
          <w:color w:val="auto"/>
          <w:szCs w:val="21"/>
          <w:highlight w:val="none"/>
        </w:rPr>
      </w:pPr>
      <w:r>
        <w:rPr>
          <w:rFonts w:hint="eastAsia" w:ascii="宋体" w:hAnsi="宋体"/>
          <w:color w:val="auto"/>
          <w:szCs w:val="21"/>
          <w:highlight w:val="none"/>
          <w:u w:val="single"/>
        </w:rPr>
        <w:t xml:space="preserve">                      </w:t>
      </w:r>
      <w:r>
        <w:rPr>
          <w:rFonts w:ascii="宋体" w:hAnsi="宋体"/>
          <w:color w:val="auto"/>
          <w:szCs w:val="21"/>
          <w:highlight w:val="none"/>
        </w:rPr>
        <w:t>。</w:t>
      </w:r>
    </w:p>
    <w:p w14:paraId="062378F2">
      <w:pPr>
        <w:spacing w:line="360" w:lineRule="auto"/>
        <w:ind w:firstLine="420" w:firstLineChars="200"/>
        <w:rPr>
          <w:rFonts w:ascii="宋体" w:hAnsi="宋体"/>
          <w:color w:val="auto"/>
          <w:szCs w:val="21"/>
          <w:highlight w:val="none"/>
        </w:rPr>
      </w:pPr>
      <w:r>
        <w:rPr>
          <w:rFonts w:ascii="宋体" w:hAnsi="宋体"/>
          <w:color w:val="auto"/>
          <w:szCs w:val="21"/>
          <w:highlight w:val="none"/>
        </w:rPr>
        <w:t>3.3.3 承包人无正当理由拒绝撤换主要施工管理人员的违约责任：</w:t>
      </w:r>
      <w:r>
        <w:rPr>
          <w:rFonts w:ascii="宋体" w:hAnsi="宋体"/>
          <w:color w:val="auto"/>
          <w:szCs w:val="21"/>
          <w:highlight w:val="none"/>
          <w:u w:val="single"/>
        </w:rPr>
        <w:t>因承包人主要施工管理人员不称职，发包人要求调换而无正当理由拒绝撤换或未及时调换的，视为承包人违约，必须向发包人交纳处罚金，处罚标准：技术负责人</w:t>
      </w:r>
      <w:r>
        <w:rPr>
          <w:rFonts w:hint="eastAsia" w:ascii="宋体" w:hAnsi="宋体"/>
          <w:color w:val="auto"/>
          <w:szCs w:val="21"/>
          <w:highlight w:val="none"/>
          <w:u w:val="single"/>
        </w:rPr>
        <w:t>5000</w:t>
      </w:r>
      <w:r>
        <w:rPr>
          <w:rFonts w:ascii="宋体" w:hAnsi="宋体"/>
          <w:color w:val="auto"/>
          <w:szCs w:val="21"/>
          <w:highlight w:val="none"/>
          <w:u w:val="single"/>
        </w:rPr>
        <w:t>元/人•次</w:t>
      </w:r>
      <w:r>
        <w:rPr>
          <w:rFonts w:hint="eastAsia" w:ascii="宋体" w:hAnsi="宋体"/>
          <w:color w:val="auto"/>
          <w:szCs w:val="21"/>
          <w:highlight w:val="none"/>
          <w:u w:val="single"/>
        </w:rPr>
        <w:t>（</w:t>
      </w:r>
      <w:r>
        <w:rPr>
          <w:rFonts w:ascii="宋体" w:hAnsi="宋体"/>
          <w:color w:val="auto"/>
          <w:szCs w:val="21"/>
          <w:highlight w:val="none"/>
          <w:u w:val="single"/>
        </w:rPr>
        <w:t>人民币</w:t>
      </w:r>
      <w:r>
        <w:rPr>
          <w:rFonts w:hint="eastAsia" w:ascii="宋体" w:hAnsi="宋体"/>
          <w:color w:val="auto"/>
          <w:szCs w:val="21"/>
          <w:highlight w:val="none"/>
          <w:u w:val="single"/>
        </w:rPr>
        <w:t>）</w:t>
      </w:r>
      <w:r>
        <w:rPr>
          <w:rFonts w:ascii="宋体" w:hAnsi="宋体"/>
          <w:color w:val="auto"/>
          <w:szCs w:val="21"/>
          <w:highlight w:val="none"/>
          <w:u w:val="single"/>
        </w:rPr>
        <w:t>；专业工程师</w:t>
      </w:r>
      <w:r>
        <w:rPr>
          <w:rFonts w:hint="eastAsia" w:ascii="宋体" w:hAnsi="宋体"/>
          <w:color w:val="auto"/>
          <w:szCs w:val="21"/>
          <w:highlight w:val="none"/>
          <w:u w:val="single"/>
        </w:rPr>
        <w:t>5000</w:t>
      </w:r>
      <w:r>
        <w:rPr>
          <w:rFonts w:ascii="宋体" w:hAnsi="宋体"/>
          <w:color w:val="auto"/>
          <w:szCs w:val="21"/>
          <w:highlight w:val="none"/>
          <w:u w:val="single"/>
        </w:rPr>
        <w:t>元/人•次</w:t>
      </w:r>
      <w:r>
        <w:rPr>
          <w:rFonts w:hint="eastAsia" w:ascii="宋体" w:hAnsi="宋体"/>
          <w:color w:val="auto"/>
          <w:szCs w:val="21"/>
          <w:highlight w:val="none"/>
          <w:u w:val="single"/>
        </w:rPr>
        <w:t>（</w:t>
      </w:r>
      <w:r>
        <w:rPr>
          <w:rFonts w:ascii="宋体" w:hAnsi="宋体"/>
          <w:color w:val="auto"/>
          <w:szCs w:val="21"/>
          <w:highlight w:val="none"/>
          <w:u w:val="single"/>
        </w:rPr>
        <w:t>人民币</w:t>
      </w:r>
      <w:r>
        <w:rPr>
          <w:rFonts w:hint="eastAsia" w:ascii="宋体" w:hAnsi="宋体"/>
          <w:color w:val="auto"/>
          <w:szCs w:val="21"/>
          <w:highlight w:val="none"/>
          <w:u w:val="single"/>
        </w:rPr>
        <w:t>）</w:t>
      </w:r>
      <w:r>
        <w:rPr>
          <w:rFonts w:ascii="宋体" w:hAnsi="宋体"/>
          <w:color w:val="auto"/>
          <w:szCs w:val="21"/>
          <w:highlight w:val="none"/>
        </w:rPr>
        <w:t>。</w:t>
      </w:r>
    </w:p>
    <w:p w14:paraId="39765DC5">
      <w:pPr>
        <w:spacing w:line="360" w:lineRule="auto"/>
        <w:ind w:firstLine="420" w:firstLineChars="200"/>
        <w:rPr>
          <w:rFonts w:ascii="宋体" w:hAnsi="宋体"/>
          <w:color w:val="auto"/>
          <w:szCs w:val="21"/>
          <w:highlight w:val="none"/>
          <w:u w:val="single"/>
        </w:rPr>
      </w:pPr>
      <w:r>
        <w:rPr>
          <w:rFonts w:ascii="宋体" w:hAnsi="宋体"/>
          <w:color w:val="auto"/>
          <w:szCs w:val="21"/>
          <w:highlight w:val="none"/>
        </w:rPr>
        <w:t>3.3.4 承包人主要施工管理人员离开施工现场的批准要求：。</w:t>
      </w:r>
    </w:p>
    <w:p w14:paraId="5C69BEE0">
      <w:pPr>
        <w:spacing w:line="360" w:lineRule="auto"/>
        <w:ind w:firstLine="420" w:firstLineChars="200"/>
        <w:rPr>
          <w:rFonts w:ascii="宋体" w:hAnsi="宋体"/>
          <w:color w:val="auto"/>
          <w:szCs w:val="21"/>
          <w:highlight w:val="none"/>
        </w:rPr>
      </w:pPr>
      <w:r>
        <w:rPr>
          <w:rFonts w:ascii="宋体" w:hAnsi="宋体"/>
          <w:color w:val="auto"/>
          <w:szCs w:val="21"/>
          <w:highlight w:val="none"/>
        </w:rPr>
        <w:t>3.3.5承包人擅自更换主要施工管理人员的违约责任：</w:t>
      </w:r>
      <w:r>
        <w:rPr>
          <w:rFonts w:hint="eastAsia" w:ascii="宋体" w:hAnsi="宋体"/>
          <w:color w:val="auto"/>
          <w:szCs w:val="21"/>
          <w:highlight w:val="none"/>
          <w:u w:val="single"/>
        </w:rPr>
        <w:t>项目</w:t>
      </w:r>
      <w:r>
        <w:rPr>
          <w:rFonts w:ascii="宋体" w:hAnsi="宋体"/>
          <w:color w:val="auto"/>
          <w:szCs w:val="21"/>
          <w:highlight w:val="none"/>
          <w:u w:val="single"/>
        </w:rPr>
        <w:t>技术负责人、</w:t>
      </w:r>
      <w:r>
        <w:rPr>
          <w:rFonts w:hint="eastAsia" w:ascii="宋体" w:hAnsi="宋体"/>
          <w:color w:val="auto"/>
          <w:szCs w:val="21"/>
          <w:highlight w:val="none"/>
          <w:u w:val="single"/>
        </w:rPr>
        <w:t>专职安全员及其承诺的其它在场管理人员</w:t>
      </w:r>
      <w:r>
        <w:rPr>
          <w:rFonts w:ascii="宋体" w:hAnsi="宋体"/>
          <w:color w:val="auto"/>
          <w:szCs w:val="21"/>
          <w:highlight w:val="none"/>
          <w:u w:val="single"/>
        </w:rPr>
        <w:t>未经发包人书面同意不准擅自更换，擅自更换</w:t>
      </w:r>
      <w:r>
        <w:rPr>
          <w:rFonts w:hint="eastAsia" w:ascii="宋体" w:hAnsi="宋体"/>
          <w:color w:val="auto"/>
          <w:szCs w:val="21"/>
          <w:highlight w:val="none"/>
          <w:u w:val="single"/>
        </w:rPr>
        <w:t>项目</w:t>
      </w:r>
      <w:r>
        <w:rPr>
          <w:rFonts w:ascii="宋体" w:hAnsi="宋体"/>
          <w:color w:val="auto"/>
          <w:szCs w:val="21"/>
          <w:highlight w:val="none"/>
          <w:u w:val="single"/>
        </w:rPr>
        <w:t>技术负责人处</w:t>
      </w:r>
      <w:r>
        <w:rPr>
          <w:rFonts w:hint="eastAsia" w:ascii="宋体" w:hAnsi="宋体"/>
          <w:color w:val="auto"/>
          <w:szCs w:val="21"/>
          <w:highlight w:val="none"/>
          <w:u w:val="single"/>
        </w:rPr>
        <w:t>10000</w:t>
      </w:r>
      <w:r>
        <w:rPr>
          <w:rFonts w:ascii="宋体" w:hAnsi="宋体"/>
          <w:color w:val="auto"/>
          <w:szCs w:val="21"/>
          <w:highlight w:val="none"/>
          <w:u w:val="single"/>
        </w:rPr>
        <w:t>元/人•次</w:t>
      </w:r>
      <w:r>
        <w:rPr>
          <w:rFonts w:hint="eastAsia" w:ascii="宋体" w:hAnsi="宋体"/>
          <w:color w:val="auto"/>
          <w:szCs w:val="21"/>
          <w:highlight w:val="none"/>
          <w:u w:val="single"/>
        </w:rPr>
        <w:t>（</w:t>
      </w:r>
      <w:r>
        <w:rPr>
          <w:rFonts w:ascii="宋体" w:hAnsi="宋体"/>
          <w:color w:val="auto"/>
          <w:szCs w:val="21"/>
          <w:highlight w:val="none"/>
          <w:u w:val="single"/>
        </w:rPr>
        <w:t>人民币</w:t>
      </w:r>
      <w:r>
        <w:rPr>
          <w:rFonts w:hint="eastAsia" w:ascii="宋体" w:hAnsi="宋体"/>
          <w:color w:val="auto"/>
          <w:szCs w:val="21"/>
          <w:highlight w:val="none"/>
          <w:u w:val="single"/>
        </w:rPr>
        <w:t>）</w:t>
      </w:r>
      <w:r>
        <w:rPr>
          <w:rFonts w:ascii="宋体" w:hAnsi="宋体"/>
          <w:color w:val="auto"/>
          <w:szCs w:val="21"/>
          <w:highlight w:val="none"/>
          <w:u w:val="single"/>
        </w:rPr>
        <w:t>违约金；擅自更换</w:t>
      </w:r>
      <w:r>
        <w:rPr>
          <w:rFonts w:hint="eastAsia" w:ascii="宋体" w:hAnsi="宋体"/>
          <w:color w:val="auto"/>
          <w:szCs w:val="21"/>
          <w:highlight w:val="none"/>
          <w:u w:val="single"/>
        </w:rPr>
        <w:t>专职安全员</w:t>
      </w:r>
      <w:r>
        <w:rPr>
          <w:rFonts w:ascii="宋体" w:hAnsi="宋体"/>
          <w:color w:val="auto"/>
          <w:szCs w:val="21"/>
          <w:highlight w:val="none"/>
          <w:u w:val="single"/>
        </w:rPr>
        <w:t>处</w:t>
      </w:r>
      <w:r>
        <w:rPr>
          <w:rFonts w:hint="eastAsia" w:ascii="宋体" w:hAnsi="宋体"/>
          <w:color w:val="auto"/>
          <w:szCs w:val="21"/>
          <w:highlight w:val="none"/>
          <w:u w:val="single"/>
        </w:rPr>
        <w:t>5000</w:t>
      </w:r>
      <w:r>
        <w:rPr>
          <w:rFonts w:ascii="宋体" w:hAnsi="宋体"/>
          <w:color w:val="auto"/>
          <w:szCs w:val="21"/>
          <w:highlight w:val="none"/>
          <w:u w:val="single"/>
        </w:rPr>
        <w:t>元/人•次</w:t>
      </w:r>
      <w:r>
        <w:rPr>
          <w:rFonts w:hint="eastAsia" w:ascii="宋体" w:hAnsi="宋体"/>
          <w:color w:val="auto"/>
          <w:szCs w:val="21"/>
          <w:highlight w:val="none"/>
          <w:u w:val="single"/>
        </w:rPr>
        <w:t>（</w:t>
      </w:r>
      <w:r>
        <w:rPr>
          <w:rFonts w:ascii="宋体" w:hAnsi="宋体"/>
          <w:color w:val="auto"/>
          <w:szCs w:val="21"/>
          <w:highlight w:val="none"/>
          <w:u w:val="single"/>
        </w:rPr>
        <w:t>人民币</w:t>
      </w:r>
      <w:r>
        <w:rPr>
          <w:rFonts w:hint="eastAsia" w:ascii="宋体" w:hAnsi="宋体"/>
          <w:color w:val="auto"/>
          <w:szCs w:val="21"/>
          <w:highlight w:val="none"/>
          <w:u w:val="single"/>
        </w:rPr>
        <w:t>）</w:t>
      </w:r>
      <w:r>
        <w:rPr>
          <w:rFonts w:ascii="宋体" w:hAnsi="宋体"/>
          <w:color w:val="auto"/>
          <w:szCs w:val="21"/>
          <w:highlight w:val="none"/>
          <w:u w:val="single"/>
        </w:rPr>
        <w:t>违约金</w:t>
      </w:r>
      <w:r>
        <w:rPr>
          <w:rFonts w:hint="eastAsia" w:ascii="宋体" w:hAnsi="宋体"/>
          <w:color w:val="auto"/>
          <w:szCs w:val="21"/>
          <w:highlight w:val="none"/>
          <w:u w:val="single"/>
        </w:rPr>
        <w:t>；</w:t>
      </w:r>
      <w:r>
        <w:rPr>
          <w:rFonts w:ascii="宋体" w:hAnsi="宋体"/>
          <w:color w:val="auto"/>
          <w:szCs w:val="21"/>
          <w:highlight w:val="none"/>
          <w:u w:val="single"/>
        </w:rPr>
        <w:t>擅自更换</w:t>
      </w:r>
      <w:r>
        <w:rPr>
          <w:rFonts w:hint="eastAsia" w:ascii="宋体" w:hAnsi="宋体"/>
          <w:color w:val="auto"/>
          <w:szCs w:val="21"/>
          <w:highlight w:val="none"/>
          <w:u w:val="single"/>
        </w:rPr>
        <w:t>其它在场管理人员</w:t>
      </w:r>
      <w:r>
        <w:rPr>
          <w:rFonts w:ascii="宋体" w:hAnsi="宋体"/>
          <w:color w:val="auto"/>
          <w:szCs w:val="21"/>
          <w:highlight w:val="none"/>
          <w:u w:val="single"/>
        </w:rPr>
        <w:t>处</w:t>
      </w:r>
      <w:r>
        <w:rPr>
          <w:rFonts w:hint="eastAsia" w:ascii="宋体" w:hAnsi="宋体"/>
          <w:color w:val="auto"/>
          <w:szCs w:val="21"/>
          <w:highlight w:val="none"/>
          <w:u w:val="single"/>
        </w:rPr>
        <w:t>2000</w:t>
      </w:r>
      <w:r>
        <w:rPr>
          <w:rFonts w:ascii="宋体" w:hAnsi="宋体"/>
          <w:color w:val="auto"/>
          <w:szCs w:val="21"/>
          <w:highlight w:val="none"/>
          <w:u w:val="single"/>
        </w:rPr>
        <w:t>元/人•次</w:t>
      </w:r>
      <w:r>
        <w:rPr>
          <w:rFonts w:hint="eastAsia" w:ascii="宋体" w:hAnsi="宋体"/>
          <w:color w:val="auto"/>
          <w:szCs w:val="21"/>
          <w:highlight w:val="none"/>
          <w:u w:val="single"/>
        </w:rPr>
        <w:t>（</w:t>
      </w:r>
      <w:r>
        <w:rPr>
          <w:rFonts w:ascii="宋体" w:hAnsi="宋体"/>
          <w:color w:val="auto"/>
          <w:szCs w:val="21"/>
          <w:highlight w:val="none"/>
          <w:u w:val="single"/>
        </w:rPr>
        <w:t>人民币</w:t>
      </w:r>
      <w:r>
        <w:rPr>
          <w:rFonts w:hint="eastAsia" w:ascii="宋体" w:hAnsi="宋体"/>
          <w:color w:val="auto"/>
          <w:szCs w:val="21"/>
          <w:highlight w:val="none"/>
          <w:u w:val="single"/>
        </w:rPr>
        <w:t>）</w:t>
      </w:r>
      <w:r>
        <w:rPr>
          <w:rFonts w:ascii="宋体" w:hAnsi="宋体"/>
          <w:color w:val="auto"/>
          <w:szCs w:val="21"/>
          <w:highlight w:val="none"/>
          <w:u w:val="single"/>
        </w:rPr>
        <w:t>违约金</w:t>
      </w:r>
      <w:r>
        <w:rPr>
          <w:rFonts w:ascii="宋体" w:hAnsi="宋体"/>
          <w:color w:val="auto"/>
          <w:szCs w:val="21"/>
          <w:highlight w:val="none"/>
        </w:rPr>
        <w:t>。</w:t>
      </w:r>
    </w:p>
    <w:p w14:paraId="10DFB9F1">
      <w:pPr>
        <w:spacing w:line="360" w:lineRule="auto"/>
        <w:ind w:firstLine="420" w:firstLineChars="200"/>
        <w:rPr>
          <w:rFonts w:ascii="宋体" w:hAnsi="宋体"/>
          <w:color w:val="auto"/>
          <w:szCs w:val="21"/>
          <w:highlight w:val="none"/>
        </w:rPr>
      </w:pPr>
      <w:r>
        <w:rPr>
          <w:rFonts w:ascii="宋体" w:hAnsi="宋体"/>
          <w:color w:val="auto"/>
          <w:szCs w:val="21"/>
          <w:highlight w:val="none"/>
        </w:rPr>
        <w:t>承包人主要施工管理人员擅自离开施工现场的违约责任：</w:t>
      </w:r>
      <w:r>
        <w:rPr>
          <w:rFonts w:ascii="宋体" w:hAnsi="宋体"/>
          <w:color w:val="auto"/>
          <w:szCs w:val="21"/>
          <w:highlight w:val="none"/>
          <w:u w:val="single"/>
        </w:rPr>
        <w:t>未经发包人同意，</w:t>
      </w:r>
      <w:r>
        <w:rPr>
          <w:rFonts w:hint="eastAsia" w:ascii="宋体" w:hAnsi="宋体"/>
          <w:color w:val="auto"/>
          <w:szCs w:val="21"/>
          <w:highlight w:val="none"/>
          <w:u w:val="single"/>
        </w:rPr>
        <w:t>项目</w:t>
      </w:r>
      <w:r>
        <w:rPr>
          <w:rFonts w:ascii="宋体" w:hAnsi="宋体"/>
          <w:color w:val="auto"/>
          <w:szCs w:val="21"/>
          <w:highlight w:val="none"/>
          <w:u w:val="single"/>
        </w:rPr>
        <w:t>技术负责人擅自离岗的，视为承包人违约，发包人有权处违约金</w:t>
      </w:r>
      <w:r>
        <w:rPr>
          <w:rFonts w:hint="eastAsia" w:ascii="宋体" w:hAnsi="宋体"/>
          <w:color w:val="auto"/>
          <w:szCs w:val="21"/>
          <w:highlight w:val="none"/>
          <w:u w:val="single"/>
        </w:rPr>
        <w:t>10000</w:t>
      </w:r>
      <w:r>
        <w:rPr>
          <w:rFonts w:ascii="宋体" w:hAnsi="宋体"/>
          <w:color w:val="auto"/>
          <w:szCs w:val="21"/>
          <w:highlight w:val="none"/>
          <w:u w:val="single"/>
        </w:rPr>
        <w:t>元/人•次</w:t>
      </w:r>
      <w:r>
        <w:rPr>
          <w:rFonts w:hint="eastAsia" w:ascii="宋体" w:hAnsi="宋体"/>
          <w:color w:val="auto"/>
          <w:szCs w:val="21"/>
          <w:highlight w:val="none"/>
          <w:u w:val="single"/>
        </w:rPr>
        <w:t>（</w:t>
      </w:r>
      <w:r>
        <w:rPr>
          <w:rFonts w:ascii="宋体" w:hAnsi="宋体"/>
          <w:color w:val="auto"/>
          <w:szCs w:val="21"/>
          <w:highlight w:val="none"/>
          <w:u w:val="single"/>
        </w:rPr>
        <w:t>人民币</w:t>
      </w:r>
      <w:r>
        <w:rPr>
          <w:rFonts w:hint="eastAsia" w:ascii="宋体" w:hAnsi="宋体"/>
          <w:color w:val="auto"/>
          <w:szCs w:val="21"/>
          <w:highlight w:val="none"/>
          <w:u w:val="single"/>
        </w:rPr>
        <w:t>）</w:t>
      </w:r>
      <w:r>
        <w:rPr>
          <w:rFonts w:ascii="宋体" w:hAnsi="宋体"/>
          <w:color w:val="auto"/>
          <w:szCs w:val="21"/>
          <w:highlight w:val="none"/>
          <w:u w:val="single"/>
        </w:rPr>
        <w:t>；未经发包人同意，</w:t>
      </w:r>
      <w:r>
        <w:rPr>
          <w:rFonts w:hint="eastAsia" w:ascii="宋体" w:hAnsi="宋体"/>
          <w:color w:val="auto"/>
          <w:szCs w:val="21"/>
          <w:highlight w:val="none"/>
          <w:u w:val="single"/>
        </w:rPr>
        <w:t>专职安全员</w:t>
      </w:r>
      <w:r>
        <w:rPr>
          <w:rFonts w:ascii="宋体" w:hAnsi="宋体"/>
          <w:color w:val="auto"/>
          <w:szCs w:val="21"/>
          <w:highlight w:val="none"/>
          <w:u w:val="single"/>
        </w:rPr>
        <w:t>擅自离岗的，视为承包人违约，发包人有权处违约金</w:t>
      </w:r>
      <w:r>
        <w:rPr>
          <w:rFonts w:hint="eastAsia" w:ascii="宋体" w:hAnsi="宋体"/>
          <w:color w:val="auto"/>
          <w:szCs w:val="21"/>
          <w:highlight w:val="none"/>
          <w:u w:val="single"/>
        </w:rPr>
        <w:t>5000</w:t>
      </w:r>
      <w:r>
        <w:rPr>
          <w:rFonts w:ascii="宋体" w:hAnsi="宋体"/>
          <w:color w:val="auto"/>
          <w:szCs w:val="21"/>
          <w:highlight w:val="none"/>
          <w:u w:val="single"/>
        </w:rPr>
        <w:t>元/人•次</w:t>
      </w:r>
      <w:r>
        <w:rPr>
          <w:rFonts w:hint="eastAsia" w:ascii="宋体" w:hAnsi="宋体"/>
          <w:color w:val="auto"/>
          <w:szCs w:val="21"/>
          <w:highlight w:val="none"/>
          <w:u w:val="single"/>
        </w:rPr>
        <w:t>（</w:t>
      </w:r>
      <w:r>
        <w:rPr>
          <w:rFonts w:ascii="宋体" w:hAnsi="宋体"/>
          <w:color w:val="auto"/>
          <w:szCs w:val="21"/>
          <w:highlight w:val="none"/>
          <w:u w:val="single"/>
        </w:rPr>
        <w:t>人民币</w:t>
      </w:r>
      <w:r>
        <w:rPr>
          <w:rFonts w:hint="eastAsia" w:ascii="宋体" w:hAnsi="宋体"/>
          <w:color w:val="auto"/>
          <w:szCs w:val="21"/>
          <w:highlight w:val="none"/>
          <w:u w:val="single"/>
        </w:rPr>
        <w:t>）</w:t>
      </w:r>
      <w:r>
        <w:rPr>
          <w:rFonts w:ascii="宋体" w:hAnsi="宋体"/>
          <w:color w:val="auto"/>
          <w:szCs w:val="21"/>
          <w:highlight w:val="none"/>
          <w:u w:val="single"/>
        </w:rPr>
        <w:t>；</w:t>
      </w:r>
      <w:r>
        <w:rPr>
          <w:rFonts w:hint="eastAsia" w:ascii="宋体" w:hAnsi="宋体"/>
          <w:color w:val="auto"/>
          <w:szCs w:val="21"/>
          <w:highlight w:val="none"/>
          <w:u w:val="single"/>
        </w:rPr>
        <w:t>其它在场管理人员</w:t>
      </w:r>
      <w:r>
        <w:rPr>
          <w:rFonts w:ascii="宋体" w:hAnsi="宋体"/>
          <w:color w:val="auto"/>
          <w:szCs w:val="21"/>
          <w:highlight w:val="none"/>
          <w:u w:val="single"/>
        </w:rPr>
        <w:t>擅自离岗的，视为承包人违约，发包人有权处违约金</w:t>
      </w:r>
      <w:r>
        <w:rPr>
          <w:rFonts w:hint="eastAsia" w:ascii="宋体" w:hAnsi="宋体"/>
          <w:color w:val="auto"/>
          <w:szCs w:val="21"/>
          <w:highlight w:val="none"/>
          <w:u w:val="single"/>
        </w:rPr>
        <w:t>1000</w:t>
      </w:r>
      <w:r>
        <w:rPr>
          <w:rFonts w:ascii="宋体" w:hAnsi="宋体"/>
          <w:color w:val="auto"/>
          <w:szCs w:val="21"/>
          <w:highlight w:val="none"/>
          <w:u w:val="single"/>
        </w:rPr>
        <w:t>元/人•次</w:t>
      </w:r>
      <w:r>
        <w:rPr>
          <w:rFonts w:hint="eastAsia" w:ascii="宋体" w:hAnsi="宋体"/>
          <w:color w:val="auto"/>
          <w:szCs w:val="21"/>
          <w:highlight w:val="none"/>
          <w:u w:val="single"/>
        </w:rPr>
        <w:t>（</w:t>
      </w:r>
      <w:r>
        <w:rPr>
          <w:rFonts w:ascii="宋体" w:hAnsi="宋体"/>
          <w:color w:val="auto"/>
          <w:szCs w:val="21"/>
          <w:highlight w:val="none"/>
          <w:u w:val="single"/>
        </w:rPr>
        <w:t>人民币</w:t>
      </w:r>
      <w:r>
        <w:rPr>
          <w:rFonts w:hint="eastAsia" w:ascii="宋体" w:hAnsi="宋体"/>
          <w:color w:val="auto"/>
          <w:szCs w:val="21"/>
          <w:highlight w:val="none"/>
          <w:u w:val="single"/>
        </w:rPr>
        <w:t>）</w:t>
      </w:r>
      <w:r>
        <w:rPr>
          <w:rFonts w:ascii="宋体" w:hAnsi="宋体"/>
          <w:color w:val="auto"/>
          <w:szCs w:val="21"/>
          <w:highlight w:val="none"/>
        </w:rPr>
        <w:t>。</w:t>
      </w:r>
    </w:p>
    <w:p w14:paraId="66CF8560">
      <w:pPr>
        <w:keepNext/>
        <w:keepLines/>
        <w:spacing w:before="260" w:after="260" w:line="360" w:lineRule="auto"/>
        <w:outlineLvl w:val="2"/>
        <w:rPr>
          <w:rFonts w:ascii="宋体" w:hAnsi="宋体"/>
          <w:b/>
          <w:bCs/>
          <w:color w:val="auto"/>
          <w:sz w:val="32"/>
          <w:szCs w:val="32"/>
          <w:highlight w:val="none"/>
        </w:rPr>
      </w:pPr>
      <w:bookmarkStart w:id="609" w:name="_Toc19436"/>
      <w:bookmarkStart w:id="610" w:name="_Toc28559"/>
      <w:bookmarkStart w:id="611" w:name="_Toc86935873"/>
      <w:bookmarkStart w:id="612" w:name="_Toc508379723"/>
      <w:bookmarkStart w:id="613" w:name="_Toc373478357"/>
      <w:bookmarkStart w:id="614" w:name="_Toc389065276"/>
      <w:bookmarkStart w:id="615" w:name="_Toc495673388"/>
      <w:bookmarkStart w:id="616" w:name="_Toc373227710"/>
      <w:bookmarkStart w:id="617" w:name="_Toc407135212"/>
      <w:r>
        <w:rPr>
          <w:rFonts w:ascii="宋体" w:hAnsi="宋体"/>
          <w:b/>
          <w:bCs/>
          <w:color w:val="auto"/>
          <w:sz w:val="32"/>
          <w:szCs w:val="32"/>
          <w:highlight w:val="none"/>
        </w:rPr>
        <w:t>3</w:t>
      </w:r>
      <w:bookmarkStart w:id="618" w:name="_Toc297123492"/>
      <w:bookmarkStart w:id="619" w:name="_Toc296503159"/>
      <w:bookmarkStart w:id="620" w:name="_Toc296891199"/>
      <w:bookmarkStart w:id="621" w:name="_Toc296890987"/>
      <w:bookmarkStart w:id="622" w:name="_Toc297120459"/>
      <w:bookmarkStart w:id="623" w:name="_Toc300934945"/>
      <w:bookmarkStart w:id="624" w:name="_Toc297216151"/>
      <w:bookmarkStart w:id="625" w:name="_Toc304295523"/>
      <w:bookmarkStart w:id="626" w:name="_Toc292559869"/>
      <w:bookmarkStart w:id="627" w:name="_Toc296347158"/>
      <w:bookmarkStart w:id="628" w:name="_Toc292559364"/>
      <w:bookmarkStart w:id="629" w:name="_Toc296346660"/>
      <w:bookmarkStart w:id="630" w:name="_Toc296944498"/>
      <w:bookmarkStart w:id="631" w:name="_Toc312677988"/>
      <w:bookmarkStart w:id="632" w:name="_Toc303539102"/>
      <w:bookmarkStart w:id="633" w:name="_Toc297048345"/>
      <w:r>
        <w:rPr>
          <w:rFonts w:ascii="宋体" w:hAnsi="宋体"/>
          <w:b/>
          <w:bCs/>
          <w:color w:val="auto"/>
          <w:sz w:val="32"/>
          <w:szCs w:val="32"/>
          <w:highlight w:val="none"/>
        </w:rPr>
        <w:t>.5 分包</w:t>
      </w:r>
      <w:bookmarkEnd w:id="609"/>
      <w:bookmarkEnd w:id="610"/>
      <w:bookmarkEnd w:id="611"/>
      <w:bookmarkEnd w:id="612"/>
      <w:bookmarkEnd w:id="613"/>
      <w:bookmarkEnd w:id="614"/>
      <w:bookmarkEnd w:id="615"/>
      <w:bookmarkEnd w:id="616"/>
      <w:bookmarkEnd w:id="617"/>
    </w:p>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p w14:paraId="6EA185AB">
      <w:pPr>
        <w:spacing w:line="360" w:lineRule="auto"/>
        <w:ind w:firstLine="420" w:firstLineChars="200"/>
        <w:rPr>
          <w:rFonts w:ascii="宋体" w:hAnsi="宋体"/>
          <w:color w:val="auto"/>
          <w:szCs w:val="21"/>
          <w:highlight w:val="none"/>
        </w:rPr>
      </w:pPr>
      <w:r>
        <w:rPr>
          <w:rFonts w:ascii="宋体" w:hAnsi="宋体"/>
          <w:color w:val="auto"/>
          <w:szCs w:val="21"/>
          <w:highlight w:val="none"/>
        </w:rPr>
        <w:t>3</w:t>
      </w:r>
      <w:bookmarkStart w:id="634" w:name="_Toc300934946"/>
      <w:bookmarkStart w:id="635" w:name="_Toc304295524"/>
      <w:bookmarkStart w:id="636" w:name="_Toc297216152"/>
      <w:bookmarkStart w:id="637" w:name="_Toc292559870"/>
      <w:bookmarkStart w:id="638" w:name="_Toc292559365"/>
      <w:bookmarkStart w:id="639" w:name="_Toc318581158"/>
      <w:bookmarkStart w:id="640" w:name="_Toc296891200"/>
      <w:bookmarkStart w:id="641" w:name="_Toc296346661"/>
      <w:bookmarkStart w:id="642" w:name="_Toc303539103"/>
      <w:bookmarkStart w:id="643" w:name="_Toc297048346"/>
      <w:bookmarkStart w:id="644" w:name="_Toc312677989"/>
      <w:bookmarkStart w:id="645" w:name="_Toc296503160"/>
      <w:bookmarkStart w:id="646" w:name="_Toc297120460"/>
      <w:bookmarkStart w:id="647" w:name="_Toc296890988"/>
      <w:bookmarkStart w:id="648" w:name="_Toc297123493"/>
      <w:bookmarkStart w:id="649" w:name="_Toc296944499"/>
      <w:bookmarkStart w:id="650" w:name="_Toc296347159"/>
      <w:r>
        <w:rPr>
          <w:rFonts w:ascii="宋体" w:hAnsi="宋体"/>
          <w:color w:val="auto"/>
          <w:szCs w:val="21"/>
          <w:highlight w:val="none"/>
        </w:rPr>
        <w:t>.5.1 分包的一般约定</w:t>
      </w:r>
    </w:p>
    <w:p w14:paraId="4BA057D3">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禁止分包的工程包括：</w:t>
      </w:r>
      <w:r>
        <w:rPr>
          <w:rFonts w:hint="eastAsia" w:ascii="宋体" w:hAnsi="宋体"/>
          <w:color w:val="auto"/>
          <w:szCs w:val="21"/>
          <w:highlight w:val="none"/>
          <w:u w:val="single"/>
        </w:rPr>
        <w:t xml:space="preserve">                      </w:t>
      </w:r>
      <w:r>
        <w:rPr>
          <w:rFonts w:ascii="宋体" w:hAnsi="宋体"/>
          <w:color w:val="auto"/>
          <w:szCs w:val="21"/>
          <w:highlight w:val="none"/>
        </w:rPr>
        <w:t>。</w:t>
      </w:r>
    </w:p>
    <w:p w14:paraId="1EDBA9CC">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主体结构、关键性工作的范围：</w:t>
      </w:r>
      <w:r>
        <w:rPr>
          <w:rFonts w:hint="eastAsia" w:ascii="宋体" w:hAnsi="宋体"/>
          <w:color w:val="auto"/>
          <w:szCs w:val="21"/>
          <w:highlight w:val="none"/>
          <w:u w:val="single"/>
        </w:rPr>
        <w:t xml:space="preserve">                      </w:t>
      </w:r>
      <w:r>
        <w:rPr>
          <w:rFonts w:ascii="宋体" w:hAnsi="宋体"/>
          <w:color w:val="auto"/>
          <w:szCs w:val="21"/>
          <w:highlight w:val="none"/>
        </w:rPr>
        <w:t>。</w:t>
      </w:r>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p>
    <w:p w14:paraId="41981528">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3</w:t>
      </w:r>
      <w:bookmarkStart w:id="651" w:name="_Toc312677990"/>
      <w:bookmarkStart w:id="652" w:name="_Toc318581159"/>
      <w:r>
        <w:rPr>
          <w:rFonts w:ascii="宋体" w:hAnsi="宋体"/>
          <w:color w:val="auto"/>
          <w:szCs w:val="21"/>
          <w:highlight w:val="none"/>
        </w:rPr>
        <w:t>.5.2分包的确定</w:t>
      </w:r>
    </w:p>
    <w:p w14:paraId="1F70B09D">
      <w:pPr>
        <w:spacing w:line="360" w:lineRule="auto"/>
        <w:ind w:firstLine="420" w:firstLineChars="200"/>
        <w:rPr>
          <w:rFonts w:ascii="宋体" w:hAnsi="宋体"/>
          <w:color w:val="auto"/>
          <w:szCs w:val="21"/>
          <w:highlight w:val="none"/>
          <w:u w:val="single"/>
        </w:rPr>
      </w:pPr>
      <w:r>
        <w:rPr>
          <w:rFonts w:ascii="宋体" w:hAnsi="宋体"/>
          <w:color w:val="auto"/>
          <w:szCs w:val="21"/>
          <w:highlight w:val="none"/>
        </w:rPr>
        <w:t>允许分包的专业工程包括：</w:t>
      </w:r>
      <w:r>
        <w:rPr>
          <w:rFonts w:hint="eastAsia" w:ascii="宋体" w:hAnsi="宋体"/>
          <w:color w:val="auto"/>
          <w:szCs w:val="21"/>
          <w:highlight w:val="none"/>
          <w:u w:val="single"/>
        </w:rPr>
        <w:t xml:space="preserve">                      </w:t>
      </w:r>
      <w:r>
        <w:rPr>
          <w:rFonts w:ascii="宋体" w:hAnsi="宋体"/>
          <w:color w:val="auto"/>
          <w:szCs w:val="21"/>
          <w:highlight w:val="none"/>
        </w:rPr>
        <w:t>。</w:t>
      </w:r>
    </w:p>
    <w:p w14:paraId="2FE86F41">
      <w:pPr>
        <w:spacing w:line="360" w:lineRule="auto"/>
        <w:ind w:firstLine="420" w:firstLineChars="200"/>
        <w:rPr>
          <w:rFonts w:ascii="宋体" w:hAnsi="宋体"/>
          <w:color w:val="auto"/>
          <w:szCs w:val="21"/>
          <w:highlight w:val="none"/>
        </w:rPr>
      </w:pPr>
      <w:r>
        <w:rPr>
          <w:rFonts w:ascii="宋体" w:hAnsi="宋体"/>
          <w:color w:val="auto"/>
          <w:szCs w:val="21"/>
          <w:highlight w:val="none"/>
        </w:rPr>
        <w:t>其他关于分包的约定：</w:t>
      </w:r>
    </w:p>
    <w:p w14:paraId="349E0BC0">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w:t>
      </w:r>
      <w:r>
        <w:rPr>
          <w:rFonts w:ascii="宋体" w:hAnsi="宋体"/>
          <w:color w:val="auto"/>
          <w:szCs w:val="21"/>
          <w:highlight w:val="none"/>
        </w:rPr>
        <w:t>1</w:t>
      </w:r>
      <w:r>
        <w:rPr>
          <w:rFonts w:hint="eastAsia" w:ascii="宋体" w:hAnsi="宋体"/>
          <w:color w:val="auto"/>
          <w:szCs w:val="21"/>
          <w:highlight w:val="none"/>
        </w:rPr>
        <w:t>）</w:t>
      </w:r>
      <w:r>
        <w:rPr>
          <w:rFonts w:ascii="宋体" w:hAnsi="宋体"/>
          <w:color w:val="auto"/>
          <w:szCs w:val="21"/>
          <w:highlight w:val="none"/>
        </w:rPr>
        <w:t>除前款约定的分包内容外，经过发包人和监理人同意，承包人可以将其他非主体、非关键性工作分包给第三人，但分包人应当经过发包人和监理人审批。发包人和监理人有权拒绝承包人的分包请求和承包人选择的分包人。</w:t>
      </w:r>
      <w:r>
        <w:rPr>
          <w:rFonts w:hint="eastAsia" w:ascii="宋体" w:hAnsi="宋体"/>
          <w:color w:val="auto"/>
          <w:szCs w:val="21"/>
          <w:highlight w:val="none"/>
        </w:rPr>
        <w:t>本项目分包人主要施工管理人员名单详见合同附件4。</w:t>
      </w:r>
    </w:p>
    <w:p w14:paraId="24B27C83">
      <w:pPr>
        <w:spacing w:line="360" w:lineRule="auto"/>
        <w:ind w:firstLine="420" w:firstLineChars="200"/>
        <w:rPr>
          <w:rFonts w:ascii="宋体" w:hAnsi="宋体"/>
          <w:color w:val="auto"/>
          <w:szCs w:val="21"/>
          <w:highlight w:val="none"/>
          <w:u w:val="single"/>
        </w:rPr>
      </w:pPr>
      <w:r>
        <w:rPr>
          <w:rFonts w:hint="eastAsia" w:ascii="宋体" w:hAnsi="宋体"/>
          <w:color w:val="auto"/>
          <w:szCs w:val="21"/>
          <w:highlight w:val="none"/>
        </w:rPr>
        <w:t>（</w:t>
      </w:r>
      <w:r>
        <w:rPr>
          <w:rFonts w:ascii="宋体" w:hAnsi="宋体"/>
          <w:color w:val="auto"/>
          <w:szCs w:val="21"/>
          <w:highlight w:val="none"/>
        </w:rPr>
        <w:t>2</w:t>
      </w:r>
      <w:r>
        <w:rPr>
          <w:rFonts w:hint="eastAsia" w:ascii="宋体" w:hAnsi="宋体"/>
          <w:color w:val="auto"/>
          <w:szCs w:val="21"/>
          <w:highlight w:val="none"/>
        </w:rPr>
        <w:t>）</w:t>
      </w:r>
      <w:r>
        <w:rPr>
          <w:rFonts w:ascii="宋体" w:hAnsi="宋体"/>
          <w:color w:val="auto"/>
          <w:szCs w:val="21"/>
          <w:highlight w:val="none"/>
        </w:rPr>
        <w:t>在相关分包合同签订并报送有关建设行政主管部门备案后7天内，承包人应当将一份副本提交给监理人，承包人应保障分包工作不得再次分包。</w:t>
      </w:r>
    </w:p>
    <w:p w14:paraId="3E63EDE4">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w:t>
      </w:r>
      <w:r>
        <w:rPr>
          <w:rFonts w:ascii="宋体" w:hAnsi="宋体"/>
          <w:color w:val="auto"/>
          <w:szCs w:val="21"/>
          <w:highlight w:val="none"/>
        </w:rPr>
        <w:t>3</w:t>
      </w:r>
      <w:r>
        <w:rPr>
          <w:rFonts w:hint="eastAsia" w:ascii="宋体" w:hAnsi="宋体"/>
          <w:color w:val="auto"/>
          <w:szCs w:val="21"/>
          <w:highlight w:val="none"/>
        </w:rPr>
        <w:t>）</w:t>
      </w:r>
      <w:r>
        <w:rPr>
          <w:rFonts w:ascii="宋体" w:hAnsi="宋体"/>
          <w:color w:val="auto"/>
          <w:szCs w:val="21"/>
          <w:highlight w:val="none"/>
        </w:rPr>
        <w:t>未经承包人和监理人审批同意的分包工程和分包人，承包人有权拒绝验收分包工程和支付相应款项，由此引起的发包人费用增加和(或)延误的工期由发包人承担。</w:t>
      </w:r>
    </w:p>
    <w:p w14:paraId="53C2C027">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w:t>
      </w:r>
      <w:r>
        <w:rPr>
          <w:rFonts w:ascii="宋体" w:hAnsi="宋体"/>
          <w:color w:val="auto"/>
          <w:szCs w:val="21"/>
          <w:highlight w:val="none"/>
        </w:rPr>
        <w:t>4</w:t>
      </w:r>
      <w:r>
        <w:rPr>
          <w:rFonts w:hint="eastAsia" w:ascii="宋体" w:hAnsi="宋体"/>
          <w:color w:val="auto"/>
          <w:szCs w:val="21"/>
          <w:highlight w:val="none"/>
        </w:rPr>
        <w:t>）</w:t>
      </w:r>
      <w:r>
        <w:rPr>
          <w:rFonts w:ascii="宋体" w:hAnsi="宋体"/>
          <w:color w:val="auto"/>
          <w:szCs w:val="21"/>
          <w:highlight w:val="none"/>
        </w:rPr>
        <w:t>承包人有以下情况之一者，发包人有权解除合同，并视情况扣除其履约保证金：</w:t>
      </w:r>
    </w:p>
    <w:p w14:paraId="4F50C6FD">
      <w:pPr>
        <w:spacing w:line="360" w:lineRule="auto"/>
        <w:ind w:firstLine="441" w:firstLineChars="210"/>
        <w:rPr>
          <w:rFonts w:ascii="宋体" w:hAnsi="宋体"/>
          <w:color w:val="auto"/>
          <w:szCs w:val="21"/>
          <w:highlight w:val="none"/>
        </w:rPr>
      </w:pPr>
      <w:r>
        <w:rPr>
          <w:rFonts w:ascii="宋体" w:hAnsi="宋体"/>
          <w:color w:val="auto"/>
          <w:szCs w:val="21"/>
          <w:highlight w:val="none"/>
        </w:rPr>
        <w:t>①个人承包工程，包括本人单位及外单位人员承包，发包人不承认其个人拥有任何资质等级及营业许可资格。没收全部履约保证金。</w:t>
      </w:r>
    </w:p>
    <w:p w14:paraId="7DED0547">
      <w:pPr>
        <w:spacing w:line="360" w:lineRule="auto"/>
        <w:ind w:firstLine="441" w:firstLineChars="210"/>
        <w:rPr>
          <w:rFonts w:ascii="宋体" w:hAnsi="宋体"/>
          <w:color w:val="auto"/>
          <w:szCs w:val="21"/>
          <w:highlight w:val="none"/>
        </w:rPr>
      </w:pPr>
      <w:r>
        <w:rPr>
          <w:rFonts w:ascii="宋体" w:hAnsi="宋体"/>
          <w:color w:val="auto"/>
          <w:szCs w:val="21"/>
          <w:highlight w:val="none"/>
        </w:rPr>
        <w:t>②几个人联合承包工程，就地组织暗分包队伍，不具备完成本工程的技术、机械能力，被发包人判定为没有能力履行的承包人。没收全部履约保证金。</w:t>
      </w:r>
    </w:p>
    <w:p w14:paraId="3A8AA679">
      <w:pPr>
        <w:spacing w:line="360" w:lineRule="auto"/>
        <w:ind w:firstLine="441" w:firstLineChars="210"/>
        <w:rPr>
          <w:rFonts w:ascii="宋体" w:hAnsi="宋体"/>
          <w:color w:val="auto"/>
          <w:szCs w:val="21"/>
          <w:highlight w:val="none"/>
        </w:rPr>
      </w:pPr>
      <w:r>
        <w:rPr>
          <w:rFonts w:ascii="宋体" w:hAnsi="宋体"/>
          <w:color w:val="auto"/>
          <w:szCs w:val="21"/>
          <w:highlight w:val="none"/>
        </w:rPr>
        <w:t>③就地转包全部的工程，以谋取高额转让费、管理费的承包人。没收全部履约保证金。</w:t>
      </w:r>
    </w:p>
    <w:p w14:paraId="54892FBA">
      <w:pPr>
        <w:spacing w:line="360" w:lineRule="auto"/>
        <w:ind w:firstLine="420" w:firstLineChars="200"/>
        <w:rPr>
          <w:rFonts w:ascii="宋体" w:hAnsi="宋体"/>
          <w:color w:val="auto"/>
          <w:szCs w:val="21"/>
          <w:highlight w:val="none"/>
          <w:u w:val="single"/>
        </w:rPr>
      </w:pPr>
      <w:r>
        <w:rPr>
          <w:rFonts w:ascii="宋体" w:hAnsi="宋体"/>
          <w:color w:val="auto"/>
          <w:szCs w:val="21"/>
          <w:highlight w:val="none"/>
        </w:rPr>
        <w:t>④承包人有部分分包现象（其中包括冒充承包人下属单位的挂勾单位，凭口头协议参与施工的分包人及其他暗分包个体户），一经发现核实，发包人将采取驱逐该暗分包人措施。没收全部履约保证金。</w:t>
      </w:r>
    </w:p>
    <w:p w14:paraId="38290F5F">
      <w:pPr>
        <w:spacing w:line="360" w:lineRule="auto"/>
        <w:ind w:firstLine="420" w:firstLineChars="200"/>
        <w:rPr>
          <w:rFonts w:ascii="宋体" w:hAnsi="宋体"/>
          <w:color w:val="auto"/>
          <w:szCs w:val="21"/>
          <w:highlight w:val="none"/>
        </w:rPr>
      </w:pPr>
      <w:r>
        <w:rPr>
          <w:rFonts w:ascii="宋体" w:hAnsi="宋体"/>
          <w:color w:val="auto"/>
          <w:szCs w:val="21"/>
          <w:highlight w:val="none"/>
        </w:rPr>
        <w:t>3.5.4 分包合同价款</w:t>
      </w:r>
    </w:p>
    <w:bookmarkEnd w:id="651"/>
    <w:bookmarkEnd w:id="652"/>
    <w:p w14:paraId="20EBB5F1">
      <w:pPr>
        <w:spacing w:line="360" w:lineRule="auto"/>
        <w:ind w:firstLine="420" w:firstLineChars="200"/>
        <w:rPr>
          <w:rFonts w:ascii="宋体" w:hAnsi="宋体"/>
          <w:color w:val="auto"/>
          <w:szCs w:val="21"/>
          <w:highlight w:val="none"/>
        </w:rPr>
      </w:pPr>
      <w:bookmarkStart w:id="653" w:name="_Toc373227711"/>
      <w:bookmarkStart w:id="654" w:name="_Toc373478358"/>
      <w:bookmarkStart w:id="655" w:name="_Toc389065277"/>
      <w:r>
        <w:rPr>
          <w:rFonts w:ascii="宋体" w:hAnsi="宋体"/>
          <w:color w:val="auto"/>
          <w:szCs w:val="21"/>
          <w:highlight w:val="none"/>
        </w:rPr>
        <w:t>关于分包合同价款支付的约定：</w:t>
      </w:r>
      <w:r>
        <w:rPr>
          <w:rFonts w:ascii="宋体" w:hAnsi="宋体"/>
          <w:color w:val="auto"/>
          <w:szCs w:val="21"/>
          <w:highlight w:val="none"/>
          <w:u w:val="single"/>
        </w:rPr>
        <w:t>分包工程价款由承包人与分包人</w:t>
      </w:r>
      <w:r>
        <w:rPr>
          <w:rFonts w:hint="eastAsia" w:ascii="宋体" w:hAnsi="宋体"/>
          <w:color w:val="auto"/>
          <w:szCs w:val="21"/>
          <w:highlight w:val="none"/>
          <w:u w:val="single"/>
        </w:rPr>
        <w:t>（</w:t>
      </w:r>
      <w:r>
        <w:rPr>
          <w:rFonts w:ascii="宋体" w:hAnsi="宋体"/>
          <w:color w:val="auto"/>
          <w:szCs w:val="21"/>
          <w:highlight w:val="none"/>
          <w:u w:val="single"/>
        </w:rPr>
        <w:t>包括专业分包人</w:t>
      </w:r>
      <w:r>
        <w:rPr>
          <w:rFonts w:hint="eastAsia" w:ascii="宋体" w:hAnsi="宋体"/>
          <w:color w:val="auto"/>
          <w:szCs w:val="21"/>
          <w:highlight w:val="none"/>
          <w:u w:val="single"/>
        </w:rPr>
        <w:t>）</w:t>
      </w:r>
      <w:r>
        <w:rPr>
          <w:rFonts w:ascii="宋体" w:hAnsi="宋体"/>
          <w:color w:val="auto"/>
          <w:szCs w:val="21"/>
          <w:highlight w:val="none"/>
          <w:u w:val="single"/>
        </w:rPr>
        <w:t>结算。发包人未经承包人同意不得以任何形式向分包人</w:t>
      </w:r>
      <w:r>
        <w:rPr>
          <w:rFonts w:hint="eastAsia" w:ascii="宋体" w:hAnsi="宋体"/>
          <w:color w:val="auto"/>
          <w:szCs w:val="21"/>
          <w:highlight w:val="none"/>
          <w:u w:val="single"/>
        </w:rPr>
        <w:t>（</w:t>
      </w:r>
      <w:r>
        <w:rPr>
          <w:rFonts w:ascii="宋体" w:hAnsi="宋体"/>
          <w:color w:val="auto"/>
          <w:szCs w:val="21"/>
          <w:highlight w:val="none"/>
          <w:u w:val="single"/>
        </w:rPr>
        <w:t>包括专业分包人</w:t>
      </w:r>
      <w:r>
        <w:rPr>
          <w:rFonts w:hint="eastAsia" w:ascii="宋体" w:hAnsi="宋体"/>
          <w:color w:val="auto"/>
          <w:szCs w:val="21"/>
          <w:highlight w:val="none"/>
          <w:u w:val="single"/>
        </w:rPr>
        <w:t>）</w:t>
      </w:r>
      <w:r>
        <w:rPr>
          <w:rFonts w:ascii="宋体" w:hAnsi="宋体"/>
          <w:color w:val="auto"/>
          <w:szCs w:val="21"/>
          <w:highlight w:val="none"/>
          <w:u w:val="single"/>
        </w:rPr>
        <w:t>支付相关分包合同项下的任何工程款项。因发包人未经承包人同意直接向分包人</w:t>
      </w:r>
      <w:r>
        <w:rPr>
          <w:rFonts w:hint="eastAsia" w:ascii="宋体" w:hAnsi="宋体"/>
          <w:color w:val="auto"/>
          <w:szCs w:val="21"/>
          <w:highlight w:val="none"/>
          <w:u w:val="single"/>
        </w:rPr>
        <w:t>（</w:t>
      </w:r>
      <w:r>
        <w:rPr>
          <w:rFonts w:ascii="宋体" w:hAnsi="宋体"/>
          <w:color w:val="auto"/>
          <w:szCs w:val="21"/>
          <w:highlight w:val="none"/>
          <w:u w:val="single"/>
        </w:rPr>
        <w:t>包括专业分包人</w:t>
      </w:r>
      <w:r>
        <w:rPr>
          <w:rFonts w:hint="eastAsia" w:ascii="宋体" w:hAnsi="宋体"/>
          <w:color w:val="auto"/>
          <w:szCs w:val="21"/>
          <w:highlight w:val="none"/>
          <w:u w:val="single"/>
        </w:rPr>
        <w:t>）</w:t>
      </w:r>
      <w:r>
        <w:rPr>
          <w:rFonts w:ascii="宋体" w:hAnsi="宋体"/>
          <w:color w:val="auto"/>
          <w:szCs w:val="21"/>
          <w:highlight w:val="none"/>
          <w:u w:val="single"/>
        </w:rPr>
        <w:t>支付相关分包合同项下的任何工程款项而影响承包人工作的，所造成的承包人费用增加和</w:t>
      </w:r>
      <w:r>
        <w:rPr>
          <w:rFonts w:hint="eastAsia" w:ascii="宋体" w:hAnsi="宋体"/>
          <w:color w:val="auto"/>
          <w:szCs w:val="21"/>
          <w:highlight w:val="none"/>
          <w:u w:val="single"/>
        </w:rPr>
        <w:t>（</w:t>
      </w:r>
      <w:r>
        <w:rPr>
          <w:rFonts w:ascii="宋体" w:hAnsi="宋体"/>
          <w:color w:val="auto"/>
          <w:szCs w:val="21"/>
          <w:highlight w:val="none"/>
          <w:u w:val="single"/>
        </w:rPr>
        <w:t>或</w:t>
      </w:r>
      <w:r>
        <w:rPr>
          <w:rFonts w:hint="eastAsia" w:ascii="宋体" w:hAnsi="宋体"/>
          <w:color w:val="auto"/>
          <w:szCs w:val="21"/>
          <w:highlight w:val="none"/>
          <w:u w:val="single"/>
        </w:rPr>
        <w:t>）</w:t>
      </w:r>
      <w:r>
        <w:rPr>
          <w:rFonts w:ascii="宋体" w:hAnsi="宋体"/>
          <w:color w:val="auto"/>
          <w:szCs w:val="21"/>
          <w:highlight w:val="none"/>
          <w:u w:val="single"/>
        </w:rPr>
        <w:t>延误的工期由发包人承担。</w:t>
      </w:r>
    </w:p>
    <w:p w14:paraId="608D8D20">
      <w:pPr>
        <w:keepNext/>
        <w:keepLines/>
        <w:spacing w:before="260" w:after="260" w:line="360" w:lineRule="auto"/>
        <w:outlineLvl w:val="2"/>
        <w:rPr>
          <w:rFonts w:ascii="宋体" w:hAnsi="宋体"/>
          <w:b/>
          <w:bCs/>
          <w:color w:val="auto"/>
          <w:sz w:val="32"/>
          <w:szCs w:val="32"/>
          <w:highlight w:val="none"/>
        </w:rPr>
      </w:pPr>
      <w:bookmarkStart w:id="656" w:name="_Toc5557"/>
      <w:bookmarkStart w:id="657" w:name="_Toc495673389"/>
      <w:bookmarkStart w:id="658" w:name="_Toc508379724"/>
      <w:bookmarkStart w:id="659" w:name="_Toc407135213"/>
      <w:bookmarkStart w:id="660" w:name="_Toc29449"/>
      <w:bookmarkStart w:id="661" w:name="_Toc86935874"/>
      <w:r>
        <w:rPr>
          <w:rFonts w:ascii="宋体" w:hAnsi="宋体"/>
          <w:b/>
          <w:bCs/>
          <w:color w:val="auto"/>
          <w:sz w:val="32"/>
          <w:szCs w:val="32"/>
          <w:highlight w:val="none"/>
        </w:rPr>
        <w:t>3.6 工程照管与成品、半成品保护</w:t>
      </w:r>
      <w:bookmarkEnd w:id="653"/>
      <w:bookmarkEnd w:id="654"/>
      <w:bookmarkEnd w:id="655"/>
      <w:bookmarkEnd w:id="656"/>
      <w:bookmarkEnd w:id="657"/>
      <w:bookmarkEnd w:id="658"/>
      <w:bookmarkEnd w:id="659"/>
      <w:bookmarkEnd w:id="660"/>
      <w:bookmarkEnd w:id="661"/>
    </w:p>
    <w:p w14:paraId="3DAB00EF">
      <w:pPr>
        <w:spacing w:line="360" w:lineRule="auto"/>
        <w:ind w:firstLine="420" w:firstLineChars="200"/>
        <w:rPr>
          <w:rFonts w:ascii="宋体" w:hAnsi="宋体"/>
          <w:color w:val="auto"/>
          <w:kern w:val="0"/>
          <w:szCs w:val="21"/>
          <w:highlight w:val="none"/>
          <w:u w:val="single"/>
        </w:rPr>
      </w:pPr>
      <w:r>
        <w:rPr>
          <w:rFonts w:ascii="宋体" w:hAnsi="宋体"/>
          <w:color w:val="auto"/>
          <w:kern w:val="0"/>
          <w:szCs w:val="21"/>
          <w:highlight w:val="none"/>
        </w:rPr>
        <w:t>承包人负责照管工程及工程相关的材料、工程设备的起始时间：</w:t>
      </w:r>
      <w:r>
        <w:rPr>
          <w:rFonts w:hint="eastAsia" w:ascii="宋体" w:hAnsi="宋体"/>
          <w:color w:val="auto"/>
          <w:szCs w:val="21"/>
          <w:highlight w:val="none"/>
          <w:u w:val="single"/>
        </w:rPr>
        <w:t xml:space="preserve">  </w:t>
      </w:r>
      <w:r>
        <w:rPr>
          <w:rStyle w:val="35"/>
          <w:rFonts w:hint="eastAsia" w:ascii="宋体" w:hAnsi="宋体" w:eastAsia="宋体"/>
          <w:color w:val="auto"/>
          <w:kern w:val="0"/>
          <w:highlight w:val="none"/>
          <w:u w:val="single"/>
        </w:rPr>
        <w:t>从承包人进场到工程竣工验收合格并交付</w:t>
      </w:r>
      <w:r>
        <w:rPr>
          <w:rStyle w:val="35"/>
          <w:rFonts w:hint="eastAsia" w:ascii="宋体" w:hAnsi="宋体" w:eastAsia="宋体"/>
          <w:color w:val="auto"/>
          <w:kern w:val="0"/>
          <w:highlight w:val="none"/>
          <w:u w:val="single"/>
          <w:lang w:eastAsia="zh-CN"/>
        </w:rPr>
        <w:t>发</w:t>
      </w:r>
      <w:r>
        <w:rPr>
          <w:rStyle w:val="35"/>
          <w:rFonts w:hint="eastAsia" w:ascii="宋体" w:hAnsi="宋体" w:eastAsia="宋体"/>
          <w:color w:val="auto"/>
          <w:kern w:val="0"/>
          <w:highlight w:val="none"/>
          <w:u w:val="single"/>
        </w:rPr>
        <w:t>包人后</w:t>
      </w:r>
      <w:r>
        <w:rPr>
          <w:rFonts w:hint="eastAsia" w:ascii="宋体" w:hAnsi="宋体"/>
          <w:color w:val="auto"/>
          <w:szCs w:val="21"/>
          <w:highlight w:val="none"/>
          <w:u w:val="single"/>
        </w:rPr>
        <w:t xml:space="preserve">  </w:t>
      </w:r>
      <w:r>
        <w:rPr>
          <w:rFonts w:ascii="宋体" w:hAnsi="宋体"/>
          <w:color w:val="auto"/>
          <w:kern w:val="0"/>
          <w:szCs w:val="21"/>
          <w:highlight w:val="none"/>
        </w:rPr>
        <w:t>。</w:t>
      </w:r>
    </w:p>
    <w:p w14:paraId="1D5F87C4">
      <w:pPr>
        <w:keepNext/>
        <w:keepLines/>
        <w:spacing w:before="260" w:after="260" w:line="360" w:lineRule="auto"/>
        <w:outlineLvl w:val="2"/>
        <w:rPr>
          <w:rFonts w:ascii="宋体" w:hAnsi="宋体"/>
          <w:b/>
          <w:bCs/>
          <w:color w:val="auto"/>
          <w:sz w:val="32"/>
          <w:szCs w:val="32"/>
          <w:highlight w:val="none"/>
        </w:rPr>
      </w:pPr>
      <w:bookmarkStart w:id="662" w:name="_Toc373478359"/>
      <w:bookmarkStart w:id="663" w:name="_Toc389065278"/>
      <w:bookmarkStart w:id="664" w:name="_Toc373227712"/>
      <w:bookmarkStart w:id="665" w:name="_Toc28650"/>
      <w:bookmarkStart w:id="666" w:name="_Toc508379725"/>
      <w:bookmarkStart w:id="667" w:name="_Toc495673390"/>
      <w:bookmarkStart w:id="668" w:name="_Toc407135214"/>
      <w:bookmarkStart w:id="669" w:name="_Toc30840"/>
      <w:bookmarkStart w:id="670" w:name="_Toc86935875"/>
      <w:r>
        <w:rPr>
          <w:rFonts w:ascii="宋体" w:hAnsi="宋体"/>
          <w:b/>
          <w:bCs/>
          <w:color w:val="auto"/>
          <w:sz w:val="32"/>
          <w:szCs w:val="32"/>
          <w:highlight w:val="none"/>
        </w:rPr>
        <w:t>3.7 履约</w:t>
      </w:r>
      <w:bookmarkEnd w:id="662"/>
      <w:bookmarkEnd w:id="663"/>
      <w:bookmarkEnd w:id="664"/>
      <w:r>
        <w:rPr>
          <w:rFonts w:hint="eastAsia" w:ascii="宋体" w:hAnsi="宋体"/>
          <w:b/>
          <w:bCs/>
          <w:color w:val="auto"/>
          <w:sz w:val="32"/>
          <w:szCs w:val="32"/>
          <w:highlight w:val="none"/>
        </w:rPr>
        <w:t>保证金</w:t>
      </w:r>
      <w:bookmarkEnd w:id="665"/>
      <w:bookmarkEnd w:id="666"/>
      <w:bookmarkEnd w:id="667"/>
      <w:bookmarkEnd w:id="668"/>
      <w:bookmarkEnd w:id="669"/>
      <w:bookmarkEnd w:id="670"/>
    </w:p>
    <w:p w14:paraId="066E6878">
      <w:pPr>
        <w:spacing w:line="360" w:lineRule="auto"/>
        <w:ind w:firstLine="420" w:firstLineChars="200"/>
        <w:jc w:val="left"/>
        <w:rPr>
          <w:rFonts w:ascii="宋体" w:hAnsi="宋体"/>
          <w:color w:val="auto"/>
          <w:szCs w:val="21"/>
          <w:highlight w:val="none"/>
          <w:u w:val="single"/>
        </w:rPr>
      </w:pPr>
      <w:bookmarkStart w:id="671" w:name="_Toc351203636"/>
      <w:bookmarkStart w:id="672" w:name="_Toc373227713"/>
      <w:bookmarkStart w:id="673" w:name="_Toc389065279"/>
      <w:bookmarkStart w:id="674" w:name="_Toc373478360"/>
      <w:r>
        <w:rPr>
          <w:rFonts w:hint="eastAsia" w:ascii="宋体" w:hAnsi="宋体"/>
          <w:color w:val="auto"/>
          <w:szCs w:val="21"/>
          <w:highlight w:val="none"/>
        </w:rPr>
        <w:t>履约保证金：</w:t>
      </w:r>
      <w:r>
        <w:rPr>
          <w:rFonts w:hint="eastAsia" w:ascii="宋体" w:hAnsi="宋体"/>
          <w:color w:val="auto"/>
          <w:szCs w:val="21"/>
          <w:highlight w:val="none"/>
          <w:u w:val="single"/>
        </w:rPr>
        <w:t>无。</w:t>
      </w:r>
    </w:p>
    <w:p w14:paraId="65929DD7">
      <w:pPr>
        <w:keepNext/>
        <w:keepLines/>
        <w:spacing w:before="260" w:after="260" w:line="360" w:lineRule="auto"/>
        <w:outlineLvl w:val="1"/>
        <w:rPr>
          <w:rFonts w:ascii="宋体" w:hAnsi="宋体"/>
          <w:b/>
          <w:bCs/>
          <w:color w:val="auto"/>
          <w:sz w:val="32"/>
          <w:szCs w:val="32"/>
          <w:highlight w:val="none"/>
        </w:rPr>
      </w:pPr>
      <w:bookmarkStart w:id="675" w:name="_Toc24070"/>
      <w:bookmarkStart w:id="676" w:name="_Toc4361"/>
      <w:bookmarkStart w:id="677" w:name="_Toc407135215"/>
      <w:bookmarkStart w:id="678" w:name="_Toc508379726"/>
      <w:bookmarkStart w:id="679" w:name="_Toc86935876"/>
      <w:bookmarkStart w:id="680" w:name="_Toc495673391"/>
      <w:r>
        <w:rPr>
          <w:rFonts w:ascii="宋体" w:hAnsi="宋体"/>
          <w:b/>
          <w:bCs/>
          <w:color w:val="auto"/>
          <w:sz w:val="32"/>
          <w:szCs w:val="32"/>
          <w:highlight w:val="none"/>
        </w:rPr>
        <w:t>4</w:t>
      </w:r>
      <w:bookmarkStart w:id="681" w:name="_Toc296346663"/>
      <w:bookmarkStart w:id="682" w:name="_Toc292559871"/>
      <w:bookmarkStart w:id="683" w:name="_Toc296891202"/>
      <w:bookmarkStart w:id="684" w:name="_Toc297120462"/>
      <w:bookmarkStart w:id="685" w:name="_Toc296944501"/>
      <w:bookmarkStart w:id="686" w:name="_Toc296347161"/>
      <w:bookmarkStart w:id="687" w:name="_Toc296503162"/>
      <w:bookmarkStart w:id="688" w:name="_Toc297048348"/>
      <w:bookmarkStart w:id="689" w:name="_Toc292559366"/>
      <w:bookmarkStart w:id="690" w:name="_Toc296890990"/>
      <w:bookmarkStart w:id="691" w:name="_Toc267251413"/>
      <w:r>
        <w:rPr>
          <w:rFonts w:ascii="宋体" w:hAnsi="宋体"/>
          <w:b/>
          <w:bCs/>
          <w:color w:val="auto"/>
          <w:sz w:val="32"/>
          <w:szCs w:val="32"/>
          <w:highlight w:val="none"/>
        </w:rPr>
        <w:t>. 监</w:t>
      </w:r>
      <w:bookmarkEnd w:id="681"/>
      <w:bookmarkEnd w:id="682"/>
      <w:bookmarkEnd w:id="683"/>
      <w:bookmarkEnd w:id="684"/>
      <w:bookmarkEnd w:id="685"/>
      <w:bookmarkEnd w:id="686"/>
      <w:bookmarkEnd w:id="687"/>
      <w:bookmarkEnd w:id="688"/>
      <w:bookmarkEnd w:id="689"/>
      <w:bookmarkEnd w:id="690"/>
      <w:bookmarkEnd w:id="691"/>
      <w:r>
        <w:rPr>
          <w:rFonts w:ascii="宋体" w:hAnsi="宋体"/>
          <w:b/>
          <w:bCs/>
          <w:color w:val="auto"/>
          <w:sz w:val="32"/>
          <w:szCs w:val="32"/>
          <w:highlight w:val="none"/>
        </w:rPr>
        <w:t>理人</w:t>
      </w:r>
      <w:bookmarkEnd w:id="671"/>
      <w:bookmarkEnd w:id="672"/>
      <w:bookmarkEnd w:id="673"/>
      <w:bookmarkEnd w:id="674"/>
      <w:bookmarkEnd w:id="675"/>
      <w:bookmarkEnd w:id="676"/>
      <w:bookmarkEnd w:id="677"/>
      <w:bookmarkEnd w:id="678"/>
      <w:bookmarkEnd w:id="679"/>
      <w:bookmarkEnd w:id="680"/>
    </w:p>
    <w:p w14:paraId="684DBA01">
      <w:pPr>
        <w:keepNext/>
        <w:keepLines/>
        <w:spacing w:before="260" w:after="260" w:line="360" w:lineRule="auto"/>
        <w:outlineLvl w:val="2"/>
        <w:rPr>
          <w:rFonts w:ascii="宋体" w:hAnsi="宋体"/>
          <w:b/>
          <w:bCs/>
          <w:color w:val="auto"/>
          <w:sz w:val="32"/>
          <w:szCs w:val="32"/>
          <w:highlight w:val="none"/>
        </w:rPr>
      </w:pPr>
      <w:bookmarkStart w:id="692" w:name="_Toc389065280"/>
      <w:bookmarkStart w:id="693" w:name="_Toc407135216"/>
      <w:bookmarkStart w:id="694" w:name="_Toc22857"/>
      <w:bookmarkStart w:id="695" w:name="_Toc86935877"/>
      <w:bookmarkStart w:id="696" w:name="_Toc508379727"/>
      <w:bookmarkStart w:id="697" w:name="_Toc495673392"/>
      <w:bookmarkStart w:id="698" w:name="_Toc7513"/>
      <w:bookmarkStart w:id="699" w:name="_Toc373227714"/>
      <w:bookmarkStart w:id="700" w:name="_Toc373478361"/>
      <w:r>
        <w:rPr>
          <w:rFonts w:ascii="宋体" w:hAnsi="宋体"/>
          <w:b/>
          <w:bCs/>
          <w:color w:val="auto"/>
          <w:sz w:val="32"/>
          <w:szCs w:val="32"/>
          <w:highlight w:val="none"/>
        </w:rPr>
        <w:t>4.1监理人的一般规定</w:t>
      </w:r>
      <w:bookmarkEnd w:id="692"/>
      <w:bookmarkEnd w:id="693"/>
      <w:bookmarkEnd w:id="694"/>
      <w:bookmarkEnd w:id="695"/>
      <w:bookmarkEnd w:id="696"/>
      <w:bookmarkEnd w:id="697"/>
      <w:bookmarkEnd w:id="698"/>
      <w:bookmarkEnd w:id="699"/>
      <w:bookmarkEnd w:id="700"/>
    </w:p>
    <w:p w14:paraId="1467F588">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关于监理人的监理内容：</w:t>
      </w:r>
      <w:r>
        <w:rPr>
          <w:rFonts w:hint="eastAsia" w:ascii="宋体" w:hAnsi="宋体"/>
          <w:color w:val="auto"/>
          <w:szCs w:val="21"/>
          <w:highlight w:val="none"/>
          <w:u w:val="single"/>
        </w:rPr>
        <w:t xml:space="preserve">                      </w:t>
      </w:r>
      <w:r>
        <w:rPr>
          <w:rFonts w:ascii="宋体" w:hAnsi="宋体"/>
          <w:color w:val="auto"/>
          <w:szCs w:val="21"/>
          <w:highlight w:val="none"/>
        </w:rPr>
        <w:t>。</w:t>
      </w:r>
    </w:p>
    <w:p w14:paraId="4540AFD3">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关于监理人的监理权限：</w:t>
      </w:r>
      <w:r>
        <w:rPr>
          <w:rFonts w:hint="eastAsia" w:ascii="宋体" w:hAnsi="宋体"/>
          <w:color w:val="auto"/>
          <w:szCs w:val="21"/>
          <w:highlight w:val="none"/>
          <w:u w:val="single"/>
        </w:rPr>
        <w:t xml:space="preserve">                      </w:t>
      </w:r>
      <w:r>
        <w:rPr>
          <w:rFonts w:ascii="宋体" w:hAnsi="宋体"/>
          <w:color w:val="auto"/>
          <w:szCs w:val="21"/>
          <w:highlight w:val="none"/>
        </w:rPr>
        <w:t xml:space="preserve">。 </w:t>
      </w:r>
    </w:p>
    <w:p w14:paraId="3D3D6245">
      <w:pPr>
        <w:spacing w:line="360" w:lineRule="auto"/>
        <w:ind w:firstLine="420" w:firstLineChars="200"/>
        <w:rPr>
          <w:rFonts w:ascii="宋体" w:hAnsi="宋体"/>
          <w:color w:val="auto"/>
          <w:szCs w:val="21"/>
          <w:highlight w:val="none"/>
        </w:rPr>
      </w:pPr>
      <w:r>
        <w:rPr>
          <w:rFonts w:ascii="宋体" w:hAnsi="宋体"/>
          <w:color w:val="auto"/>
          <w:szCs w:val="21"/>
          <w:highlight w:val="none"/>
        </w:rPr>
        <w:t>关于监理人在施工现场的办公场所、生活场所的提供和费用承担的约定：</w:t>
      </w:r>
      <w:r>
        <w:rPr>
          <w:rFonts w:hint="eastAsia" w:ascii="宋体" w:hAnsi="宋体"/>
          <w:color w:val="auto"/>
          <w:szCs w:val="21"/>
          <w:highlight w:val="none"/>
          <w:u w:val="single"/>
        </w:rPr>
        <w:t xml:space="preserve">                      </w:t>
      </w:r>
      <w:r>
        <w:rPr>
          <w:rFonts w:ascii="宋体" w:hAnsi="宋体"/>
          <w:color w:val="auto"/>
          <w:szCs w:val="21"/>
          <w:highlight w:val="none"/>
        </w:rPr>
        <w:t>。</w:t>
      </w:r>
    </w:p>
    <w:p w14:paraId="3C22159D">
      <w:pPr>
        <w:keepNext/>
        <w:keepLines/>
        <w:spacing w:before="260" w:after="260" w:line="360" w:lineRule="auto"/>
        <w:outlineLvl w:val="2"/>
        <w:rPr>
          <w:rFonts w:ascii="宋体" w:hAnsi="宋体"/>
          <w:b/>
          <w:bCs/>
          <w:color w:val="auto"/>
          <w:sz w:val="32"/>
          <w:szCs w:val="32"/>
          <w:highlight w:val="none"/>
        </w:rPr>
      </w:pPr>
      <w:bookmarkStart w:id="701" w:name="_Toc373227715"/>
      <w:bookmarkStart w:id="702" w:name="_Toc508379728"/>
      <w:bookmarkStart w:id="703" w:name="_Toc17554"/>
      <w:bookmarkStart w:id="704" w:name="_Toc86935878"/>
      <w:bookmarkStart w:id="705" w:name="_Toc373478362"/>
      <w:bookmarkStart w:id="706" w:name="_Toc495673393"/>
      <w:bookmarkStart w:id="707" w:name="_Toc9068"/>
      <w:bookmarkStart w:id="708" w:name="_Toc407135217"/>
      <w:bookmarkStart w:id="709" w:name="_Toc389065281"/>
      <w:r>
        <w:rPr>
          <w:rFonts w:ascii="宋体" w:hAnsi="宋体"/>
          <w:b/>
          <w:bCs/>
          <w:color w:val="auto"/>
          <w:sz w:val="32"/>
          <w:szCs w:val="32"/>
          <w:highlight w:val="none"/>
        </w:rPr>
        <w:t>4.2 监理人员</w:t>
      </w:r>
      <w:bookmarkEnd w:id="701"/>
      <w:bookmarkEnd w:id="702"/>
      <w:bookmarkEnd w:id="703"/>
      <w:bookmarkEnd w:id="704"/>
      <w:bookmarkEnd w:id="705"/>
      <w:bookmarkEnd w:id="706"/>
      <w:bookmarkEnd w:id="707"/>
      <w:bookmarkEnd w:id="708"/>
      <w:bookmarkEnd w:id="709"/>
    </w:p>
    <w:p w14:paraId="23C6428E">
      <w:pPr>
        <w:spacing w:line="360" w:lineRule="auto"/>
        <w:ind w:firstLine="420" w:firstLineChars="200"/>
        <w:rPr>
          <w:rFonts w:ascii="宋体" w:hAnsi="宋体"/>
          <w:color w:val="auto"/>
          <w:szCs w:val="21"/>
          <w:highlight w:val="none"/>
        </w:rPr>
      </w:pPr>
      <w:r>
        <w:rPr>
          <w:rFonts w:ascii="宋体" w:hAnsi="宋体"/>
          <w:color w:val="auto"/>
          <w:szCs w:val="21"/>
          <w:highlight w:val="none"/>
        </w:rPr>
        <w:t>总监理工程师：</w:t>
      </w:r>
    </w:p>
    <w:p w14:paraId="58490B84">
      <w:pPr>
        <w:spacing w:line="360" w:lineRule="auto"/>
        <w:ind w:firstLine="420" w:firstLineChars="200"/>
        <w:rPr>
          <w:rFonts w:ascii="宋体" w:hAnsi="宋体"/>
          <w:color w:val="auto"/>
          <w:szCs w:val="21"/>
          <w:highlight w:val="none"/>
        </w:rPr>
      </w:pPr>
      <w:r>
        <w:rPr>
          <w:rFonts w:ascii="宋体" w:hAnsi="宋体"/>
          <w:color w:val="auto"/>
          <w:szCs w:val="21"/>
          <w:highlight w:val="none"/>
        </w:rPr>
        <w:t>姓    名：</w:t>
      </w:r>
      <w:r>
        <w:rPr>
          <w:rFonts w:hint="eastAsia" w:ascii="宋体" w:hAnsi="宋体"/>
          <w:color w:val="auto"/>
          <w:szCs w:val="21"/>
          <w:highlight w:val="none"/>
          <w:u w:val="single"/>
        </w:rPr>
        <w:t xml:space="preserve">                      </w:t>
      </w:r>
      <w:r>
        <w:rPr>
          <w:rFonts w:ascii="宋体" w:hAnsi="宋体"/>
          <w:color w:val="auto"/>
          <w:szCs w:val="21"/>
          <w:highlight w:val="none"/>
        </w:rPr>
        <w:t>；</w:t>
      </w:r>
    </w:p>
    <w:p w14:paraId="16B9732F">
      <w:pPr>
        <w:spacing w:line="360" w:lineRule="auto"/>
        <w:ind w:firstLine="420" w:firstLineChars="200"/>
        <w:rPr>
          <w:rFonts w:ascii="宋体" w:hAnsi="宋体"/>
          <w:color w:val="auto"/>
          <w:szCs w:val="21"/>
          <w:highlight w:val="none"/>
        </w:rPr>
      </w:pPr>
      <w:r>
        <w:rPr>
          <w:rFonts w:ascii="宋体" w:hAnsi="宋体"/>
          <w:color w:val="auto"/>
          <w:szCs w:val="21"/>
          <w:highlight w:val="none"/>
        </w:rPr>
        <w:t>职    务：</w:t>
      </w:r>
      <w:r>
        <w:rPr>
          <w:rFonts w:hint="eastAsia" w:ascii="宋体" w:hAnsi="宋体"/>
          <w:color w:val="auto"/>
          <w:szCs w:val="21"/>
          <w:highlight w:val="none"/>
          <w:u w:val="single"/>
        </w:rPr>
        <w:t xml:space="preserve">                      </w:t>
      </w:r>
      <w:r>
        <w:rPr>
          <w:rFonts w:ascii="宋体" w:hAnsi="宋体"/>
          <w:color w:val="auto"/>
          <w:szCs w:val="21"/>
          <w:highlight w:val="none"/>
        </w:rPr>
        <w:t>；</w:t>
      </w:r>
    </w:p>
    <w:p w14:paraId="75CD8FD2">
      <w:pPr>
        <w:spacing w:line="360" w:lineRule="auto"/>
        <w:ind w:firstLine="420" w:firstLineChars="200"/>
        <w:rPr>
          <w:rFonts w:ascii="宋体" w:hAnsi="宋体"/>
          <w:color w:val="auto"/>
          <w:szCs w:val="21"/>
          <w:highlight w:val="none"/>
        </w:rPr>
      </w:pPr>
      <w:r>
        <w:rPr>
          <w:rFonts w:ascii="宋体" w:hAnsi="宋体"/>
          <w:color w:val="auto"/>
          <w:szCs w:val="21"/>
          <w:highlight w:val="none"/>
        </w:rPr>
        <w:t>监理工程师执业资格证书号：</w:t>
      </w:r>
      <w:r>
        <w:rPr>
          <w:rFonts w:hint="eastAsia" w:ascii="宋体" w:hAnsi="宋体"/>
          <w:color w:val="auto"/>
          <w:szCs w:val="21"/>
          <w:highlight w:val="none"/>
          <w:u w:val="single"/>
        </w:rPr>
        <w:t xml:space="preserve">                      </w:t>
      </w:r>
      <w:r>
        <w:rPr>
          <w:rFonts w:ascii="宋体" w:hAnsi="宋体"/>
          <w:color w:val="auto"/>
          <w:szCs w:val="21"/>
          <w:highlight w:val="none"/>
        </w:rPr>
        <w:t>；</w:t>
      </w:r>
    </w:p>
    <w:p w14:paraId="283C0477">
      <w:pPr>
        <w:spacing w:line="360" w:lineRule="auto"/>
        <w:ind w:firstLine="420" w:firstLineChars="200"/>
        <w:rPr>
          <w:rFonts w:ascii="宋体" w:hAnsi="宋体"/>
          <w:color w:val="auto"/>
          <w:szCs w:val="21"/>
          <w:highlight w:val="none"/>
        </w:rPr>
      </w:pPr>
      <w:r>
        <w:rPr>
          <w:rFonts w:ascii="宋体" w:hAnsi="宋体"/>
          <w:color w:val="auto"/>
          <w:szCs w:val="21"/>
          <w:highlight w:val="none"/>
        </w:rPr>
        <w:t>联系电话：</w:t>
      </w:r>
      <w:r>
        <w:rPr>
          <w:rFonts w:hint="eastAsia" w:ascii="宋体" w:hAnsi="宋体"/>
          <w:color w:val="auto"/>
          <w:szCs w:val="21"/>
          <w:highlight w:val="none"/>
          <w:u w:val="single"/>
        </w:rPr>
        <w:t xml:space="preserve">                      </w:t>
      </w:r>
      <w:r>
        <w:rPr>
          <w:rFonts w:ascii="宋体" w:hAnsi="宋体"/>
          <w:color w:val="auto"/>
          <w:szCs w:val="21"/>
          <w:highlight w:val="none"/>
        </w:rPr>
        <w:t>；</w:t>
      </w:r>
    </w:p>
    <w:p w14:paraId="6C35221B">
      <w:pPr>
        <w:spacing w:line="360" w:lineRule="auto"/>
        <w:ind w:firstLine="420" w:firstLineChars="200"/>
        <w:rPr>
          <w:rFonts w:ascii="宋体" w:hAnsi="宋体"/>
          <w:color w:val="auto"/>
          <w:szCs w:val="21"/>
          <w:highlight w:val="none"/>
        </w:rPr>
      </w:pPr>
      <w:r>
        <w:rPr>
          <w:rFonts w:ascii="宋体" w:hAnsi="宋体"/>
          <w:color w:val="auto"/>
          <w:szCs w:val="21"/>
          <w:highlight w:val="none"/>
        </w:rPr>
        <w:t>电子信箱：</w:t>
      </w:r>
      <w:r>
        <w:rPr>
          <w:rFonts w:hint="eastAsia" w:ascii="宋体" w:hAnsi="宋体"/>
          <w:color w:val="auto"/>
          <w:szCs w:val="21"/>
          <w:highlight w:val="none"/>
          <w:u w:val="single"/>
        </w:rPr>
        <w:t xml:space="preserve">                      </w:t>
      </w:r>
      <w:r>
        <w:rPr>
          <w:rFonts w:ascii="宋体" w:hAnsi="宋体"/>
          <w:color w:val="auto"/>
          <w:szCs w:val="21"/>
          <w:highlight w:val="none"/>
        </w:rPr>
        <w:t>；</w:t>
      </w:r>
    </w:p>
    <w:p w14:paraId="36097559">
      <w:pPr>
        <w:spacing w:line="360" w:lineRule="auto"/>
        <w:ind w:firstLine="420" w:firstLineChars="200"/>
        <w:rPr>
          <w:rFonts w:ascii="宋体" w:hAnsi="宋体"/>
          <w:color w:val="auto"/>
          <w:szCs w:val="21"/>
          <w:highlight w:val="none"/>
        </w:rPr>
      </w:pPr>
      <w:r>
        <w:rPr>
          <w:rFonts w:ascii="宋体" w:hAnsi="宋体"/>
          <w:color w:val="auto"/>
          <w:szCs w:val="21"/>
          <w:highlight w:val="none"/>
        </w:rPr>
        <w:t>通信地址：</w:t>
      </w:r>
      <w:r>
        <w:rPr>
          <w:rFonts w:hint="eastAsia" w:ascii="宋体" w:hAnsi="宋体"/>
          <w:color w:val="auto"/>
          <w:szCs w:val="21"/>
          <w:highlight w:val="none"/>
          <w:u w:val="single"/>
        </w:rPr>
        <w:t xml:space="preserve">                      </w:t>
      </w:r>
      <w:r>
        <w:rPr>
          <w:rFonts w:ascii="宋体" w:hAnsi="宋体"/>
          <w:color w:val="auto"/>
          <w:szCs w:val="21"/>
          <w:highlight w:val="none"/>
        </w:rPr>
        <w:t>；</w:t>
      </w:r>
    </w:p>
    <w:p w14:paraId="7F3CFFE3">
      <w:pPr>
        <w:spacing w:line="360" w:lineRule="auto"/>
        <w:ind w:firstLine="420" w:firstLineChars="200"/>
        <w:rPr>
          <w:rFonts w:ascii="宋体" w:hAnsi="宋体"/>
          <w:color w:val="auto"/>
          <w:szCs w:val="21"/>
          <w:highlight w:val="none"/>
        </w:rPr>
      </w:pPr>
      <w:r>
        <w:rPr>
          <w:rFonts w:ascii="宋体" w:hAnsi="宋体"/>
          <w:color w:val="auto"/>
          <w:szCs w:val="21"/>
          <w:highlight w:val="none"/>
        </w:rPr>
        <w:t>关于监理人的其他约定：</w:t>
      </w:r>
      <w:r>
        <w:rPr>
          <w:rFonts w:hint="eastAsia" w:ascii="宋体" w:hAnsi="宋体"/>
          <w:color w:val="auto"/>
          <w:szCs w:val="21"/>
          <w:highlight w:val="none"/>
          <w:u w:val="single"/>
        </w:rPr>
        <w:t xml:space="preserve">                      </w:t>
      </w:r>
      <w:r>
        <w:rPr>
          <w:rFonts w:ascii="宋体" w:hAnsi="宋体"/>
          <w:color w:val="auto"/>
          <w:szCs w:val="21"/>
          <w:highlight w:val="none"/>
        </w:rPr>
        <w:t>。</w:t>
      </w:r>
    </w:p>
    <w:p w14:paraId="1287E93A">
      <w:pPr>
        <w:keepNext/>
        <w:keepLines/>
        <w:spacing w:before="260" w:after="260" w:line="360" w:lineRule="auto"/>
        <w:outlineLvl w:val="2"/>
        <w:rPr>
          <w:rFonts w:ascii="宋体" w:hAnsi="宋体"/>
          <w:b/>
          <w:bCs/>
          <w:color w:val="auto"/>
          <w:sz w:val="32"/>
          <w:szCs w:val="32"/>
          <w:highlight w:val="none"/>
        </w:rPr>
      </w:pPr>
      <w:bookmarkStart w:id="710" w:name="_Toc22748"/>
      <w:bookmarkStart w:id="711" w:name="_Toc86935879"/>
      <w:bookmarkStart w:id="712" w:name="_Toc407135218"/>
      <w:bookmarkStart w:id="713" w:name="_Toc508379729"/>
      <w:bookmarkStart w:id="714" w:name="_Toc389065282"/>
      <w:bookmarkStart w:id="715" w:name="_Toc373478363"/>
      <w:bookmarkStart w:id="716" w:name="_Toc495673394"/>
      <w:bookmarkStart w:id="717" w:name="_Toc373227716"/>
      <w:bookmarkStart w:id="718" w:name="_Toc4655"/>
      <w:r>
        <w:rPr>
          <w:rFonts w:ascii="宋体" w:hAnsi="宋体"/>
          <w:b/>
          <w:bCs/>
          <w:color w:val="auto"/>
          <w:sz w:val="32"/>
          <w:szCs w:val="32"/>
          <w:highlight w:val="none"/>
        </w:rPr>
        <w:t>4.4 商定或确定</w:t>
      </w:r>
      <w:bookmarkEnd w:id="710"/>
      <w:bookmarkEnd w:id="711"/>
      <w:bookmarkEnd w:id="712"/>
      <w:bookmarkEnd w:id="713"/>
      <w:bookmarkEnd w:id="714"/>
      <w:bookmarkEnd w:id="715"/>
      <w:bookmarkEnd w:id="716"/>
      <w:bookmarkEnd w:id="717"/>
      <w:bookmarkEnd w:id="718"/>
    </w:p>
    <w:p w14:paraId="70CEABF7">
      <w:pPr>
        <w:spacing w:line="360" w:lineRule="auto"/>
        <w:ind w:firstLine="420" w:firstLineChars="200"/>
        <w:rPr>
          <w:rFonts w:ascii="宋体" w:hAnsi="宋体"/>
          <w:color w:val="auto"/>
          <w:szCs w:val="21"/>
          <w:highlight w:val="none"/>
        </w:rPr>
      </w:pPr>
      <w:bookmarkStart w:id="719" w:name="_Toc267251418"/>
      <w:r>
        <w:rPr>
          <w:rFonts w:ascii="宋体" w:hAnsi="宋体"/>
          <w:color w:val="auto"/>
          <w:szCs w:val="21"/>
          <w:highlight w:val="none"/>
        </w:rPr>
        <w:t>在发包人和承包人不能通过协商达成一致意见时，发包人授权监理人对以下事项进行确定：</w:t>
      </w:r>
    </w:p>
    <w:p w14:paraId="7B33AC7D">
      <w:pPr>
        <w:autoSpaceDE w:val="0"/>
        <w:autoSpaceDN w:val="0"/>
        <w:adjustRightInd w:val="0"/>
        <w:spacing w:line="360" w:lineRule="auto"/>
        <w:ind w:firstLine="420" w:firstLineChars="200"/>
        <w:jc w:val="left"/>
        <w:rPr>
          <w:rFonts w:ascii="宋体" w:hAnsi="宋体"/>
          <w:color w:val="auto"/>
          <w:kern w:val="0"/>
          <w:szCs w:val="21"/>
          <w:highlight w:val="none"/>
        </w:rPr>
      </w:pPr>
      <w:r>
        <w:rPr>
          <w:rFonts w:ascii="宋体" w:hAnsi="宋体"/>
          <w:color w:val="auto"/>
          <w:kern w:val="0"/>
          <w:szCs w:val="21"/>
          <w:highlight w:val="none"/>
        </w:rPr>
        <w:t>（1）</w:t>
      </w:r>
      <w:r>
        <w:rPr>
          <w:rFonts w:hint="eastAsia" w:ascii="宋体" w:hAnsi="宋体"/>
          <w:color w:val="auto"/>
          <w:szCs w:val="21"/>
          <w:highlight w:val="none"/>
          <w:u w:val="single"/>
        </w:rPr>
        <w:t xml:space="preserve">                      </w:t>
      </w:r>
      <w:r>
        <w:rPr>
          <w:rFonts w:ascii="宋体" w:hAnsi="宋体"/>
          <w:color w:val="auto"/>
          <w:szCs w:val="21"/>
          <w:highlight w:val="none"/>
        </w:rPr>
        <w:t>；</w:t>
      </w:r>
    </w:p>
    <w:p w14:paraId="4EB8F149">
      <w:pPr>
        <w:autoSpaceDE w:val="0"/>
        <w:autoSpaceDN w:val="0"/>
        <w:adjustRightInd w:val="0"/>
        <w:spacing w:line="360" w:lineRule="auto"/>
        <w:ind w:firstLine="420" w:firstLineChars="200"/>
        <w:jc w:val="left"/>
        <w:rPr>
          <w:rFonts w:ascii="宋体" w:hAnsi="宋体"/>
          <w:color w:val="auto"/>
          <w:kern w:val="0"/>
          <w:szCs w:val="21"/>
          <w:highlight w:val="none"/>
        </w:rPr>
      </w:pPr>
      <w:r>
        <w:rPr>
          <w:rFonts w:ascii="宋体" w:hAnsi="宋体"/>
          <w:color w:val="auto"/>
          <w:kern w:val="0"/>
          <w:szCs w:val="21"/>
          <w:highlight w:val="none"/>
        </w:rPr>
        <w:t>（2）</w:t>
      </w:r>
      <w:r>
        <w:rPr>
          <w:rFonts w:hint="eastAsia" w:ascii="宋体" w:hAnsi="宋体"/>
          <w:color w:val="auto"/>
          <w:szCs w:val="21"/>
          <w:highlight w:val="none"/>
          <w:u w:val="single"/>
        </w:rPr>
        <w:t xml:space="preserve">                      </w:t>
      </w:r>
      <w:r>
        <w:rPr>
          <w:rFonts w:ascii="宋体" w:hAnsi="宋体"/>
          <w:color w:val="auto"/>
          <w:szCs w:val="21"/>
          <w:highlight w:val="none"/>
        </w:rPr>
        <w:t>；</w:t>
      </w:r>
    </w:p>
    <w:p w14:paraId="25224C27">
      <w:pPr>
        <w:autoSpaceDE w:val="0"/>
        <w:autoSpaceDN w:val="0"/>
        <w:adjustRightInd w:val="0"/>
        <w:spacing w:line="360" w:lineRule="auto"/>
        <w:ind w:firstLine="420" w:firstLineChars="200"/>
        <w:jc w:val="left"/>
        <w:rPr>
          <w:rFonts w:ascii="宋体" w:hAnsi="宋体"/>
          <w:color w:val="auto"/>
          <w:kern w:val="0"/>
          <w:szCs w:val="21"/>
          <w:highlight w:val="none"/>
        </w:rPr>
      </w:pPr>
      <w:r>
        <w:rPr>
          <w:rFonts w:ascii="宋体" w:hAnsi="宋体"/>
          <w:color w:val="auto"/>
          <w:kern w:val="0"/>
          <w:szCs w:val="21"/>
          <w:highlight w:val="none"/>
        </w:rPr>
        <w:t>（3）</w:t>
      </w:r>
      <w:r>
        <w:rPr>
          <w:rFonts w:hint="eastAsia" w:ascii="宋体" w:hAnsi="宋体"/>
          <w:color w:val="auto"/>
          <w:szCs w:val="21"/>
          <w:highlight w:val="none"/>
          <w:u w:val="single"/>
        </w:rPr>
        <w:t xml:space="preserve">                      </w:t>
      </w:r>
      <w:r>
        <w:rPr>
          <w:rFonts w:ascii="宋体" w:hAnsi="宋体"/>
          <w:color w:val="auto"/>
          <w:szCs w:val="21"/>
          <w:highlight w:val="none"/>
        </w:rPr>
        <w:t>。</w:t>
      </w:r>
    </w:p>
    <w:p w14:paraId="3CF60FAA">
      <w:pPr>
        <w:keepNext/>
        <w:keepLines/>
        <w:spacing w:before="260" w:after="260" w:line="360" w:lineRule="auto"/>
        <w:outlineLvl w:val="1"/>
        <w:rPr>
          <w:rFonts w:ascii="宋体" w:hAnsi="宋体"/>
          <w:b/>
          <w:bCs/>
          <w:color w:val="auto"/>
          <w:sz w:val="32"/>
          <w:szCs w:val="32"/>
          <w:highlight w:val="none"/>
        </w:rPr>
      </w:pPr>
      <w:bookmarkStart w:id="720" w:name="_Toc373227717"/>
      <w:bookmarkStart w:id="721" w:name="_Toc389065283"/>
      <w:bookmarkStart w:id="722" w:name="_Toc7053"/>
      <w:bookmarkStart w:id="723" w:name="_Toc373478364"/>
      <w:bookmarkStart w:id="724" w:name="_Toc495673395"/>
      <w:bookmarkStart w:id="725" w:name="_Toc29391"/>
      <w:bookmarkStart w:id="726" w:name="_Toc508379730"/>
      <w:bookmarkStart w:id="727" w:name="_Toc407135219"/>
      <w:bookmarkStart w:id="728" w:name="_Toc351203637"/>
      <w:bookmarkStart w:id="729" w:name="_Toc86935880"/>
      <w:r>
        <w:rPr>
          <w:rFonts w:ascii="宋体" w:hAnsi="宋体"/>
          <w:b/>
          <w:bCs/>
          <w:color w:val="auto"/>
          <w:sz w:val="32"/>
          <w:szCs w:val="32"/>
          <w:highlight w:val="none"/>
        </w:rPr>
        <w:t>5</w:t>
      </w:r>
      <w:bookmarkEnd w:id="719"/>
      <w:bookmarkStart w:id="730" w:name="_Toc292559872"/>
      <w:bookmarkStart w:id="731" w:name="_Toc296944502"/>
      <w:bookmarkStart w:id="732" w:name="_Toc292559367"/>
      <w:bookmarkStart w:id="733" w:name="_Toc296503163"/>
      <w:bookmarkStart w:id="734" w:name="_Toc296347162"/>
      <w:bookmarkStart w:id="735" w:name="_Toc297120463"/>
      <w:bookmarkStart w:id="736" w:name="_Toc297048349"/>
      <w:bookmarkStart w:id="737" w:name="_Toc296890991"/>
      <w:bookmarkStart w:id="738" w:name="_Toc296346664"/>
      <w:bookmarkStart w:id="739" w:name="_Toc296891203"/>
      <w:r>
        <w:rPr>
          <w:rFonts w:ascii="宋体" w:hAnsi="宋体"/>
          <w:b/>
          <w:bCs/>
          <w:color w:val="auto"/>
          <w:sz w:val="32"/>
          <w:szCs w:val="32"/>
          <w:highlight w:val="none"/>
        </w:rPr>
        <w:t>. 工程质量</w:t>
      </w:r>
      <w:bookmarkEnd w:id="720"/>
      <w:bookmarkEnd w:id="721"/>
      <w:bookmarkEnd w:id="722"/>
      <w:bookmarkEnd w:id="723"/>
      <w:bookmarkEnd w:id="724"/>
      <w:bookmarkEnd w:id="725"/>
      <w:bookmarkEnd w:id="726"/>
      <w:bookmarkEnd w:id="727"/>
      <w:bookmarkEnd w:id="728"/>
      <w:bookmarkEnd w:id="729"/>
    </w:p>
    <w:p w14:paraId="0FE2EC80">
      <w:pPr>
        <w:keepNext/>
        <w:keepLines/>
        <w:spacing w:before="260" w:after="260" w:line="360" w:lineRule="auto"/>
        <w:outlineLvl w:val="2"/>
        <w:rPr>
          <w:rFonts w:ascii="宋体" w:hAnsi="宋体"/>
          <w:b/>
          <w:bCs/>
          <w:color w:val="auto"/>
          <w:sz w:val="32"/>
          <w:szCs w:val="32"/>
          <w:highlight w:val="none"/>
        </w:rPr>
      </w:pPr>
      <w:bookmarkStart w:id="740" w:name="_Toc495673396"/>
      <w:bookmarkStart w:id="741" w:name="_Toc407135220"/>
      <w:bookmarkStart w:id="742" w:name="_Toc86935881"/>
      <w:bookmarkStart w:id="743" w:name="_Toc373478365"/>
      <w:bookmarkStart w:id="744" w:name="_Toc508379731"/>
      <w:bookmarkStart w:id="745" w:name="_Toc631"/>
      <w:bookmarkStart w:id="746" w:name="_Toc389065284"/>
      <w:bookmarkStart w:id="747" w:name="_Toc373227718"/>
      <w:bookmarkStart w:id="748" w:name="_Toc1774"/>
      <w:r>
        <w:rPr>
          <w:rFonts w:ascii="宋体" w:hAnsi="宋体"/>
          <w:b/>
          <w:bCs/>
          <w:color w:val="auto"/>
          <w:sz w:val="32"/>
          <w:szCs w:val="32"/>
          <w:highlight w:val="none"/>
        </w:rPr>
        <w:t>5.1 质量要求</w:t>
      </w:r>
      <w:bookmarkEnd w:id="740"/>
      <w:bookmarkEnd w:id="741"/>
      <w:bookmarkEnd w:id="742"/>
      <w:bookmarkEnd w:id="743"/>
      <w:bookmarkEnd w:id="744"/>
      <w:bookmarkEnd w:id="745"/>
      <w:bookmarkEnd w:id="746"/>
      <w:bookmarkEnd w:id="747"/>
      <w:bookmarkEnd w:id="748"/>
    </w:p>
    <w:p w14:paraId="7B7CF39F">
      <w:pPr>
        <w:spacing w:line="360" w:lineRule="auto"/>
        <w:ind w:firstLine="420" w:firstLineChars="200"/>
        <w:jc w:val="left"/>
        <w:rPr>
          <w:rFonts w:ascii="宋体" w:hAnsi="宋体"/>
          <w:color w:val="auto"/>
          <w:szCs w:val="21"/>
          <w:highlight w:val="none"/>
          <w:u w:val="single"/>
        </w:rPr>
      </w:pPr>
      <w:r>
        <w:rPr>
          <w:rFonts w:ascii="宋体" w:hAnsi="宋体"/>
          <w:color w:val="auto"/>
          <w:szCs w:val="21"/>
          <w:highlight w:val="none"/>
        </w:rPr>
        <w:t>5</w:t>
      </w:r>
      <w:bookmarkStart w:id="749" w:name="_Toc304295527"/>
      <w:bookmarkStart w:id="750" w:name="_Toc318581164"/>
      <w:bookmarkStart w:id="751" w:name="_Toc297216155"/>
      <w:bookmarkStart w:id="752" w:name="_Toc297123496"/>
      <w:bookmarkStart w:id="753" w:name="_Toc300934949"/>
      <w:bookmarkStart w:id="754" w:name="_Toc312677997"/>
      <w:bookmarkStart w:id="755" w:name="_Toc303539106"/>
      <w:r>
        <w:rPr>
          <w:rFonts w:ascii="宋体" w:hAnsi="宋体"/>
          <w:color w:val="auto"/>
          <w:szCs w:val="21"/>
          <w:highlight w:val="none"/>
        </w:rPr>
        <w:t>.1.1 特殊质量标准和要求：</w:t>
      </w:r>
      <w:r>
        <w:rPr>
          <w:rFonts w:hint="eastAsia" w:ascii="宋体" w:hAnsi="宋体"/>
          <w:color w:val="auto"/>
          <w:szCs w:val="21"/>
          <w:highlight w:val="none"/>
          <w:u w:val="single"/>
        </w:rPr>
        <w:t xml:space="preserve">                      </w:t>
      </w:r>
      <w:r>
        <w:rPr>
          <w:rFonts w:ascii="宋体" w:hAnsi="宋体"/>
          <w:color w:val="auto"/>
          <w:szCs w:val="21"/>
          <w:highlight w:val="none"/>
        </w:rPr>
        <w:t>。</w:t>
      </w:r>
    </w:p>
    <w:p w14:paraId="46986BB9">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关于工程奖项的约定：</w:t>
      </w:r>
      <w:r>
        <w:rPr>
          <w:rFonts w:hint="eastAsia" w:ascii="宋体" w:hAnsi="宋体"/>
          <w:color w:val="auto"/>
          <w:szCs w:val="21"/>
          <w:highlight w:val="none"/>
          <w:u w:val="single"/>
        </w:rPr>
        <w:t xml:space="preserve">                      </w:t>
      </w:r>
      <w:r>
        <w:rPr>
          <w:rFonts w:ascii="宋体" w:hAnsi="宋体"/>
          <w:color w:val="auto"/>
          <w:szCs w:val="21"/>
          <w:highlight w:val="none"/>
        </w:rPr>
        <w:t>。</w:t>
      </w:r>
    </w:p>
    <w:p w14:paraId="3DC3E4C2">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5.3 隐蔽工程检查</w:t>
      </w:r>
    </w:p>
    <w:p w14:paraId="29BCF500">
      <w:pPr>
        <w:spacing w:line="360" w:lineRule="auto"/>
        <w:ind w:firstLine="420" w:firstLineChars="200"/>
        <w:jc w:val="left"/>
        <w:rPr>
          <w:rFonts w:ascii="宋体" w:hAnsi="宋体"/>
          <w:color w:val="auto"/>
          <w:szCs w:val="21"/>
          <w:highlight w:val="none"/>
          <w:u w:val="single"/>
        </w:rPr>
      </w:pPr>
      <w:r>
        <w:rPr>
          <w:rFonts w:ascii="宋体" w:hAnsi="宋体"/>
          <w:color w:val="auto"/>
          <w:szCs w:val="21"/>
          <w:highlight w:val="none"/>
        </w:rPr>
        <w:t>5.3.2承包人提前通知监理人隐蔽工程检查的期限的约定：</w:t>
      </w:r>
      <w:r>
        <w:rPr>
          <w:rFonts w:ascii="宋体" w:hAnsi="宋体"/>
          <w:bCs/>
          <w:color w:val="auto"/>
          <w:szCs w:val="21"/>
          <w:highlight w:val="none"/>
        </w:rPr>
        <w:t>工程隐蔽或中间验收前12小时以书面形式通知发包人和监理工程师验收的内容、时间、地点，承包人准备验收记录单（最好是印制的表格）由双方签证。验收合格，承包人可进行隐蔽和继续施工；验收不合格，双方商订时限内修改后按上述循序重新验收。</w:t>
      </w:r>
    </w:p>
    <w:p w14:paraId="247552BA">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监理人不能按时进行检查时，应提前小时提交书面延期要求。</w:t>
      </w:r>
    </w:p>
    <w:p w14:paraId="30CE7F6B">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关于延期最长不得超过：</w:t>
      </w:r>
      <w:r>
        <w:rPr>
          <w:rFonts w:hint="eastAsia" w:ascii="宋体" w:hAnsi="宋体"/>
          <w:color w:val="auto"/>
          <w:szCs w:val="21"/>
          <w:highlight w:val="none"/>
          <w:u w:val="single"/>
        </w:rPr>
        <w:t xml:space="preserve">    </w:t>
      </w:r>
      <w:r>
        <w:rPr>
          <w:rFonts w:ascii="宋体" w:hAnsi="宋体"/>
          <w:color w:val="auto"/>
          <w:szCs w:val="21"/>
          <w:highlight w:val="none"/>
        </w:rPr>
        <w:t>小时。</w:t>
      </w:r>
    </w:p>
    <w:p w14:paraId="213F755C">
      <w:pPr>
        <w:keepNext/>
        <w:keepLines/>
        <w:spacing w:before="260" w:after="260" w:line="360" w:lineRule="auto"/>
        <w:outlineLvl w:val="1"/>
        <w:rPr>
          <w:rFonts w:ascii="宋体" w:hAnsi="宋体"/>
          <w:b/>
          <w:bCs/>
          <w:color w:val="auto"/>
          <w:sz w:val="32"/>
          <w:szCs w:val="32"/>
          <w:highlight w:val="none"/>
        </w:rPr>
      </w:pPr>
      <w:bookmarkStart w:id="756" w:name="_Toc351203638"/>
      <w:bookmarkStart w:id="757" w:name="_Toc373227719"/>
      <w:bookmarkStart w:id="758" w:name="_Toc373478366"/>
      <w:bookmarkStart w:id="759" w:name="_Toc389065285"/>
      <w:bookmarkStart w:id="760" w:name="_Toc86935882"/>
      <w:bookmarkStart w:id="761" w:name="_Toc21775"/>
      <w:bookmarkStart w:id="762" w:name="_Toc21804"/>
      <w:bookmarkStart w:id="763" w:name="_Toc495673397"/>
      <w:bookmarkStart w:id="764" w:name="_Toc508379732"/>
      <w:bookmarkStart w:id="765" w:name="_Toc407135221"/>
      <w:r>
        <w:rPr>
          <w:rFonts w:ascii="宋体" w:hAnsi="宋体"/>
          <w:b/>
          <w:bCs/>
          <w:color w:val="auto"/>
          <w:sz w:val="32"/>
          <w:szCs w:val="32"/>
          <w:highlight w:val="none"/>
        </w:rPr>
        <w:t>6. 安全文明施工与环境保护</w:t>
      </w:r>
      <w:bookmarkEnd w:id="756"/>
      <w:bookmarkEnd w:id="757"/>
      <w:bookmarkEnd w:id="758"/>
      <w:bookmarkEnd w:id="759"/>
      <w:bookmarkEnd w:id="760"/>
      <w:bookmarkEnd w:id="761"/>
      <w:bookmarkEnd w:id="762"/>
      <w:bookmarkEnd w:id="763"/>
      <w:bookmarkEnd w:id="764"/>
      <w:bookmarkEnd w:id="765"/>
    </w:p>
    <w:p w14:paraId="5F2301FC">
      <w:pPr>
        <w:keepNext/>
        <w:keepLines/>
        <w:spacing w:before="260" w:after="260" w:line="360" w:lineRule="auto"/>
        <w:outlineLvl w:val="2"/>
        <w:rPr>
          <w:rFonts w:ascii="宋体" w:hAnsi="宋体"/>
          <w:b/>
          <w:bCs/>
          <w:color w:val="auto"/>
          <w:sz w:val="32"/>
          <w:szCs w:val="32"/>
          <w:highlight w:val="none"/>
        </w:rPr>
      </w:pPr>
      <w:bookmarkStart w:id="766" w:name="_Toc1492"/>
      <w:bookmarkStart w:id="767" w:name="_Toc86935883"/>
      <w:bookmarkStart w:id="768" w:name="_Toc18802"/>
      <w:bookmarkStart w:id="769" w:name="_Toc407135222"/>
      <w:bookmarkStart w:id="770" w:name="_Toc373478367"/>
      <w:bookmarkStart w:id="771" w:name="_Toc495673398"/>
      <w:bookmarkStart w:id="772" w:name="_Toc389065286"/>
      <w:bookmarkStart w:id="773" w:name="_Toc508379733"/>
      <w:bookmarkStart w:id="774" w:name="_Toc373227720"/>
      <w:r>
        <w:rPr>
          <w:rFonts w:ascii="宋体" w:hAnsi="宋体"/>
          <w:b/>
          <w:bCs/>
          <w:color w:val="auto"/>
          <w:sz w:val="32"/>
          <w:szCs w:val="32"/>
          <w:highlight w:val="none"/>
        </w:rPr>
        <w:t>6.1安全文明施工</w:t>
      </w:r>
      <w:bookmarkEnd w:id="766"/>
      <w:bookmarkEnd w:id="767"/>
      <w:bookmarkEnd w:id="768"/>
      <w:bookmarkEnd w:id="769"/>
      <w:bookmarkEnd w:id="770"/>
      <w:bookmarkEnd w:id="771"/>
      <w:bookmarkEnd w:id="772"/>
      <w:bookmarkEnd w:id="773"/>
      <w:bookmarkEnd w:id="774"/>
    </w:p>
    <w:p w14:paraId="65E59911">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6.1.1 项目安全生产的达标目标及相应事项的约定：</w:t>
      </w:r>
      <w:r>
        <w:rPr>
          <w:rStyle w:val="35"/>
          <w:rFonts w:hint="eastAsia" w:ascii="宋体" w:hAnsi="宋体" w:eastAsia="宋体"/>
          <w:color w:val="auto"/>
          <w:highlight w:val="none"/>
          <w:u w:val="single"/>
        </w:rPr>
        <w:t>承包人应制定《房屋建筑和市政基础设施工程施工扬尘控制工作方案》、《房屋建筑和市政基础设施工程现场文明施工标准》等相关规定并履行好施工扬尘控制、文明施工等责任；承包人需自行办理的有关施工场地交通、环卫和施工噪音管理等手续</w:t>
      </w:r>
      <w:r>
        <w:rPr>
          <w:rStyle w:val="35"/>
          <w:rFonts w:hint="eastAsia" w:ascii="宋体" w:hAnsi="宋体" w:eastAsia="宋体"/>
          <w:color w:val="auto"/>
          <w:highlight w:val="none"/>
        </w:rPr>
        <w:t>，</w:t>
      </w:r>
      <w:r>
        <w:rPr>
          <w:rStyle w:val="35"/>
          <w:rFonts w:hint="eastAsia" w:ascii="宋体" w:hAnsi="宋体" w:eastAsia="宋体"/>
          <w:color w:val="auto"/>
          <w:highlight w:val="none"/>
          <w:u w:val="single"/>
        </w:rPr>
        <w:t>并应符合国家相关规定</w:t>
      </w:r>
      <w:r>
        <w:rPr>
          <w:rStyle w:val="35"/>
          <w:rFonts w:hint="eastAsia" w:ascii="宋体" w:hAnsi="宋体" w:eastAsia="宋体"/>
          <w:color w:val="auto"/>
          <w:highlight w:val="none"/>
        </w:rPr>
        <w:t>，</w:t>
      </w:r>
      <w:r>
        <w:rPr>
          <w:rStyle w:val="35"/>
          <w:rFonts w:hint="eastAsia" w:ascii="宋体" w:hAnsi="宋体" w:eastAsia="宋体"/>
          <w:color w:val="auto"/>
          <w:highlight w:val="none"/>
          <w:u w:val="single"/>
        </w:rPr>
        <w:t>并自行承担其费用</w:t>
      </w:r>
      <w:r>
        <w:rPr>
          <w:rFonts w:hint="eastAsia" w:ascii="宋体" w:hAnsi="宋体"/>
          <w:color w:val="auto"/>
          <w:szCs w:val="21"/>
          <w:highlight w:val="none"/>
          <w:u w:val="single"/>
        </w:rPr>
        <w:t xml:space="preserve"> </w:t>
      </w:r>
      <w:r>
        <w:rPr>
          <w:rFonts w:ascii="宋体" w:hAnsi="宋体"/>
          <w:color w:val="auto"/>
          <w:szCs w:val="21"/>
          <w:highlight w:val="none"/>
        </w:rPr>
        <w:t>。</w:t>
      </w:r>
    </w:p>
    <w:p w14:paraId="2024D133">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关于</w:t>
      </w:r>
      <w:r>
        <w:rPr>
          <w:rFonts w:hint="eastAsia" w:ascii="宋体" w:hAnsi="宋体"/>
          <w:color w:val="auto"/>
          <w:szCs w:val="21"/>
          <w:highlight w:val="none"/>
        </w:rPr>
        <w:t>安全文明施工</w:t>
      </w:r>
      <w:r>
        <w:rPr>
          <w:rFonts w:ascii="宋体" w:hAnsi="宋体"/>
          <w:color w:val="auto"/>
          <w:szCs w:val="21"/>
          <w:highlight w:val="none"/>
        </w:rPr>
        <w:t>奖项的约定：</w:t>
      </w:r>
      <w:r>
        <w:rPr>
          <w:rFonts w:hint="eastAsia" w:ascii="宋体" w:hAnsi="宋体"/>
          <w:color w:val="auto"/>
          <w:szCs w:val="21"/>
          <w:highlight w:val="none"/>
          <w:u w:val="single"/>
        </w:rPr>
        <w:t xml:space="preserve">          </w:t>
      </w:r>
      <w:r>
        <w:rPr>
          <w:rFonts w:hint="eastAsia" w:ascii="宋体" w:hAnsi="宋体"/>
          <w:color w:val="auto"/>
          <w:szCs w:val="21"/>
          <w:highlight w:val="none"/>
          <w:u w:val="single"/>
          <w:lang w:val="en-US" w:eastAsia="zh-CN"/>
        </w:rPr>
        <w:t>/</w:t>
      </w:r>
      <w:r>
        <w:rPr>
          <w:rFonts w:hint="eastAsia" w:ascii="宋体" w:hAnsi="宋体"/>
          <w:color w:val="auto"/>
          <w:szCs w:val="21"/>
          <w:highlight w:val="none"/>
          <w:u w:val="single"/>
        </w:rPr>
        <w:t xml:space="preserve">            </w:t>
      </w:r>
      <w:r>
        <w:rPr>
          <w:rFonts w:ascii="宋体" w:hAnsi="宋体"/>
          <w:color w:val="auto"/>
          <w:szCs w:val="21"/>
          <w:highlight w:val="none"/>
        </w:rPr>
        <w:t>。</w:t>
      </w:r>
    </w:p>
    <w:p w14:paraId="24BAAE21">
      <w:pPr>
        <w:spacing w:line="360" w:lineRule="auto"/>
        <w:ind w:firstLine="420" w:firstLineChars="200"/>
        <w:jc w:val="left"/>
        <w:rPr>
          <w:rFonts w:ascii="宋体" w:hAnsi="宋体"/>
          <w:color w:val="auto"/>
          <w:szCs w:val="21"/>
          <w:highlight w:val="none"/>
          <w:u w:val="single"/>
        </w:rPr>
      </w:pPr>
      <w:r>
        <w:rPr>
          <w:rFonts w:ascii="宋体" w:hAnsi="宋体"/>
          <w:color w:val="auto"/>
          <w:szCs w:val="21"/>
          <w:highlight w:val="none"/>
        </w:rPr>
        <w:t>6.1.4 关于治安保卫的特别约定：</w:t>
      </w:r>
      <w:r>
        <w:rPr>
          <w:rFonts w:ascii="宋体" w:hAnsi="宋体"/>
          <w:color w:val="auto"/>
          <w:szCs w:val="21"/>
          <w:highlight w:val="none"/>
          <w:u w:val="single"/>
        </w:rPr>
        <w:t>承包人应承担施工安全保卫工作及非夜间施工照明的责任，承包人应采取一切合理的预防措施，防止人员伤亡、财产损失事故，费用由承包人承担。承包人生活设施及施工场应自费配备消防设备，防止火灾发生。</w:t>
      </w:r>
    </w:p>
    <w:p w14:paraId="729A4CDD">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关于编制施工场地治安管理计划的约定：</w:t>
      </w:r>
      <w:r>
        <w:rPr>
          <w:rFonts w:hint="eastAsia" w:ascii="宋体" w:hAnsi="宋体"/>
          <w:color w:val="auto"/>
          <w:szCs w:val="21"/>
          <w:highlight w:val="none"/>
          <w:u w:val="single"/>
        </w:rPr>
        <w:t xml:space="preserve"> </w:t>
      </w:r>
      <w:r>
        <w:rPr>
          <w:rStyle w:val="35"/>
          <w:rFonts w:hint="eastAsia" w:ascii="宋体" w:hAnsi="宋体" w:eastAsia="宋体"/>
          <w:color w:val="auto"/>
          <w:highlight w:val="none"/>
          <w:u w:val="single"/>
        </w:rPr>
        <w:t>承包人在图纸会审和设计交底之日起</w:t>
      </w:r>
      <w:r>
        <w:rPr>
          <w:rStyle w:val="35"/>
          <w:rFonts w:hint="eastAsia" w:ascii="宋体" w:hAnsi="宋体" w:eastAsia="宋体"/>
          <w:color w:val="auto"/>
          <w:highlight w:val="none"/>
          <w:u w:val="single"/>
          <w:lang w:val="en-US" w:eastAsia="zh-CN"/>
        </w:rPr>
        <w:t xml:space="preserve">   </w:t>
      </w:r>
      <w:r>
        <w:rPr>
          <w:rStyle w:val="35"/>
          <w:rFonts w:hint="eastAsia" w:ascii="宋体" w:hAnsi="宋体" w:eastAsia="宋体"/>
          <w:color w:val="auto"/>
          <w:highlight w:val="none"/>
          <w:u w:val="single"/>
        </w:rPr>
        <w:t>天内报送</w:t>
      </w:r>
      <w:r>
        <w:rPr>
          <w:rFonts w:hint="eastAsia" w:ascii="宋体" w:hAnsi="宋体"/>
          <w:color w:val="auto"/>
          <w:szCs w:val="21"/>
          <w:highlight w:val="none"/>
          <w:u w:val="single"/>
        </w:rPr>
        <w:t xml:space="preserve"> </w:t>
      </w:r>
      <w:r>
        <w:rPr>
          <w:rFonts w:ascii="宋体" w:hAnsi="宋体"/>
          <w:color w:val="auto"/>
          <w:szCs w:val="21"/>
          <w:highlight w:val="none"/>
        </w:rPr>
        <w:t>。</w:t>
      </w:r>
    </w:p>
    <w:p w14:paraId="7A67A829">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6.1.5 文明施工</w:t>
      </w:r>
    </w:p>
    <w:p w14:paraId="3095D86E">
      <w:pPr>
        <w:pStyle w:val="135"/>
        <w:widowControl/>
        <w:snapToGrid w:val="0"/>
        <w:spacing w:line="360" w:lineRule="auto"/>
        <w:ind w:firstLine="424" w:firstLineChars="202"/>
        <w:jc w:val="left"/>
        <w:rPr>
          <w:rFonts w:ascii="宋体" w:hAnsi="宋体"/>
          <w:color w:val="auto"/>
          <w:szCs w:val="21"/>
          <w:highlight w:val="none"/>
        </w:rPr>
      </w:pPr>
      <w:r>
        <w:rPr>
          <w:rFonts w:hint="eastAsia" w:asciiTheme="minorEastAsia" w:hAnsiTheme="minorEastAsia" w:eastAsiaTheme="minorEastAsia" w:cstheme="minorEastAsia"/>
          <w:color w:val="auto"/>
          <w:szCs w:val="21"/>
          <w:highlight w:val="none"/>
        </w:rPr>
        <w:t>合同当事人对文明施工的要求：</w:t>
      </w:r>
      <w:r>
        <w:rPr>
          <w:rStyle w:val="35"/>
          <w:rFonts w:hint="eastAsia" w:ascii="宋体" w:hAnsi="宋体" w:eastAsia="宋体"/>
          <w:color w:val="auto"/>
          <w:highlight w:val="none"/>
          <w:u w:val="single"/>
        </w:rPr>
        <w:t>承包人需自行办理的有关施工场地交通、环卫和施工噪音管理等手续</w:t>
      </w:r>
      <w:r>
        <w:rPr>
          <w:rStyle w:val="35"/>
          <w:rFonts w:hint="eastAsia" w:ascii="宋体" w:hAnsi="宋体" w:eastAsia="宋体"/>
          <w:color w:val="auto"/>
          <w:highlight w:val="none"/>
        </w:rPr>
        <w:t>，</w:t>
      </w:r>
      <w:r>
        <w:rPr>
          <w:rStyle w:val="35"/>
          <w:rFonts w:hint="eastAsia" w:ascii="宋体" w:hAnsi="宋体" w:eastAsia="宋体"/>
          <w:color w:val="auto"/>
          <w:highlight w:val="none"/>
          <w:u w:val="single"/>
        </w:rPr>
        <w:t>并应符合国家相关规定</w:t>
      </w:r>
      <w:r>
        <w:rPr>
          <w:rStyle w:val="35"/>
          <w:rFonts w:hint="eastAsia" w:ascii="宋体" w:hAnsi="宋体" w:eastAsia="宋体"/>
          <w:color w:val="auto"/>
          <w:highlight w:val="none"/>
        </w:rPr>
        <w:t>，</w:t>
      </w:r>
      <w:r>
        <w:rPr>
          <w:rStyle w:val="35"/>
          <w:rFonts w:hint="eastAsia" w:ascii="宋体" w:hAnsi="宋体" w:eastAsia="宋体"/>
          <w:color w:val="auto"/>
          <w:highlight w:val="none"/>
          <w:u w:val="single"/>
        </w:rPr>
        <w:t>并自行承担其费用；对施工中的地上地下建筑物（构筑物）管线、电力设施等应按有关规定加强监控测量和保护</w:t>
      </w:r>
      <w:r>
        <w:rPr>
          <w:rStyle w:val="35"/>
          <w:rFonts w:hint="eastAsia" w:ascii="宋体" w:hAnsi="宋体" w:eastAsia="宋体"/>
          <w:color w:val="auto"/>
          <w:highlight w:val="none"/>
        </w:rPr>
        <w:t>，</w:t>
      </w:r>
      <w:r>
        <w:rPr>
          <w:rStyle w:val="35"/>
          <w:rFonts w:hint="eastAsia" w:ascii="宋体" w:hAnsi="宋体" w:eastAsia="宋体"/>
          <w:color w:val="auto"/>
          <w:highlight w:val="none"/>
          <w:u w:val="single"/>
        </w:rPr>
        <w:t>相应的费用由发包人承担</w:t>
      </w:r>
      <w:r>
        <w:rPr>
          <w:rStyle w:val="35"/>
          <w:rFonts w:hint="eastAsia" w:ascii="宋体" w:hAnsi="宋体" w:eastAsia="宋体"/>
          <w:color w:val="auto"/>
          <w:highlight w:val="none"/>
        </w:rPr>
        <w:t>，</w:t>
      </w:r>
      <w:r>
        <w:rPr>
          <w:rStyle w:val="35"/>
          <w:rFonts w:hint="eastAsia" w:ascii="宋体" w:hAnsi="宋体" w:eastAsia="宋体"/>
          <w:color w:val="auto"/>
          <w:highlight w:val="none"/>
          <w:u w:val="single"/>
        </w:rPr>
        <w:t>因保护不当造成的损失及法律责任由责任人承担；环境保护工作由承包人全权负责</w:t>
      </w:r>
      <w:r>
        <w:rPr>
          <w:rStyle w:val="35"/>
          <w:rFonts w:hint="eastAsia" w:ascii="宋体" w:hAnsi="宋体" w:eastAsia="宋体"/>
          <w:color w:val="auto"/>
          <w:highlight w:val="none"/>
        </w:rPr>
        <w:t>，</w:t>
      </w:r>
      <w:r>
        <w:rPr>
          <w:rStyle w:val="35"/>
          <w:rFonts w:hint="eastAsia" w:ascii="宋体" w:hAnsi="宋体" w:eastAsia="宋体"/>
          <w:color w:val="auto"/>
          <w:highlight w:val="none"/>
          <w:u w:val="single"/>
        </w:rPr>
        <w:t>执行国家和地方相关规定</w:t>
      </w:r>
      <w:r>
        <w:rPr>
          <w:rStyle w:val="35"/>
          <w:rFonts w:hint="eastAsia" w:ascii="宋体" w:hAnsi="宋体" w:eastAsia="宋体"/>
          <w:color w:val="auto"/>
          <w:highlight w:val="none"/>
        </w:rPr>
        <w:t>。</w:t>
      </w:r>
      <w:r>
        <w:rPr>
          <w:rStyle w:val="35"/>
          <w:rFonts w:hint="eastAsia" w:ascii="宋体" w:hAnsi="宋体" w:eastAsia="宋体"/>
          <w:color w:val="auto"/>
          <w:highlight w:val="none"/>
          <w:u w:val="single"/>
        </w:rPr>
        <w:t>施工现场内不得随地抛洒剩饭及生活垃圾等</w:t>
      </w:r>
      <w:r>
        <w:rPr>
          <w:rStyle w:val="35"/>
          <w:rFonts w:hint="eastAsia" w:ascii="宋体" w:hAnsi="宋体" w:eastAsia="宋体"/>
          <w:color w:val="auto"/>
          <w:highlight w:val="none"/>
        </w:rPr>
        <w:t>，</w:t>
      </w:r>
      <w:r>
        <w:rPr>
          <w:rStyle w:val="35"/>
          <w:rFonts w:hint="eastAsia" w:ascii="宋体" w:hAnsi="宋体" w:eastAsia="宋体"/>
          <w:color w:val="auto"/>
          <w:highlight w:val="none"/>
          <w:u w:val="single"/>
        </w:rPr>
        <w:t>更不能将其随意倒至施工区外</w:t>
      </w:r>
      <w:r>
        <w:rPr>
          <w:rStyle w:val="35"/>
          <w:rFonts w:hint="eastAsia" w:ascii="宋体" w:hAnsi="宋体" w:eastAsia="宋体"/>
          <w:color w:val="auto"/>
          <w:highlight w:val="none"/>
        </w:rPr>
        <w:t>，</w:t>
      </w:r>
      <w:r>
        <w:rPr>
          <w:rStyle w:val="35"/>
          <w:rFonts w:hint="eastAsia" w:ascii="宋体" w:hAnsi="宋体" w:eastAsia="宋体"/>
          <w:color w:val="auto"/>
          <w:highlight w:val="none"/>
          <w:u w:val="single"/>
        </w:rPr>
        <w:t>施工区内不得随处大小便</w:t>
      </w:r>
      <w:r>
        <w:rPr>
          <w:rStyle w:val="35"/>
          <w:rFonts w:hint="eastAsia" w:ascii="宋体" w:hAnsi="宋体" w:eastAsia="宋体"/>
          <w:color w:val="auto"/>
          <w:highlight w:val="none"/>
        </w:rPr>
        <w:t>。</w:t>
      </w:r>
      <w:r>
        <w:rPr>
          <w:rStyle w:val="35"/>
          <w:rFonts w:hint="eastAsia" w:ascii="宋体" w:hAnsi="宋体" w:eastAsia="宋体"/>
          <w:color w:val="auto"/>
          <w:highlight w:val="none"/>
          <w:u w:val="single"/>
        </w:rPr>
        <w:t>做到工完场地清；施工机械设备进场前</w:t>
      </w:r>
      <w:r>
        <w:rPr>
          <w:rStyle w:val="35"/>
          <w:rFonts w:hint="eastAsia" w:ascii="宋体" w:hAnsi="宋体" w:eastAsia="宋体"/>
          <w:color w:val="auto"/>
          <w:highlight w:val="none"/>
        </w:rPr>
        <w:t>，</w:t>
      </w:r>
      <w:r>
        <w:rPr>
          <w:rStyle w:val="35"/>
          <w:rFonts w:hint="eastAsia" w:ascii="宋体" w:hAnsi="宋体" w:eastAsia="宋体"/>
          <w:color w:val="auto"/>
          <w:highlight w:val="none"/>
          <w:u w:val="single"/>
        </w:rPr>
        <w:t>应做好清洁、保养和维护工作</w:t>
      </w:r>
      <w:r>
        <w:rPr>
          <w:rStyle w:val="35"/>
          <w:rFonts w:hint="eastAsia" w:ascii="宋体" w:hAnsi="宋体" w:eastAsia="宋体"/>
          <w:color w:val="auto"/>
          <w:highlight w:val="none"/>
        </w:rPr>
        <w:t>。</w:t>
      </w:r>
      <w:r>
        <w:rPr>
          <w:rStyle w:val="35"/>
          <w:rFonts w:hint="eastAsia" w:ascii="宋体" w:hAnsi="宋体" w:eastAsia="宋体"/>
          <w:color w:val="auto"/>
          <w:highlight w:val="none"/>
          <w:u w:val="single"/>
        </w:rPr>
        <w:t>出场车辆应有专人打扫、清洗</w:t>
      </w:r>
      <w:r>
        <w:rPr>
          <w:rStyle w:val="35"/>
          <w:rFonts w:hint="eastAsia" w:ascii="宋体" w:hAnsi="宋体" w:eastAsia="宋体"/>
          <w:color w:val="auto"/>
          <w:highlight w:val="none"/>
        </w:rPr>
        <w:t>。</w:t>
      </w:r>
      <w:r>
        <w:rPr>
          <w:rStyle w:val="35"/>
          <w:rFonts w:hint="eastAsia" w:ascii="宋体" w:hAnsi="宋体" w:eastAsia="宋体"/>
          <w:color w:val="auto"/>
          <w:highlight w:val="none"/>
          <w:u w:val="single"/>
        </w:rPr>
        <w:t>有密封要求的按规定必须达到；施工期间必须保证周边单位的正常工作及居民的正常生活</w:t>
      </w:r>
      <w:r>
        <w:rPr>
          <w:rStyle w:val="35"/>
          <w:rFonts w:hint="eastAsia" w:ascii="宋体" w:hAnsi="宋体" w:eastAsia="宋体"/>
          <w:color w:val="auto"/>
          <w:highlight w:val="none"/>
        </w:rPr>
        <w:t>，</w:t>
      </w:r>
      <w:r>
        <w:rPr>
          <w:rStyle w:val="35"/>
          <w:rFonts w:hint="eastAsia" w:ascii="宋体" w:hAnsi="宋体" w:eastAsia="宋体"/>
          <w:color w:val="auto"/>
          <w:highlight w:val="none"/>
          <w:u w:val="single"/>
        </w:rPr>
        <w:t>尽量减少粉尘、噪声、振动等污染的扰民</w:t>
      </w:r>
      <w:r>
        <w:rPr>
          <w:rStyle w:val="35"/>
          <w:rFonts w:hint="eastAsia" w:ascii="宋体" w:hAnsi="宋体" w:eastAsia="宋体"/>
          <w:color w:val="auto"/>
          <w:highlight w:val="none"/>
        </w:rPr>
        <w:t>。</w:t>
      </w:r>
      <w:r>
        <w:rPr>
          <w:rStyle w:val="35"/>
          <w:rFonts w:hint="eastAsia" w:ascii="宋体" w:hAnsi="宋体" w:eastAsia="宋体"/>
          <w:color w:val="auto"/>
          <w:highlight w:val="none"/>
          <w:u w:val="single"/>
        </w:rPr>
        <w:t>必须按市委、市人大、市政府及有关部门的临时要求</w:t>
      </w:r>
      <w:r>
        <w:rPr>
          <w:rStyle w:val="35"/>
          <w:rFonts w:hint="eastAsia" w:ascii="宋体" w:hAnsi="宋体" w:eastAsia="宋体"/>
          <w:color w:val="auto"/>
          <w:highlight w:val="none"/>
        </w:rPr>
        <w:t>，</w:t>
      </w:r>
      <w:r>
        <w:rPr>
          <w:rStyle w:val="35"/>
          <w:rFonts w:hint="eastAsia" w:ascii="宋体" w:hAnsi="宋体" w:eastAsia="宋体"/>
          <w:color w:val="auto"/>
          <w:highlight w:val="none"/>
          <w:u w:val="single"/>
        </w:rPr>
        <w:t>调整作业方式</w:t>
      </w:r>
      <w:r>
        <w:rPr>
          <w:rStyle w:val="35"/>
          <w:rFonts w:hint="eastAsia" w:ascii="宋体" w:hAnsi="宋体" w:eastAsia="宋体"/>
          <w:color w:val="auto"/>
          <w:highlight w:val="none"/>
        </w:rPr>
        <w:t>，</w:t>
      </w:r>
      <w:r>
        <w:rPr>
          <w:rStyle w:val="35"/>
          <w:rFonts w:hint="eastAsia" w:ascii="宋体" w:hAnsi="宋体" w:eastAsia="宋体"/>
          <w:color w:val="auto"/>
          <w:highlight w:val="none"/>
          <w:u w:val="single"/>
        </w:rPr>
        <w:t>停止高粉尘、高噪音作业或爆破作业等；保证周围建(构)筑物、地下及地上管线、地下人防等设施安全；做到进入现场的施工和作业人员</w:t>
      </w:r>
      <w:r>
        <w:rPr>
          <w:rStyle w:val="35"/>
          <w:rFonts w:hint="eastAsia" w:ascii="宋体" w:hAnsi="宋体" w:eastAsia="宋体"/>
          <w:color w:val="auto"/>
          <w:highlight w:val="none"/>
        </w:rPr>
        <w:t>，</w:t>
      </w:r>
      <w:r>
        <w:rPr>
          <w:rStyle w:val="35"/>
          <w:rFonts w:hint="eastAsia" w:ascii="宋体" w:hAnsi="宋体" w:eastAsia="宋体"/>
          <w:color w:val="auto"/>
          <w:highlight w:val="none"/>
          <w:u w:val="single"/>
        </w:rPr>
        <w:t>配证上岗</w:t>
      </w:r>
      <w:r>
        <w:rPr>
          <w:rStyle w:val="35"/>
          <w:rFonts w:hint="eastAsia" w:ascii="宋体" w:hAnsi="宋体" w:eastAsia="宋体"/>
          <w:color w:val="auto"/>
          <w:highlight w:val="none"/>
        </w:rPr>
        <w:t>，</w:t>
      </w:r>
      <w:r>
        <w:rPr>
          <w:rStyle w:val="35"/>
          <w:rFonts w:hint="eastAsia" w:ascii="宋体" w:hAnsi="宋体" w:eastAsia="宋体"/>
          <w:color w:val="auto"/>
          <w:highlight w:val="none"/>
          <w:u w:val="single"/>
        </w:rPr>
        <w:t>文明施工；按规定做好施工区域封闭及场地硬化工作</w:t>
      </w:r>
      <w:r>
        <w:rPr>
          <w:rStyle w:val="35"/>
          <w:rFonts w:hint="eastAsia" w:ascii="宋体" w:hAnsi="宋体" w:eastAsia="宋体"/>
          <w:color w:val="auto"/>
          <w:highlight w:val="none"/>
        </w:rPr>
        <w:t>，</w:t>
      </w:r>
      <w:r>
        <w:rPr>
          <w:rStyle w:val="35"/>
          <w:rFonts w:hint="eastAsia" w:ascii="宋体" w:hAnsi="宋体" w:eastAsia="宋体"/>
          <w:color w:val="auto"/>
          <w:highlight w:val="none"/>
          <w:u w:val="single"/>
        </w:rPr>
        <w:t>施工围墙(围挡)等维护设施应安全、美观、耐久</w:t>
      </w:r>
      <w:r>
        <w:rPr>
          <w:rStyle w:val="35"/>
          <w:rFonts w:hint="eastAsia" w:ascii="宋体" w:hAnsi="宋体" w:eastAsia="宋体"/>
          <w:color w:val="auto"/>
          <w:highlight w:val="none"/>
        </w:rPr>
        <w:t>，</w:t>
      </w:r>
      <w:r>
        <w:rPr>
          <w:rStyle w:val="35"/>
          <w:rFonts w:hint="eastAsia" w:ascii="宋体" w:hAnsi="宋体" w:eastAsia="宋体"/>
          <w:color w:val="auto"/>
          <w:highlight w:val="none"/>
          <w:u w:val="single"/>
        </w:rPr>
        <w:t>非施工相关人员不许入内</w:t>
      </w:r>
      <w:r>
        <w:rPr>
          <w:rStyle w:val="35"/>
          <w:rFonts w:hint="eastAsia" w:ascii="宋体" w:hAnsi="宋体" w:eastAsia="宋体"/>
          <w:color w:val="auto"/>
          <w:highlight w:val="none"/>
        </w:rPr>
        <w:t>。</w:t>
      </w:r>
    </w:p>
    <w:p w14:paraId="3EBA9F81">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6.1.6 关于安全文明施工费支付比例和支付期限的约定：</w:t>
      </w:r>
    </w:p>
    <w:p w14:paraId="667137B7">
      <w:pPr>
        <w:autoSpaceDE w:val="0"/>
        <w:autoSpaceDN w:val="0"/>
        <w:adjustRightInd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（1）</w:t>
      </w:r>
      <w:r>
        <w:rPr>
          <w:rFonts w:ascii="宋体" w:hAnsi="宋体"/>
          <w:color w:val="auto"/>
          <w:kern w:val="0"/>
          <w:szCs w:val="21"/>
          <w:highlight w:val="none"/>
        </w:rPr>
        <w:t>本合同价款已包含安全文明施工费</w:t>
      </w:r>
      <w:r>
        <w:rPr>
          <w:rFonts w:hint="eastAsia" w:ascii="宋体" w:hAnsi="宋体"/>
          <w:color w:val="auto"/>
          <w:kern w:val="0"/>
          <w:szCs w:val="21"/>
          <w:highlight w:val="none"/>
          <w:lang w:val="en-US" w:eastAsia="zh-CN"/>
        </w:rPr>
        <w:t xml:space="preserve">     </w:t>
      </w:r>
      <w:r>
        <w:rPr>
          <w:rFonts w:ascii="宋体" w:hAnsi="宋体"/>
          <w:color w:val="auto"/>
          <w:kern w:val="0"/>
          <w:szCs w:val="21"/>
          <w:highlight w:val="none"/>
        </w:rPr>
        <w:t>元</w:t>
      </w:r>
      <w:r>
        <w:rPr>
          <w:rFonts w:hint="eastAsia" w:ascii="宋体" w:hAnsi="宋体"/>
          <w:color w:val="auto"/>
          <w:kern w:val="0"/>
          <w:szCs w:val="21"/>
          <w:highlight w:val="none"/>
        </w:rPr>
        <w:t>。</w:t>
      </w:r>
    </w:p>
    <w:p w14:paraId="3CEF5444">
      <w:pPr>
        <w:widowControl/>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（2）</w:t>
      </w:r>
      <w:r>
        <w:rPr>
          <w:rFonts w:ascii="宋体" w:hAnsi="宋体"/>
          <w:color w:val="auto"/>
          <w:kern w:val="0"/>
          <w:szCs w:val="21"/>
          <w:highlight w:val="none"/>
        </w:rPr>
        <w:t>使用要求：专款专用。具体</w:t>
      </w:r>
      <w:r>
        <w:rPr>
          <w:rStyle w:val="35"/>
          <w:rFonts w:hint="eastAsia" w:ascii="宋体" w:hAnsi="宋体" w:eastAsia="宋体"/>
          <w:color w:val="auto"/>
          <w:kern w:val="0"/>
          <w:highlight w:val="none"/>
        </w:rPr>
        <w:t>《广西壮族自治区建设工程安全文明施工费使用管理细则》（桂建质〔2015〕16号）和《关于加强贺州市建设工程安全文明施工费使用管理的通知》的通知（贺住建发〔2018〕49号） 及其相关规定</w:t>
      </w:r>
      <w:r>
        <w:rPr>
          <w:rFonts w:ascii="宋体" w:hAnsi="宋体"/>
          <w:color w:val="auto"/>
          <w:kern w:val="0"/>
          <w:szCs w:val="21"/>
          <w:highlight w:val="none"/>
        </w:rPr>
        <w:t>执行</w:t>
      </w:r>
      <w:r>
        <w:rPr>
          <w:rFonts w:hint="eastAsia" w:ascii="宋体" w:hAnsi="宋体"/>
          <w:color w:val="auto"/>
          <w:kern w:val="0"/>
          <w:szCs w:val="21"/>
          <w:highlight w:val="none"/>
        </w:rPr>
        <w:t>。</w:t>
      </w:r>
    </w:p>
    <w:p w14:paraId="02D9B0BC">
      <w:pPr>
        <w:autoSpaceDE w:val="0"/>
        <w:autoSpaceDN w:val="0"/>
        <w:adjustRightInd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（3）支付约定：</w:t>
      </w:r>
      <w:r>
        <w:rPr>
          <w:rFonts w:hint="eastAsia" w:ascii="宋体" w:hAnsi="宋体"/>
          <w:color w:val="auto"/>
          <w:kern w:val="0"/>
          <w:szCs w:val="21"/>
          <w:highlight w:val="none"/>
          <w:u w:val="single"/>
        </w:rPr>
        <w:t>进度款同期支付</w:t>
      </w:r>
      <w:r>
        <w:rPr>
          <w:rFonts w:ascii="宋体" w:hAnsi="宋体"/>
          <w:color w:val="auto"/>
          <w:kern w:val="0"/>
          <w:szCs w:val="21"/>
          <w:highlight w:val="none"/>
        </w:rPr>
        <w:t>。</w:t>
      </w:r>
    </w:p>
    <w:p w14:paraId="4E678EC2">
      <w:pPr>
        <w:keepNext/>
        <w:keepLines/>
        <w:spacing w:before="260" w:after="260" w:line="360" w:lineRule="auto"/>
        <w:outlineLvl w:val="2"/>
        <w:rPr>
          <w:rFonts w:ascii="宋体" w:hAnsi="宋体"/>
          <w:b/>
          <w:bCs/>
          <w:color w:val="auto"/>
          <w:sz w:val="32"/>
          <w:szCs w:val="32"/>
          <w:highlight w:val="none"/>
        </w:rPr>
      </w:pPr>
      <w:bookmarkStart w:id="775" w:name="_Toc373227721"/>
      <w:bookmarkStart w:id="776" w:name="_Toc407135223"/>
      <w:bookmarkStart w:id="777" w:name="_Toc508379734"/>
      <w:bookmarkStart w:id="778" w:name="_Toc389065287"/>
      <w:bookmarkStart w:id="779" w:name="_Toc86935884"/>
      <w:bookmarkStart w:id="780" w:name="_Toc373478368"/>
      <w:bookmarkStart w:id="781" w:name="_Toc8289"/>
      <w:bookmarkStart w:id="782" w:name="_Toc495673399"/>
      <w:r>
        <w:rPr>
          <w:rFonts w:ascii="宋体" w:hAnsi="宋体"/>
          <w:b/>
          <w:bCs/>
          <w:color w:val="auto"/>
          <w:sz w:val="32"/>
          <w:szCs w:val="32"/>
          <w:highlight w:val="none"/>
        </w:rPr>
        <w:t>6.3环境保护</w:t>
      </w:r>
      <w:bookmarkEnd w:id="775"/>
      <w:bookmarkEnd w:id="776"/>
      <w:bookmarkEnd w:id="777"/>
      <w:bookmarkEnd w:id="778"/>
      <w:bookmarkEnd w:id="779"/>
      <w:bookmarkEnd w:id="780"/>
      <w:bookmarkEnd w:id="781"/>
      <w:bookmarkEnd w:id="782"/>
    </w:p>
    <w:p w14:paraId="7D0A8355">
      <w:pPr>
        <w:spacing w:line="360" w:lineRule="auto"/>
        <w:ind w:firstLine="420" w:firstLineChars="200"/>
        <w:jc w:val="left"/>
        <w:rPr>
          <w:rFonts w:ascii="宋体" w:hAnsi="宋体"/>
          <w:color w:val="auto"/>
          <w:szCs w:val="21"/>
          <w:highlight w:val="none"/>
          <w:u w:val="single"/>
        </w:rPr>
      </w:pPr>
      <w:r>
        <w:rPr>
          <w:rFonts w:ascii="宋体" w:hAnsi="宋体"/>
          <w:color w:val="auto"/>
          <w:szCs w:val="21"/>
          <w:highlight w:val="none"/>
          <w:u w:val="single"/>
        </w:rPr>
        <w:t>因施工需要，经发包人批准，由承包人办理有关施工场地交通、环卫和施工噪音管理等手续，费用由承包人负责。</w:t>
      </w:r>
    </w:p>
    <w:p w14:paraId="1D52790B">
      <w:pPr>
        <w:spacing w:line="360" w:lineRule="auto"/>
        <w:ind w:firstLine="420" w:firstLineChars="200"/>
        <w:jc w:val="left"/>
        <w:rPr>
          <w:rFonts w:ascii="宋体" w:hAnsi="宋体"/>
          <w:color w:val="auto"/>
          <w:szCs w:val="21"/>
          <w:highlight w:val="none"/>
          <w:u w:val="single"/>
        </w:rPr>
      </w:pPr>
      <w:r>
        <w:rPr>
          <w:rFonts w:ascii="宋体" w:hAnsi="宋体"/>
          <w:color w:val="auto"/>
          <w:szCs w:val="21"/>
          <w:highlight w:val="none"/>
          <w:u w:val="single"/>
        </w:rPr>
        <w:t>经过城市道路的施工车辆，必须按交警、城管、运输等部门相关规定执行。由于施工车辆造成的道路、环境等污染，其责任和费用均由承包人承担。</w:t>
      </w:r>
    </w:p>
    <w:bookmarkEnd w:id="749"/>
    <w:bookmarkEnd w:id="750"/>
    <w:bookmarkEnd w:id="751"/>
    <w:bookmarkEnd w:id="752"/>
    <w:bookmarkEnd w:id="753"/>
    <w:bookmarkEnd w:id="754"/>
    <w:bookmarkEnd w:id="755"/>
    <w:p w14:paraId="6C1F8A3F">
      <w:pPr>
        <w:keepNext/>
        <w:keepLines/>
        <w:spacing w:before="260" w:after="260" w:line="360" w:lineRule="auto"/>
        <w:outlineLvl w:val="1"/>
        <w:rPr>
          <w:rFonts w:ascii="宋体" w:hAnsi="宋体"/>
          <w:b/>
          <w:bCs/>
          <w:color w:val="auto"/>
          <w:sz w:val="32"/>
          <w:szCs w:val="32"/>
          <w:highlight w:val="none"/>
        </w:rPr>
      </w:pPr>
      <w:bookmarkStart w:id="783" w:name="_Toc351203639"/>
      <w:bookmarkStart w:id="784" w:name="_Toc407135224"/>
      <w:bookmarkStart w:id="785" w:name="_Toc86935885"/>
      <w:bookmarkStart w:id="786" w:name="_Toc373227722"/>
      <w:bookmarkStart w:id="787" w:name="_Toc16290"/>
      <w:bookmarkStart w:id="788" w:name="_Toc373478369"/>
      <w:bookmarkStart w:id="789" w:name="_Toc389065288"/>
      <w:bookmarkStart w:id="790" w:name="_Toc508379735"/>
      <w:bookmarkStart w:id="791" w:name="_Toc21915"/>
      <w:bookmarkStart w:id="792" w:name="_Toc495673400"/>
      <w:r>
        <w:rPr>
          <w:rFonts w:ascii="宋体" w:hAnsi="宋体"/>
          <w:b/>
          <w:bCs/>
          <w:color w:val="auto"/>
          <w:sz w:val="32"/>
          <w:szCs w:val="32"/>
          <w:highlight w:val="none"/>
        </w:rPr>
        <w:t>7. 工期和进度</w:t>
      </w:r>
      <w:bookmarkEnd w:id="783"/>
      <w:bookmarkEnd w:id="784"/>
      <w:bookmarkEnd w:id="785"/>
      <w:bookmarkEnd w:id="786"/>
      <w:bookmarkEnd w:id="787"/>
      <w:bookmarkEnd w:id="788"/>
      <w:bookmarkEnd w:id="789"/>
      <w:bookmarkEnd w:id="790"/>
      <w:bookmarkEnd w:id="791"/>
      <w:bookmarkEnd w:id="792"/>
    </w:p>
    <w:p w14:paraId="31AEC265">
      <w:pPr>
        <w:keepNext/>
        <w:keepLines/>
        <w:spacing w:before="260" w:after="260" w:line="360" w:lineRule="auto"/>
        <w:outlineLvl w:val="2"/>
        <w:rPr>
          <w:rFonts w:ascii="宋体" w:hAnsi="宋体"/>
          <w:b/>
          <w:bCs/>
          <w:color w:val="auto"/>
          <w:sz w:val="32"/>
          <w:szCs w:val="32"/>
          <w:highlight w:val="none"/>
        </w:rPr>
      </w:pPr>
      <w:bookmarkStart w:id="793" w:name="_Toc373478370"/>
      <w:bookmarkStart w:id="794" w:name="_Toc86935886"/>
      <w:bookmarkStart w:id="795" w:name="_Toc26299"/>
      <w:bookmarkStart w:id="796" w:name="_Toc389065289"/>
      <w:bookmarkStart w:id="797" w:name="_Toc508379736"/>
      <w:bookmarkStart w:id="798" w:name="_Toc495673401"/>
      <w:bookmarkStart w:id="799" w:name="_Toc407135225"/>
      <w:bookmarkStart w:id="800" w:name="_Toc373227723"/>
      <w:bookmarkStart w:id="801" w:name="_Toc27070"/>
      <w:r>
        <w:rPr>
          <w:rFonts w:ascii="宋体" w:hAnsi="宋体"/>
          <w:b/>
          <w:bCs/>
          <w:color w:val="auto"/>
          <w:sz w:val="32"/>
          <w:szCs w:val="32"/>
          <w:highlight w:val="none"/>
        </w:rPr>
        <w:t>7.1 施工组织设计</w:t>
      </w:r>
      <w:bookmarkEnd w:id="793"/>
      <w:bookmarkEnd w:id="794"/>
      <w:bookmarkEnd w:id="795"/>
      <w:bookmarkEnd w:id="796"/>
      <w:bookmarkEnd w:id="797"/>
      <w:bookmarkEnd w:id="798"/>
      <w:bookmarkEnd w:id="799"/>
      <w:bookmarkEnd w:id="800"/>
      <w:bookmarkEnd w:id="801"/>
    </w:p>
    <w:p w14:paraId="6070BE79">
      <w:pPr>
        <w:autoSpaceDE w:val="0"/>
        <w:autoSpaceDN w:val="0"/>
        <w:adjustRightInd w:val="0"/>
        <w:spacing w:line="360" w:lineRule="auto"/>
        <w:ind w:firstLine="420" w:firstLineChars="200"/>
        <w:jc w:val="left"/>
        <w:rPr>
          <w:rFonts w:ascii="宋体" w:hAnsi="宋体"/>
          <w:color w:val="auto"/>
          <w:szCs w:val="21"/>
          <w:highlight w:val="none"/>
          <w:u w:val="single"/>
        </w:rPr>
      </w:pPr>
      <w:r>
        <w:rPr>
          <w:rFonts w:ascii="宋体" w:hAnsi="宋体"/>
          <w:color w:val="auto"/>
          <w:szCs w:val="21"/>
          <w:highlight w:val="none"/>
        </w:rPr>
        <w:t>7.1.1 合</w:t>
      </w:r>
      <w:r>
        <w:rPr>
          <w:rFonts w:ascii="宋体" w:hAnsi="宋体"/>
          <w:color w:val="auto"/>
          <w:kern w:val="0"/>
          <w:szCs w:val="21"/>
          <w:highlight w:val="none"/>
        </w:rPr>
        <w:t>同当事人约定的施工组织设计应包括的其他内容：</w:t>
      </w:r>
      <w:r>
        <w:rPr>
          <w:rFonts w:hint="eastAsia" w:ascii="宋体" w:hAnsi="宋体"/>
          <w:color w:val="auto"/>
          <w:szCs w:val="21"/>
          <w:highlight w:val="none"/>
          <w:u w:val="single"/>
        </w:rPr>
        <w:t xml:space="preserve">  </w:t>
      </w:r>
      <w:r>
        <w:rPr>
          <w:rStyle w:val="35"/>
          <w:rFonts w:hint="eastAsia" w:ascii="宋体" w:hAnsi="宋体" w:eastAsia="宋体"/>
          <w:color w:val="auto"/>
          <w:highlight w:val="none"/>
          <w:u w:val="single"/>
        </w:rPr>
        <w:t>按行业管理有关要求</w:t>
      </w:r>
      <w:r>
        <w:rPr>
          <w:rFonts w:hint="eastAsia" w:ascii="宋体" w:hAnsi="宋体"/>
          <w:color w:val="auto"/>
          <w:szCs w:val="21"/>
          <w:highlight w:val="none"/>
          <w:u w:val="single"/>
        </w:rPr>
        <w:t xml:space="preserve">  </w:t>
      </w:r>
      <w:r>
        <w:rPr>
          <w:rFonts w:ascii="宋体" w:hAnsi="宋体"/>
          <w:color w:val="auto"/>
          <w:szCs w:val="21"/>
          <w:highlight w:val="none"/>
        </w:rPr>
        <w:t>。</w:t>
      </w:r>
    </w:p>
    <w:p w14:paraId="08EBFE91">
      <w:pPr>
        <w:autoSpaceDE w:val="0"/>
        <w:autoSpaceDN w:val="0"/>
        <w:adjustRightInd w:val="0"/>
        <w:spacing w:line="360" w:lineRule="auto"/>
        <w:ind w:firstLine="420" w:firstLineChars="200"/>
        <w:jc w:val="left"/>
        <w:rPr>
          <w:rFonts w:ascii="宋体" w:hAnsi="宋体"/>
          <w:color w:val="auto"/>
          <w:kern w:val="0"/>
          <w:szCs w:val="21"/>
          <w:highlight w:val="none"/>
        </w:rPr>
      </w:pPr>
      <w:r>
        <w:rPr>
          <w:rFonts w:ascii="宋体" w:hAnsi="宋体"/>
          <w:color w:val="auto"/>
          <w:szCs w:val="21"/>
          <w:highlight w:val="none"/>
        </w:rPr>
        <w:t xml:space="preserve">7.1.2 </w:t>
      </w:r>
      <w:r>
        <w:rPr>
          <w:rFonts w:ascii="宋体" w:hAnsi="宋体"/>
          <w:color w:val="auto"/>
          <w:kern w:val="0"/>
          <w:szCs w:val="21"/>
          <w:highlight w:val="none"/>
        </w:rPr>
        <w:t>施工组织设计的提交和修改</w:t>
      </w:r>
    </w:p>
    <w:p w14:paraId="21CF8C97">
      <w:pPr>
        <w:autoSpaceDE w:val="0"/>
        <w:autoSpaceDN w:val="0"/>
        <w:adjustRightInd w:val="0"/>
        <w:spacing w:line="360" w:lineRule="auto"/>
        <w:ind w:firstLine="420" w:firstLineChars="200"/>
        <w:jc w:val="left"/>
        <w:rPr>
          <w:rFonts w:ascii="宋体" w:hAnsi="宋体"/>
          <w:color w:val="auto"/>
          <w:szCs w:val="21"/>
          <w:highlight w:val="none"/>
          <w:u w:val="single"/>
        </w:rPr>
      </w:pPr>
      <w:r>
        <w:rPr>
          <w:rFonts w:ascii="宋体" w:hAnsi="宋体"/>
          <w:color w:val="auto"/>
          <w:kern w:val="0"/>
          <w:szCs w:val="21"/>
          <w:highlight w:val="none"/>
        </w:rPr>
        <w:t>承包人提交详细施工组织设计的期限的约定：</w:t>
      </w:r>
      <w:r>
        <w:rPr>
          <w:rStyle w:val="35"/>
          <w:rFonts w:hint="eastAsia" w:ascii="宋体" w:hAnsi="宋体" w:eastAsia="宋体"/>
          <w:color w:val="auto"/>
          <w:highlight w:val="none"/>
          <w:u w:val="single"/>
        </w:rPr>
        <w:t>承包人在图纸会审和设计交底之日起</w:t>
      </w:r>
      <w:r>
        <w:rPr>
          <w:rStyle w:val="35"/>
          <w:rFonts w:hint="eastAsia" w:ascii="宋体" w:hAnsi="宋体" w:eastAsia="宋体"/>
          <w:color w:val="auto"/>
          <w:highlight w:val="none"/>
          <w:u w:val="single"/>
          <w:lang w:val="en-US" w:eastAsia="zh-CN"/>
        </w:rPr>
        <w:t xml:space="preserve">   </w:t>
      </w:r>
      <w:r>
        <w:rPr>
          <w:rStyle w:val="35"/>
          <w:rFonts w:hint="eastAsia" w:ascii="宋体" w:hAnsi="宋体" w:eastAsia="宋体"/>
          <w:color w:val="auto"/>
          <w:highlight w:val="none"/>
          <w:u w:val="single"/>
        </w:rPr>
        <w:t>天内报送</w:t>
      </w:r>
      <w:r>
        <w:rPr>
          <w:rFonts w:hint="eastAsia" w:ascii="宋体" w:hAnsi="宋体"/>
          <w:color w:val="auto"/>
          <w:szCs w:val="21"/>
          <w:highlight w:val="none"/>
          <w:u w:val="single"/>
        </w:rPr>
        <w:t xml:space="preserve"> </w:t>
      </w:r>
      <w:r>
        <w:rPr>
          <w:rFonts w:ascii="宋体" w:hAnsi="宋体"/>
          <w:color w:val="auto"/>
          <w:szCs w:val="21"/>
          <w:highlight w:val="none"/>
        </w:rPr>
        <w:t>。</w:t>
      </w:r>
    </w:p>
    <w:p w14:paraId="6755DD7E">
      <w:pPr>
        <w:spacing w:line="360" w:lineRule="auto"/>
        <w:ind w:firstLine="420" w:firstLineChars="200"/>
        <w:rPr>
          <w:rFonts w:ascii="宋体" w:hAnsi="宋体"/>
          <w:color w:val="auto"/>
          <w:szCs w:val="21"/>
          <w:highlight w:val="none"/>
        </w:rPr>
      </w:pPr>
      <w:r>
        <w:rPr>
          <w:rFonts w:ascii="宋体" w:hAnsi="宋体"/>
          <w:color w:val="auto"/>
          <w:szCs w:val="21"/>
          <w:highlight w:val="none"/>
        </w:rPr>
        <w:t>发包人和监理人在收到详细的施工组织设计后确认或提出修改意见的期限：</w:t>
      </w:r>
      <w:r>
        <w:rPr>
          <w:rFonts w:hint="eastAsia" w:ascii="宋体" w:hAnsi="宋体"/>
          <w:color w:val="auto"/>
          <w:szCs w:val="21"/>
          <w:highlight w:val="none"/>
          <w:u w:val="single"/>
        </w:rPr>
        <w:t xml:space="preserve"> </w:t>
      </w:r>
      <w:r>
        <w:rPr>
          <w:rStyle w:val="35"/>
          <w:rFonts w:hint="eastAsia" w:ascii="宋体" w:hAnsi="宋体" w:eastAsia="宋体"/>
          <w:color w:val="auto"/>
          <w:highlight w:val="none"/>
          <w:u w:val="single"/>
        </w:rPr>
        <w:t>收到之日起</w:t>
      </w:r>
      <w:r>
        <w:rPr>
          <w:rStyle w:val="35"/>
          <w:rFonts w:hint="eastAsia" w:ascii="宋体" w:hAnsi="宋体" w:eastAsia="宋体"/>
          <w:color w:val="auto"/>
          <w:highlight w:val="none"/>
          <w:u w:val="single"/>
          <w:lang w:val="en-US" w:eastAsia="zh-CN"/>
        </w:rPr>
        <w:t xml:space="preserve">   </w:t>
      </w:r>
      <w:r>
        <w:rPr>
          <w:rStyle w:val="35"/>
          <w:rFonts w:hint="eastAsia" w:ascii="宋体" w:hAnsi="宋体" w:eastAsia="宋体"/>
          <w:color w:val="auto"/>
          <w:highlight w:val="none"/>
          <w:u w:val="single"/>
        </w:rPr>
        <w:t>天内予以确认</w:t>
      </w:r>
      <w:r>
        <w:rPr>
          <w:rStyle w:val="35"/>
          <w:rFonts w:hint="eastAsia" w:ascii="宋体" w:hAnsi="宋体" w:eastAsia="宋体"/>
          <w:color w:val="auto"/>
          <w:highlight w:val="none"/>
        </w:rPr>
        <w:t>，</w:t>
      </w:r>
      <w:r>
        <w:rPr>
          <w:rStyle w:val="35"/>
          <w:rFonts w:hint="eastAsia" w:ascii="宋体" w:hAnsi="宋体" w:eastAsia="宋体"/>
          <w:color w:val="auto"/>
          <w:highlight w:val="none"/>
          <w:u w:val="single"/>
        </w:rPr>
        <w:t>如有重大异议必须在收到上述资料之日起五天内以书面形式送达承包人</w:t>
      </w:r>
      <w:r>
        <w:rPr>
          <w:rStyle w:val="35"/>
          <w:rFonts w:hint="eastAsia" w:ascii="宋体" w:hAnsi="宋体" w:eastAsia="宋体"/>
          <w:color w:val="auto"/>
          <w:highlight w:val="none"/>
        </w:rPr>
        <w:t>，</w:t>
      </w:r>
      <w:r>
        <w:rPr>
          <w:rStyle w:val="35"/>
          <w:rFonts w:hint="eastAsia" w:ascii="宋体" w:hAnsi="宋体" w:eastAsia="宋体"/>
          <w:color w:val="auto"/>
          <w:highlight w:val="none"/>
          <w:u w:val="single"/>
        </w:rPr>
        <w:t>逾期不确认也不提出书面意见的</w:t>
      </w:r>
      <w:r>
        <w:rPr>
          <w:rStyle w:val="35"/>
          <w:rFonts w:hint="eastAsia" w:ascii="宋体" w:hAnsi="宋体" w:eastAsia="宋体"/>
          <w:color w:val="auto"/>
          <w:highlight w:val="none"/>
        </w:rPr>
        <w:t>，</w:t>
      </w:r>
      <w:r>
        <w:rPr>
          <w:rStyle w:val="35"/>
          <w:rFonts w:hint="eastAsia" w:ascii="宋体" w:hAnsi="宋体" w:eastAsia="宋体"/>
          <w:color w:val="auto"/>
          <w:highlight w:val="none"/>
          <w:u w:val="single"/>
        </w:rPr>
        <w:t>视为同意</w:t>
      </w:r>
      <w:r>
        <w:rPr>
          <w:rFonts w:hint="eastAsia" w:ascii="宋体" w:hAnsi="宋体"/>
          <w:color w:val="auto"/>
          <w:szCs w:val="21"/>
          <w:highlight w:val="none"/>
          <w:u w:val="single"/>
        </w:rPr>
        <w:t xml:space="preserve"> </w:t>
      </w:r>
      <w:r>
        <w:rPr>
          <w:rFonts w:ascii="宋体" w:hAnsi="宋体"/>
          <w:color w:val="auto"/>
          <w:szCs w:val="21"/>
          <w:highlight w:val="none"/>
        </w:rPr>
        <w:t>。</w:t>
      </w:r>
    </w:p>
    <w:p w14:paraId="6F2D54F8">
      <w:pPr>
        <w:keepNext/>
        <w:keepLines/>
        <w:spacing w:before="260" w:after="260" w:line="360" w:lineRule="auto"/>
        <w:outlineLvl w:val="2"/>
        <w:rPr>
          <w:rFonts w:ascii="宋体" w:hAnsi="宋体"/>
          <w:b/>
          <w:bCs/>
          <w:color w:val="auto"/>
          <w:sz w:val="32"/>
          <w:szCs w:val="32"/>
          <w:highlight w:val="none"/>
        </w:rPr>
      </w:pPr>
      <w:bookmarkStart w:id="802" w:name="_Toc495673402"/>
      <w:bookmarkStart w:id="803" w:name="_Toc373227724"/>
      <w:bookmarkStart w:id="804" w:name="_Toc86935887"/>
      <w:bookmarkStart w:id="805" w:name="_Toc407135226"/>
      <w:bookmarkStart w:id="806" w:name="_Toc508379737"/>
      <w:bookmarkStart w:id="807" w:name="_Toc20438"/>
      <w:bookmarkStart w:id="808" w:name="_Toc15632"/>
      <w:bookmarkStart w:id="809" w:name="_Toc389065290"/>
      <w:bookmarkStart w:id="810" w:name="_Toc373478371"/>
      <w:r>
        <w:rPr>
          <w:rFonts w:ascii="宋体" w:hAnsi="宋体"/>
          <w:b/>
          <w:bCs/>
          <w:color w:val="auto"/>
          <w:sz w:val="32"/>
          <w:szCs w:val="32"/>
          <w:highlight w:val="none"/>
        </w:rPr>
        <w:t>7</w:t>
      </w:r>
      <w:bookmarkStart w:id="811" w:name="_Toc297216173"/>
      <w:bookmarkStart w:id="812" w:name="_Toc304295541"/>
      <w:bookmarkStart w:id="813" w:name="_Toc297123514"/>
      <w:bookmarkStart w:id="814" w:name="_Toc300934966"/>
      <w:bookmarkStart w:id="815" w:name="_Toc312678005"/>
      <w:bookmarkStart w:id="816" w:name="_Toc312677479"/>
      <w:bookmarkStart w:id="817" w:name="_Toc303539123"/>
      <w:r>
        <w:rPr>
          <w:rFonts w:ascii="宋体" w:hAnsi="宋体"/>
          <w:b/>
          <w:bCs/>
          <w:color w:val="auto"/>
          <w:sz w:val="32"/>
          <w:szCs w:val="32"/>
          <w:highlight w:val="none"/>
        </w:rPr>
        <w:t>.2 施工进度计划</w:t>
      </w:r>
      <w:bookmarkEnd w:id="802"/>
      <w:bookmarkEnd w:id="803"/>
      <w:bookmarkEnd w:id="804"/>
      <w:bookmarkEnd w:id="805"/>
      <w:bookmarkEnd w:id="806"/>
      <w:bookmarkEnd w:id="807"/>
      <w:bookmarkEnd w:id="808"/>
      <w:bookmarkEnd w:id="809"/>
      <w:bookmarkEnd w:id="810"/>
    </w:p>
    <w:p w14:paraId="2F999707">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7.2.2 施工进度计划的修订</w:t>
      </w:r>
    </w:p>
    <w:p w14:paraId="133D27FB">
      <w:pPr>
        <w:spacing w:line="360" w:lineRule="auto"/>
        <w:ind w:firstLine="420" w:firstLineChars="200"/>
        <w:rPr>
          <w:rFonts w:ascii="宋体" w:hAnsi="宋体"/>
          <w:color w:val="auto"/>
          <w:szCs w:val="21"/>
          <w:highlight w:val="none"/>
        </w:rPr>
      </w:pPr>
      <w:r>
        <w:rPr>
          <w:rFonts w:ascii="宋体" w:hAnsi="宋体"/>
          <w:color w:val="auto"/>
          <w:szCs w:val="21"/>
          <w:highlight w:val="none"/>
        </w:rPr>
        <w:t>发包人和监理人在收到修订的施工进度计划后确认或提出修改意见的期限：</w:t>
      </w:r>
      <w:r>
        <w:rPr>
          <w:rFonts w:hint="eastAsia" w:ascii="宋体" w:hAnsi="宋体"/>
          <w:color w:val="auto"/>
          <w:szCs w:val="21"/>
          <w:highlight w:val="none"/>
          <w:u w:val="single"/>
        </w:rPr>
        <w:t xml:space="preserve">   </w:t>
      </w:r>
      <w:r>
        <w:rPr>
          <w:rStyle w:val="35"/>
          <w:rFonts w:hint="eastAsia" w:ascii="宋体" w:hAnsi="宋体" w:eastAsia="宋体"/>
          <w:color w:val="auto"/>
          <w:highlight w:val="none"/>
          <w:u w:val="single"/>
        </w:rPr>
        <w:t>收到之日起</w:t>
      </w:r>
      <w:r>
        <w:rPr>
          <w:rStyle w:val="35"/>
          <w:rFonts w:hint="eastAsia" w:ascii="宋体" w:hAnsi="宋体" w:eastAsia="宋体"/>
          <w:color w:val="auto"/>
          <w:highlight w:val="none"/>
          <w:u w:val="single"/>
          <w:lang w:val="en-US" w:eastAsia="zh-CN"/>
        </w:rPr>
        <w:t xml:space="preserve">   </w:t>
      </w:r>
      <w:r>
        <w:rPr>
          <w:rStyle w:val="35"/>
          <w:rFonts w:hint="eastAsia" w:ascii="宋体" w:hAnsi="宋体" w:eastAsia="宋体"/>
          <w:color w:val="auto"/>
          <w:highlight w:val="none"/>
          <w:u w:val="single"/>
        </w:rPr>
        <w:t>天内</w:t>
      </w:r>
      <w:r>
        <w:rPr>
          <w:rFonts w:hint="eastAsia" w:ascii="宋体" w:hAnsi="宋体"/>
          <w:color w:val="auto"/>
          <w:szCs w:val="21"/>
          <w:highlight w:val="none"/>
          <w:u w:val="single"/>
        </w:rPr>
        <w:t xml:space="preserve">  </w:t>
      </w:r>
      <w:r>
        <w:rPr>
          <w:rFonts w:ascii="宋体" w:hAnsi="宋体"/>
          <w:color w:val="auto"/>
          <w:szCs w:val="21"/>
          <w:highlight w:val="none"/>
        </w:rPr>
        <w:t>。</w:t>
      </w:r>
    </w:p>
    <w:p w14:paraId="03BF86CD">
      <w:pPr>
        <w:keepNext/>
        <w:keepLines/>
        <w:spacing w:before="260" w:after="260" w:line="360" w:lineRule="auto"/>
        <w:outlineLvl w:val="2"/>
        <w:rPr>
          <w:rFonts w:ascii="宋体" w:hAnsi="宋体"/>
          <w:b/>
          <w:bCs/>
          <w:color w:val="auto"/>
          <w:sz w:val="32"/>
          <w:szCs w:val="32"/>
          <w:highlight w:val="none"/>
        </w:rPr>
      </w:pPr>
      <w:bookmarkStart w:id="818" w:name="_Toc407135227"/>
      <w:bookmarkStart w:id="819" w:name="_Toc3078"/>
      <w:bookmarkStart w:id="820" w:name="_Toc21076"/>
      <w:bookmarkStart w:id="821" w:name="_Toc373478372"/>
      <w:bookmarkStart w:id="822" w:name="_Toc508379738"/>
      <w:bookmarkStart w:id="823" w:name="_Toc86935888"/>
      <w:bookmarkStart w:id="824" w:name="_Toc373227725"/>
      <w:bookmarkStart w:id="825" w:name="_Toc389065291"/>
      <w:bookmarkStart w:id="826" w:name="_Toc495673403"/>
      <w:r>
        <w:rPr>
          <w:rFonts w:ascii="宋体" w:hAnsi="宋体"/>
          <w:b/>
          <w:bCs/>
          <w:color w:val="auto"/>
          <w:sz w:val="32"/>
          <w:szCs w:val="32"/>
          <w:highlight w:val="none"/>
        </w:rPr>
        <w:t>7.3 开工</w:t>
      </w:r>
      <w:bookmarkEnd w:id="818"/>
      <w:bookmarkEnd w:id="819"/>
      <w:bookmarkEnd w:id="820"/>
      <w:bookmarkEnd w:id="821"/>
      <w:bookmarkEnd w:id="822"/>
      <w:bookmarkEnd w:id="823"/>
      <w:bookmarkEnd w:id="824"/>
      <w:bookmarkEnd w:id="825"/>
      <w:bookmarkEnd w:id="826"/>
    </w:p>
    <w:p w14:paraId="69E64678">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7.3.1 开工准备</w:t>
      </w:r>
    </w:p>
    <w:p w14:paraId="17D23524">
      <w:pPr>
        <w:spacing w:line="360" w:lineRule="auto"/>
        <w:ind w:firstLine="426"/>
        <w:jc w:val="left"/>
        <w:rPr>
          <w:rFonts w:ascii="宋体" w:hAnsi="宋体"/>
          <w:color w:val="auto"/>
          <w:szCs w:val="21"/>
          <w:highlight w:val="none"/>
          <w:u w:val="single"/>
        </w:rPr>
      </w:pPr>
      <w:r>
        <w:rPr>
          <w:rFonts w:ascii="宋体" w:hAnsi="宋体"/>
          <w:color w:val="auto"/>
          <w:szCs w:val="21"/>
          <w:highlight w:val="none"/>
        </w:rPr>
        <w:t>关于承包人提交</w:t>
      </w:r>
      <w:r>
        <w:rPr>
          <w:rFonts w:ascii="宋体" w:hAnsi="宋体"/>
          <w:color w:val="auto"/>
          <w:kern w:val="0"/>
          <w:szCs w:val="21"/>
          <w:highlight w:val="none"/>
        </w:rPr>
        <w:t>工程开工报审表的期限：</w:t>
      </w:r>
      <w:r>
        <w:rPr>
          <w:rFonts w:hint="eastAsia" w:ascii="宋体" w:hAnsi="宋体"/>
          <w:color w:val="auto"/>
          <w:szCs w:val="21"/>
          <w:highlight w:val="none"/>
          <w:u w:val="single"/>
        </w:rPr>
        <w:t xml:space="preserve">                      </w:t>
      </w:r>
      <w:r>
        <w:rPr>
          <w:rFonts w:ascii="宋体" w:hAnsi="宋体"/>
          <w:color w:val="auto"/>
          <w:szCs w:val="21"/>
          <w:highlight w:val="none"/>
        </w:rPr>
        <w:t>。</w:t>
      </w:r>
    </w:p>
    <w:p w14:paraId="7F536C6F">
      <w:pPr>
        <w:spacing w:line="360" w:lineRule="auto"/>
        <w:ind w:firstLine="426"/>
        <w:jc w:val="left"/>
        <w:rPr>
          <w:rFonts w:ascii="宋体" w:hAnsi="宋体"/>
          <w:color w:val="auto"/>
          <w:szCs w:val="21"/>
          <w:highlight w:val="none"/>
          <w:u w:val="single"/>
        </w:rPr>
      </w:pPr>
      <w:r>
        <w:rPr>
          <w:rFonts w:ascii="宋体" w:hAnsi="宋体"/>
          <w:color w:val="auto"/>
          <w:szCs w:val="21"/>
          <w:highlight w:val="none"/>
        </w:rPr>
        <w:t>关于发包人应完成的其他开工准备工作及期限：</w:t>
      </w:r>
      <w:r>
        <w:rPr>
          <w:rFonts w:hint="eastAsia" w:ascii="宋体" w:hAnsi="宋体"/>
          <w:color w:val="auto"/>
          <w:szCs w:val="21"/>
          <w:highlight w:val="none"/>
          <w:u w:val="single"/>
        </w:rPr>
        <w:t xml:space="preserve">                      </w:t>
      </w:r>
      <w:r>
        <w:rPr>
          <w:rFonts w:ascii="宋体" w:hAnsi="宋体"/>
          <w:color w:val="auto"/>
          <w:szCs w:val="21"/>
          <w:highlight w:val="none"/>
        </w:rPr>
        <w:t>。</w:t>
      </w:r>
    </w:p>
    <w:p w14:paraId="13F3A656">
      <w:pPr>
        <w:spacing w:line="360" w:lineRule="auto"/>
        <w:ind w:firstLine="420" w:firstLineChars="200"/>
        <w:jc w:val="left"/>
        <w:rPr>
          <w:rFonts w:ascii="宋体" w:hAnsi="宋体"/>
          <w:color w:val="auto"/>
          <w:szCs w:val="21"/>
          <w:highlight w:val="none"/>
          <w:u w:val="single"/>
        </w:rPr>
      </w:pPr>
      <w:r>
        <w:rPr>
          <w:rFonts w:ascii="宋体" w:hAnsi="宋体"/>
          <w:color w:val="auto"/>
          <w:szCs w:val="21"/>
          <w:highlight w:val="none"/>
        </w:rPr>
        <w:t>关于承包人应完成的其他开工准备工作及期限：</w:t>
      </w:r>
      <w:r>
        <w:rPr>
          <w:rFonts w:hint="eastAsia" w:ascii="宋体" w:hAnsi="宋体"/>
          <w:color w:val="auto"/>
          <w:szCs w:val="21"/>
          <w:highlight w:val="none"/>
          <w:u w:val="single"/>
        </w:rPr>
        <w:t xml:space="preserve">                      </w:t>
      </w:r>
      <w:r>
        <w:rPr>
          <w:rFonts w:ascii="宋体" w:hAnsi="宋体"/>
          <w:color w:val="auto"/>
          <w:szCs w:val="21"/>
          <w:highlight w:val="none"/>
        </w:rPr>
        <w:t>。</w:t>
      </w:r>
    </w:p>
    <w:p w14:paraId="4C032642">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7.3.2开工通知</w:t>
      </w:r>
    </w:p>
    <w:p w14:paraId="4DE01C61">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因发包人原因造成监理人未能在计划开工日期之日起天内发出开工通知的，承包人有权提出价格调整要求，或者解除合同。</w:t>
      </w:r>
    </w:p>
    <w:bookmarkEnd w:id="811"/>
    <w:bookmarkEnd w:id="812"/>
    <w:bookmarkEnd w:id="813"/>
    <w:bookmarkEnd w:id="814"/>
    <w:bookmarkEnd w:id="815"/>
    <w:bookmarkEnd w:id="816"/>
    <w:bookmarkEnd w:id="817"/>
    <w:p w14:paraId="7AC5FF93">
      <w:pPr>
        <w:keepNext/>
        <w:keepLines/>
        <w:spacing w:before="260" w:after="260" w:line="360" w:lineRule="auto"/>
        <w:outlineLvl w:val="2"/>
        <w:rPr>
          <w:rFonts w:ascii="宋体" w:hAnsi="宋体"/>
          <w:b/>
          <w:bCs/>
          <w:color w:val="auto"/>
          <w:sz w:val="32"/>
          <w:szCs w:val="32"/>
          <w:highlight w:val="none"/>
        </w:rPr>
      </w:pPr>
      <w:bookmarkStart w:id="827" w:name="_Toc373227726"/>
      <w:bookmarkStart w:id="828" w:name="_Toc495673404"/>
      <w:bookmarkStart w:id="829" w:name="_Toc373478373"/>
      <w:bookmarkStart w:id="830" w:name="_Toc27020"/>
      <w:bookmarkStart w:id="831" w:name="_Toc30946"/>
      <w:bookmarkStart w:id="832" w:name="_Toc407135228"/>
      <w:bookmarkStart w:id="833" w:name="_Toc86935889"/>
      <w:bookmarkStart w:id="834" w:name="_Toc389065292"/>
      <w:bookmarkStart w:id="835" w:name="_Toc508379739"/>
      <w:r>
        <w:rPr>
          <w:rFonts w:ascii="宋体" w:hAnsi="宋体"/>
          <w:b/>
          <w:bCs/>
          <w:color w:val="auto"/>
          <w:sz w:val="32"/>
          <w:szCs w:val="32"/>
          <w:highlight w:val="none"/>
        </w:rPr>
        <w:t>7.4 测量放线</w:t>
      </w:r>
      <w:bookmarkEnd w:id="827"/>
      <w:bookmarkEnd w:id="828"/>
      <w:bookmarkEnd w:id="829"/>
      <w:bookmarkEnd w:id="830"/>
      <w:bookmarkEnd w:id="831"/>
      <w:bookmarkEnd w:id="832"/>
      <w:bookmarkEnd w:id="833"/>
      <w:bookmarkEnd w:id="834"/>
      <w:bookmarkEnd w:id="835"/>
    </w:p>
    <w:p w14:paraId="43AAD688">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7.4.1发包人通过监理人向承包人提供测量基准点、基准线和水准点及其书面资料的期限：</w:t>
      </w:r>
    </w:p>
    <w:p w14:paraId="610C945D">
      <w:pPr>
        <w:spacing w:line="360" w:lineRule="auto"/>
        <w:jc w:val="left"/>
        <w:rPr>
          <w:rFonts w:ascii="宋体" w:hAnsi="宋体"/>
          <w:color w:val="auto"/>
          <w:szCs w:val="21"/>
          <w:highlight w:val="none"/>
          <w:u w:val="single"/>
        </w:rPr>
      </w:pPr>
      <w:r>
        <w:rPr>
          <w:rFonts w:hint="eastAsia" w:ascii="宋体" w:hAnsi="宋体"/>
          <w:color w:val="auto"/>
          <w:szCs w:val="21"/>
          <w:highlight w:val="none"/>
          <w:u w:val="single"/>
        </w:rPr>
        <w:t xml:space="preserve">                      </w:t>
      </w:r>
      <w:r>
        <w:rPr>
          <w:rFonts w:ascii="宋体" w:hAnsi="宋体"/>
          <w:color w:val="auto"/>
          <w:szCs w:val="21"/>
          <w:highlight w:val="none"/>
        </w:rPr>
        <w:t>。</w:t>
      </w:r>
    </w:p>
    <w:p w14:paraId="312D6ABB">
      <w:pPr>
        <w:keepNext/>
        <w:keepLines/>
        <w:spacing w:before="260" w:after="260" w:line="360" w:lineRule="auto"/>
        <w:outlineLvl w:val="2"/>
        <w:rPr>
          <w:rFonts w:ascii="宋体" w:hAnsi="宋体"/>
          <w:b/>
          <w:bCs/>
          <w:color w:val="auto"/>
          <w:sz w:val="32"/>
          <w:szCs w:val="32"/>
          <w:highlight w:val="none"/>
        </w:rPr>
      </w:pPr>
      <w:bookmarkStart w:id="836" w:name="_Toc389065293"/>
      <w:bookmarkStart w:id="837" w:name="_Toc373478374"/>
      <w:bookmarkStart w:id="838" w:name="_Toc508379740"/>
      <w:bookmarkStart w:id="839" w:name="_Toc407135229"/>
      <w:bookmarkStart w:id="840" w:name="_Toc20682"/>
      <w:bookmarkStart w:id="841" w:name="_Toc30264"/>
      <w:bookmarkStart w:id="842" w:name="_Toc86935890"/>
      <w:bookmarkStart w:id="843" w:name="_Toc373227727"/>
      <w:bookmarkStart w:id="844" w:name="_Toc495673405"/>
      <w:r>
        <w:rPr>
          <w:rFonts w:ascii="宋体" w:hAnsi="宋体"/>
          <w:b/>
          <w:bCs/>
          <w:color w:val="auto"/>
          <w:sz w:val="32"/>
          <w:szCs w:val="32"/>
          <w:highlight w:val="none"/>
        </w:rPr>
        <w:t>7</w:t>
      </w:r>
      <w:bookmarkStart w:id="845" w:name="_Toc303539125"/>
      <w:bookmarkStart w:id="846" w:name="_Toc312678010"/>
      <w:bookmarkStart w:id="847" w:name="_Toc312677484"/>
      <w:bookmarkStart w:id="848" w:name="_Toc297123516"/>
      <w:bookmarkStart w:id="849" w:name="_Toc304295546"/>
      <w:bookmarkStart w:id="850" w:name="_Toc300934968"/>
      <w:bookmarkStart w:id="851" w:name="_Toc297216175"/>
      <w:r>
        <w:rPr>
          <w:rFonts w:ascii="宋体" w:hAnsi="宋体"/>
          <w:b/>
          <w:bCs/>
          <w:color w:val="auto"/>
          <w:sz w:val="32"/>
          <w:szCs w:val="32"/>
          <w:highlight w:val="none"/>
        </w:rPr>
        <w:t>.5 工期延误</w:t>
      </w:r>
      <w:bookmarkEnd w:id="836"/>
      <w:bookmarkEnd w:id="837"/>
      <w:bookmarkEnd w:id="838"/>
      <w:bookmarkEnd w:id="839"/>
      <w:bookmarkEnd w:id="840"/>
      <w:bookmarkEnd w:id="841"/>
      <w:bookmarkEnd w:id="842"/>
      <w:bookmarkEnd w:id="843"/>
      <w:bookmarkEnd w:id="844"/>
    </w:p>
    <w:bookmarkEnd w:id="845"/>
    <w:bookmarkEnd w:id="846"/>
    <w:bookmarkEnd w:id="847"/>
    <w:bookmarkEnd w:id="848"/>
    <w:bookmarkEnd w:id="849"/>
    <w:bookmarkEnd w:id="850"/>
    <w:bookmarkEnd w:id="851"/>
    <w:p w14:paraId="6AB2C428">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7.5.1 因发包人原因导致工期延误</w:t>
      </w:r>
    </w:p>
    <w:p w14:paraId="796DE905">
      <w:pPr>
        <w:spacing w:line="360" w:lineRule="auto"/>
        <w:ind w:firstLine="420" w:firstLineChars="200"/>
        <w:jc w:val="left"/>
        <w:rPr>
          <w:rFonts w:ascii="宋体" w:hAnsi="宋体"/>
          <w:color w:val="auto"/>
          <w:szCs w:val="21"/>
          <w:highlight w:val="none"/>
          <w:u w:val="single"/>
        </w:rPr>
      </w:pPr>
      <w:r>
        <w:rPr>
          <w:rFonts w:ascii="宋体" w:hAnsi="宋体"/>
          <w:color w:val="auto"/>
          <w:szCs w:val="21"/>
          <w:highlight w:val="none"/>
        </w:rPr>
        <w:t>（7）因发包人原因导致工期延误的其他情形：</w:t>
      </w:r>
      <w:r>
        <w:rPr>
          <w:rFonts w:hint="eastAsia" w:ascii="宋体" w:hAnsi="宋体"/>
          <w:color w:val="auto"/>
          <w:szCs w:val="21"/>
          <w:highlight w:val="none"/>
          <w:u w:val="single"/>
        </w:rPr>
        <w:t>①重大图纸变更影响关健线路工序施工；②施工期间如因停电、停水连续</w:t>
      </w:r>
      <w:r>
        <w:rPr>
          <w:rFonts w:ascii="宋体" w:hAnsi="宋体"/>
          <w:color w:val="auto"/>
          <w:szCs w:val="21"/>
          <w:highlight w:val="none"/>
          <w:u w:val="single"/>
        </w:rPr>
        <w:t>8</w:t>
      </w:r>
      <w:r>
        <w:rPr>
          <w:rFonts w:hint="eastAsia" w:ascii="宋体" w:hAnsi="宋体"/>
          <w:color w:val="auto"/>
          <w:szCs w:val="21"/>
          <w:highlight w:val="none"/>
          <w:u w:val="single"/>
        </w:rPr>
        <w:t>小时以上或一周内间歇性停水、停电累计</w:t>
      </w:r>
      <w:r>
        <w:rPr>
          <w:rFonts w:ascii="宋体" w:hAnsi="宋体"/>
          <w:color w:val="auto"/>
          <w:szCs w:val="21"/>
          <w:highlight w:val="none"/>
          <w:u w:val="single"/>
        </w:rPr>
        <w:t>8</w:t>
      </w:r>
      <w:r>
        <w:rPr>
          <w:rFonts w:hint="eastAsia" w:ascii="宋体" w:hAnsi="宋体"/>
          <w:color w:val="auto"/>
          <w:szCs w:val="21"/>
          <w:highlight w:val="none"/>
          <w:u w:val="single"/>
        </w:rPr>
        <w:t>小时（含</w:t>
      </w:r>
      <w:r>
        <w:rPr>
          <w:rFonts w:ascii="宋体" w:hAnsi="宋体"/>
          <w:color w:val="auto"/>
          <w:szCs w:val="21"/>
          <w:highlight w:val="none"/>
          <w:u w:val="single"/>
        </w:rPr>
        <w:t>8</w:t>
      </w:r>
      <w:r>
        <w:rPr>
          <w:rFonts w:hint="eastAsia" w:ascii="宋体" w:hAnsi="宋体"/>
          <w:color w:val="auto"/>
          <w:szCs w:val="21"/>
          <w:highlight w:val="none"/>
          <w:u w:val="single"/>
        </w:rPr>
        <w:t>小时）影响正常施工的。③政府指令性停工。④在施工过程中遇到地下障碍物、溶洞、岩石、文物或地下管线的。⑤因发包人未能及时确认变更价格或甲供材料提供延误的。⑥非承包人的责任造成的工期延误其他情形</w:t>
      </w:r>
      <w:r>
        <w:rPr>
          <w:rFonts w:ascii="宋体" w:hAnsi="宋体"/>
          <w:color w:val="auto"/>
          <w:szCs w:val="21"/>
          <w:highlight w:val="none"/>
        </w:rPr>
        <w:t>。</w:t>
      </w:r>
    </w:p>
    <w:p w14:paraId="45955719">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7</w:t>
      </w:r>
      <w:bookmarkStart w:id="852" w:name="_Toc312677486"/>
      <w:bookmarkStart w:id="853" w:name="_Toc312678012"/>
      <w:bookmarkStart w:id="854" w:name="_Toc318581169"/>
      <w:bookmarkStart w:id="855" w:name="_Toc304295548"/>
      <w:bookmarkStart w:id="856" w:name="_Toc300934970"/>
      <w:bookmarkStart w:id="857" w:name="_Toc303539127"/>
      <w:bookmarkStart w:id="858" w:name="_Toc297216177"/>
      <w:bookmarkStart w:id="859" w:name="_Toc297123518"/>
      <w:r>
        <w:rPr>
          <w:rFonts w:ascii="宋体" w:hAnsi="宋体"/>
          <w:color w:val="auto"/>
          <w:szCs w:val="21"/>
          <w:highlight w:val="none"/>
        </w:rPr>
        <w:t>.5.2 因承包人原因导致工期延误</w:t>
      </w:r>
    </w:p>
    <w:bookmarkEnd w:id="852"/>
    <w:bookmarkEnd w:id="853"/>
    <w:bookmarkEnd w:id="854"/>
    <w:p w14:paraId="2AB6DF91">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双方约定经监理工程师确认，工期相应顺延的情况：</w:t>
      </w:r>
      <w:r>
        <w:rPr>
          <w:rFonts w:hint="eastAsia" w:ascii="宋体" w:hAnsi="宋体"/>
          <w:color w:val="auto"/>
          <w:szCs w:val="21"/>
          <w:highlight w:val="none"/>
          <w:u w:val="single"/>
        </w:rPr>
        <w:t xml:space="preserve">                      </w:t>
      </w:r>
      <w:r>
        <w:rPr>
          <w:rFonts w:ascii="宋体" w:hAnsi="宋体"/>
          <w:color w:val="auto"/>
          <w:szCs w:val="21"/>
          <w:highlight w:val="none"/>
        </w:rPr>
        <w:t>。</w:t>
      </w:r>
    </w:p>
    <w:p w14:paraId="3E965C7F">
      <w:pPr>
        <w:spacing w:line="360" w:lineRule="auto"/>
        <w:ind w:firstLine="420" w:firstLineChars="200"/>
        <w:jc w:val="left"/>
        <w:rPr>
          <w:rFonts w:ascii="宋体" w:hAnsi="宋体"/>
          <w:color w:val="auto"/>
          <w:szCs w:val="21"/>
          <w:highlight w:val="none"/>
          <w:u w:val="single"/>
        </w:rPr>
      </w:pPr>
      <w:r>
        <w:rPr>
          <w:rFonts w:ascii="宋体" w:hAnsi="宋体"/>
          <w:color w:val="auto"/>
          <w:szCs w:val="21"/>
          <w:highlight w:val="none"/>
        </w:rPr>
        <w:t>因</w:t>
      </w:r>
      <w:bookmarkStart w:id="860" w:name="_Toc318581170"/>
      <w:bookmarkStart w:id="861" w:name="_Toc312678013"/>
      <w:bookmarkStart w:id="862" w:name="_Toc312677487"/>
      <w:r>
        <w:rPr>
          <w:rFonts w:ascii="宋体" w:hAnsi="宋体"/>
          <w:color w:val="auto"/>
          <w:szCs w:val="21"/>
          <w:highlight w:val="none"/>
        </w:rPr>
        <w:t>承包人原因造成工期延误，逾期竣工违约金的计算方法为：</w:t>
      </w:r>
      <w:r>
        <w:rPr>
          <w:rFonts w:ascii="宋体" w:hAnsi="宋体"/>
          <w:color w:val="auto"/>
          <w:szCs w:val="21"/>
          <w:highlight w:val="none"/>
          <w:u w:val="single"/>
        </w:rPr>
        <w:t>非上述原因，承包人不能按合同约定的时间竣工，承包人应承担违约责任。应向发包人支付误期赔偿费（每天赔偿金额为合同价款扣除建安劳保费、发包人材料价款、暂估专业工程、暂列金额后的的万分</w:t>
      </w:r>
      <w:r>
        <w:rPr>
          <w:rFonts w:hint="eastAsia" w:ascii="宋体" w:hAnsi="宋体"/>
          <w:color w:val="auto"/>
          <w:szCs w:val="21"/>
          <w:highlight w:val="none"/>
          <w:u w:val="single"/>
        </w:rPr>
        <w:t>之四</w:t>
      </w:r>
      <w:r>
        <w:rPr>
          <w:rFonts w:ascii="宋体" w:hAnsi="宋体"/>
          <w:color w:val="auto"/>
          <w:szCs w:val="21"/>
          <w:highlight w:val="none"/>
          <w:u w:val="single"/>
        </w:rPr>
        <w:t>），</w:t>
      </w:r>
      <w:r>
        <w:rPr>
          <w:rFonts w:hint="eastAsia" w:ascii="宋体" w:hAnsi="宋体"/>
          <w:color w:val="auto"/>
          <w:szCs w:val="21"/>
          <w:highlight w:val="none"/>
          <w:u w:val="single"/>
        </w:rPr>
        <w:t>误期时间从规定竣工日期起 直到实际竣工日期的天数（扣除发包人批准顺延的工期）</w:t>
      </w:r>
      <w:r>
        <w:rPr>
          <w:rFonts w:ascii="宋体" w:hAnsi="宋体"/>
          <w:color w:val="auto"/>
          <w:szCs w:val="21"/>
          <w:highlight w:val="none"/>
          <w:u w:val="single"/>
        </w:rPr>
        <w:t xml:space="preserve">。发包人可从应向承包人支付的任何金额中扣除此项赔款费或其他方式收回此款，此赔偿款的支付并不能解除承包人应完成工程的责任或合同规定的其他责任。 </w:t>
      </w:r>
    </w:p>
    <w:bookmarkEnd w:id="855"/>
    <w:bookmarkEnd w:id="856"/>
    <w:bookmarkEnd w:id="857"/>
    <w:bookmarkEnd w:id="858"/>
    <w:bookmarkEnd w:id="859"/>
    <w:bookmarkEnd w:id="860"/>
    <w:bookmarkEnd w:id="861"/>
    <w:bookmarkEnd w:id="862"/>
    <w:p w14:paraId="0083508F">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因承包人原因造成工期延误，逾</w:t>
      </w:r>
      <w:bookmarkStart w:id="863" w:name="_Toc318581171"/>
      <w:bookmarkStart w:id="864" w:name="_Toc312678014"/>
      <w:r>
        <w:rPr>
          <w:rFonts w:ascii="宋体" w:hAnsi="宋体"/>
          <w:color w:val="auto"/>
          <w:szCs w:val="21"/>
          <w:highlight w:val="none"/>
        </w:rPr>
        <w:t>期竣工违约金的上限：</w:t>
      </w:r>
      <w:r>
        <w:rPr>
          <w:rFonts w:hint="eastAsia" w:ascii="宋体" w:hAnsi="宋体"/>
          <w:color w:val="auto"/>
          <w:szCs w:val="21"/>
          <w:highlight w:val="none"/>
          <w:u w:val="single"/>
          <w:lang w:eastAsia="zh-CN"/>
        </w:rPr>
        <w:t>无</w:t>
      </w:r>
      <w:r>
        <w:rPr>
          <w:rFonts w:ascii="宋体" w:hAnsi="宋体"/>
          <w:color w:val="auto"/>
          <w:szCs w:val="21"/>
          <w:highlight w:val="none"/>
        </w:rPr>
        <w:t>。</w:t>
      </w:r>
    </w:p>
    <w:bookmarkEnd w:id="863"/>
    <w:bookmarkEnd w:id="864"/>
    <w:p w14:paraId="4E005563">
      <w:pPr>
        <w:keepNext/>
        <w:keepLines/>
        <w:spacing w:before="260" w:after="260" w:line="360" w:lineRule="auto"/>
        <w:outlineLvl w:val="2"/>
        <w:rPr>
          <w:rFonts w:ascii="宋体" w:hAnsi="宋体"/>
          <w:b/>
          <w:bCs/>
          <w:color w:val="auto"/>
          <w:sz w:val="32"/>
          <w:szCs w:val="32"/>
          <w:highlight w:val="none"/>
        </w:rPr>
      </w:pPr>
      <w:bookmarkStart w:id="865" w:name="_Toc86935891"/>
      <w:bookmarkStart w:id="866" w:name="_Toc373478375"/>
      <w:bookmarkStart w:id="867" w:name="_Toc16017"/>
      <w:bookmarkStart w:id="868" w:name="_Toc31205"/>
      <w:bookmarkStart w:id="869" w:name="_Toc495673406"/>
      <w:bookmarkStart w:id="870" w:name="_Toc508379741"/>
      <w:bookmarkStart w:id="871" w:name="_Toc373227728"/>
      <w:bookmarkStart w:id="872" w:name="_Toc389065294"/>
      <w:bookmarkStart w:id="873" w:name="_Toc407135230"/>
      <w:r>
        <w:rPr>
          <w:rFonts w:ascii="宋体" w:hAnsi="宋体"/>
          <w:b/>
          <w:bCs/>
          <w:color w:val="auto"/>
          <w:sz w:val="32"/>
          <w:szCs w:val="32"/>
          <w:highlight w:val="none"/>
        </w:rPr>
        <w:t>7</w:t>
      </w:r>
      <w:bookmarkStart w:id="874" w:name="_Toc300934971"/>
      <w:bookmarkStart w:id="875" w:name="_Toc303539128"/>
      <w:bookmarkStart w:id="876" w:name="_Toc297216178"/>
      <w:bookmarkStart w:id="877" w:name="_Toc312678015"/>
      <w:bookmarkStart w:id="878" w:name="_Toc304295549"/>
      <w:bookmarkStart w:id="879" w:name="_Toc297123519"/>
      <w:r>
        <w:rPr>
          <w:rFonts w:ascii="宋体" w:hAnsi="宋体"/>
          <w:b/>
          <w:bCs/>
          <w:color w:val="auto"/>
          <w:sz w:val="32"/>
          <w:szCs w:val="32"/>
          <w:highlight w:val="none"/>
        </w:rPr>
        <w:t>.6 不</w:t>
      </w:r>
      <w:bookmarkEnd w:id="874"/>
      <w:bookmarkEnd w:id="875"/>
      <w:bookmarkEnd w:id="876"/>
      <w:bookmarkEnd w:id="877"/>
      <w:bookmarkEnd w:id="878"/>
      <w:bookmarkEnd w:id="879"/>
      <w:r>
        <w:rPr>
          <w:rFonts w:ascii="宋体" w:hAnsi="宋体"/>
          <w:b/>
          <w:bCs/>
          <w:color w:val="auto"/>
          <w:sz w:val="32"/>
          <w:szCs w:val="32"/>
          <w:highlight w:val="none"/>
        </w:rPr>
        <w:t>利物质条件</w:t>
      </w:r>
      <w:bookmarkEnd w:id="865"/>
      <w:bookmarkEnd w:id="866"/>
      <w:bookmarkEnd w:id="867"/>
      <w:bookmarkEnd w:id="868"/>
      <w:bookmarkEnd w:id="869"/>
      <w:bookmarkEnd w:id="870"/>
      <w:bookmarkEnd w:id="871"/>
      <w:bookmarkEnd w:id="872"/>
      <w:bookmarkEnd w:id="873"/>
    </w:p>
    <w:p w14:paraId="638838DC">
      <w:pPr>
        <w:spacing w:line="360" w:lineRule="auto"/>
        <w:ind w:firstLine="420" w:firstLineChars="200"/>
        <w:jc w:val="left"/>
        <w:rPr>
          <w:rFonts w:ascii="宋体" w:hAnsi="宋体"/>
          <w:color w:val="auto"/>
          <w:szCs w:val="21"/>
          <w:highlight w:val="none"/>
          <w:u w:val="single"/>
        </w:rPr>
      </w:pPr>
      <w:bookmarkStart w:id="880" w:name="_Toc297123520"/>
      <w:bookmarkStart w:id="881" w:name="_Toc304295550"/>
      <w:bookmarkStart w:id="882" w:name="_Toc312678016"/>
      <w:bookmarkStart w:id="883" w:name="_Toc300934972"/>
      <w:bookmarkStart w:id="884" w:name="_Toc318581172"/>
      <w:bookmarkStart w:id="885" w:name="_Toc297216179"/>
      <w:bookmarkStart w:id="886" w:name="_Toc303539129"/>
      <w:r>
        <w:rPr>
          <w:rFonts w:ascii="宋体" w:hAnsi="宋体"/>
          <w:color w:val="auto"/>
          <w:szCs w:val="21"/>
          <w:highlight w:val="none"/>
        </w:rPr>
        <w:t>不利物质条件的其他情形和有关约定：</w:t>
      </w:r>
      <w:r>
        <w:rPr>
          <w:rFonts w:hint="eastAsia" w:ascii="宋体" w:hAnsi="宋体"/>
          <w:color w:val="auto"/>
          <w:szCs w:val="21"/>
          <w:highlight w:val="none"/>
          <w:u w:val="single"/>
        </w:rPr>
        <w:t xml:space="preserve">                      </w:t>
      </w:r>
      <w:r>
        <w:rPr>
          <w:rFonts w:ascii="宋体" w:hAnsi="宋体"/>
          <w:color w:val="auto"/>
          <w:szCs w:val="21"/>
          <w:highlight w:val="none"/>
        </w:rPr>
        <w:t>。</w:t>
      </w:r>
    </w:p>
    <w:bookmarkEnd w:id="880"/>
    <w:bookmarkEnd w:id="881"/>
    <w:bookmarkEnd w:id="882"/>
    <w:bookmarkEnd w:id="883"/>
    <w:bookmarkEnd w:id="884"/>
    <w:bookmarkEnd w:id="885"/>
    <w:bookmarkEnd w:id="886"/>
    <w:p w14:paraId="66A33AC0">
      <w:pPr>
        <w:keepNext/>
        <w:keepLines/>
        <w:spacing w:before="260" w:after="260" w:line="360" w:lineRule="auto"/>
        <w:outlineLvl w:val="2"/>
        <w:rPr>
          <w:rFonts w:ascii="宋体" w:hAnsi="宋体"/>
          <w:b/>
          <w:bCs/>
          <w:color w:val="auto"/>
          <w:sz w:val="32"/>
          <w:szCs w:val="32"/>
          <w:highlight w:val="none"/>
        </w:rPr>
      </w:pPr>
      <w:bookmarkStart w:id="887" w:name="_Toc508379742"/>
      <w:bookmarkStart w:id="888" w:name="_Toc373478376"/>
      <w:bookmarkStart w:id="889" w:name="_Toc373227729"/>
      <w:bookmarkStart w:id="890" w:name="_Toc25986"/>
      <w:bookmarkStart w:id="891" w:name="_Toc86935892"/>
      <w:bookmarkStart w:id="892" w:name="_Toc389065295"/>
      <w:bookmarkStart w:id="893" w:name="_Toc407135231"/>
      <w:bookmarkStart w:id="894" w:name="_Toc19496"/>
      <w:bookmarkStart w:id="895" w:name="_Toc495673407"/>
      <w:r>
        <w:rPr>
          <w:rFonts w:ascii="宋体" w:hAnsi="宋体"/>
          <w:b/>
          <w:bCs/>
          <w:color w:val="auto"/>
          <w:sz w:val="32"/>
          <w:szCs w:val="32"/>
          <w:highlight w:val="none"/>
        </w:rPr>
        <w:t>7</w:t>
      </w:r>
      <w:bookmarkStart w:id="896" w:name="_Toc304295551"/>
      <w:bookmarkStart w:id="897" w:name="_Toc312678017"/>
      <w:bookmarkStart w:id="898" w:name="_Toc300934973"/>
      <w:bookmarkStart w:id="899" w:name="_Toc303539130"/>
      <w:bookmarkStart w:id="900" w:name="_Toc297123521"/>
      <w:bookmarkStart w:id="901" w:name="_Toc297216180"/>
      <w:r>
        <w:rPr>
          <w:rFonts w:ascii="宋体" w:hAnsi="宋体"/>
          <w:b/>
          <w:bCs/>
          <w:color w:val="auto"/>
          <w:sz w:val="32"/>
          <w:szCs w:val="32"/>
          <w:highlight w:val="none"/>
        </w:rPr>
        <w:t>.7异常恶劣的气候条件</w:t>
      </w:r>
      <w:bookmarkEnd w:id="887"/>
      <w:bookmarkEnd w:id="888"/>
      <w:bookmarkEnd w:id="889"/>
      <w:bookmarkEnd w:id="890"/>
      <w:bookmarkEnd w:id="891"/>
      <w:bookmarkEnd w:id="892"/>
      <w:bookmarkEnd w:id="893"/>
      <w:bookmarkEnd w:id="894"/>
      <w:bookmarkEnd w:id="895"/>
    </w:p>
    <w:bookmarkEnd w:id="896"/>
    <w:bookmarkEnd w:id="897"/>
    <w:bookmarkEnd w:id="898"/>
    <w:bookmarkEnd w:id="899"/>
    <w:bookmarkEnd w:id="900"/>
    <w:bookmarkEnd w:id="901"/>
    <w:p w14:paraId="78F28510">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发包人和承包人同意以下情形视为异常恶劣的气候条件：</w:t>
      </w:r>
    </w:p>
    <w:p w14:paraId="234F7D13">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（1）</w:t>
      </w:r>
      <w:r>
        <w:rPr>
          <w:rFonts w:hint="eastAsia" w:ascii="宋体" w:hAnsi="宋体"/>
          <w:color w:val="auto"/>
          <w:szCs w:val="21"/>
          <w:highlight w:val="none"/>
          <w:u w:val="single"/>
        </w:rPr>
        <w:t xml:space="preserve">                      </w:t>
      </w:r>
      <w:r>
        <w:rPr>
          <w:rFonts w:ascii="宋体" w:hAnsi="宋体"/>
          <w:color w:val="auto"/>
          <w:szCs w:val="21"/>
          <w:highlight w:val="none"/>
        </w:rPr>
        <w:t>；</w:t>
      </w:r>
    </w:p>
    <w:p w14:paraId="65937F3D">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（2）</w:t>
      </w:r>
      <w:r>
        <w:rPr>
          <w:rFonts w:hint="eastAsia" w:ascii="宋体" w:hAnsi="宋体"/>
          <w:color w:val="auto"/>
          <w:szCs w:val="21"/>
          <w:highlight w:val="none"/>
          <w:u w:val="single"/>
        </w:rPr>
        <w:t xml:space="preserve">                      </w:t>
      </w:r>
      <w:r>
        <w:rPr>
          <w:rFonts w:ascii="宋体" w:hAnsi="宋体"/>
          <w:color w:val="auto"/>
          <w:szCs w:val="21"/>
          <w:highlight w:val="none"/>
        </w:rPr>
        <w:t>；</w:t>
      </w:r>
    </w:p>
    <w:p w14:paraId="080E1FA9">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（3）</w:t>
      </w:r>
      <w:r>
        <w:rPr>
          <w:rFonts w:hint="eastAsia" w:ascii="宋体" w:hAnsi="宋体"/>
          <w:color w:val="auto"/>
          <w:szCs w:val="21"/>
          <w:highlight w:val="none"/>
          <w:u w:val="single"/>
        </w:rPr>
        <w:t xml:space="preserve">                      </w:t>
      </w:r>
      <w:r>
        <w:rPr>
          <w:rFonts w:ascii="宋体" w:hAnsi="宋体"/>
          <w:color w:val="auto"/>
          <w:szCs w:val="21"/>
          <w:highlight w:val="none"/>
        </w:rPr>
        <w:t>。</w:t>
      </w:r>
    </w:p>
    <w:p w14:paraId="20808218">
      <w:pPr>
        <w:keepNext/>
        <w:keepLines/>
        <w:spacing w:before="260" w:after="260" w:line="360" w:lineRule="auto"/>
        <w:outlineLvl w:val="2"/>
        <w:rPr>
          <w:rFonts w:ascii="宋体" w:hAnsi="宋体"/>
          <w:b/>
          <w:bCs/>
          <w:color w:val="auto"/>
          <w:sz w:val="32"/>
          <w:szCs w:val="32"/>
          <w:highlight w:val="none"/>
        </w:rPr>
      </w:pPr>
      <w:bookmarkStart w:id="902" w:name="_Toc86935893"/>
      <w:bookmarkStart w:id="903" w:name="_Toc16815"/>
      <w:bookmarkStart w:id="904" w:name="_Toc373227730"/>
      <w:bookmarkStart w:id="905" w:name="_Toc508379743"/>
      <w:bookmarkStart w:id="906" w:name="_Toc495673408"/>
      <w:bookmarkStart w:id="907" w:name="_Toc407135232"/>
      <w:bookmarkStart w:id="908" w:name="_Toc389065296"/>
      <w:bookmarkStart w:id="909" w:name="_Toc373478377"/>
      <w:bookmarkStart w:id="910" w:name="_Toc6736"/>
      <w:r>
        <w:rPr>
          <w:rFonts w:ascii="宋体" w:hAnsi="宋体"/>
          <w:b/>
          <w:bCs/>
          <w:color w:val="auto"/>
          <w:sz w:val="32"/>
          <w:szCs w:val="32"/>
          <w:highlight w:val="none"/>
        </w:rPr>
        <w:t>7.9 提前竣工</w:t>
      </w:r>
      <w:bookmarkEnd w:id="902"/>
      <w:bookmarkEnd w:id="903"/>
      <w:bookmarkEnd w:id="904"/>
      <w:bookmarkEnd w:id="905"/>
      <w:bookmarkEnd w:id="906"/>
      <w:bookmarkEnd w:id="907"/>
      <w:bookmarkEnd w:id="908"/>
      <w:bookmarkEnd w:id="909"/>
      <w:bookmarkEnd w:id="910"/>
    </w:p>
    <w:p w14:paraId="57E3C668">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7.9.2提前竣工</w:t>
      </w:r>
      <w:r>
        <w:rPr>
          <w:rFonts w:hint="eastAsia" w:ascii="宋体" w:hAnsi="宋体"/>
          <w:color w:val="auto"/>
          <w:szCs w:val="21"/>
          <w:highlight w:val="none"/>
        </w:rPr>
        <w:t>（赶工）增加费</w:t>
      </w:r>
      <w:r>
        <w:rPr>
          <w:rFonts w:ascii="宋体" w:hAnsi="宋体"/>
          <w:color w:val="auto"/>
          <w:szCs w:val="21"/>
          <w:highlight w:val="none"/>
        </w:rPr>
        <w:t>的</w:t>
      </w:r>
      <w:r>
        <w:rPr>
          <w:rFonts w:hint="eastAsia" w:ascii="宋体" w:hAnsi="宋体"/>
          <w:color w:val="auto"/>
          <w:szCs w:val="21"/>
          <w:highlight w:val="none"/>
        </w:rPr>
        <w:t>计算方法</w:t>
      </w:r>
      <w:r>
        <w:rPr>
          <w:rFonts w:ascii="宋体" w:hAnsi="宋体"/>
          <w:color w:val="auto"/>
          <w:szCs w:val="21"/>
          <w:highlight w:val="none"/>
        </w:rPr>
        <w:t>：</w:t>
      </w:r>
      <w:r>
        <w:rPr>
          <w:rFonts w:hint="eastAsia" w:ascii="宋体" w:hAnsi="宋体"/>
          <w:color w:val="auto"/>
          <w:szCs w:val="21"/>
          <w:highlight w:val="none"/>
          <w:u w:val="single"/>
        </w:rPr>
        <w:t xml:space="preserve">    </w:t>
      </w:r>
      <w:r>
        <w:rPr>
          <w:rFonts w:hint="eastAsia" w:ascii="宋体" w:hAnsi="宋体"/>
          <w:color w:val="auto"/>
          <w:szCs w:val="21"/>
          <w:highlight w:val="none"/>
          <w:u w:val="single"/>
          <w:lang w:val="en-US" w:eastAsia="zh-CN"/>
        </w:rPr>
        <w:t>/</w:t>
      </w:r>
      <w:r>
        <w:rPr>
          <w:rFonts w:hint="eastAsia" w:ascii="宋体" w:hAnsi="宋体"/>
          <w:color w:val="auto"/>
          <w:szCs w:val="21"/>
          <w:highlight w:val="none"/>
          <w:u w:val="single"/>
        </w:rPr>
        <w:t xml:space="preserve">     </w:t>
      </w:r>
      <w:r>
        <w:rPr>
          <w:rFonts w:ascii="宋体" w:hAnsi="宋体"/>
          <w:color w:val="auto"/>
          <w:szCs w:val="21"/>
          <w:highlight w:val="none"/>
        </w:rPr>
        <w:t>。</w:t>
      </w:r>
    </w:p>
    <w:p w14:paraId="33E45B95">
      <w:pPr>
        <w:keepNext/>
        <w:keepLines/>
        <w:spacing w:before="260" w:after="260" w:line="360" w:lineRule="auto"/>
        <w:outlineLvl w:val="1"/>
        <w:rPr>
          <w:rFonts w:ascii="宋体" w:hAnsi="宋体"/>
          <w:b/>
          <w:bCs/>
          <w:color w:val="auto"/>
          <w:sz w:val="32"/>
          <w:szCs w:val="32"/>
          <w:highlight w:val="none"/>
        </w:rPr>
      </w:pPr>
      <w:bookmarkStart w:id="911" w:name="_Toc1868"/>
      <w:bookmarkStart w:id="912" w:name="_Toc373227731"/>
      <w:bookmarkStart w:id="913" w:name="_Toc495673409"/>
      <w:bookmarkStart w:id="914" w:name="_Toc351203640"/>
      <w:bookmarkStart w:id="915" w:name="_Toc6141"/>
      <w:bookmarkStart w:id="916" w:name="_Toc508379744"/>
      <w:bookmarkStart w:id="917" w:name="_Toc86935894"/>
      <w:bookmarkStart w:id="918" w:name="_Toc373478378"/>
      <w:bookmarkStart w:id="919" w:name="_Toc389065297"/>
      <w:bookmarkStart w:id="920" w:name="_Toc407135233"/>
      <w:r>
        <w:rPr>
          <w:rFonts w:ascii="宋体" w:hAnsi="宋体"/>
          <w:b/>
          <w:bCs/>
          <w:color w:val="auto"/>
          <w:sz w:val="32"/>
          <w:szCs w:val="32"/>
          <w:highlight w:val="none"/>
        </w:rPr>
        <w:t>8. 材料与设备</w:t>
      </w:r>
      <w:bookmarkEnd w:id="911"/>
      <w:bookmarkEnd w:id="912"/>
      <w:bookmarkEnd w:id="913"/>
      <w:bookmarkEnd w:id="914"/>
      <w:bookmarkEnd w:id="915"/>
      <w:bookmarkEnd w:id="916"/>
      <w:bookmarkEnd w:id="917"/>
      <w:bookmarkEnd w:id="918"/>
      <w:bookmarkEnd w:id="919"/>
      <w:bookmarkEnd w:id="920"/>
    </w:p>
    <w:bookmarkEnd w:id="730"/>
    <w:bookmarkEnd w:id="731"/>
    <w:bookmarkEnd w:id="732"/>
    <w:bookmarkEnd w:id="733"/>
    <w:bookmarkEnd w:id="734"/>
    <w:bookmarkEnd w:id="735"/>
    <w:bookmarkEnd w:id="736"/>
    <w:bookmarkEnd w:id="737"/>
    <w:bookmarkEnd w:id="738"/>
    <w:bookmarkEnd w:id="739"/>
    <w:p w14:paraId="696EC282">
      <w:pPr>
        <w:keepNext/>
        <w:keepLines/>
        <w:spacing w:before="260" w:after="260" w:line="360" w:lineRule="auto"/>
        <w:outlineLvl w:val="2"/>
        <w:rPr>
          <w:rFonts w:ascii="宋体" w:hAnsi="宋体"/>
          <w:b/>
          <w:bCs/>
          <w:color w:val="auto"/>
          <w:sz w:val="32"/>
          <w:szCs w:val="32"/>
          <w:highlight w:val="none"/>
        </w:rPr>
      </w:pPr>
      <w:bookmarkStart w:id="921" w:name="_Toc389065298"/>
      <w:bookmarkStart w:id="922" w:name="_Toc495673410"/>
      <w:bookmarkStart w:id="923" w:name="_Toc373478379"/>
      <w:bookmarkStart w:id="924" w:name="_Toc407135234"/>
      <w:bookmarkStart w:id="925" w:name="_Toc508379745"/>
      <w:bookmarkStart w:id="926" w:name="_Toc373227732"/>
      <w:bookmarkStart w:id="927" w:name="_Toc86935895"/>
      <w:bookmarkStart w:id="928" w:name="_Toc16312"/>
      <w:r>
        <w:rPr>
          <w:rFonts w:ascii="宋体" w:hAnsi="宋体"/>
          <w:b/>
          <w:bCs/>
          <w:color w:val="auto"/>
          <w:sz w:val="32"/>
          <w:szCs w:val="32"/>
          <w:highlight w:val="none"/>
        </w:rPr>
        <w:t>8.2承包人采购材料与工程设备</w:t>
      </w:r>
      <w:bookmarkEnd w:id="921"/>
      <w:bookmarkEnd w:id="922"/>
      <w:bookmarkEnd w:id="923"/>
      <w:bookmarkEnd w:id="924"/>
      <w:bookmarkEnd w:id="925"/>
      <w:bookmarkEnd w:id="926"/>
      <w:bookmarkEnd w:id="927"/>
      <w:bookmarkEnd w:id="928"/>
    </w:p>
    <w:p w14:paraId="3C478191">
      <w:pPr>
        <w:autoSpaceDE w:val="0"/>
        <w:autoSpaceDN w:val="0"/>
        <w:adjustRightInd w:val="0"/>
        <w:spacing w:line="360" w:lineRule="auto"/>
        <w:ind w:firstLine="420" w:firstLineChars="200"/>
        <w:jc w:val="left"/>
        <w:rPr>
          <w:rFonts w:ascii="宋体" w:hAnsi="宋体"/>
          <w:color w:val="auto"/>
          <w:szCs w:val="21"/>
          <w:highlight w:val="none"/>
        </w:rPr>
      </w:pPr>
      <w:r>
        <w:rPr>
          <w:rFonts w:ascii="宋体" w:hAnsi="宋体"/>
          <w:color w:val="auto"/>
          <w:kern w:val="0"/>
          <w:szCs w:val="22"/>
          <w:highlight w:val="none"/>
        </w:rPr>
        <w:t>除</w:t>
      </w:r>
      <w:r>
        <w:rPr>
          <w:rFonts w:hint="eastAsia" w:ascii="宋体" w:hAnsi="宋体"/>
          <w:color w:val="auto"/>
          <w:kern w:val="0"/>
          <w:szCs w:val="22"/>
          <w:highlight w:val="none"/>
        </w:rPr>
        <w:t>已标价工程量清单</w:t>
      </w:r>
      <w:r>
        <w:rPr>
          <w:rFonts w:ascii="宋体" w:hAnsi="宋体"/>
          <w:color w:val="auto"/>
          <w:kern w:val="0"/>
          <w:szCs w:val="22"/>
          <w:highlight w:val="none"/>
        </w:rPr>
        <w:t>《发包人</w:t>
      </w:r>
      <w:r>
        <w:rPr>
          <w:rFonts w:hint="eastAsia" w:ascii="宋体" w:hAnsi="宋体"/>
          <w:color w:val="auto"/>
          <w:kern w:val="0"/>
          <w:szCs w:val="22"/>
          <w:highlight w:val="none"/>
        </w:rPr>
        <w:t>提供主要</w:t>
      </w:r>
      <w:r>
        <w:rPr>
          <w:rFonts w:ascii="宋体" w:hAnsi="宋体"/>
          <w:color w:val="auto"/>
          <w:kern w:val="0"/>
          <w:szCs w:val="22"/>
          <w:highlight w:val="none"/>
        </w:rPr>
        <w:t>材料</w:t>
      </w:r>
      <w:r>
        <w:rPr>
          <w:rFonts w:hint="eastAsia" w:ascii="宋体" w:hAnsi="宋体"/>
          <w:color w:val="auto"/>
          <w:kern w:val="0"/>
          <w:szCs w:val="22"/>
          <w:highlight w:val="none"/>
        </w:rPr>
        <w:t>和工程</w:t>
      </w:r>
      <w:r>
        <w:rPr>
          <w:rFonts w:ascii="宋体" w:hAnsi="宋体"/>
          <w:color w:val="auto"/>
          <w:kern w:val="0"/>
          <w:szCs w:val="22"/>
          <w:highlight w:val="none"/>
        </w:rPr>
        <w:t>设备一览表》</w:t>
      </w:r>
      <w:r>
        <w:rPr>
          <w:rFonts w:hint="eastAsia" w:ascii="宋体" w:hAnsi="宋体"/>
          <w:color w:val="auto"/>
          <w:kern w:val="0"/>
          <w:szCs w:val="22"/>
          <w:highlight w:val="none"/>
        </w:rPr>
        <w:t>（表-21）</w:t>
      </w:r>
      <w:r>
        <w:rPr>
          <w:rFonts w:ascii="宋体" w:hAnsi="宋体"/>
          <w:color w:val="auto"/>
          <w:kern w:val="0"/>
          <w:szCs w:val="22"/>
          <w:highlight w:val="none"/>
        </w:rPr>
        <w:t>中明确的材料、工程设备外，由承包人负责材料和工程设备的采购、运输和保管。</w:t>
      </w:r>
      <w:r>
        <w:rPr>
          <w:rFonts w:hint="eastAsia" w:ascii="宋体" w:hAnsi="宋体"/>
          <w:color w:val="auto"/>
          <w:kern w:val="0"/>
          <w:szCs w:val="22"/>
          <w:highlight w:val="none"/>
        </w:rPr>
        <w:t>《</w:t>
      </w:r>
      <w:r>
        <w:rPr>
          <w:rFonts w:ascii="宋体" w:hAnsi="宋体"/>
          <w:color w:val="auto"/>
          <w:szCs w:val="22"/>
          <w:highlight w:val="none"/>
        </w:rPr>
        <w:t>承包人提供主要材料和工程设备一览表</w:t>
      </w:r>
      <w:r>
        <w:rPr>
          <w:rFonts w:hint="eastAsia" w:ascii="宋体" w:hAnsi="宋体"/>
          <w:color w:val="auto"/>
          <w:szCs w:val="22"/>
          <w:highlight w:val="none"/>
        </w:rPr>
        <w:t>》</w:t>
      </w:r>
      <w:r>
        <w:rPr>
          <w:rFonts w:hint="eastAsia" w:ascii="宋体" w:hAnsi="宋体"/>
          <w:color w:val="auto"/>
          <w:kern w:val="0"/>
          <w:szCs w:val="22"/>
          <w:highlight w:val="none"/>
        </w:rPr>
        <w:t>（表-22）见已标价工程量清单。</w:t>
      </w:r>
    </w:p>
    <w:p w14:paraId="56A7BAF5">
      <w:pPr>
        <w:keepNext/>
        <w:keepLines/>
        <w:spacing w:before="260" w:after="260" w:line="360" w:lineRule="auto"/>
        <w:outlineLvl w:val="2"/>
        <w:rPr>
          <w:rFonts w:ascii="宋体" w:hAnsi="宋体"/>
          <w:b/>
          <w:bCs/>
          <w:color w:val="auto"/>
          <w:sz w:val="32"/>
          <w:szCs w:val="32"/>
          <w:highlight w:val="none"/>
        </w:rPr>
      </w:pPr>
      <w:bookmarkStart w:id="929" w:name="_Toc389065299"/>
      <w:bookmarkStart w:id="930" w:name="_Toc373227733"/>
      <w:bookmarkStart w:id="931" w:name="_Toc6833"/>
      <w:bookmarkStart w:id="932" w:name="_Toc86935896"/>
      <w:bookmarkStart w:id="933" w:name="_Toc373478380"/>
      <w:bookmarkStart w:id="934" w:name="_Toc23952"/>
      <w:bookmarkStart w:id="935" w:name="_Toc508379746"/>
      <w:bookmarkStart w:id="936" w:name="_Toc495673411"/>
      <w:bookmarkStart w:id="937" w:name="_Toc407135235"/>
      <w:r>
        <w:rPr>
          <w:rFonts w:ascii="宋体" w:hAnsi="宋体"/>
          <w:b/>
          <w:bCs/>
          <w:color w:val="auto"/>
          <w:sz w:val="32"/>
          <w:szCs w:val="32"/>
          <w:highlight w:val="none"/>
        </w:rPr>
        <w:t>8</w:t>
      </w:r>
      <w:bookmarkStart w:id="938" w:name="_Toc300934979"/>
      <w:bookmarkStart w:id="939" w:name="_Toc296944506"/>
      <w:bookmarkStart w:id="940" w:name="_Toc297048353"/>
      <w:bookmarkStart w:id="941" w:name="_Toc296347166"/>
      <w:bookmarkStart w:id="942" w:name="_Toc296890995"/>
      <w:bookmarkStart w:id="943" w:name="_Toc297123527"/>
      <w:bookmarkStart w:id="944" w:name="_Toc296891207"/>
      <w:bookmarkStart w:id="945" w:name="_Toc297216186"/>
      <w:bookmarkStart w:id="946" w:name="_Toc312678019"/>
      <w:bookmarkStart w:id="947" w:name="_Toc297120467"/>
      <w:bookmarkStart w:id="948" w:name="_Toc303539136"/>
      <w:bookmarkStart w:id="949" w:name="_Toc280868654"/>
      <w:bookmarkStart w:id="950" w:name="_Toc296346668"/>
      <w:bookmarkStart w:id="951" w:name="_Toc292559372"/>
      <w:bookmarkStart w:id="952" w:name="_Toc312677493"/>
      <w:bookmarkStart w:id="953" w:name="_Toc292559877"/>
      <w:bookmarkStart w:id="954" w:name="_Toc304295556"/>
      <w:bookmarkStart w:id="955" w:name="_Toc296503167"/>
      <w:bookmarkStart w:id="956" w:name="_Toc280868655"/>
      <w:bookmarkStart w:id="957" w:name="_Toc267251424"/>
      <w:bookmarkStart w:id="958" w:name="_Toc280868656"/>
      <w:r>
        <w:rPr>
          <w:rFonts w:ascii="宋体" w:hAnsi="宋体"/>
          <w:b/>
          <w:bCs/>
          <w:color w:val="auto"/>
          <w:sz w:val="32"/>
          <w:szCs w:val="32"/>
          <w:highlight w:val="none"/>
        </w:rPr>
        <w:t>.4材料与工程设备的保管与使用</w:t>
      </w:r>
      <w:bookmarkEnd w:id="929"/>
      <w:bookmarkEnd w:id="930"/>
      <w:bookmarkEnd w:id="931"/>
      <w:bookmarkEnd w:id="932"/>
      <w:bookmarkEnd w:id="933"/>
      <w:bookmarkEnd w:id="934"/>
      <w:bookmarkEnd w:id="935"/>
      <w:bookmarkEnd w:id="936"/>
      <w:bookmarkEnd w:id="937"/>
    </w:p>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p w14:paraId="6D84E211">
      <w:pPr>
        <w:spacing w:line="360" w:lineRule="auto"/>
        <w:ind w:firstLine="420" w:firstLineChars="200"/>
        <w:jc w:val="left"/>
        <w:rPr>
          <w:rFonts w:ascii="宋体" w:hAnsi="宋体"/>
          <w:color w:val="auto"/>
          <w:szCs w:val="21"/>
          <w:highlight w:val="none"/>
          <w:u w:val="single"/>
        </w:rPr>
      </w:pPr>
      <w:r>
        <w:rPr>
          <w:rFonts w:ascii="宋体" w:hAnsi="宋体"/>
          <w:color w:val="auto"/>
          <w:szCs w:val="21"/>
          <w:highlight w:val="none"/>
        </w:rPr>
        <w:t>8</w:t>
      </w:r>
      <w:bookmarkStart w:id="959" w:name="_Toc292559878"/>
      <w:bookmarkStart w:id="960" w:name="_Toc292559373"/>
      <w:bookmarkStart w:id="961" w:name="_Toc312678020"/>
      <w:bookmarkStart w:id="962" w:name="_Toc318581173"/>
      <w:bookmarkStart w:id="963" w:name="_Toc296890996"/>
      <w:bookmarkStart w:id="964" w:name="_Toc296347167"/>
      <w:bookmarkStart w:id="965" w:name="_Toc297048354"/>
      <w:bookmarkStart w:id="966" w:name="_Toc296944507"/>
      <w:bookmarkStart w:id="967" w:name="_Toc304295557"/>
      <w:bookmarkStart w:id="968" w:name="_Toc297216187"/>
      <w:bookmarkStart w:id="969" w:name="_Toc296503168"/>
      <w:bookmarkStart w:id="970" w:name="_Toc300934980"/>
      <w:bookmarkStart w:id="971" w:name="_Toc296346669"/>
      <w:bookmarkStart w:id="972" w:name="_Toc312677494"/>
      <w:bookmarkStart w:id="973" w:name="_Toc297123528"/>
      <w:bookmarkStart w:id="974" w:name="_Toc296891208"/>
      <w:bookmarkStart w:id="975" w:name="_Toc297120468"/>
      <w:bookmarkStart w:id="976" w:name="_Toc303539137"/>
      <w:r>
        <w:rPr>
          <w:rFonts w:ascii="宋体" w:hAnsi="宋体"/>
          <w:color w:val="auto"/>
          <w:szCs w:val="21"/>
          <w:highlight w:val="none"/>
        </w:rPr>
        <w:t>.4.1发包人供应的材料设备的保管费用的承担：</w:t>
      </w:r>
      <w:r>
        <w:rPr>
          <w:rFonts w:hint="eastAsia" w:ascii="宋体" w:hAnsi="宋体"/>
          <w:color w:val="auto"/>
          <w:szCs w:val="21"/>
          <w:highlight w:val="none"/>
          <w:u w:val="single"/>
        </w:rPr>
        <w:t xml:space="preserve">  </w:t>
      </w:r>
      <w:r>
        <w:rPr>
          <w:rStyle w:val="35"/>
          <w:rFonts w:hint="eastAsia" w:ascii="宋体" w:hAnsi="宋体" w:eastAsia="宋体"/>
          <w:color w:val="auto"/>
          <w:highlight w:val="none"/>
          <w:u w:val="single"/>
        </w:rPr>
        <w:t>承包人负责</w:t>
      </w:r>
      <w:r>
        <w:rPr>
          <w:rFonts w:hint="eastAsia" w:ascii="宋体" w:hAnsi="宋体"/>
          <w:color w:val="auto"/>
          <w:szCs w:val="21"/>
          <w:highlight w:val="none"/>
          <w:u w:val="single"/>
        </w:rPr>
        <w:t xml:space="preserve">   </w:t>
      </w:r>
      <w:r>
        <w:rPr>
          <w:rFonts w:ascii="宋体" w:hAnsi="宋体"/>
          <w:color w:val="auto"/>
          <w:szCs w:val="21"/>
          <w:highlight w:val="none"/>
        </w:rPr>
        <w:t>。</w:t>
      </w:r>
    </w:p>
    <w:bookmarkEnd w:id="959"/>
    <w:bookmarkEnd w:id="960"/>
    <w:p w14:paraId="255DC382">
      <w:pPr>
        <w:keepNext/>
        <w:keepLines/>
        <w:spacing w:before="260" w:after="260" w:line="360" w:lineRule="auto"/>
        <w:outlineLvl w:val="2"/>
        <w:rPr>
          <w:rFonts w:ascii="宋体" w:hAnsi="宋体"/>
          <w:b/>
          <w:bCs/>
          <w:color w:val="auto"/>
          <w:sz w:val="32"/>
          <w:szCs w:val="32"/>
          <w:highlight w:val="none"/>
        </w:rPr>
      </w:pPr>
      <w:bookmarkStart w:id="977" w:name="_Toc86935897"/>
      <w:bookmarkStart w:id="978" w:name="_Toc407135236"/>
      <w:bookmarkStart w:id="979" w:name="_Toc13820"/>
      <w:bookmarkStart w:id="980" w:name="_Toc373227734"/>
      <w:bookmarkStart w:id="981" w:name="_Toc389065300"/>
      <w:bookmarkStart w:id="982" w:name="_Toc373478381"/>
      <w:bookmarkStart w:id="983" w:name="_Toc5206"/>
      <w:bookmarkStart w:id="984" w:name="_Toc508379747"/>
      <w:bookmarkStart w:id="985" w:name="_Toc495673412"/>
      <w:r>
        <w:rPr>
          <w:rFonts w:ascii="宋体" w:hAnsi="宋体"/>
          <w:b/>
          <w:bCs/>
          <w:color w:val="auto"/>
          <w:sz w:val="32"/>
          <w:szCs w:val="32"/>
          <w:highlight w:val="none"/>
        </w:rPr>
        <w:t>8.6 样品</w:t>
      </w:r>
      <w:bookmarkEnd w:id="977"/>
      <w:bookmarkEnd w:id="978"/>
      <w:bookmarkEnd w:id="979"/>
      <w:bookmarkEnd w:id="980"/>
      <w:bookmarkEnd w:id="981"/>
      <w:bookmarkEnd w:id="982"/>
      <w:bookmarkEnd w:id="983"/>
      <w:bookmarkEnd w:id="984"/>
      <w:bookmarkEnd w:id="985"/>
    </w:p>
    <w:p w14:paraId="241382B0">
      <w:pPr>
        <w:autoSpaceDE w:val="0"/>
        <w:autoSpaceDN w:val="0"/>
        <w:adjustRightInd w:val="0"/>
        <w:spacing w:line="360" w:lineRule="auto"/>
        <w:ind w:firstLine="420" w:firstLineChars="200"/>
        <w:jc w:val="left"/>
        <w:rPr>
          <w:rFonts w:ascii="宋体" w:hAnsi="宋体"/>
          <w:color w:val="auto"/>
          <w:kern w:val="0"/>
          <w:szCs w:val="21"/>
          <w:highlight w:val="none"/>
        </w:rPr>
      </w:pPr>
      <w:r>
        <w:rPr>
          <w:rFonts w:ascii="宋体" w:hAnsi="宋体"/>
          <w:color w:val="auto"/>
          <w:kern w:val="0"/>
          <w:szCs w:val="21"/>
          <w:highlight w:val="none"/>
        </w:rPr>
        <w:t>8.6.1样品的报送与封存</w:t>
      </w:r>
    </w:p>
    <w:p w14:paraId="58674E5D">
      <w:pPr>
        <w:autoSpaceDE w:val="0"/>
        <w:autoSpaceDN w:val="0"/>
        <w:adjustRightInd w:val="0"/>
        <w:spacing w:line="360" w:lineRule="auto"/>
        <w:ind w:firstLine="420" w:firstLineChars="200"/>
        <w:jc w:val="left"/>
        <w:rPr>
          <w:rFonts w:ascii="宋体" w:hAnsi="宋体"/>
          <w:color w:val="auto"/>
          <w:szCs w:val="21"/>
          <w:highlight w:val="none"/>
          <w:u w:val="single"/>
        </w:rPr>
      </w:pPr>
      <w:r>
        <w:rPr>
          <w:rFonts w:ascii="宋体" w:hAnsi="宋体"/>
          <w:color w:val="auto"/>
          <w:kern w:val="0"/>
          <w:szCs w:val="21"/>
          <w:highlight w:val="none"/>
        </w:rPr>
        <w:t>需要承包人报送样品的材料或工程设备，样品的种类、名称、规格、数量要求：</w:t>
      </w:r>
      <w:r>
        <w:rPr>
          <w:rFonts w:ascii="宋体" w:hAnsi="宋体"/>
          <w:color w:val="auto"/>
          <w:szCs w:val="21"/>
          <w:highlight w:val="none"/>
          <w:u w:val="single"/>
        </w:rPr>
        <w:t>主要材料涉及品种、款式、颜色等方面内容的，承包人应提交准备合格的材料样品送发包人选定。</w:t>
      </w:r>
    </w:p>
    <w:p w14:paraId="096D6D65">
      <w:pPr>
        <w:keepNext/>
        <w:keepLines/>
        <w:spacing w:before="260" w:after="260" w:line="360" w:lineRule="auto"/>
        <w:outlineLvl w:val="2"/>
        <w:rPr>
          <w:rFonts w:ascii="宋体" w:hAnsi="宋体"/>
          <w:b/>
          <w:bCs/>
          <w:color w:val="auto"/>
          <w:sz w:val="32"/>
          <w:szCs w:val="32"/>
          <w:highlight w:val="none"/>
        </w:rPr>
      </w:pPr>
      <w:bookmarkStart w:id="986" w:name="_Toc14187"/>
      <w:bookmarkStart w:id="987" w:name="_Toc407135237"/>
      <w:bookmarkStart w:id="988" w:name="_Toc373478382"/>
      <w:bookmarkStart w:id="989" w:name="_Toc373227735"/>
      <w:bookmarkStart w:id="990" w:name="_Toc389065301"/>
      <w:bookmarkStart w:id="991" w:name="_Toc19997"/>
      <w:bookmarkStart w:id="992" w:name="_Toc86935898"/>
      <w:bookmarkStart w:id="993" w:name="_Toc495673413"/>
      <w:bookmarkStart w:id="994" w:name="_Toc508379748"/>
      <w:r>
        <w:rPr>
          <w:rFonts w:ascii="宋体" w:hAnsi="宋体"/>
          <w:b/>
          <w:bCs/>
          <w:color w:val="auto"/>
          <w:sz w:val="32"/>
          <w:szCs w:val="32"/>
          <w:highlight w:val="none"/>
        </w:rPr>
        <w:t>8.8 施工设备和临时设施</w:t>
      </w:r>
      <w:bookmarkEnd w:id="986"/>
      <w:bookmarkEnd w:id="987"/>
      <w:bookmarkEnd w:id="988"/>
      <w:bookmarkEnd w:id="989"/>
      <w:bookmarkEnd w:id="990"/>
      <w:bookmarkEnd w:id="991"/>
      <w:bookmarkEnd w:id="992"/>
      <w:bookmarkEnd w:id="993"/>
      <w:bookmarkEnd w:id="994"/>
    </w:p>
    <w:p w14:paraId="5A3BE73E">
      <w:pPr>
        <w:autoSpaceDE w:val="0"/>
        <w:autoSpaceDN w:val="0"/>
        <w:adjustRightInd w:val="0"/>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8.8.1 承包人提供的施工设备和临时设施</w:t>
      </w:r>
    </w:p>
    <w:p w14:paraId="1F6C80EE">
      <w:pPr>
        <w:autoSpaceDE w:val="0"/>
        <w:autoSpaceDN w:val="0"/>
        <w:adjustRightInd w:val="0"/>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除专用合同条款另有约定的其他独立承包人和监理人指示的他人提供条件外，承包人运入施工场地的所有施工设备以及在施工场地建设的临时设施仅限于用于合同工程。</w:t>
      </w:r>
      <w:r>
        <w:rPr>
          <w:rFonts w:hint="eastAsia" w:ascii="宋体" w:hAnsi="宋体"/>
          <w:color w:val="auto"/>
          <w:szCs w:val="21"/>
          <w:highlight w:val="none"/>
        </w:rPr>
        <w:t>承包人用于本工程的主要机械设备清单见合同附件6。</w:t>
      </w:r>
    </w:p>
    <w:p w14:paraId="5EBC70E1">
      <w:pPr>
        <w:autoSpaceDE w:val="0"/>
        <w:autoSpaceDN w:val="0"/>
        <w:adjustRightInd w:val="0"/>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关于修建临时设施费用承担的约定：</w:t>
      </w:r>
    </w:p>
    <w:p w14:paraId="19219496">
      <w:pPr>
        <w:autoSpaceDE w:val="0"/>
        <w:autoSpaceDN w:val="0"/>
        <w:adjustRightInd w:val="0"/>
        <w:spacing w:line="360" w:lineRule="auto"/>
        <w:ind w:firstLine="420" w:firstLineChars="200"/>
        <w:jc w:val="left"/>
        <w:rPr>
          <w:rFonts w:ascii="宋体" w:hAnsi="宋体"/>
          <w:color w:val="auto"/>
          <w:szCs w:val="21"/>
          <w:highlight w:val="none"/>
          <w:u w:val="single"/>
        </w:rPr>
      </w:pPr>
      <w:r>
        <w:rPr>
          <w:rFonts w:ascii="宋体" w:hAnsi="宋体"/>
          <w:color w:val="auto"/>
          <w:szCs w:val="21"/>
          <w:highlight w:val="none"/>
          <w:u w:val="single"/>
        </w:rPr>
        <w:t>①承包人的临时用地（含项目部驻地等）租用费（含拆迁补偿）、临时用地的环保、恢复、临时用地的青苗补偿及地面附着物拆除等费用均由承包人负责，以上费用在投标报价中综合考虑。</w:t>
      </w:r>
    </w:p>
    <w:p w14:paraId="3C3DF641">
      <w:pPr>
        <w:autoSpaceDE w:val="0"/>
        <w:autoSpaceDN w:val="0"/>
        <w:adjustRightInd w:val="0"/>
        <w:spacing w:line="360" w:lineRule="auto"/>
        <w:ind w:firstLine="420" w:firstLineChars="200"/>
        <w:jc w:val="left"/>
        <w:rPr>
          <w:rFonts w:ascii="宋体" w:hAnsi="宋体"/>
          <w:color w:val="auto"/>
          <w:szCs w:val="21"/>
          <w:highlight w:val="none"/>
          <w:u w:val="single"/>
        </w:rPr>
      </w:pPr>
      <w:r>
        <w:rPr>
          <w:rFonts w:ascii="宋体" w:hAnsi="宋体"/>
          <w:color w:val="auto"/>
          <w:szCs w:val="21"/>
          <w:highlight w:val="none"/>
          <w:u w:val="single"/>
        </w:rPr>
        <w:t>②承包人负责合同实施期间其合同段内临时交通道路（含场内外连接公共交通道路）和交通设施的修建、维修、养护和交通管理工作，并承担一切费用。</w:t>
      </w:r>
    </w:p>
    <w:p w14:paraId="695A02E7">
      <w:pPr>
        <w:autoSpaceDE w:val="0"/>
        <w:autoSpaceDN w:val="0"/>
        <w:adjustRightInd w:val="0"/>
        <w:spacing w:line="360" w:lineRule="auto"/>
        <w:ind w:firstLine="420" w:firstLineChars="200"/>
        <w:jc w:val="left"/>
        <w:rPr>
          <w:rFonts w:ascii="宋体" w:hAnsi="宋体"/>
          <w:color w:val="auto"/>
          <w:szCs w:val="21"/>
          <w:highlight w:val="none"/>
          <w:u w:val="single"/>
        </w:rPr>
      </w:pPr>
      <w:r>
        <w:rPr>
          <w:rFonts w:ascii="宋体" w:hAnsi="宋体"/>
          <w:color w:val="auto"/>
          <w:szCs w:val="21"/>
          <w:highlight w:val="none"/>
          <w:u w:val="single"/>
        </w:rPr>
        <w:t>③承包人修建的临时道路和交通设施，应免费提供给发包人、监理工程师和其他合同段的承包人使用，如共同使用的路基损坏严重，发包人或监理工程师将负责通知有关承包人共同出资修复，若使用频率相差悬殊，则按比例分摊。</w:t>
      </w:r>
    </w:p>
    <w:p w14:paraId="0B9D1D36">
      <w:pPr>
        <w:autoSpaceDE w:val="0"/>
        <w:autoSpaceDN w:val="0"/>
        <w:adjustRightInd w:val="0"/>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8.8.2 发包人提供的施工设备和临时设施</w:t>
      </w:r>
    </w:p>
    <w:p w14:paraId="015BD4BB">
      <w:pPr>
        <w:autoSpaceDE w:val="0"/>
        <w:autoSpaceDN w:val="0"/>
        <w:adjustRightInd w:val="0"/>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发包人提供的施工设备和临时设施：</w:t>
      </w:r>
      <w:r>
        <w:rPr>
          <w:rFonts w:hint="eastAsia" w:ascii="宋体" w:hAnsi="宋体"/>
          <w:color w:val="auto"/>
          <w:szCs w:val="21"/>
          <w:highlight w:val="none"/>
          <w:u w:val="single"/>
        </w:rPr>
        <w:t xml:space="preserve">        </w:t>
      </w:r>
      <w:r>
        <w:rPr>
          <w:rFonts w:hint="eastAsia" w:ascii="宋体" w:hAnsi="宋体"/>
          <w:color w:val="auto"/>
          <w:szCs w:val="21"/>
          <w:highlight w:val="none"/>
          <w:u w:val="single"/>
          <w:lang w:val="en-US" w:eastAsia="zh-CN"/>
        </w:rPr>
        <w:t>/</w:t>
      </w:r>
      <w:r>
        <w:rPr>
          <w:rFonts w:hint="eastAsia" w:ascii="宋体" w:hAnsi="宋体"/>
          <w:color w:val="auto"/>
          <w:szCs w:val="21"/>
          <w:highlight w:val="none"/>
          <w:u w:val="single"/>
        </w:rPr>
        <w:t xml:space="preserve">              </w:t>
      </w:r>
      <w:r>
        <w:rPr>
          <w:rFonts w:ascii="宋体" w:hAnsi="宋体"/>
          <w:color w:val="auto"/>
          <w:szCs w:val="21"/>
          <w:highlight w:val="none"/>
        </w:rPr>
        <w:t>。</w:t>
      </w:r>
    </w:p>
    <w:p w14:paraId="553F4D0E">
      <w:pPr>
        <w:autoSpaceDE w:val="0"/>
        <w:autoSpaceDN w:val="0"/>
        <w:adjustRightInd w:val="0"/>
        <w:spacing w:line="360" w:lineRule="auto"/>
        <w:ind w:firstLine="420" w:firstLineChars="200"/>
        <w:rPr>
          <w:rFonts w:ascii="宋体" w:hAnsi="宋体"/>
          <w:color w:val="auto"/>
          <w:szCs w:val="21"/>
          <w:highlight w:val="none"/>
        </w:rPr>
      </w:pPr>
      <w:r>
        <w:rPr>
          <w:rFonts w:ascii="宋体" w:hAnsi="宋体"/>
          <w:color w:val="auto"/>
          <w:szCs w:val="21"/>
          <w:highlight w:val="none"/>
        </w:rPr>
        <w:t>发包人提供的施工设备和临时设施的运行、维护、拆除、清运费用的承担人：</w:t>
      </w:r>
      <w:r>
        <w:rPr>
          <w:rFonts w:hint="eastAsia" w:ascii="宋体" w:hAnsi="宋体"/>
          <w:color w:val="auto"/>
          <w:szCs w:val="21"/>
          <w:highlight w:val="none"/>
          <w:u w:val="single"/>
        </w:rPr>
        <w:t xml:space="preserve">    </w:t>
      </w:r>
      <w:r>
        <w:rPr>
          <w:rStyle w:val="35"/>
          <w:rFonts w:hint="eastAsia" w:ascii="宋体" w:hAnsi="宋体" w:eastAsia="宋体"/>
          <w:color w:val="auto"/>
          <w:highlight w:val="none"/>
          <w:u w:val="single"/>
        </w:rPr>
        <w:t>承包人</w:t>
      </w:r>
      <w:r>
        <w:rPr>
          <w:rFonts w:hint="eastAsia" w:ascii="宋体" w:hAnsi="宋体"/>
          <w:color w:val="auto"/>
          <w:szCs w:val="21"/>
          <w:highlight w:val="none"/>
          <w:u w:val="single"/>
        </w:rPr>
        <w:t xml:space="preserve">      </w:t>
      </w:r>
      <w:r>
        <w:rPr>
          <w:rFonts w:ascii="宋体" w:hAnsi="宋体"/>
          <w:color w:val="auto"/>
          <w:szCs w:val="21"/>
          <w:highlight w:val="none"/>
        </w:rPr>
        <w:t>。</w:t>
      </w:r>
    </w:p>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p w14:paraId="1449CB95">
      <w:pPr>
        <w:keepNext/>
        <w:keepLines/>
        <w:spacing w:before="260" w:after="260" w:line="360" w:lineRule="auto"/>
        <w:outlineLvl w:val="1"/>
        <w:rPr>
          <w:rFonts w:ascii="宋体" w:hAnsi="宋体"/>
          <w:b/>
          <w:bCs/>
          <w:color w:val="auto"/>
          <w:sz w:val="32"/>
          <w:szCs w:val="32"/>
          <w:highlight w:val="none"/>
        </w:rPr>
      </w:pPr>
      <w:bookmarkStart w:id="995" w:name="_Toc373478383"/>
      <w:bookmarkStart w:id="996" w:name="_Toc25584"/>
      <w:bookmarkStart w:id="997" w:name="_Toc407135238"/>
      <w:bookmarkStart w:id="998" w:name="_Toc508379749"/>
      <w:bookmarkStart w:id="999" w:name="_Toc29021"/>
      <w:bookmarkStart w:id="1000" w:name="_Toc389065302"/>
      <w:bookmarkStart w:id="1001" w:name="_Toc495673414"/>
      <w:bookmarkStart w:id="1002" w:name="_Toc373227736"/>
      <w:bookmarkStart w:id="1003" w:name="_Toc351203641"/>
      <w:bookmarkStart w:id="1004" w:name="_Toc86935899"/>
      <w:r>
        <w:rPr>
          <w:rFonts w:ascii="宋体" w:hAnsi="宋体"/>
          <w:b/>
          <w:bCs/>
          <w:color w:val="auto"/>
          <w:sz w:val="32"/>
          <w:szCs w:val="32"/>
          <w:highlight w:val="none"/>
        </w:rPr>
        <w:t>9</w:t>
      </w:r>
      <w:bookmarkEnd w:id="956"/>
      <w:bookmarkEnd w:id="957"/>
      <w:bookmarkEnd w:id="958"/>
      <w:bookmarkStart w:id="1005" w:name="_Toc303539139"/>
      <w:bookmarkStart w:id="1006" w:name="_Toc304295559"/>
      <w:bookmarkStart w:id="1007" w:name="_Toc297216192"/>
      <w:bookmarkStart w:id="1008" w:name="_Toc297123533"/>
      <w:bookmarkStart w:id="1009" w:name="_Toc300934982"/>
      <w:bookmarkStart w:id="1010" w:name="_Toc312677495"/>
      <w:bookmarkStart w:id="1011" w:name="_Toc312678021"/>
      <w:bookmarkStart w:id="1012" w:name="_Toc296944512"/>
      <w:bookmarkStart w:id="1013" w:name="_Toc267251427"/>
      <w:bookmarkStart w:id="1014" w:name="_Toc296503173"/>
      <w:bookmarkStart w:id="1015" w:name="_Toc296346674"/>
      <w:bookmarkStart w:id="1016" w:name="_Toc296891001"/>
      <w:bookmarkStart w:id="1017" w:name="_Toc297120473"/>
      <w:bookmarkStart w:id="1018" w:name="_Toc292559883"/>
      <w:bookmarkStart w:id="1019" w:name="_Toc292559378"/>
      <w:bookmarkStart w:id="1020" w:name="_Toc297048359"/>
      <w:bookmarkStart w:id="1021" w:name="_Toc296891213"/>
      <w:bookmarkStart w:id="1022" w:name="_Toc296347172"/>
      <w:bookmarkStart w:id="1023" w:name="_Toc267251428"/>
      <w:r>
        <w:rPr>
          <w:rFonts w:ascii="宋体" w:hAnsi="宋体"/>
          <w:b/>
          <w:bCs/>
          <w:color w:val="auto"/>
          <w:sz w:val="32"/>
          <w:szCs w:val="32"/>
          <w:highlight w:val="none"/>
        </w:rPr>
        <w:t>. 试验与检验</w:t>
      </w:r>
      <w:bookmarkEnd w:id="995"/>
      <w:bookmarkEnd w:id="996"/>
      <w:bookmarkEnd w:id="997"/>
      <w:bookmarkEnd w:id="998"/>
      <w:bookmarkEnd w:id="999"/>
      <w:bookmarkEnd w:id="1000"/>
      <w:bookmarkEnd w:id="1001"/>
      <w:bookmarkEnd w:id="1002"/>
      <w:bookmarkEnd w:id="1003"/>
      <w:bookmarkEnd w:id="1004"/>
    </w:p>
    <w:bookmarkEnd w:id="1005"/>
    <w:bookmarkEnd w:id="1006"/>
    <w:bookmarkEnd w:id="1007"/>
    <w:bookmarkEnd w:id="1008"/>
    <w:bookmarkEnd w:id="1009"/>
    <w:bookmarkEnd w:id="1010"/>
    <w:bookmarkEnd w:id="1011"/>
    <w:p w14:paraId="2C5B70FC">
      <w:pPr>
        <w:keepNext/>
        <w:keepLines/>
        <w:spacing w:before="260" w:after="260" w:line="360" w:lineRule="auto"/>
        <w:outlineLvl w:val="2"/>
        <w:rPr>
          <w:rFonts w:ascii="宋体" w:hAnsi="宋体"/>
          <w:b/>
          <w:bCs/>
          <w:color w:val="auto"/>
          <w:sz w:val="32"/>
          <w:szCs w:val="32"/>
          <w:highlight w:val="none"/>
        </w:rPr>
      </w:pPr>
      <w:bookmarkStart w:id="1024" w:name="_Toc407135239"/>
      <w:bookmarkStart w:id="1025" w:name="_Toc373478384"/>
      <w:bookmarkStart w:id="1026" w:name="_Toc373227737"/>
      <w:bookmarkStart w:id="1027" w:name="_Toc180"/>
      <w:bookmarkStart w:id="1028" w:name="_Toc508379750"/>
      <w:bookmarkStart w:id="1029" w:name="_Toc495673415"/>
      <w:bookmarkStart w:id="1030" w:name="_Toc86935900"/>
      <w:bookmarkStart w:id="1031" w:name="_Toc8249"/>
      <w:bookmarkStart w:id="1032" w:name="_Toc389065303"/>
      <w:r>
        <w:rPr>
          <w:rFonts w:ascii="宋体" w:hAnsi="宋体"/>
          <w:b/>
          <w:bCs/>
          <w:color w:val="auto"/>
          <w:sz w:val="32"/>
          <w:szCs w:val="32"/>
          <w:highlight w:val="none"/>
        </w:rPr>
        <w:t>9</w:t>
      </w:r>
      <w:bookmarkStart w:id="1033" w:name="_Toc312677496"/>
      <w:bookmarkStart w:id="1034" w:name="_Toc304295560"/>
      <w:bookmarkStart w:id="1035" w:name="_Toc297216193"/>
      <w:bookmarkStart w:id="1036" w:name="_Toc303539140"/>
      <w:bookmarkStart w:id="1037" w:name="_Toc297123534"/>
      <w:bookmarkStart w:id="1038" w:name="_Toc312678022"/>
      <w:bookmarkStart w:id="1039" w:name="_Toc300934983"/>
      <w:r>
        <w:rPr>
          <w:rFonts w:ascii="宋体" w:hAnsi="宋体"/>
          <w:b/>
          <w:bCs/>
          <w:color w:val="auto"/>
          <w:sz w:val="32"/>
          <w:szCs w:val="32"/>
          <w:highlight w:val="none"/>
        </w:rPr>
        <w:t>.1试验设备与试验人员</w:t>
      </w:r>
      <w:bookmarkEnd w:id="1024"/>
      <w:bookmarkEnd w:id="1025"/>
      <w:bookmarkEnd w:id="1026"/>
      <w:bookmarkEnd w:id="1027"/>
      <w:bookmarkEnd w:id="1028"/>
      <w:bookmarkEnd w:id="1029"/>
      <w:bookmarkEnd w:id="1030"/>
      <w:bookmarkEnd w:id="1031"/>
      <w:bookmarkEnd w:id="1032"/>
    </w:p>
    <w:bookmarkEnd w:id="1033"/>
    <w:bookmarkEnd w:id="1034"/>
    <w:bookmarkEnd w:id="1035"/>
    <w:bookmarkEnd w:id="1036"/>
    <w:bookmarkEnd w:id="1037"/>
    <w:bookmarkEnd w:id="1038"/>
    <w:bookmarkEnd w:id="1039"/>
    <w:p w14:paraId="09410ADC">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9</w:t>
      </w:r>
      <w:bookmarkStart w:id="1040" w:name="_Toc303539141"/>
      <w:bookmarkStart w:id="1041" w:name="_Toc304295561"/>
      <w:bookmarkStart w:id="1042" w:name="_Toc300934984"/>
      <w:bookmarkStart w:id="1043" w:name="_Toc297123535"/>
      <w:bookmarkStart w:id="1044" w:name="_Toc312677497"/>
      <w:bookmarkStart w:id="1045" w:name="_Toc297216194"/>
      <w:bookmarkStart w:id="1046" w:name="_Toc312678023"/>
      <w:bookmarkStart w:id="1047" w:name="_Toc318581174"/>
      <w:r>
        <w:rPr>
          <w:rFonts w:ascii="宋体" w:hAnsi="宋体"/>
          <w:color w:val="auto"/>
          <w:szCs w:val="21"/>
          <w:highlight w:val="none"/>
        </w:rPr>
        <w:t>.1.2 试验设备</w:t>
      </w:r>
    </w:p>
    <w:p w14:paraId="7B698D2E">
      <w:pPr>
        <w:spacing w:line="360" w:lineRule="auto"/>
        <w:ind w:firstLine="420" w:firstLineChars="200"/>
        <w:jc w:val="left"/>
        <w:rPr>
          <w:rFonts w:ascii="宋体" w:hAnsi="宋体"/>
          <w:color w:val="auto"/>
          <w:szCs w:val="21"/>
          <w:highlight w:val="none"/>
          <w:u w:val="single"/>
        </w:rPr>
      </w:pPr>
      <w:r>
        <w:rPr>
          <w:rFonts w:ascii="宋体" w:hAnsi="宋体"/>
          <w:color w:val="auto"/>
          <w:szCs w:val="21"/>
          <w:highlight w:val="none"/>
        </w:rPr>
        <w:t>施工现场需要配置的试验场所：</w:t>
      </w:r>
      <w:bookmarkEnd w:id="1040"/>
      <w:bookmarkEnd w:id="1041"/>
      <w:bookmarkEnd w:id="1042"/>
      <w:bookmarkEnd w:id="1043"/>
      <w:bookmarkEnd w:id="1044"/>
      <w:bookmarkEnd w:id="1045"/>
      <w:bookmarkEnd w:id="1046"/>
      <w:bookmarkStart w:id="1048" w:name="_Toc304295562"/>
      <w:bookmarkStart w:id="1049" w:name="_Toc297123536"/>
      <w:bookmarkStart w:id="1050" w:name="_Toc300934985"/>
      <w:bookmarkStart w:id="1051" w:name="_Toc297216195"/>
      <w:bookmarkStart w:id="1052" w:name="_Toc303539142"/>
      <w:bookmarkStart w:id="1053" w:name="_Toc312678024"/>
      <w:bookmarkStart w:id="1054" w:name="_Toc312677498"/>
      <w:r>
        <w:rPr>
          <w:rFonts w:hint="eastAsia" w:ascii="宋体" w:hAnsi="宋体"/>
          <w:color w:val="auto"/>
          <w:szCs w:val="21"/>
          <w:highlight w:val="none"/>
          <w:u w:val="single"/>
        </w:rPr>
        <w:t xml:space="preserve">                      </w:t>
      </w:r>
      <w:r>
        <w:rPr>
          <w:rFonts w:ascii="宋体" w:hAnsi="宋体"/>
          <w:color w:val="auto"/>
          <w:szCs w:val="21"/>
          <w:highlight w:val="none"/>
        </w:rPr>
        <w:t>。</w:t>
      </w:r>
    </w:p>
    <w:p w14:paraId="35E513F4">
      <w:pPr>
        <w:spacing w:line="360" w:lineRule="auto"/>
        <w:ind w:firstLine="420" w:firstLineChars="200"/>
        <w:jc w:val="left"/>
        <w:rPr>
          <w:rFonts w:ascii="宋体" w:hAnsi="宋体"/>
          <w:color w:val="auto"/>
          <w:szCs w:val="21"/>
          <w:highlight w:val="none"/>
          <w:u w:val="single"/>
        </w:rPr>
      </w:pPr>
      <w:r>
        <w:rPr>
          <w:rFonts w:ascii="宋体" w:hAnsi="宋体"/>
          <w:color w:val="auto"/>
          <w:szCs w:val="21"/>
          <w:highlight w:val="none"/>
        </w:rPr>
        <w:t>施工现场需要配备的试验设备：</w:t>
      </w:r>
      <w:r>
        <w:rPr>
          <w:rFonts w:hint="eastAsia" w:ascii="宋体" w:hAnsi="宋体"/>
          <w:color w:val="auto"/>
          <w:szCs w:val="21"/>
          <w:highlight w:val="none"/>
          <w:u w:val="single"/>
        </w:rPr>
        <w:t xml:space="preserve">                      </w:t>
      </w:r>
      <w:r>
        <w:rPr>
          <w:rFonts w:ascii="宋体" w:hAnsi="宋体"/>
          <w:color w:val="auto"/>
          <w:szCs w:val="21"/>
          <w:highlight w:val="none"/>
        </w:rPr>
        <w:t>。</w:t>
      </w:r>
    </w:p>
    <w:p w14:paraId="05800A22">
      <w:pPr>
        <w:spacing w:line="360" w:lineRule="auto"/>
        <w:ind w:firstLine="420" w:firstLineChars="200"/>
        <w:jc w:val="left"/>
        <w:rPr>
          <w:rFonts w:ascii="宋体" w:hAnsi="宋体"/>
          <w:color w:val="auto"/>
          <w:szCs w:val="21"/>
          <w:highlight w:val="none"/>
          <w:u w:val="single"/>
        </w:rPr>
      </w:pPr>
      <w:r>
        <w:rPr>
          <w:rFonts w:ascii="宋体" w:hAnsi="宋体"/>
          <w:color w:val="auto"/>
          <w:szCs w:val="21"/>
          <w:highlight w:val="none"/>
        </w:rPr>
        <w:t>施工现场需要具备的其他试验条件：</w:t>
      </w:r>
      <w:r>
        <w:rPr>
          <w:rFonts w:hint="eastAsia" w:ascii="宋体" w:hAnsi="宋体"/>
          <w:color w:val="auto"/>
          <w:szCs w:val="21"/>
          <w:highlight w:val="none"/>
          <w:u w:val="single"/>
        </w:rPr>
        <w:t xml:space="preserve">                      </w:t>
      </w:r>
      <w:r>
        <w:rPr>
          <w:rFonts w:ascii="宋体" w:hAnsi="宋体"/>
          <w:color w:val="auto"/>
          <w:szCs w:val="21"/>
          <w:highlight w:val="none"/>
        </w:rPr>
        <w:t>。</w:t>
      </w:r>
    </w:p>
    <w:p w14:paraId="23176584">
      <w:pPr>
        <w:keepNext/>
        <w:keepLines/>
        <w:spacing w:before="260" w:after="260" w:line="360" w:lineRule="auto"/>
        <w:outlineLvl w:val="2"/>
        <w:rPr>
          <w:rFonts w:ascii="宋体" w:hAnsi="宋体"/>
          <w:b/>
          <w:bCs/>
          <w:color w:val="auto"/>
          <w:sz w:val="32"/>
          <w:szCs w:val="32"/>
          <w:highlight w:val="none"/>
        </w:rPr>
      </w:pPr>
      <w:bookmarkStart w:id="1055" w:name="_Toc373227738"/>
      <w:bookmarkStart w:id="1056" w:name="_Toc508379751"/>
      <w:bookmarkStart w:id="1057" w:name="_Toc22687"/>
      <w:bookmarkStart w:id="1058" w:name="_Toc495673416"/>
      <w:bookmarkStart w:id="1059" w:name="_Toc389065304"/>
      <w:bookmarkStart w:id="1060" w:name="_Toc407135240"/>
      <w:bookmarkStart w:id="1061" w:name="_Toc30526"/>
      <w:bookmarkStart w:id="1062" w:name="_Toc86935901"/>
      <w:bookmarkStart w:id="1063" w:name="_Toc373478385"/>
      <w:r>
        <w:rPr>
          <w:rFonts w:ascii="宋体" w:hAnsi="宋体"/>
          <w:b/>
          <w:bCs/>
          <w:color w:val="auto"/>
          <w:sz w:val="32"/>
          <w:szCs w:val="32"/>
          <w:highlight w:val="none"/>
        </w:rPr>
        <w:t>9.4 现场工艺试验</w:t>
      </w:r>
      <w:bookmarkEnd w:id="1055"/>
      <w:bookmarkEnd w:id="1056"/>
      <w:bookmarkEnd w:id="1057"/>
      <w:bookmarkEnd w:id="1058"/>
      <w:bookmarkEnd w:id="1059"/>
      <w:bookmarkEnd w:id="1060"/>
      <w:bookmarkEnd w:id="1061"/>
      <w:bookmarkEnd w:id="1062"/>
      <w:bookmarkEnd w:id="1063"/>
    </w:p>
    <w:p w14:paraId="5483FFFB">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现场工艺试验的有关约定：</w:t>
      </w:r>
      <w:r>
        <w:rPr>
          <w:rFonts w:hint="eastAsia" w:ascii="宋体" w:hAnsi="宋体"/>
          <w:color w:val="auto"/>
          <w:szCs w:val="21"/>
          <w:highlight w:val="none"/>
          <w:u w:val="single"/>
        </w:rPr>
        <w:t xml:space="preserve">                      </w:t>
      </w:r>
      <w:r>
        <w:rPr>
          <w:rFonts w:ascii="宋体" w:hAnsi="宋体"/>
          <w:color w:val="auto"/>
          <w:szCs w:val="21"/>
          <w:highlight w:val="none"/>
        </w:rPr>
        <w:t>。</w:t>
      </w:r>
    </w:p>
    <w:p w14:paraId="29B86E6B">
      <w:pPr>
        <w:keepNext/>
        <w:keepLines/>
        <w:spacing w:before="260" w:after="260" w:line="360" w:lineRule="auto"/>
        <w:outlineLvl w:val="2"/>
        <w:rPr>
          <w:rFonts w:ascii="宋体" w:hAnsi="宋体"/>
          <w:b/>
          <w:bCs/>
          <w:color w:val="auto"/>
          <w:sz w:val="32"/>
          <w:szCs w:val="32"/>
          <w:highlight w:val="none"/>
        </w:rPr>
      </w:pPr>
      <w:bookmarkStart w:id="1064" w:name="_Toc495673417"/>
      <w:bookmarkStart w:id="1065" w:name="_Toc86935902"/>
      <w:bookmarkStart w:id="1066" w:name="_Toc11112"/>
      <w:bookmarkStart w:id="1067" w:name="_Toc407135241"/>
      <w:bookmarkStart w:id="1068" w:name="_Toc508379752"/>
      <w:bookmarkStart w:id="1069" w:name="_Toc6743"/>
      <w:r>
        <w:rPr>
          <w:rFonts w:ascii="宋体" w:hAnsi="宋体"/>
          <w:b/>
          <w:bCs/>
          <w:color w:val="auto"/>
          <w:sz w:val="32"/>
          <w:szCs w:val="32"/>
          <w:highlight w:val="none"/>
        </w:rPr>
        <w:t>9.5 检验费用</w:t>
      </w:r>
      <w:bookmarkEnd w:id="1064"/>
      <w:bookmarkEnd w:id="1065"/>
      <w:bookmarkEnd w:id="1066"/>
      <w:bookmarkEnd w:id="1067"/>
      <w:bookmarkEnd w:id="1068"/>
      <w:bookmarkEnd w:id="1069"/>
    </w:p>
    <w:p w14:paraId="6F7BB048">
      <w:pPr>
        <w:spacing w:line="360" w:lineRule="auto"/>
        <w:ind w:firstLine="411" w:firstLineChars="196"/>
        <w:rPr>
          <w:rFonts w:ascii="宋体" w:hAnsi="宋体"/>
          <w:color w:val="auto"/>
          <w:szCs w:val="21"/>
          <w:highlight w:val="none"/>
        </w:rPr>
      </w:pPr>
      <w:r>
        <w:rPr>
          <w:rFonts w:ascii="宋体" w:hAnsi="宋体"/>
          <w:color w:val="auto"/>
          <w:szCs w:val="21"/>
          <w:highlight w:val="none"/>
        </w:rPr>
        <w:t>根据《建设工程质量检测管理办法》（建设部令第141号）以及</w:t>
      </w:r>
      <w:r>
        <w:rPr>
          <w:rFonts w:ascii="宋体" w:hAnsi="宋体"/>
          <w:bCs/>
          <w:color w:val="auto"/>
          <w:szCs w:val="21"/>
          <w:highlight w:val="none"/>
        </w:rPr>
        <w:t>《广西壮族自治区建设工程质量检测管理规定》</w:t>
      </w:r>
      <w:r>
        <w:rPr>
          <w:rFonts w:hint="eastAsia" w:ascii="宋体" w:hAnsi="宋体"/>
          <w:bCs/>
          <w:color w:val="auto"/>
          <w:szCs w:val="21"/>
          <w:highlight w:val="none"/>
        </w:rPr>
        <w:t>（</w:t>
      </w:r>
      <w:r>
        <w:rPr>
          <w:rFonts w:ascii="宋体" w:hAnsi="宋体"/>
          <w:bCs/>
          <w:color w:val="auto"/>
          <w:szCs w:val="21"/>
          <w:highlight w:val="none"/>
        </w:rPr>
        <w:t>桂建管</w:t>
      </w:r>
      <w:r>
        <w:rPr>
          <w:rFonts w:hint="eastAsia" w:ascii="宋体" w:hAnsi="宋体"/>
          <w:bCs/>
          <w:color w:val="auto"/>
          <w:szCs w:val="21"/>
          <w:highlight w:val="none"/>
        </w:rPr>
        <w:t>〔</w:t>
      </w:r>
      <w:r>
        <w:rPr>
          <w:rFonts w:ascii="宋体" w:hAnsi="宋体"/>
          <w:bCs/>
          <w:color w:val="auto"/>
          <w:szCs w:val="21"/>
          <w:highlight w:val="none"/>
        </w:rPr>
        <w:t>2013</w:t>
      </w:r>
      <w:r>
        <w:rPr>
          <w:rFonts w:hint="eastAsia" w:ascii="宋体" w:hAnsi="宋体"/>
          <w:bCs/>
          <w:color w:val="auto"/>
          <w:szCs w:val="21"/>
          <w:highlight w:val="none"/>
        </w:rPr>
        <w:t>〕</w:t>
      </w:r>
      <w:r>
        <w:rPr>
          <w:rFonts w:ascii="宋体" w:hAnsi="宋体"/>
          <w:bCs/>
          <w:color w:val="auto"/>
          <w:szCs w:val="21"/>
          <w:highlight w:val="none"/>
        </w:rPr>
        <w:t>11号</w:t>
      </w:r>
      <w:r>
        <w:rPr>
          <w:rFonts w:hint="eastAsia" w:ascii="宋体" w:hAnsi="宋体"/>
          <w:bCs/>
          <w:color w:val="auto"/>
          <w:szCs w:val="21"/>
          <w:highlight w:val="none"/>
        </w:rPr>
        <w:t>）</w:t>
      </w:r>
      <w:r>
        <w:rPr>
          <w:rFonts w:ascii="宋体" w:hAnsi="宋体"/>
          <w:color w:val="auto"/>
          <w:szCs w:val="21"/>
          <w:highlight w:val="none"/>
        </w:rPr>
        <w:t>规定，工程质量检测业务由招标人委托有相应资质的检测机构检测。费用从招标人的项目建设经费中支出并直接支付给检测机构，不计入合同价款内。</w:t>
      </w:r>
    </w:p>
    <w:bookmarkEnd w:id="1047"/>
    <w:bookmarkEnd w:id="1048"/>
    <w:bookmarkEnd w:id="1049"/>
    <w:bookmarkEnd w:id="1050"/>
    <w:bookmarkEnd w:id="1051"/>
    <w:bookmarkEnd w:id="1052"/>
    <w:bookmarkEnd w:id="1053"/>
    <w:bookmarkEnd w:id="1054"/>
    <w:p w14:paraId="4F5F45A3">
      <w:pPr>
        <w:keepNext/>
        <w:keepLines/>
        <w:spacing w:before="260" w:after="260" w:line="360" w:lineRule="auto"/>
        <w:outlineLvl w:val="1"/>
        <w:rPr>
          <w:rFonts w:ascii="宋体" w:hAnsi="宋体"/>
          <w:b/>
          <w:bCs/>
          <w:color w:val="auto"/>
          <w:sz w:val="32"/>
          <w:szCs w:val="32"/>
          <w:highlight w:val="none"/>
        </w:rPr>
      </w:pPr>
      <w:bookmarkStart w:id="1070" w:name="_Toc32707"/>
      <w:bookmarkStart w:id="1071" w:name="_Toc86935903"/>
      <w:bookmarkStart w:id="1072" w:name="_Toc13282"/>
      <w:bookmarkStart w:id="1073" w:name="_Toc389065305"/>
      <w:bookmarkStart w:id="1074" w:name="_Toc508379753"/>
      <w:bookmarkStart w:id="1075" w:name="_Toc373478386"/>
      <w:bookmarkStart w:id="1076" w:name="_Toc373227739"/>
      <w:bookmarkStart w:id="1077" w:name="_Toc407135242"/>
      <w:bookmarkStart w:id="1078" w:name="_Toc495673418"/>
      <w:bookmarkStart w:id="1079" w:name="_Toc351203642"/>
      <w:r>
        <w:rPr>
          <w:rFonts w:ascii="宋体" w:hAnsi="宋体"/>
          <w:b/>
          <w:bCs/>
          <w:color w:val="auto"/>
          <w:sz w:val="32"/>
          <w:szCs w:val="32"/>
          <w:highlight w:val="none"/>
        </w:rPr>
        <w:t>1</w:t>
      </w:r>
      <w:bookmarkEnd w:id="1012"/>
      <w:bookmarkEnd w:id="1013"/>
      <w:bookmarkEnd w:id="1014"/>
      <w:bookmarkEnd w:id="1015"/>
      <w:bookmarkEnd w:id="1016"/>
      <w:bookmarkEnd w:id="1017"/>
      <w:bookmarkEnd w:id="1018"/>
      <w:bookmarkEnd w:id="1019"/>
      <w:bookmarkEnd w:id="1020"/>
      <w:bookmarkEnd w:id="1021"/>
      <w:bookmarkEnd w:id="1022"/>
      <w:bookmarkEnd w:id="1023"/>
      <w:bookmarkStart w:id="1080" w:name="_Toc296346694"/>
      <w:bookmarkStart w:id="1081" w:name="_Toc292559903"/>
      <w:bookmarkStart w:id="1082" w:name="_Toc297216199"/>
      <w:bookmarkStart w:id="1083" w:name="_Toc297123540"/>
      <w:bookmarkStart w:id="1084" w:name="_Toc292559398"/>
      <w:bookmarkStart w:id="1085" w:name="_Toc300934989"/>
      <w:bookmarkStart w:id="1086" w:name="_Toc296944532"/>
      <w:bookmarkStart w:id="1087" w:name="_Toc296891021"/>
      <w:bookmarkStart w:id="1088" w:name="_Toc297048379"/>
      <w:bookmarkStart w:id="1089" w:name="_Toc297120493"/>
      <w:bookmarkStart w:id="1090" w:name="_Toc296891233"/>
      <w:bookmarkStart w:id="1091" w:name="_Toc296503193"/>
      <w:bookmarkStart w:id="1092" w:name="_Toc303539146"/>
      <w:bookmarkStart w:id="1093" w:name="_Toc304295566"/>
      <w:bookmarkStart w:id="1094" w:name="_Toc296347192"/>
      <w:bookmarkStart w:id="1095" w:name="_Toc312677499"/>
      <w:bookmarkStart w:id="1096" w:name="_Toc312678025"/>
      <w:bookmarkStart w:id="1097" w:name="_Toc267251440"/>
      <w:bookmarkStart w:id="1098" w:name="_Toc267251433"/>
      <w:bookmarkStart w:id="1099" w:name="_Toc267251441"/>
      <w:bookmarkStart w:id="1100" w:name="_Toc267251439"/>
      <w:bookmarkStart w:id="1101" w:name="_Toc267251437"/>
      <w:bookmarkStart w:id="1102" w:name="_Toc267251435"/>
      <w:bookmarkStart w:id="1103" w:name="_Toc267251442"/>
      <w:r>
        <w:rPr>
          <w:rFonts w:ascii="宋体" w:hAnsi="宋体"/>
          <w:b/>
          <w:bCs/>
          <w:color w:val="auto"/>
          <w:sz w:val="32"/>
          <w:szCs w:val="32"/>
          <w:highlight w:val="none"/>
        </w:rPr>
        <w:t>0. 变更</w:t>
      </w:r>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p>
    <w:bookmarkEnd w:id="1095"/>
    <w:bookmarkEnd w:id="1096"/>
    <w:p w14:paraId="19C375DC">
      <w:pPr>
        <w:keepNext/>
        <w:keepLines/>
        <w:spacing w:before="260" w:after="260" w:line="360" w:lineRule="auto"/>
        <w:outlineLvl w:val="2"/>
        <w:rPr>
          <w:rFonts w:ascii="宋体" w:hAnsi="宋体"/>
          <w:b/>
          <w:bCs/>
          <w:color w:val="auto"/>
          <w:sz w:val="32"/>
          <w:szCs w:val="32"/>
          <w:highlight w:val="none"/>
        </w:rPr>
      </w:pPr>
      <w:bookmarkStart w:id="1104" w:name="_Toc86935904"/>
      <w:bookmarkStart w:id="1105" w:name="_Toc407135243"/>
      <w:bookmarkStart w:id="1106" w:name="_Toc373478387"/>
      <w:bookmarkStart w:id="1107" w:name="_Toc373227740"/>
      <w:bookmarkStart w:id="1108" w:name="_Toc508379754"/>
      <w:bookmarkStart w:id="1109" w:name="_Toc389065306"/>
      <w:bookmarkStart w:id="1110" w:name="_Toc495673419"/>
      <w:bookmarkStart w:id="1111" w:name="_Toc19911"/>
      <w:bookmarkStart w:id="1112" w:name="_Toc9894"/>
      <w:r>
        <w:rPr>
          <w:rFonts w:ascii="宋体" w:hAnsi="宋体"/>
          <w:b/>
          <w:bCs/>
          <w:color w:val="auto"/>
          <w:sz w:val="32"/>
          <w:szCs w:val="32"/>
          <w:highlight w:val="none"/>
        </w:rPr>
        <w:t>1</w:t>
      </w:r>
      <w:bookmarkStart w:id="1113" w:name="_Toc296944533"/>
      <w:bookmarkStart w:id="1114" w:name="_Toc296891234"/>
      <w:bookmarkStart w:id="1115" w:name="_Toc312677500"/>
      <w:bookmarkStart w:id="1116" w:name="_Toc300934990"/>
      <w:bookmarkStart w:id="1117" w:name="_Toc297120494"/>
      <w:bookmarkStart w:id="1118" w:name="_Toc292559904"/>
      <w:bookmarkStart w:id="1119" w:name="_Toc292559399"/>
      <w:bookmarkStart w:id="1120" w:name="_Toc296891022"/>
      <w:bookmarkStart w:id="1121" w:name="_Toc303539147"/>
      <w:bookmarkStart w:id="1122" w:name="_Toc296346695"/>
      <w:bookmarkStart w:id="1123" w:name="_Toc297048380"/>
      <w:bookmarkStart w:id="1124" w:name="_Toc296347193"/>
      <w:bookmarkStart w:id="1125" w:name="_Toc296503194"/>
      <w:bookmarkStart w:id="1126" w:name="_Toc297123541"/>
      <w:bookmarkStart w:id="1127" w:name="_Toc312678026"/>
      <w:bookmarkStart w:id="1128" w:name="_Toc304295567"/>
      <w:bookmarkStart w:id="1129" w:name="_Toc297216200"/>
      <w:r>
        <w:rPr>
          <w:rFonts w:ascii="宋体" w:hAnsi="宋体"/>
          <w:b/>
          <w:bCs/>
          <w:color w:val="auto"/>
          <w:sz w:val="32"/>
          <w:szCs w:val="32"/>
          <w:highlight w:val="none"/>
        </w:rPr>
        <w:t>0.1变更的范围</w:t>
      </w:r>
      <w:bookmarkEnd w:id="1104"/>
      <w:bookmarkEnd w:id="1105"/>
      <w:bookmarkEnd w:id="1106"/>
      <w:bookmarkEnd w:id="1107"/>
      <w:bookmarkEnd w:id="1108"/>
      <w:bookmarkEnd w:id="1109"/>
      <w:bookmarkEnd w:id="1110"/>
      <w:bookmarkEnd w:id="1111"/>
      <w:bookmarkEnd w:id="1112"/>
    </w:p>
    <w:p w14:paraId="69CF45EB">
      <w:pPr>
        <w:spacing w:line="360" w:lineRule="auto"/>
        <w:ind w:firstLine="426"/>
        <w:jc w:val="left"/>
        <w:rPr>
          <w:rFonts w:ascii="宋体" w:hAnsi="宋体"/>
          <w:color w:val="auto"/>
          <w:szCs w:val="21"/>
          <w:highlight w:val="none"/>
        </w:rPr>
      </w:pPr>
      <w:r>
        <w:rPr>
          <w:rFonts w:ascii="宋体" w:hAnsi="宋体"/>
          <w:color w:val="auto"/>
          <w:szCs w:val="21"/>
          <w:highlight w:val="none"/>
        </w:rPr>
        <w:t>关于变更的范围的约定：</w:t>
      </w:r>
      <w:r>
        <w:rPr>
          <w:rFonts w:hint="eastAsia" w:ascii="宋体" w:hAnsi="宋体"/>
          <w:color w:val="auto"/>
          <w:szCs w:val="21"/>
          <w:highlight w:val="none"/>
          <w:u w:val="single"/>
        </w:rPr>
        <w:t xml:space="preserve">                      </w:t>
      </w:r>
      <w:r>
        <w:rPr>
          <w:rFonts w:ascii="宋体" w:hAnsi="宋体"/>
          <w:color w:val="auto"/>
          <w:szCs w:val="21"/>
          <w:highlight w:val="none"/>
        </w:rPr>
        <w:t>。</w:t>
      </w:r>
    </w:p>
    <w:p w14:paraId="55DB55F7">
      <w:pPr>
        <w:keepNext/>
        <w:keepLines/>
        <w:spacing w:before="260" w:after="260" w:line="360" w:lineRule="auto"/>
        <w:outlineLvl w:val="2"/>
        <w:rPr>
          <w:rFonts w:ascii="宋体" w:hAnsi="宋体"/>
          <w:b/>
          <w:bCs/>
          <w:color w:val="auto"/>
          <w:sz w:val="32"/>
          <w:szCs w:val="32"/>
          <w:highlight w:val="none"/>
        </w:rPr>
      </w:pPr>
      <w:bookmarkStart w:id="1130" w:name="_Toc508379755"/>
      <w:bookmarkStart w:id="1131" w:name="_Toc373227741"/>
      <w:bookmarkStart w:id="1132" w:name="_Toc15789"/>
      <w:bookmarkStart w:id="1133" w:name="_Toc495673420"/>
      <w:bookmarkStart w:id="1134" w:name="_Toc389065307"/>
      <w:bookmarkStart w:id="1135" w:name="_Toc373478388"/>
      <w:bookmarkStart w:id="1136" w:name="_Toc407135244"/>
      <w:bookmarkStart w:id="1137" w:name="_Toc27026"/>
      <w:bookmarkStart w:id="1138" w:name="_Toc86935905"/>
      <w:r>
        <w:rPr>
          <w:rFonts w:ascii="宋体" w:hAnsi="宋体"/>
          <w:b/>
          <w:bCs/>
          <w:color w:val="auto"/>
          <w:sz w:val="32"/>
          <w:szCs w:val="32"/>
          <w:highlight w:val="none"/>
        </w:rPr>
        <w:t>10.3 变更程序</w:t>
      </w:r>
      <w:bookmarkEnd w:id="1130"/>
      <w:bookmarkEnd w:id="1131"/>
      <w:bookmarkEnd w:id="1132"/>
      <w:bookmarkEnd w:id="1133"/>
      <w:bookmarkEnd w:id="1134"/>
      <w:bookmarkEnd w:id="1135"/>
      <w:bookmarkEnd w:id="1136"/>
      <w:bookmarkEnd w:id="1137"/>
      <w:bookmarkEnd w:id="1138"/>
    </w:p>
    <w:p w14:paraId="6930CB65">
      <w:pPr>
        <w:spacing w:line="360" w:lineRule="auto"/>
        <w:ind w:firstLine="441" w:firstLineChars="210"/>
        <w:rPr>
          <w:rFonts w:ascii="宋体" w:hAnsi="宋体"/>
          <w:bCs/>
          <w:color w:val="auto"/>
          <w:szCs w:val="21"/>
          <w:highlight w:val="none"/>
        </w:rPr>
      </w:pPr>
      <w:r>
        <w:rPr>
          <w:rFonts w:ascii="宋体" w:hAnsi="宋体"/>
          <w:bCs/>
          <w:color w:val="auto"/>
          <w:szCs w:val="21"/>
          <w:highlight w:val="none"/>
        </w:rPr>
        <w:t>10.3.1国有投资项目：</w:t>
      </w:r>
    </w:p>
    <w:p w14:paraId="622D606E">
      <w:pPr>
        <w:spacing w:line="360" w:lineRule="auto"/>
        <w:ind w:firstLine="441" w:firstLineChars="210"/>
        <w:rPr>
          <w:rFonts w:ascii="宋体" w:hAnsi="宋体"/>
          <w:bCs/>
          <w:color w:val="auto"/>
          <w:szCs w:val="21"/>
          <w:highlight w:val="none"/>
        </w:rPr>
      </w:pPr>
      <w:r>
        <w:rPr>
          <w:rFonts w:ascii="宋体" w:hAnsi="宋体"/>
          <w:bCs/>
          <w:color w:val="auto"/>
          <w:szCs w:val="21"/>
          <w:highlight w:val="none"/>
        </w:rPr>
        <w:t>⑴设计变更和工程签证，按各市政府或相关部门的规定办理。属不可抗力（自然灾害、突发事件等）造成变更的，按特事特办原则予以办理。</w:t>
      </w:r>
    </w:p>
    <w:p w14:paraId="01F8C1C1">
      <w:pPr>
        <w:spacing w:line="360" w:lineRule="auto"/>
        <w:ind w:firstLine="441" w:firstLineChars="210"/>
        <w:rPr>
          <w:rFonts w:ascii="宋体" w:hAnsi="宋体"/>
          <w:bCs/>
          <w:color w:val="auto"/>
          <w:szCs w:val="21"/>
          <w:highlight w:val="none"/>
        </w:rPr>
      </w:pPr>
      <w:r>
        <w:rPr>
          <w:rFonts w:ascii="宋体" w:hAnsi="宋体"/>
          <w:bCs/>
          <w:color w:val="auto"/>
          <w:szCs w:val="21"/>
          <w:highlight w:val="none"/>
        </w:rPr>
        <w:t>⑵建设单位在实施项目过程中，若发生单价变动，由建设单位、监理单位、施工单位及其他相关单位共同商定并签字确认。</w:t>
      </w:r>
    </w:p>
    <w:p w14:paraId="79948A70">
      <w:pPr>
        <w:spacing w:line="360" w:lineRule="auto"/>
        <w:ind w:firstLine="420" w:firstLineChars="200"/>
        <w:jc w:val="left"/>
        <w:rPr>
          <w:rFonts w:ascii="宋体" w:hAnsi="宋体"/>
          <w:bCs/>
          <w:color w:val="auto"/>
          <w:szCs w:val="21"/>
          <w:highlight w:val="none"/>
        </w:rPr>
      </w:pPr>
      <w:r>
        <w:rPr>
          <w:rFonts w:ascii="宋体" w:hAnsi="宋体"/>
          <w:bCs/>
          <w:color w:val="auto"/>
          <w:szCs w:val="21"/>
          <w:highlight w:val="none"/>
        </w:rPr>
        <w:t>⑶ 当合同规定的合同价款调整情况发生后，承包人未在规定时间内通知发包人，或者未在规定时间内提出调整报告，发包人可以根据有关资料，决定是否调整和调整的金额，并书面通知承包人。</w:t>
      </w:r>
    </w:p>
    <w:p w14:paraId="5BB76B97">
      <w:pPr>
        <w:spacing w:line="360" w:lineRule="auto"/>
        <w:ind w:firstLine="420" w:firstLineChars="200"/>
        <w:jc w:val="left"/>
        <w:rPr>
          <w:rFonts w:ascii="宋体" w:hAnsi="宋体"/>
          <w:bCs/>
          <w:color w:val="auto"/>
          <w:szCs w:val="21"/>
          <w:highlight w:val="none"/>
        </w:rPr>
      </w:pPr>
      <w:r>
        <w:rPr>
          <w:rFonts w:ascii="宋体" w:hAnsi="宋体"/>
          <w:bCs/>
          <w:color w:val="auto"/>
          <w:szCs w:val="21"/>
          <w:highlight w:val="none"/>
        </w:rPr>
        <w:t>10.3.2非国有投资项目：</w:t>
      </w:r>
      <w:r>
        <w:rPr>
          <w:rFonts w:hint="eastAsia" w:ascii="宋体" w:hAnsi="宋体"/>
          <w:color w:val="auto"/>
          <w:szCs w:val="21"/>
          <w:highlight w:val="none"/>
          <w:u w:val="single"/>
        </w:rPr>
        <w:t xml:space="preserve">          </w:t>
      </w:r>
      <w:r>
        <w:rPr>
          <w:rFonts w:hint="eastAsia" w:ascii="宋体" w:hAnsi="宋体"/>
          <w:color w:val="auto"/>
          <w:szCs w:val="21"/>
          <w:highlight w:val="none"/>
          <w:u w:val="single"/>
          <w:lang w:val="en-US" w:eastAsia="zh-CN"/>
        </w:rPr>
        <w:t>/</w:t>
      </w:r>
      <w:r>
        <w:rPr>
          <w:rFonts w:hint="eastAsia" w:ascii="宋体" w:hAnsi="宋体"/>
          <w:color w:val="auto"/>
          <w:szCs w:val="21"/>
          <w:highlight w:val="none"/>
          <w:u w:val="single"/>
        </w:rPr>
        <w:t xml:space="preserve">            </w:t>
      </w:r>
      <w:r>
        <w:rPr>
          <w:rFonts w:ascii="宋体" w:hAnsi="宋体"/>
          <w:bCs/>
          <w:color w:val="auto"/>
          <w:szCs w:val="21"/>
          <w:highlight w:val="none"/>
        </w:rPr>
        <w:t>。</w:t>
      </w:r>
    </w:p>
    <w:p w14:paraId="71E7A5A6">
      <w:pPr>
        <w:keepNext/>
        <w:keepLines/>
        <w:spacing w:before="260" w:after="260" w:line="360" w:lineRule="auto"/>
        <w:outlineLvl w:val="2"/>
        <w:rPr>
          <w:rFonts w:ascii="宋体" w:hAnsi="宋体"/>
          <w:b/>
          <w:bCs/>
          <w:color w:val="auto"/>
          <w:sz w:val="32"/>
          <w:szCs w:val="32"/>
          <w:highlight w:val="none"/>
        </w:rPr>
      </w:pPr>
      <w:bookmarkStart w:id="1139" w:name="_Toc373478389"/>
      <w:bookmarkStart w:id="1140" w:name="_Toc508379756"/>
      <w:bookmarkStart w:id="1141" w:name="_Toc407135245"/>
      <w:bookmarkStart w:id="1142" w:name="_Toc389065308"/>
      <w:bookmarkStart w:id="1143" w:name="_Toc373227742"/>
      <w:bookmarkStart w:id="1144" w:name="_Toc17051"/>
      <w:bookmarkStart w:id="1145" w:name="_Toc495673421"/>
      <w:bookmarkStart w:id="1146" w:name="_Toc86935906"/>
      <w:bookmarkStart w:id="1147" w:name="_Toc11984"/>
      <w:r>
        <w:rPr>
          <w:rFonts w:ascii="宋体" w:hAnsi="宋体"/>
          <w:b/>
          <w:bCs/>
          <w:color w:val="auto"/>
          <w:sz w:val="32"/>
          <w:szCs w:val="32"/>
          <w:highlight w:val="none"/>
        </w:rPr>
        <w:t>10.4 变更估价</w:t>
      </w:r>
      <w:bookmarkEnd w:id="1139"/>
      <w:bookmarkEnd w:id="1140"/>
      <w:bookmarkEnd w:id="1141"/>
      <w:bookmarkEnd w:id="1142"/>
      <w:bookmarkEnd w:id="1143"/>
      <w:bookmarkEnd w:id="1144"/>
      <w:bookmarkEnd w:id="1145"/>
      <w:bookmarkEnd w:id="1146"/>
      <w:bookmarkEnd w:id="1147"/>
    </w:p>
    <w:p w14:paraId="010F348C">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10.4.1 变更估价原则</w:t>
      </w:r>
    </w:p>
    <w:p w14:paraId="1A9AAE71">
      <w:pPr>
        <w:spacing w:line="360" w:lineRule="auto"/>
        <w:ind w:firstLine="420" w:firstLineChars="200"/>
        <w:jc w:val="left"/>
        <w:rPr>
          <w:rFonts w:ascii="宋体" w:hAnsi="宋体"/>
          <w:color w:val="auto"/>
          <w:szCs w:val="21"/>
          <w:highlight w:val="none"/>
          <w:u w:val="single"/>
        </w:rPr>
      </w:pPr>
      <w:r>
        <w:rPr>
          <w:rFonts w:ascii="宋体" w:hAnsi="宋体"/>
          <w:color w:val="auto"/>
          <w:szCs w:val="21"/>
          <w:highlight w:val="none"/>
        </w:rPr>
        <w:t xml:space="preserve">关于变更估价的约定: </w:t>
      </w:r>
      <w:bookmarkStart w:id="1148" w:name="_Toc251051742"/>
      <w:r>
        <w:rPr>
          <w:rFonts w:ascii="宋体" w:hAnsi="宋体"/>
          <w:bCs/>
          <w:color w:val="auto"/>
          <w:szCs w:val="21"/>
          <w:highlight w:val="none"/>
          <w:u w:val="single"/>
        </w:rPr>
        <w:t>因设计变更、相关签证引起工程项目、工程量任何变化的，变更合同价款按下列方法进行：（1）合同中已有相同清单项目的，按合同该清单项目价格进行计算；（2）合同中只有类似清单项目的，参照该类似清单项目价格进行计算；（3）合同中没有适用或类似清单项目的价格计算方法：有定额的套定额，并</w:t>
      </w:r>
      <w:r>
        <w:rPr>
          <w:rFonts w:hint="eastAsia" w:ascii="宋体" w:hAnsi="宋体"/>
          <w:bCs/>
          <w:color w:val="auto"/>
          <w:szCs w:val="21"/>
          <w:highlight w:val="none"/>
          <w:u w:val="single"/>
        </w:rPr>
        <w:t>（</w:t>
      </w:r>
      <w:r>
        <w:rPr>
          <w:rFonts w:hint="eastAsia" w:ascii="宋体" w:hAnsi="宋体"/>
          <w:b/>
          <w:color w:val="auto"/>
          <w:szCs w:val="22"/>
          <w:highlight w:val="none"/>
        </w:rPr>
        <w:t>√</w:t>
      </w:r>
      <w:r>
        <w:rPr>
          <w:rFonts w:ascii="宋体" w:hAnsi="宋体"/>
          <w:bCs/>
          <w:color w:val="auto"/>
          <w:szCs w:val="21"/>
          <w:highlight w:val="none"/>
          <w:u w:val="single"/>
        </w:rPr>
        <w:t xml:space="preserve">乘以下浮系数    </w:t>
      </w:r>
      <w:r>
        <w:rPr>
          <w:rFonts w:hint="eastAsia" w:ascii="宋体" w:hAnsi="宋体"/>
          <w:bCs/>
          <w:color w:val="auto"/>
          <w:szCs w:val="21"/>
          <w:highlight w:val="none"/>
          <w:u w:val="single"/>
        </w:rPr>
        <w:t xml:space="preserve">  %，</w:t>
      </w:r>
      <w:r>
        <w:rPr>
          <w:rFonts w:hint="eastAsia" w:ascii="宋体" w:hAnsi="宋体"/>
          <w:b/>
          <w:color w:val="auto"/>
          <w:szCs w:val="22"/>
          <w:highlight w:val="none"/>
        </w:rPr>
        <w:t>□</w:t>
      </w:r>
      <w:r>
        <w:rPr>
          <w:rFonts w:hint="eastAsia" w:ascii="宋体" w:hAnsi="宋体"/>
          <w:bCs/>
          <w:color w:val="auto"/>
          <w:szCs w:val="21"/>
          <w:highlight w:val="none"/>
          <w:u w:val="single"/>
        </w:rPr>
        <w:t>不乘下浮系数）</w:t>
      </w:r>
      <w:r>
        <w:rPr>
          <w:rFonts w:ascii="宋体" w:hAnsi="宋体"/>
          <w:bCs/>
          <w:color w:val="auto"/>
          <w:szCs w:val="21"/>
          <w:highlight w:val="none"/>
          <w:u w:val="single"/>
        </w:rPr>
        <w:t>计算，其中材料价格按施工期间的《</w:t>
      </w:r>
      <w:r>
        <w:rPr>
          <w:rFonts w:hint="eastAsia" w:ascii="宋体" w:hAnsi="宋体"/>
          <w:bCs/>
          <w:color w:val="auto"/>
          <w:szCs w:val="21"/>
          <w:highlight w:val="none"/>
          <w:u w:val="single"/>
        </w:rPr>
        <w:t>贺州</w:t>
      </w:r>
      <w:r>
        <w:rPr>
          <w:rFonts w:ascii="宋体" w:hAnsi="宋体"/>
          <w:bCs/>
          <w:color w:val="auto"/>
          <w:szCs w:val="21"/>
          <w:highlight w:val="none"/>
          <w:u w:val="single"/>
        </w:rPr>
        <w:t>市建设工程造价信息》相应价格信息进行计算；《</w:t>
      </w:r>
      <w:r>
        <w:rPr>
          <w:rFonts w:hint="eastAsia" w:ascii="宋体" w:hAnsi="宋体"/>
          <w:bCs/>
          <w:color w:val="auto"/>
          <w:szCs w:val="21"/>
          <w:highlight w:val="none"/>
          <w:u w:val="single"/>
        </w:rPr>
        <w:t>贺州</w:t>
      </w:r>
      <w:r>
        <w:rPr>
          <w:rFonts w:ascii="宋体" w:hAnsi="宋体"/>
          <w:bCs/>
          <w:color w:val="auto"/>
          <w:szCs w:val="21"/>
          <w:highlight w:val="none"/>
          <w:u w:val="single"/>
        </w:rPr>
        <w:t xml:space="preserve"> 市建设工程造价信息》没有相应价格信息的按市场价计算；无定额可套的，根据市场价格协商确定综合价格；对于</w:t>
      </w:r>
      <w:r>
        <w:rPr>
          <w:rFonts w:hint="eastAsia" w:ascii="宋体" w:hAnsi="宋体"/>
          <w:bCs/>
          <w:color w:val="auto"/>
          <w:szCs w:val="21"/>
          <w:highlight w:val="none"/>
          <w:u w:val="single"/>
        </w:rPr>
        <w:t>政府及</w:t>
      </w:r>
      <w:r>
        <w:rPr>
          <w:rFonts w:ascii="宋体" w:hAnsi="宋体"/>
          <w:bCs/>
          <w:color w:val="auto"/>
          <w:szCs w:val="21"/>
          <w:highlight w:val="none"/>
          <w:u w:val="single"/>
        </w:rPr>
        <w:t>国有资</w:t>
      </w:r>
      <w:r>
        <w:rPr>
          <w:rFonts w:hint="eastAsia" w:ascii="宋体" w:hAnsi="宋体"/>
          <w:bCs/>
          <w:color w:val="auto"/>
          <w:szCs w:val="21"/>
          <w:highlight w:val="none"/>
          <w:u w:val="single"/>
        </w:rPr>
        <w:t>金</w:t>
      </w:r>
      <w:r>
        <w:rPr>
          <w:rFonts w:ascii="宋体" w:hAnsi="宋体"/>
          <w:bCs/>
          <w:color w:val="auto"/>
          <w:szCs w:val="21"/>
          <w:highlight w:val="none"/>
          <w:u w:val="single"/>
        </w:rPr>
        <w:t>投资的项目，新增项目的单价必须经             审定</w:t>
      </w:r>
      <w:bookmarkEnd w:id="1148"/>
      <w:r>
        <w:rPr>
          <w:rFonts w:ascii="宋体" w:hAnsi="宋体"/>
          <w:color w:val="auto"/>
          <w:szCs w:val="21"/>
          <w:highlight w:val="none"/>
        </w:rPr>
        <w:t>。</w:t>
      </w:r>
      <w:r>
        <w:rPr>
          <w:rFonts w:hint="eastAsia" w:ascii="宋体" w:hAnsi="宋体"/>
          <w:color w:val="auto"/>
          <w:szCs w:val="21"/>
          <w:highlight w:val="none"/>
        </w:rPr>
        <w:t>（下浮系数=中标价/招标控制价）</w:t>
      </w:r>
    </w:p>
    <w:p w14:paraId="672DDA07">
      <w:pPr>
        <w:keepNext/>
        <w:keepLines/>
        <w:spacing w:before="260" w:after="260" w:line="360" w:lineRule="auto"/>
        <w:outlineLvl w:val="2"/>
        <w:rPr>
          <w:rFonts w:ascii="宋体" w:hAnsi="宋体"/>
          <w:b/>
          <w:bCs/>
          <w:color w:val="auto"/>
          <w:sz w:val="32"/>
          <w:szCs w:val="32"/>
          <w:highlight w:val="none"/>
        </w:rPr>
      </w:pPr>
      <w:bookmarkStart w:id="1149" w:name="_Toc508379757"/>
      <w:bookmarkStart w:id="1150" w:name="_Toc373227743"/>
      <w:bookmarkStart w:id="1151" w:name="_Toc407135246"/>
      <w:bookmarkStart w:id="1152" w:name="_Toc389065309"/>
      <w:bookmarkStart w:id="1153" w:name="_Toc86935907"/>
      <w:bookmarkStart w:id="1154" w:name="_Toc14446"/>
      <w:bookmarkStart w:id="1155" w:name="_Toc495673422"/>
      <w:bookmarkStart w:id="1156" w:name="_Toc373478390"/>
      <w:r>
        <w:rPr>
          <w:rFonts w:ascii="宋体" w:hAnsi="宋体"/>
          <w:b/>
          <w:bCs/>
          <w:color w:val="auto"/>
          <w:sz w:val="32"/>
          <w:szCs w:val="32"/>
          <w:highlight w:val="none"/>
        </w:rPr>
        <w:t>1</w:t>
      </w:r>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Start w:id="1157" w:name="_Toc300934993"/>
      <w:bookmarkStart w:id="1158" w:name="_Toc292559907"/>
      <w:bookmarkStart w:id="1159" w:name="_Toc296891237"/>
      <w:bookmarkStart w:id="1160" w:name="_Toc296503197"/>
      <w:bookmarkStart w:id="1161" w:name="_Toc296891025"/>
      <w:bookmarkStart w:id="1162" w:name="_Toc292559402"/>
      <w:bookmarkStart w:id="1163" w:name="_Toc297048383"/>
      <w:bookmarkStart w:id="1164" w:name="_Toc297120497"/>
      <w:bookmarkStart w:id="1165" w:name="_Toc303539150"/>
      <w:bookmarkStart w:id="1166" w:name="_Toc297216203"/>
      <w:bookmarkStart w:id="1167" w:name="_Toc296346698"/>
      <w:bookmarkStart w:id="1168" w:name="_Toc296347196"/>
      <w:bookmarkStart w:id="1169" w:name="_Toc297123544"/>
      <w:bookmarkStart w:id="1170" w:name="_Toc296944536"/>
      <w:bookmarkStart w:id="1171" w:name="_Toc304295570"/>
      <w:bookmarkStart w:id="1172" w:name="_Toc312678029"/>
      <w:bookmarkStart w:id="1173" w:name="_Toc312677503"/>
      <w:r>
        <w:rPr>
          <w:rFonts w:ascii="宋体" w:hAnsi="宋体"/>
          <w:b/>
          <w:bCs/>
          <w:color w:val="auto"/>
          <w:sz w:val="32"/>
          <w:szCs w:val="32"/>
          <w:highlight w:val="none"/>
        </w:rPr>
        <w:t>0.5承</w:t>
      </w:r>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Start w:id="1174" w:name="_Toc297120503"/>
      <w:bookmarkStart w:id="1175" w:name="_Toc297123545"/>
      <w:bookmarkStart w:id="1176" w:name="_Toc292559913"/>
      <w:bookmarkStart w:id="1177" w:name="_Toc292559408"/>
      <w:bookmarkStart w:id="1178" w:name="_Toc297048389"/>
      <w:bookmarkStart w:id="1179" w:name="_Toc296503203"/>
      <w:bookmarkStart w:id="1180" w:name="_Toc296944542"/>
      <w:bookmarkStart w:id="1181" w:name="_Toc303539151"/>
      <w:bookmarkStart w:id="1182" w:name="_Toc296347202"/>
      <w:bookmarkStart w:id="1183" w:name="_Toc296346704"/>
      <w:bookmarkStart w:id="1184" w:name="_Toc300934994"/>
      <w:bookmarkStart w:id="1185" w:name="_Toc296891243"/>
      <w:bookmarkStart w:id="1186" w:name="_Toc296891031"/>
      <w:bookmarkStart w:id="1187" w:name="_Toc297216204"/>
      <w:r>
        <w:rPr>
          <w:rFonts w:ascii="宋体" w:hAnsi="宋体"/>
          <w:b/>
          <w:bCs/>
          <w:color w:val="auto"/>
          <w:sz w:val="32"/>
          <w:szCs w:val="32"/>
          <w:highlight w:val="none"/>
        </w:rPr>
        <w:t>包人的合理化建议</w:t>
      </w:r>
      <w:bookmarkEnd w:id="1149"/>
      <w:bookmarkEnd w:id="1150"/>
      <w:bookmarkEnd w:id="1151"/>
      <w:bookmarkEnd w:id="1152"/>
      <w:bookmarkEnd w:id="1153"/>
      <w:bookmarkEnd w:id="1154"/>
      <w:bookmarkEnd w:id="1155"/>
      <w:bookmarkEnd w:id="1156"/>
    </w:p>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p w14:paraId="1403A563">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监理人审查承包人合理化建议的期限：</w:t>
      </w:r>
      <w:r>
        <w:rPr>
          <w:rFonts w:hint="eastAsia" w:ascii="宋体" w:hAnsi="宋体"/>
          <w:color w:val="auto"/>
          <w:szCs w:val="21"/>
          <w:highlight w:val="none"/>
          <w:u w:val="single"/>
        </w:rPr>
        <w:t xml:space="preserve">                      </w:t>
      </w:r>
      <w:r>
        <w:rPr>
          <w:rFonts w:ascii="宋体" w:hAnsi="宋体"/>
          <w:color w:val="auto"/>
          <w:szCs w:val="21"/>
          <w:highlight w:val="none"/>
        </w:rPr>
        <w:t>。</w:t>
      </w:r>
    </w:p>
    <w:p w14:paraId="43CC88BE">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发包人审批承包人合理化建议的期限：</w:t>
      </w:r>
      <w:r>
        <w:rPr>
          <w:rFonts w:hint="eastAsia" w:ascii="宋体" w:hAnsi="宋体"/>
          <w:color w:val="auto"/>
          <w:szCs w:val="21"/>
          <w:highlight w:val="none"/>
          <w:u w:val="single"/>
        </w:rPr>
        <w:t xml:space="preserve">                      </w:t>
      </w:r>
      <w:r>
        <w:rPr>
          <w:rFonts w:ascii="宋体" w:hAnsi="宋体"/>
          <w:color w:val="auto"/>
          <w:szCs w:val="21"/>
          <w:highlight w:val="none"/>
        </w:rPr>
        <w:t>。</w:t>
      </w:r>
    </w:p>
    <w:p w14:paraId="0522133E">
      <w:pPr>
        <w:spacing w:line="360" w:lineRule="auto"/>
        <w:ind w:firstLine="420" w:firstLineChars="200"/>
        <w:jc w:val="left"/>
        <w:rPr>
          <w:rFonts w:ascii="宋体" w:hAnsi="宋体"/>
          <w:color w:val="auto"/>
          <w:szCs w:val="21"/>
          <w:highlight w:val="none"/>
          <w:u w:val="single"/>
        </w:rPr>
      </w:pPr>
      <w:r>
        <w:rPr>
          <w:rFonts w:ascii="宋体" w:hAnsi="宋体"/>
          <w:color w:val="auto"/>
          <w:szCs w:val="21"/>
          <w:highlight w:val="none"/>
        </w:rPr>
        <w:t>承</w:t>
      </w:r>
      <w:bookmarkStart w:id="1188" w:name="_Toc312677504"/>
      <w:bookmarkStart w:id="1189" w:name="_Toc297120504"/>
      <w:bookmarkStart w:id="1190" w:name="_Toc318581175"/>
      <w:bookmarkStart w:id="1191" w:name="_Toc292559914"/>
      <w:bookmarkStart w:id="1192" w:name="_Toc300934995"/>
      <w:bookmarkStart w:id="1193" w:name="_Toc296346705"/>
      <w:bookmarkStart w:id="1194" w:name="_Toc297216205"/>
      <w:bookmarkStart w:id="1195" w:name="_Toc292559409"/>
      <w:bookmarkStart w:id="1196" w:name="_Toc296347203"/>
      <w:bookmarkStart w:id="1197" w:name="_Toc312678030"/>
      <w:bookmarkStart w:id="1198" w:name="_Toc297123546"/>
      <w:bookmarkStart w:id="1199" w:name="_Toc303539152"/>
      <w:bookmarkStart w:id="1200" w:name="_Toc304295571"/>
      <w:bookmarkStart w:id="1201" w:name="_Toc296891244"/>
      <w:bookmarkStart w:id="1202" w:name="_Toc296891032"/>
      <w:bookmarkStart w:id="1203" w:name="_Toc296944543"/>
      <w:bookmarkStart w:id="1204" w:name="_Toc297048390"/>
      <w:bookmarkStart w:id="1205" w:name="_Toc296503204"/>
      <w:r>
        <w:rPr>
          <w:rFonts w:ascii="宋体" w:hAnsi="宋体"/>
          <w:color w:val="auto"/>
          <w:szCs w:val="21"/>
          <w:highlight w:val="none"/>
        </w:rPr>
        <w:t>包人提出的合理化建议降低了合同价格或者提高了工程经济效益的奖励的方法和金额为：</w:t>
      </w:r>
      <w:r>
        <w:rPr>
          <w:rFonts w:hint="eastAsia" w:ascii="宋体" w:hAnsi="宋体"/>
          <w:color w:val="auto"/>
          <w:szCs w:val="21"/>
          <w:highlight w:val="none"/>
          <w:u w:val="single"/>
        </w:rPr>
        <w:t xml:space="preserve">         </w:t>
      </w:r>
      <w:r>
        <w:rPr>
          <w:rFonts w:hint="eastAsia" w:ascii="宋体" w:hAnsi="宋体"/>
          <w:color w:val="auto"/>
          <w:szCs w:val="21"/>
          <w:highlight w:val="none"/>
          <w:u w:val="single"/>
          <w:lang w:val="en-US" w:eastAsia="zh-CN"/>
        </w:rPr>
        <w:t>/</w:t>
      </w:r>
      <w:r>
        <w:rPr>
          <w:rFonts w:hint="eastAsia" w:ascii="宋体" w:hAnsi="宋体"/>
          <w:color w:val="auto"/>
          <w:szCs w:val="21"/>
          <w:highlight w:val="none"/>
          <w:u w:val="single"/>
        </w:rPr>
        <w:t xml:space="preserve">             </w:t>
      </w:r>
      <w:r>
        <w:rPr>
          <w:rFonts w:ascii="宋体" w:hAnsi="宋体"/>
          <w:color w:val="auto"/>
          <w:szCs w:val="21"/>
          <w:highlight w:val="none"/>
        </w:rPr>
        <w:t>。</w:t>
      </w:r>
    </w:p>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p w14:paraId="00333B32">
      <w:pPr>
        <w:keepNext/>
        <w:keepLines/>
        <w:spacing w:before="260" w:after="260" w:line="360" w:lineRule="auto"/>
        <w:outlineLvl w:val="2"/>
        <w:rPr>
          <w:rFonts w:ascii="宋体" w:hAnsi="宋体"/>
          <w:b/>
          <w:bCs/>
          <w:color w:val="auto"/>
          <w:sz w:val="32"/>
          <w:szCs w:val="32"/>
          <w:highlight w:val="none"/>
        </w:rPr>
      </w:pPr>
      <w:bookmarkStart w:id="1206" w:name="_Toc407135247"/>
      <w:bookmarkStart w:id="1207" w:name="_Toc389065310"/>
      <w:bookmarkStart w:id="1208" w:name="_Toc495673423"/>
      <w:bookmarkStart w:id="1209" w:name="_Toc417"/>
      <w:bookmarkStart w:id="1210" w:name="_Toc10059"/>
      <w:bookmarkStart w:id="1211" w:name="_Toc373478391"/>
      <w:bookmarkStart w:id="1212" w:name="_Toc373227744"/>
      <w:bookmarkStart w:id="1213" w:name="_Toc508379758"/>
      <w:bookmarkStart w:id="1214" w:name="_Toc86935908"/>
      <w:r>
        <w:rPr>
          <w:rFonts w:ascii="宋体" w:hAnsi="宋体"/>
          <w:b/>
          <w:bCs/>
          <w:color w:val="auto"/>
          <w:sz w:val="32"/>
          <w:szCs w:val="32"/>
          <w:highlight w:val="none"/>
        </w:rPr>
        <w:t>1</w:t>
      </w:r>
      <w:bookmarkStart w:id="1215" w:name="_Toc300934997"/>
      <w:bookmarkStart w:id="1216" w:name="_Toc297048385"/>
      <w:bookmarkStart w:id="1217" w:name="_Toc296347198"/>
      <w:bookmarkStart w:id="1218" w:name="_Toc297216207"/>
      <w:bookmarkStart w:id="1219" w:name="_Toc304295574"/>
      <w:bookmarkStart w:id="1220" w:name="_Toc303539154"/>
      <w:bookmarkStart w:id="1221" w:name="_Toc296891027"/>
      <w:bookmarkStart w:id="1222" w:name="_Toc296346700"/>
      <w:bookmarkStart w:id="1223" w:name="_Toc297120499"/>
      <w:bookmarkStart w:id="1224" w:name="_Toc292559909"/>
      <w:bookmarkStart w:id="1225" w:name="_Toc296503199"/>
      <w:bookmarkStart w:id="1226" w:name="_Toc292559404"/>
      <w:bookmarkStart w:id="1227" w:name="_Toc312677507"/>
      <w:bookmarkStart w:id="1228" w:name="_Toc312678033"/>
      <w:bookmarkStart w:id="1229" w:name="_Toc297123548"/>
      <w:bookmarkStart w:id="1230" w:name="_Toc296891239"/>
      <w:bookmarkStart w:id="1231" w:name="_Toc296944538"/>
      <w:r>
        <w:rPr>
          <w:rFonts w:ascii="宋体" w:hAnsi="宋体"/>
          <w:b/>
          <w:bCs/>
          <w:color w:val="auto"/>
          <w:sz w:val="32"/>
          <w:szCs w:val="32"/>
          <w:highlight w:val="none"/>
        </w:rPr>
        <w:t>0.7 暂估价</w:t>
      </w:r>
      <w:bookmarkEnd w:id="1206"/>
      <w:bookmarkEnd w:id="1207"/>
      <w:bookmarkEnd w:id="1208"/>
      <w:bookmarkEnd w:id="1209"/>
      <w:bookmarkEnd w:id="1210"/>
      <w:bookmarkEnd w:id="1211"/>
      <w:bookmarkEnd w:id="1212"/>
      <w:bookmarkEnd w:id="1213"/>
      <w:bookmarkEnd w:id="1214"/>
    </w:p>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p w14:paraId="42904ADF">
      <w:pPr>
        <w:spacing w:line="360" w:lineRule="auto"/>
        <w:ind w:firstLine="420" w:firstLineChars="200"/>
        <w:jc w:val="left"/>
        <w:rPr>
          <w:rFonts w:ascii="宋体" w:hAnsi="宋体"/>
          <w:color w:val="auto"/>
          <w:szCs w:val="21"/>
          <w:highlight w:val="none"/>
        </w:rPr>
      </w:pPr>
      <w:r>
        <w:rPr>
          <w:rFonts w:ascii="宋体" w:hAnsi="宋体"/>
          <w:color w:val="auto"/>
          <w:kern w:val="0"/>
          <w:szCs w:val="21"/>
          <w:highlight w:val="none"/>
        </w:rPr>
        <w:t>暂</w:t>
      </w:r>
      <w:bookmarkStart w:id="1232" w:name="_Toc312678034"/>
      <w:bookmarkStart w:id="1233" w:name="_Toc318581176"/>
      <w:bookmarkStart w:id="1234" w:name="_Toc312677508"/>
      <w:r>
        <w:rPr>
          <w:rFonts w:ascii="宋体" w:hAnsi="宋体"/>
          <w:color w:val="auto"/>
          <w:kern w:val="0"/>
          <w:szCs w:val="21"/>
          <w:highlight w:val="none"/>
        </w:rPr>
        <w:t>估价材料和工程设备的明细详见</w:t>
      </w:r>
      <w:r>
        <w:rPr>
          <w:rFonts w:hint="eastAsia" w:ascii="宋体" w:hAnsi="宋体"/>
          <w:color w:val="auto"/>
          <w:kern w:val="0"/>
          <w:szCs w:val="21"/>
          <w:highlight w:val="none"/>
        </w:rPr>
        <w:t>已标价工程量清单《</w:t>
      </w:r>
      <w:r>
        <w:rPr>
          <w:rFonts w:ascii="宋体" w:hAnsi="宋体"/>
          <w:color w:val="auto"/>
          <w:szCs w:val="21"/>
          <w:highlight w:val="none"/>
        </w:rPr>
        <w:t>材料（工程设备）暂估价格及调整表</w:t>
      </w:r>
      <w:r>
        <w:rPr>
          <w:rFonts w:hint="eastAsia" w:ascii="宋体" w:hAnsi="宋体"/>
          <w:color w:val="auto"/>
          <w:szCs w:val="21"/>
          <w:highlight w:val="none"/>
        </w:rPr>
        <w:t>》</w:t>
      </w:r>
      <w:r>
        <w:rPr>
          <w:rFonts w:hint="eastAsia" w:ascii="宋体" w:hAnsi="宋体"/>
          <w:color w:val="auto"/>
          <w:kern w:val="0"/>
          <w:szCs w:val="21"/>
          <w:highlight w:val="none"/>
        </w:rPr>
        <w:t>（表12-2）和《</w:t>
      </w:r>
      <w:r>
        <w:rPr>
          <w:rFonts w:ascii="宋体" w:hAnsi="宋体"/>
          <w:color w:val="auto"/>
          <w:szCs w:val="21"/>
          <w:highlight w:val="none"/>
        </w:rPr>
        <w:t>专业工程暂估价表</w:t>
      </w:r>
      <w:r>
        <w:rPr>
          <w:rFonts w:hint="eastAsia" w:ascii="宋体" w:hAnsi="宋体"/>
          <w:color w:val="auto"/>
          <w:szCs w:val="21"/>
          <w:highlight w:val="none"/>
        </w:rPr>
        <w:t>》（</w:t>
      </w:r>
      <w:r>
        <w:rPr>
          <w:rFonts w:hint="eastAsia" w:ascii="宋体" w:hAnsi="宋体"/>
          <w:color w:val="auto"/>
          <w:kern w:val="0"/>
          <w:szCs w:val="21"/>
          <w:highlight w:val="none"/>
        </w:rPr>
        <w:t>表12-3）</w:t>
      </w:r>
      <w:r>
        <w:rPr>
          <w:rFonts w:ascii="宋体" w:hAnsi="宋体"/>
          <w:color w:val="auto"/>
          <w:kern w:val="0"/>
          <w:szCs w:val="21"/>
          <w:highlight w:val="none"/>
        </w:rPr>
        <w:t>。</w:t>
      </w:r>
    </w:p>
    <w:bookmarkEnd w:id="1232"/>
    <w:bookmarkEnd w:id="1233"/>
    <w:bookmarkEnd w:id="1234"/>
    <w:p w14:paraId="025D5CEB">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1</w:t>
      </w:r>
      <w:bookmarkStart w:id="1235" w:name="_Toc312677509"/>
      <w:bookmarkStart w:id="1236" w:name="_Toc312678035"/>
      <w:bookmarkStart w:id="1237" w:name="_Toc318581177"/>
      <w:r>
        <w:rPr>
          <w:rFonts w:ascii="宋体" w:hAnsi="宋体"/>
          <w:color w:val="auto"/>
          <w:szCs w:val="21"/>
          <w:highlight w:val="none"/>
        </w:rPr>
        <w:t>0.7.1 依法必须招标的暂估价项目</w:t>
      </w:r>
    </w:p>
    <w:bookmarkEnd w:id="1235"/>
    <w:bookmarkEnd w:id="1236"/>
    <w:bookmarkEnd w:id="1237"/>
    <w:p w14:paraId="0AAE8624">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对于依法必须招标的暂估价项目的确认和批准采取第</w:t>
      </w:r>
      <w:r>
        <w:rPr>
          <w:rFonts w:hint="eastAsia" w:ascii="宋体" w:hAnsi="宋体"/>
          <w:color w:val="auto"/>
          <w:szCs w:val="21"/>
          <w:highlight w:val="none"/>
          <w:lang w:val="en-US" w:eastAsia="zh-CN"/>
        </w:rPr>
        <w:t xml:space="preserve">   </w:t>
      </w:r>
      <w:r>
        <w:rPr>
          <w:rFonts w:ascii="宋体" w:hAnsi="宋体"/>
          <w:color w:val="auto"/>
          <w:szCs w:val="21"/>
          <w:highlight w:val="none"/>
        </w:rPr>
        <w:t>种方式确定。</w:t>
      </w:r>
    </w:p>
    <w:p w14:paraId="732C15CB">
      <w:pPr>
        <w:pStyle w:val="135"/>
        <w:widowControl/>
        <w:spacing w:line="360" w:lineRule="auto"/>
        <w:ind w:firstLine="424" w:firstLineChars="202"/>
        <w:jc w:val="left"/>
        <w:rPr>
          <w:rStyle w:val="35"/>
          <w:rFonts w:hint="eastAsia" w:ascii="宋体" w:hAnsi="宋体" w:eastAsia="宋体"/>
          <w:color w:val="auto"/>
          <w:kern w:val="0"/>
          <w:highlight w:val="none"/>
        </w:rPr>
      </w:pPr>
      <w:r>
        <w:rPr>
          <w:rStyle w:val="35"/>
          <w:rFonts w:hint="eastAsia" w:ascii="宋体" w:hAnsi="宋体" w:eastAsia="宋体"/>
          <w:color w:val="auto"/>
          <w:kern w:val="0"/>
          <w:highlight w:val="none"/>
        </w:rPr>
        <w:t>第1种方式：对于依法必须招标的暂估价项目，由承包人招标，对该暂估价项目的确认和批准按照以下约定执行：</w:t>
      </w:r>
    </w:p>
    <w:p w14:paraId="2A48E4D5">
      <w:pPr>
        <w:pStyle w:val="135"/>
        <w:widowControl/>
        <w:spacing w:line="360" w:lineRule="auto"/>
        <w:ind w:firstLine="424" w:firstLineChars="202"/>
        <w:jc w:val="left"/>
        <w:rPr>
          <w:rStyle w:val="35"/>
          <w:rFonts w:hint="eastAsia" w:ascii="宋体" w:hAnsi="宋体" w:eastAsia="宋体"/>
          <w:color w:val="auto"/>
          <w:kern w:val="0"/>
          <w:highlight w:val="none"/>
        </w:rPr>
      </w:pPr>
      <w:r>
        <w:rPr>
          <w:rStyle w:val="35"/>
          <w:rFonts w:hint="eastAsia" w:ascii="宋体" w:hAnsi="宋体" w:eastAsia="宋体"/>
          <w:color w:val="auto"/>
          <w:kern w:val="0"/>
          <w:highlight w:val="none"/>
        </w:rPr>
        <w:t>（1）承包人应当根据施工进度计划，在招标工作启动前14天将招标方案通过监理人报送发包人审查，发包人应当在收到承包人报送的招标方案后7天内批准或提出修改意见。承包人应当按照经过发包人批准的招标方案开展招标工作；</w:t>
      </w:r>
    </w:p>
    <w:p w14:paraId="457C5BE9">
      <w:pPr>
        <w:pStyle w:val="135"/>
        <w:widowControl/>
        <w:spacing w:line="360" w:lineRule="auto"/>
        <w:ind w:firstLine="424" w:firstLineChars="202"/>
        <w:jc w:val="left"/>
        <w:rPr>
          <w:rStyle w:val="35"/>
          <w:rFonts w:hint="eastAsia" w:ascii="宋体" w:hAnsi="宋体" w:eastAsia="宋体"/>
          <w:color w:val="auto"/>
          <w:kern w:val="0"/>
          <w:highlight w:val="none"/>
        </w:rPr>
      </w:pPr>
      <w:r>
        <w:rPr>
          <w:rStyle w:val="35"/>
          <w:rFonts w:hint="eastAsia" w:ascii="宋体" w:hAnsi="宋体" w:eastAsia="宋体"/>
          <w:color w:val="auto"/>
          <w:kern w:val="0"/>
          <w:highlight w:val="none"/>
        </w:rPr>
        <w:t>（2）承包人应当根据施工进度计划，提前14天将招标文件通过监理人报送发包人审批，发包人应当在收到承包人报送的相关文件后7天内完成审批或提出修改意见；发包人有权确定招标控制价并委派评标委员会成员；</w:t>
      </w:r>
    </w:p>
    <w:p w14:paraId="6C989485">
      <w:pPr>
        <w:pStyle w:val="135"/>
        <w:widowControl/>
        <w:spacing w:line="360" w:lineRule="auto"/>
        <w:ind w:firstLine="424" w:firstLineChars="202"/>
        <w:jc w:val="left"/>
        <w:rPr>
          <w:rStyle w:val="35"/>
          <w:rFonts w:hint="eastAsia" w:ascii="宋体" w:hAnsi="宋体" w:eastAsia="宋体"/>
          <w:color w:val="auto"/>
          <w:kern w:val="0"/>
          <w:highlight w:val="none"/>
        </w:rPr>
      </w:pPr>
      <w:r>
        <w:rPr>
          <w:rStyle w:val="35"/>
          <w:rFonts w:hint="eastAsia" w:ascii="宋体" w:hAnsi="宋体" w:eastAsia="宋体"/>
          <w:color w:val="auto"/>
          <w:kern w:val="0"/>
          <w:highlight w:val="none"/>
        </w:rPr>
        <w:t>（3）承包人与供应商、分包人在签订暂估价合同前，应当提前7天将确定的中标候选供应商或中标候选分包人的资料报送发包人，发包人应在收到资料后3天内与承包人共同确定中标人；承包人应当在签订合同后7天内，将暂估价合同副本报送发包人留存。</w:t>
      </w:r>
    </w:p>
    <w:p w14:paraId="55B8E35A">
      <w:pPr>
        <w:pStyle w:val="135"/>
        <w:widowControl/>
        <w:spacing w:line="360" w:lineRule="auto"/>
        <w:ind w:firstLine="424" w:firstLineChars="202"/>
        <w:jc w:val="left"/>
        <w:rPr>
          <w:rFonts w:ascii="宋体" w:hAnsi="宋体"/>
          <w:color w:val="auto"/>
          <w:szCs w:val="21"/>
          <w:highlight w:val="none"/>
        </w:rPr>
      </w:pPr>
      <w:r>
        <w:rPr>
          <w:rStyle w:val="35"/>
          <w:rFonts w:hint="eastAsia" w:ascii="宋体" w:hAnsi="宋体" w:eastAsia="宋体"/>
          <w:color w:val="auto"/>
          <w:kern w:val="0"/>
          <w:highlight w:val="none"/>
        </w:rPr>
        <w:t>第2种方式：对于依法必须招标的暂估价项目，由发包人和承包人共同招标确定暂估价供应商或分包人的，承包人应按照施工进度计划，在招标工作启动前14天通知发包人，并提交暂估价招标方案和工作分工。发包人应在收到后7天内确认。确定中标人后，由发包人、承包人与中标人共同签订暂估价合同。</w:t>
      </w:r>
    </w:p>
    <w:p w14:paraId="06CAB200">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10.7.2 不属于依法必须招标的暂估价项目</w:t>
      </w:r>
    </w:p>
    <w:p w14:paraId="29D7CA5A">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对于不属于依法必须招标的暂估价项目的确认和批准采取第</w:t>
      </w:r>
      <w:r>
        <w:rPr>
          <w:rFonts w:hint="eastAsia" w:ascii="宋体" w:hAnsi="宋体"/>
          <w:color w:val="auto"/>
          <w:szCs w:val="21"/>
          <w:highlight w:val="none"/>
          <w:lang w:val="en-US" w:eastAsia="zh-CN"/>
        </w:rPr>
        <w:t xml:space="preserve">   </w:t>
      </w:r>
      <w:r>
        <w:rPr>
          <w:rFonts w:ascii="宋体" w:hAnsi="宋体"/>
          <w:color w:val="auto"/>
          <w:szCs w:val="21"/>
          <w:highlight w:val="none"/>
        </w:rPr>
        <w:t>种方式确定。</w:t>
      </w:r>
    </w:p>
    <w:p w14:paraId="3C22A6B5">
      <w:pPr>
        <w:pStyle w:val="135"/>
        <w:widowControl/>
        <w:spacing w:line="360" w:lineRule="auto"/>
        <w:ind w:firstLine="424" w:firstLineChars="202"/>
        <w:jc w:val="left"/>
        <w:rPr>
          <w:rStyle w:val="35"/>
          <w:rFonts w:hint="eastAsia" w:ascii="宋体" w:hAnsi="宋体" w:eastAsia="宋体"/>
          <w:color w:val="auto"/>
          <w:kern w:val="0"/>
          <w:highlight w:val="none"/>
        </w:rPr>
      </w:pPr>
      <w:r>
        <w:rPr>
          <w:rStyle w:val="35"/>
          <w:rFonts w:hint="eastAsia" w:ascii="宋体" w:hAnsi="宋体" w:eastAsia="宋体"/>
          <w:color w:val="auto"/>
          <w:kern w:val="0"/>
          <w:highlight w:val="none"/>
        </w:rPr>
        <w:t>第1种方式：对于不属于依法必须招标的暂估价项目，按本项约定确认和批准：</w:t>
      </w:r>
    </w:p>
    <w:p w14:paraId="0356A699">
      <w:pPr>
        <w:pStyle w:val="135"/>
        <w:widowControl/>
        <w:spacing w:line="360" w:lineRule="auto"/>
        <w:ind w:firstLine="424" w:firstLineChars="202"/>
        <w:jc w:val="left"/>
        <w:rPr>
          <w:rStyle w:val="35"/>
          <w:rFonts w:hint="eastAsia" w:ascii="宋体" w:hAnsi="宋体" w:eastAsia="宋体"/>
          <w:color w:val="auto"/>
          <w:kern w:val="0"/>
          <w:highlight w:val="none"/>
        </w:rPr>
      </w:pPr>
      <w:r>
        <w:rPr>
          <w:rStyle w:val="35"/>
          <w:rFonts w:hint="eastAsia" w:ascii="宋体" w:hAnsi="宋体" w:eastAsia="宋体"/>
          <w:color w:val="auto"/>
          <w:kern w:val="0"/>
          <w:highlight w:val="none"/>
        </w:rPr>
        <w:t>（1）承包人应根据施工进度计划，在签订暂估价项目的采购合同、分包合同前28天向监理人提出书面申请。监理人应当在收到申请后3天内报送发包人，发包人应当在收到申请后14天内给予批准或提出修改意见，发包人逾期未予批准或提出修改意见的，视为该书面申请已获得同意；</w:t>
      </w:r>
    </w:p>
    <w:p w14:paraId="7D3B7D1E">
      <w:pPr>
        <w:pStyle w:val="135"/>
        <w:widowControl/>
        <w:spacing w:line="360" w:lineRule="auto"/>
        <w:ind w:firstLine="424" w:firstLineChars="202"/>
        <w:jc w:val="left"/>
        <w:rPr>
          <w:rStyle w:val="35"/>
          <w:rFonts w:hint="eastAsia" w:ascii="宋体" w:hAnsi="宋体" w:eastAsia="宋体"/>
          <w:color w:val="auto"/>
          <w:kern w:val="0"/>
          <w:highlight w:val="none"/>
        </w:rPr>
      </w:pPr>
      <w:r>
        <w:rPr>
          <w:rStyle w:val="35"/>
          <w:rFonts w:hint="eastAsia" w:ascii="宋体" w:hAnsi="宋体" w:eastAsia="宋体"/>
          <w:color w:val="auto"/>
          <w:kern w:val="0"/>
          <w:highlight w:val="none"/>
        </w:rPr>
        <w:t>（2）发包人认为承包人确定的供应商、分包人无法满足工程质量或合同要求的，发包人可以要求承包人重新确定暂估价项目的供应商、分包人；（3）承包人应当在签订暂估价合同后7天内，将暂估价合同副本报送发包人留存。</w:t>
      </w:r>
    </w:p>
    <w:p w14:paraId="3F13D599">
      <w:pPr>
        <w:pStyle w:val="135"/>
        <w:widowControl/>
        <w:spacing w:line="360" w:lineRule="auto"/>
        <w:ind w:firstLine="424" w:firstLineChars="202"/>
        <w:jc w:val="left"/>
        <w:rPr>
          <w:rFonts w:ascii="宋体" w:hAnsi="宋体"/>
          <w:color w:val="auto"/>
          <w:szCs w:val="21"/>
          <w:highlight w:val="none"/>
        </w:rPr>
      </w:pPr>
      <w:r>
        <w:rPr>
          <w:rStyle w:val="35"/>
          <w:rFonts w:hint="eastAsia" w:ascii="宋体" w:hAnsi="宋体" w:eastAsia="宋体"/>
          <w:color w:val="auto"/>
          <w:kern w:val="0"/>
          <w:highlight w:val="none"/>
        </w:rPr>
        <w:t>第2种方式：承包人按照第10.7.1项[依法必须招标的暂估价项目]约定的第1种方式确定暂估价项目。</w:t>
      </w:r>
    </w:p>
    <w:p w14:paraId="6ED2D046">
      <w:pPr>
        <w:spacing w:line="360" w:lineRule="auto"/>
        <w:ind w:firstLine="420" w:firstLineChars="200"/>
        <w:jc w:val="left"/>
        <w:rPr>
          <w:rFonts w:ascii="宋体" w:hAnsi="宋体"/>
          <w:color w:val="auto"/>
          <w:kern w:val="0"/>
          <w:szCs w:val="21"/>
          <w:highlight w:val="none"/>
        </w:rPr>
      </w:pPr>
      <w:r>
        <w:rPr>
          <w:rFonts w:ascii="宋体" w:hAnsi="宋体"/>
          <w:color w:val="auto"/>
          <w:szCs w:val="21"/>
          <w:highlight w:val="none"/>
        </w:rPr>
        <w:t>第3种方式：</w:t>
      </w:r>
      <w:r>
        <w:rPr>
          <w:rFonts w:ascii="宋体" w:hAnsi="宋体"/>
          <w:color w:val="auto"/>
          <w:kern w:val="0"/>
          <w:szCs w:val="21"/>
          <w:highlight w:val="none"/>
        </w:rPr>
        <w:t>承包人直接实施的暂估价项目</w:t>
      </w:r>
    </w:p>
    <w:p w14:paraId="7B14E289">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承包人直接实施的暂估价项目的约定：</w:t>
      </w:r>
      <w:r>
        <w:rPr>
          <w:rFonts w:hint="eastAsia" w:ascii="宋体" w:hAnsi="宋体"/>
          <w:color w:val="auto"/>
          <w:szCs w:val="21"/>
          <w:highlight w:val="none"/>
          <w:u w:val="single"/>
        </w:rPr>
        <w:t xml:space="preserve">                      </w:t>
      </w:r>
      <w:r>
        <w:rPr>
          <w:rFonts w:ascii="宋体" w:hAnsi="宋体"/>
          <w:color w:val="auto"/>
          <w:szCs w:val="21"/>
          <w:highlight w:val="none"/>
        </w:rPr>
        <w:t>。</w:t>
      </w:r>
    </w:p>
    <w:p w14:paraId="7B200662">
      <w:pPr>
        <w:keepNext/>
        <w:keepLines/>
        <w:spacing w:before="260" w:after="260" w:line="360" w:lineRule="auto"/>
        <w:outlineLvl w:val="2"/>
        <w:rPr>
          <w:rFonts w:ascii="宋体" w:hAnsi="宋体"/>
          <w:b/>
          <w:bCs/>
          <w:color w:val="auto"/>
          <w:sz w:val="32"/>
          <w:szCs w:val="32"/>
          <w:highlight w:val="none"/>
        </w:rPr>
      </w:pPr>
      <w:bookmarkStart w:id="1238" w:name="_Toc86935909"/>
      <w:bookmarkStart w:id="1239" w:name="_Toc27429"/>
      <w:bookmarkStart w:id="1240" w:name="_Toc373227745"/>
      <w:bookmarkStart w:id="1241" w:name="_Toc389065311"/>
      <w:bookmarkStart w:id="1242" w:name="_Toc407135248"/>
      <w:bookmarkStart w:id="1243" w:name="_Toc508379759"/>
      <w:bookmarkStart w:id="1244" w:name="_Toc23993"/>
      <w:bookmarkStart w:id="1245" w:name="_Toc495673424"/>
      <w:bookmarkStart w:id="1246" w:name="_Toc373478392"/>
      <w:r>
        <w:rPr>
          <w:rFonts w:ascii="宋体" w:hAnsi="宋体"/>
          <w:b/>
          <w:bCs/>
          <w:color w:val="auto"/>
          <w:sz w:val="32"/>
          <w:szCs w:val="32"/>
          <w:highlight w:val="none"/>
        </w:rPr>
        <w:t>10.8 暂列金额</w:t>
      </w:r>
      <w:bookmarkEnd w:id="1238"/>
      <w:bookmarkEnd w:id="1239"/>
      <w:bookmarkEnd w:id="1240"/>
      <w:bookmarkEnd w:id="1241"/>
      <w:bookmarkEnd w:id="1242"/>
      <w:bookmarkEnd w:id="1243"/>
      <w:bookmarkEnd w:id="1244"/>
      <w:bookmarkEnd w:id="1245"/>
      <w:bookmarkEnd w:id="1246"/>
    </w:p>
    <w:p w14:paraId="737F41B1">
      <w:pPr>
        <w:pStyle w:val="135"/>
        <w:widowControl/>
        <w:spacing w:line="360" w:lineRule="auto"/>
        <w:ind w:firstLine="420" w:firstLineChars="200"/>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合同当事人关于暂列金额使用的约定：</w:t>
      </w:r>
    </w:p>
    <w:p w14:paraId="5EF66B88">
      <w:pPr>
        <w:pStyle w:val="135"/>
        <w:widowControl/>
        <w:spacing w:line="360" w:lineRule="auto"/>
        <w:ind w:firstLine="424" w:firstLineChars="202"/>
        <w:rPr>
          <w:rStyle w:val="35"/>
          <w:rFonts w:hint="eastAsia" w:ascii="宋体" w:hAnsi="宋体" w:eastAsia="宋体"/>
          <w:color w:val="auto"/>
          <w:highlight w:val="none"/>
        </w:rPr>
      </w:pPr>
      <w:r>
        <w:rPr>
          <w:rStyle w:val="35"/>
          <w:rFonts w:hint="eastAsia" w:ascii="宋体" w:hAnsi="宋体" w:eastAsia="宋体"/>
          <w:color w:val="auto"/>
          <w:highlight w:val="none"/>
        </w:rPr>
        <w:t xml:space="preserve">（1）已签约合同价中的暂列金额由发包人掌握使用。 </w:t>
      </w:r>
    </w:p>
    <w:p w14:paraId="385AC031">
      <w:pPr>
        <w:pStyle w:val="135"/>
        <w:widowControl/>
        <w:autoSpaceDE w:val="0"/>
        <w:autoSpaceDN w:val="0"/>
        <w:adjustRightInd w:val="0"/>
        <w:spacing w:line="360" w:lineRule="auto"/>
        <w:ind w:firstLine="424" w:firstLineChars="202"/>
        <w:jc w:val="left"/>
        <w:rPr>
          <w:rFonts w:ascii="宋体" w:hAnsi="宋体"/>
          <w:color w:val="auto"/>
          <w:szCs w:val="21"/>
          <w:highlight w:val="none"/>
          <w:u w:val="single"/>
        </w:rPr>
      </w:pPr>
      <w:r>
        <w:rPr>
          <w:rStyle w:val="35"/>
          <w:rFonts w:hint="eastAsia" w:ascii="宋体" w:hAnsi="宋体" w:eastAsia="宋体"/>
          <w:bCs/>
          <w:color w:val="auto"/>
          <w:highlight w:val="none"/>
        </w:rPr>
        <w:t>（2）发包人按照规定所作支付后，暂列金额如有余额归发包人</w:t>
      </w:r>
      <w:r>
        <w:rPr>
          <w:rStyle w:val="35"/>
          <w:rFonts w:hint="eastAsia" w:ascii="宋体" w:hAnsi="宋体" w:eastAsia="宋体"/>
          <w:color w:val="auto"/>
          <w:highlight w:val="none"/>
        </w:rPr>
        <w:t>。</w:t>
      </w:r>
    </w:p>
    <w:p w14:paraId="64FFDAC6">
      <w:pPr>
        <w:keepNext/>
        <w:keepLines/>
        <w:numPr>
          <w:ilvl w:val="0"/>
          <w:numId w:val="6"/>
        </w:numPr>
        <w:spacing w:before="60" w:after="60" w:line="360" w:lineRule="auto"/>
        <w:outlineLvl w:val="1"/>
        <w:rPr>
          <w:rFonts w:ascii="宋体" w:hAnsi="宋体"/>
          <w:b/>
          <w:bCs/>
          <w:color w:val="auto"/>
          <w:sz w:val="32"/>
          <w:szCs w:val="32"/>
          <w:highlight w:val="none"/>
        </w:rPr>
      </w:pPr>
      <w:bookmarkStart w:id="1247" w:name="_Toc4981"/>
      <w:bookmarkStart w:id="1248" w:name="_Toc407135249"/>
      <w:bookmarkStart w:id="1249" w:name="_Toc495673425"/>
      <w:bookmarkStart w:id="1250" w:name="_Toc373227746"/>
      <w:bookmarkStart w:id="1251" w:name="_Toc508379760"/>
      <w:bookmarkStart w:id="1252" w:name="_Toc351203643"/>
      <w:bookmarkStart w:id="1253" w:name="_Toc15179"/>
      <w:bookmarkStart w:id="1254" w:name="_Toc389065312"/>
      <w:bookmarkStart w:id="1255" w:name="_Toc86935910"/>
      <w:bookmarkStart w:id="1256" w:name="_Toc373478393"/>
      <w:r>
        <w:rPr>
          <w:rFonts w:ascii="宋体" w:hAnsi="宋体"/>
          <w:b/>
          <w:bCs/>
          <w:color w:val="auto"/>
          <w:sz w:val="32"/>
          <w:szCs w:val="32"/>
          <w:highlight w:val="none"/>
        </w:rPr>
        <w:t>价格调整</w:t>
      </w:r>
      <w:bookmarkEnd w:id="1247"/>
      <w:bookmarkEnd w:id="1248"/>
      <w:bookmarkEnd w:id="1249"/>
      <w:bookmarkEnd w:id="1250"/>
      <w:bookmarkEnd w:id="1251"/>
      <w:bookmarkEnd w:id="1252"/>
      <w:bookmarkEnd w:id="1253"/>
      <w:bookmarkEnd w:id="1254"/>
      <w:bookmarkEnd w:id="1255"/>
      <w:bookmarkEnd w:id="1256"/>
    </w:p>
    <w:p w14:paraId="36D8E5D7">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①法律变化引起的调整；</w:t>
      </w:r>
    </w:p>
    <w:p w14:paraId="727E363E">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②工程变更、项目特征不符、工程量清单缺项、工程量偏差引起的调整；</w:t>
      </w:r>
    </w:p>
    <w:p w14:paraId="4EC5E2B7">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③计日工引起的调整。</w:t>
      </w:r>
    </w:p>
    <w:p w14:paraId="28409773">
      <w:pPr>
        <w:keepNext/>
        <w:keepLines/>
        <w:spacing w:before="260" w:after="260" w:line="360" w:lineRule="auto"/>
        <w:outlineLvl w:val="2"/>
        <w:rPr>
          <w:rFonts w:ascii="宋体" w:hAnsi="宋体"/>
          <w:b/>
          <w:bCs/>
          <w:color w:val="auto"/>
          <w:sz w:val="32"/>
          <w:szCs w:val="32"/>
          <w:highlight w:val="none"/>
        </w:rPr>
      </w:pPr>
      <w:bookmarkStart w:id="1257" w:name="_Toc508379761"/>
      <w:bookmarkStart w:id="1258" w:name="_Toc407135250"/>
      <w:bookmarkStart w:id="1259" w:name="_Toc1369"/>
      <w:bookmarkStart w:id="1260" w:name="_Toc389065313"/>
      <w:bookmarkStart w:id="1261" w:name="_Toc495673426"/>
      <w:bookmarkStart w:id="1262" w:name="_Toc16948"/>
      <w:bookmarkStart w:id="1263" w:name="_Toc373478394"/>
      <w:bookmarkStart w:id="1264" w:name="_Toc86935911"/>
      <w:bookmarkStart w:id="1265" w:name="_Toc373227747"/>
      <w:bookmarkStart w:id="1266" w:name="_Toc296503201"/>
      <w:bookmarkStart w:id="1267" w:name="_Toc296891029"/>
      <w:bookmarkStart w:id="1268" w:name="_Toc312678039"/>
      <w:bookmarkStart w:id="1269" w:name="_Toc304295577"/>
      <w:bookmarkStart w:id="1270" w:name="_Toc292559911"/>
      <w:bookmarkStart w:id="1271" w:name="_Toc297123550"/>
      <w:bookmarkStart w:id="1272" w:name="_Toc296346702"/>
      <w:bookmarkStart w:id="1273" w:name="_Toc297048387"/>
      <w:bookmarkStart w:id="1274" w:name="_Toc296891241"/>
      <w:bookmarkStart w:id="1275" w:name="_Toc296944540"/>
      <w:bookmarkStart w:id="1276" w:name="_Toc300935000"/>
      <w:bookmarkStart w:id="1277" w:name="_Toc292559406"/>
      <w:bookmarkStart w:id="1278" w:name="_Toc296347200"/>
      <w:bookmarkStart w:id="1279" w:name="_Toc297216209"/>
      <w:bookmarkStart w:id="1280" w:name="_Toc303539157"/>
      <w:bookmarkStart w:id="1281" w:name="_Toc297120501"/>
      <w:r>
        <w:rPr>
          <w:rFonts w:ascii="宋体" w:hAnsi="宋体"/>
          <w:b/>
          <w:bCs/>
          <w:color w:val="auto"/>
          <w:sz w:val="32"/>
          <w:szCs w:val="32"/>
          <w:highlight w:val="none"/>
        </w:rPr>
        <w:t>11.1 市场价格波动引起的调整</w:t>
      </w:r>
      <w:bookmarkEnd w:id="1257"/>
      <w:bookmarkEnd w:id="1258"/>
      <w:bookmarkEnd w:id="1259"/>
      <w:bookmarkEnd w:id="1260"/>
      <w:bookmarkEnd w:id="1261"/>
      <w:bookmarkEnd w:id="1262"/>
      <w:bookmarkEnd w:id="1263"/>
      <w:bookmarkEnd w:id="1264"/>
      <w:bookmarkEnd w:id="1265"/>
    </w:p>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p w14:paraId="62F3CFD8">
      <w:pPr>
        <w:spacing w:line="360" w:lineRule="auto"/>
        <w:ind w:firstLine="420" w:firstLineChars="200"/>
        <w:jc w:val="left"/>
        <w:rPr>
          <w:rFonts w:ascii="宋体" w:hAnsi="宋体"/>
          <w:color w:val="auto"/>
          <w:szCs w:val="21"/>
          <w:highlight w:val="none"/>
        </w:rPr>
      </w:pPr>
      <w:r>
        <w:rPr>
          <w:rFonts w:ascii="宋体" w:hAnsi="宋体"/>
          <w:color w:val="auto"/>
          <w:kern w:val="0"/>
          <w:szCs w:val="21"/>
          <w:highlight w:val="none"/>
        </w:rPr>
        <w:t>市场价格波动是否调整合同价格的约定：</w:t>
      </w:r>
      <w:r>
        <w:rPr>
          <w:rStyle w:val="35"/>
          <w:rFonts w:hint="eastAsia" w:ascii="宋体" w:hAnsi="宋体" w:eastAsia="宋体" w:cs="宋体"/>
          <w:color w:val="auto"/>
          <w:kern w:val="0"/>
          <w:highlight w:val="none"/>
          <w:u w:val="single"/>
        </w:rPr>
        <w:t>是</w:t>
      </w:r>
      <w:r>
        <w:rPr>
          <w:rStyle w:val="35"/>
          <w:rFonts w:hint="eastAsia" w:ascii="宋体" w:hAnsi="宋体" w:eastAsia="宋体" w:cs="宋体"/>
          <w:color w:val="auto"/>
          <w:kern w:val="0"/>
          <w:highlight w:val="none"/>
        </w:rPr>
        <w:t>。</w:t>
      </w:r>
      <w:r>
        <w:rPr>
          <w:rStyle w:val="35"/>
          <w:rFonts w:hint="eastAsia" w:ascii="宋体" w:hAnsi="宋体" w:eastAsia="宋体" w:cs="宋体"/>
          <w:color w:val="auto"/>
          <w:highlight w:val="none"/>
          <w:u w:val="single"/>
        </w:rPr>
        <w:t>非施工单位原因造成的主要材料价差在 5%以内（含 5%）的，由施工单位承担</w:t>
      </w:r>
      <w:r>
        <w:rPr>
          <w:rStyle w:val="35"/>
          <w:rFonts w:hint="eastAsia" w:ascii="宋体" w:hAnsi="宋体" w:eastAsia="宋体" w:cs="宋体"/>
          <w:color w:val="auto"/>
          <w:highlight w:val="none"/>
        </w:rPr>
        <w:t>。</w:t>
      </w:r>
      <w:r>
        <w:rPr>
          <w:rStyle w:val="35"/>
          <w:rFonts w:hint="eastAsia" w:ascii="宋体" w:hAnsi="宋体" w:eastAsia="宋体" w:cs="宋体"/>
          <w:color w:val="auto"/>
          <w:highlight w:val="none"/>
          <w:u w:val="single"/>
        </w:rPr>
        <w:t>合同履行期间材料单价涨幅以基准价格为基础超过5%时</w:t>
      </w:r>
      <w:r>
        <w:rPr>
          <w:rStyle w:val="35"/>
          <w:rFonts w:hint="eastAsia" w:ascii="宋体" w:hAnsi="宋体" w:eastAsia="宋体" w:cs="宋体"/>
          <w:color w:val="auto"/>
          <w:highlight w:val="none"/>
        </w:rPr>
        <w:t>，</w:t>
      </w:r>
      <w:r>
        <w:rPr>
          <w:rStyle w:val="35"/>
          <w:rFonts w:hint="eastAsia" w:ascii="宋体" w:hAnsi="宋体" w:eastAsia="宋体" w:cs="宋体"/>
          <w:color w:val="auto"/>
          <w:highlight w:val="none"/>
          <w:u w:val="single"/>
        </w:rPr>
        <w:t>或材料单价跌幅以在已标价工程量清单或预算书中载明的主要材料、工程设备单价为基础超过5%时</w:t>
      </w:r>
      <w:r>
        <w:rPr>
          <w:rStyle w:val="35"/>
          <w:rFonts w:hint="eastAsia" w:ascii="宋体" w:hAnsi="宋体" w:eastAsia="宋体" w:cs="宋体"/>
          <w:color w:val="auto"/>
          <w:highlight w:val="none"/>
        </w:rPr>
        <w:t>，</w:t>
      </w:r>
      <w:r>
        <w:rPr>
          <w:rStyle w:val="35"/>
          <w:rFonts w:hint="eastAsia" w:ascii="宋体" w:hAnsi="宋体" w:eastAsia="宋体" w:cs="宋体"/>
          <w:color w:val="auto"/>
          <w:highlight w:val="none"/>
          <w:u w:val="single"/>
        </w:rPr>
        <w:t>其超过部分据实调整；关于基准价格的约定</w:t>
      </w:r>
      <w:r>
        <w:rPr>
          <w:rStyle w:val="35"/>
          <w:rFonts w:hint="eastAsia" w:ascii="宋体" w:hAnsi="宋体" w:eastAsia="宋体" w:cs="宋体"/>
          <w:color w:val="auto"/>
          <w:highlight w:val="none"/>
        </w:rPr>
        <w:t>：</w:t>
      </w:r>
      <w:r>
        <w:rPr>
          <w:rStyle w:val="35"/>
          <w:rFonts w:hint="eastAsia" w:ascii="宋体" w:hAnsi="宋体" w:eastAsia="宋体" w:cs="宋体"/>
          <w:color w:val="auto"/>
          <w:kern w:val="0"/>
          <w:highlight w:val="none"/>
          <w:u w:val="single"/>
        </w:rPr>
        <w:t>招标的工程以招标控制价确定的市场价格确定为基期材料价格</w:t>
      </w:r>
      <w:r>
        <w:rPr>
          <w:rStyle w:val="35"/>
          <w:rFonts w:hint="eastAsia" w:ascii="宋体" w:hAnsi="宋体" w:eastAsia="宋体" w:cs="宋体"/>
          <w:color w:val="auto"/>
          <w:highlight w:val="none"/>
          <w:u w:val="single"/>
        </w:rPr>
        <w:t>；人工、机械费按照我区建设行政主管部门或其授权的工程造价管理机构发布的人工费、机械台班单价或机械使用费系数进行调整；新增项目和工程量变化造成措施费增加取费部分按原中标措施费比例调整</w:t>
      </w:r>
      <w:r>
        <w:rPr>
          <w:rStyle w:val="35"/>
          <w:rFonts w:hint="eastAsia" w:ascii="宋体" w:hAnsi="宋体" w:eastAsia="宋体" w:cs="宋体"/>
          <w:color w:val="auto"/>
          <w:highlight w:val="none"/>
        </w:rPr>
        <w:t>，</w:t>
      </w:r>
      <w:r>
        <w:rPr>
          <w:rStyle w:val="35"/>
          <w:rFonts w:hint="eastAsia" w:ascii="宋体" w:hAnsi="宋体" w:eastAsia="宋体" w:cs="宋体"/>
          <w:color w:val="auto"/>
          <w:highlight w:val="none"/>
          <w:u w:val="single"/>
        </w:rPr>
        <w:t>施工方案部分按业主、监理批准的方案套取相关定额计取</w:t>
      </w:r>
      <w:r>
        <w:rPr>
          <w:rStyle w:val="35"/>
          <w:rFonts w:hint="eastAsia" w:ascii="宋体" w:hAnsi="宋体" w:eastAsia="宋体" w:cs="宋体"/>
          <w:color w:val="auto"/>
          <w:highlight w:val="none"/>
        </w:rPr>
        <w:t>，</w:t>
      </w:r>
      <w:r>
        <w:rPr>
          <w:rStyle w:val="35"/>
          <w:rFonts w:hint="eastAsia" w:ascii="宋体" w:hAnsi="宋体" w:eastAsia="宋体" w:cs="宋体"/>
          <w:color w:val="auto"/>
          <w:highlight w:val="none"/>
          <w:u w:val="single"/>
        </w:rPr>
        <w:t>造成规费、税金变化按有关规定作相应调整</w:t>
      </w:r>
      <w:r>
        <w:rPr>
          <w:rFonts w:hint="eastAsia" w:ascii="宋体" w:hAnsi="宋体"/>
          <w:color w:val="auto"/>
          <w:szCs w:val="21"/>
          <w:highlight w:val="none"/>
          <w:u w:val="single"/>
        </w:rPr>
        <w:t xml:space="preserve"> </w:t>
      </w:r>
      <w:r>
        <w:rPr>
          <w:rFonts w:ascii="宋体" w:hAnsi="宋体"/>
          <w:color w:val="auto"/>
          <w:szCs w:val="21"/>
          <w:highlight w:val="none"/>
        </w:rPr>
        <w:t>。</w:t>
      </w:r>
    </w:p>
    <w:p w14:paraId="19979B7D">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因市场价格波动调整合同价格，采用以下第</w:t>
      </w:r>
      <w:r>
        <w:rPr>
          <w:rFonts w:hint="eastAsia" w:ascii="宋体" w:hAnsi="宋体"/>
          <w:color w:val="auto"/>
          <w:szCs w:val="21"/>
          <w:highlight w:val="none"/>
          <w:lang w:val="en-US" w:eastAsia="zh-CN"/>
        </w:rPr>
        <w:t xml:space="preserve">     </w:t>
      </w:r>
      <w:r>
        <w:rPr>
          <w:rFonts w:ascii="宋体" w:hAnsi="宋体"/>
          <w:color w:val="auto"/>
          <w:szCs w:val="21"/>
          <w:highlight w:val="none"/>
        </w:rPr>
        <w:t>种方式对合同价格进行调整：</w:t>
      </w:r>
    </w:p>
    <w:p w14:paraId="790B2A28">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第1种方式：采用价格指数进行价格调整。</w:t>
      </w:r>
    </w:p>
    <w:p w14:paraId="2D72AE23">
      <w:pPr>
        <w:spacing w:line="360" w:lineRule="auto"/>
        <w:ind w:firstLine="420" w:firstLineChars="200"/>
        <w:rPr>
          <w:rFonts w:ascii="宋体" w:hAnsi="宋体"/>
          <w:color w:val="auto"/>
          <w:szCs w:val="21"/>
          <w:highlight w:val="none"/>
          <w:u w:val="single"/>
        </w:rPr>
      </w:pPr>
      <w:r>
        <w:rPr>
          <w:rFonts w:ascii="宋体" w:hAnsi="宋体"/>
          <w:color w:val="auto"/>
          <w:szCs w:val="21"/>
          <w:highlight w:val="none"/>
        </w:rPr>
        <w:t>关于各可调因子、定值和变值权重，以及基本价格指数及其来源的约定：</w:t>
      </w:r>
      <w:r>
        <w:rPr>
          <w:rFonts w:hint="eastAsia" w:ascii="宋体" w:hAnsi="宋体"/>
          <w:color w:val="auto"/>
          <w:szCs w:val="21"/>
          <w:highlight w:val="none"/>
          <w:u w:val="single"/>
        </w:rPr>
        <w:t xml:space="preserve">                      </w:t>
      </w:r>
      <w:r>
        <w:rPr>
          <w:rFonts w:ascii="宋体" w:hAnsi="宋体"/>
          <w:color w:val="auto"/>
          <w:szCs w:val="21"/>
          <w:highlight w:val="none"/>
        </w:rPr>
        <w:t xml:space="preserve">；  </w:t>
      </w:r>
    </w:p>
    <w:p w14:paraId="63F4B1D9">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第2种方式：采用造价信息进行价格调整。</w:t>
      </w:r>
    </w:p>
    <w:p w14:paraId="1173DFCC">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（1）允许调整的主要材料（设备）、基期价格、风险系数、投标报价：详见《承包人提供主要材料和设备一览表》。</w:t>
      </w:r>
    </w:p>
    <w:p w14:paraId="5C38FF40">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（2）主要材料确认价：</w:t>
      </w:r>
    </w:p>
    <w:p w14:paraId="15985945">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按施工期间《</w:t>
      </w:r>
      <w:r>
        <w:rPr>
          <w:rFonts w:hint="eastAsia" w:ascii="宋体" w:hAnsi="宋体"/>
          <w:color w:val="auto"/>
          <w:szCs w:val="21"/>
          <w:highlight w:val="none"/>
          <w:u w:val="single"/>
        </w:rPr>
        <w:t>贺州</w:t>
      </w:r>
      <w:r>
        <w:rPr>
          <w:rFonts w:ascii="宋体" w:hAnsi="宋体"/>
          <w:color w:val="auto"/>
          <w:szCs w:val="21"/>
          <w:highlight w:val="none"/>
        </w:rPr>
        <w:t>市建设工程造价信息》加权平均计算，信息价没有的按通用条款规定确定。</w:t>
      </w:r>
    </w:p>
    <w:p w14:paraId="5604D623">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（3）价差计算方法：</w:t>
      </w:r>
    </w:p>
    <w:p w14:paraId="22B644C7">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①《承包人提供主要材料和设备一览表》中载明的材料投标报价低于基准价格的：合同履行期间材料单价涨幅以基准价格为基础超过约定的风险范围时，或材料单价跌幅以投标报价为基础超过约定的风险范围时，其超过部分据实调整。</w:t>
      </w:r>
    </w:p>
    <w:p w14:paraId="04D40B08">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②承包人在《承包人提供主要材料和设备一览表》中载明的材料投标报价高于基准价格的：专用合同条款合同履行期间材料单价跌幅以基准价格为基础超过约定的风险范围时，材料单价涨幅以投标报价为基础超过约定的风险范围时，其超过部分据实调整。</w:t>
      </w:r>
    </w:p>
    <w:p w14:paraId="07F89DB6">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③承包人在《承包人提供主要材料和设备一览表》中载明的材料单价等于基准单价的：合同履行期间材料单价涨跌幅以基准单价为基础超过约定的风险范围时，其超过部分据实调整。</w:t>
      </w:r>
    </w:p>
    <w:p w14:paraId="1D698F37">
      <w:pPr>
        <w:spacing w:line="360" w:lineRule="auto"/>
        <w:ind w:firstLine="645"/>
        <w:jc w:val="left"/>
        <w:rPr>
          <w:rFonts w:ascii="宋体" w:hAnsi="宋体"/>
          <w:color w:val="auto"/>
          <w:szCs w:val="21"/>
          <w:highlight w:val="none"/>
        </w:rPr>
      </w:pPr>
      <w:r>
        <w:rPr>
          <w:rFonts w:ascii="宋体" w:hAnsi="宋体"/>
          <w:color w:val="auto"/>
          <w:szCs w:val="21"/>
          <w:highlight w:val="none"/>
        </w:rPr>
        <w:t>第</w:t>
      </w:r>
      <w:r>
        <w:rPr>
          <w:rFonts w:hint="eastAsia" w:ascii="宋体" w:hAnsi="宋体"/>
          <w:color w:val="auto"/>
          <w:szCs w:val="21"/>
          <w:highlight w:val="none"/>
        </w:rPr>
        <w:t>3</w:t>
      </w:r>
      <w:r>
        <w:rPr>
          <w:rFonts w:ascii="宋体" w:hAnsi="宋体"/>
          <w:color w:val="auto"/>
          <w:szCs w:val="21"/>
          <w:highlight w:val="none"/>
        </w:rPr>
        <w:t>种方</w:t>
      </w:r>
      <w:r>
        <w:rPr>
          <w:rFonts w:hint="eastAsia" w:ascii="宋体" w:hAnsi="宋体"/>
          <w:color w:val="auto"/>
          <w:szCs w:val="21"/>
          <w:highlight w:val="none"/>
        </w:rPr>
        <w:t>式</w:t>
      </w:r>
      <w:r>
        <w:rPr>
          <w:rFonts w:ascii="宋体" w:hAnsi="宋体"/>
          <w:color w:val="auto"/>
          <w:szCs w:val="21"/>
          <w:highlight w:val="none"/>
        </w:rPr>
        <w:t>：</w:t>
      </w:r>
      <w:r>
        <w:rPr>
          <w:rFonts w:hint="eastAsia" w:ascii="宋体" w:hAnsi="宋体"/>
          <w:color w:val="auto"/>
          <w:szCs w:val="21"/>
          <w:highlight w:val="none"/>
          <w:u w:val="single"/>
        </w:rPr>
        <w:t xml:space="preserve">                      </w:t>
      </w:r>
      <w:r>
        <w:rPr>
          <w:rFonts w:hint="eastAsia" w:ascii="宋体" w:hAnsi="宋体"/>
          <w:color w:val="auto"/>
          <w:szCs w:val="21"/>
          <w:highlight w:val="none"/>
        </w:rPr>
        <w:t>。</w:t>
      </w:r>
    </w:p>
    <w:bookmarkEnd w:id="1097"/>
    <w:bookmarkEnd w:id="1098"/>
    <w:bookmarkEnd w:id="1099"/>
    <w:bookmarkEnd w:id="1100"/>
    <w:bookmarkEnd w:id="1101"/>
    <w:bookmarkEnd w:id="1102"/>
    <w:p w14:paraId="19803DB1">
      <w:pPr>
        <w:keepNext/>
        <w:keepLines/>
        <w:spacing w:before="260" w:after="260" w:line="360" w:lineRule="auto"/>
        <w:outlineLvl w:val="1"/>
        <w:rPr>
          <w:rFonts w:ascii="宋体" w:hAnsi="宋体"/>
          <w:b/>
          <w:bCs/>
          <w:color w:val="auto"/>
          <w:sz w:val="32"/>
          <w:szCs w:val="32"/>
          <w:highlight w:val="none"/>
        </w:rPr>
      </w:pPr>
      <w:bookmarkStart w:id="1282" w:name="_Toc296891033"/>
      <w:bookmarkStart w:id="1283" w:name="_Toc296891245"/>
      <w:bookmarkStart w:id="1284" w:name="_Toc296346706"/>
      <w:bookmarkStart w:id="1285" w:name="_Toc292559915"/>
      <w:bookmarkStart w:id="1286" w:name="_Toc297048391"/>
      <w:bookmarkStart w:id="1287" w:name="_Toc297120505"/>
      <w:bookmarkStart w:id="1288" w:name="_Toc296503205"/>
      <w:bookmarkStart w:id="1289" w:name="_Toc292559410"/>
      <w:bookmarkStart w:id="1290" w:name="_Toc296944544"/>
      <w:bookmarkStart w:id="1291" w:name="_Toc296347204"/>
      <w:bookmarkStart w:id="1292" w:name="_Toc351203644"/>
      <w:bookmarkStart w:id="1293" w:name="_Toc12047"/>
      <w:bookmarkStart w:id="1294" w:name="_Toc495673427"/>
      <w:bookmarkStart w:id="1295" w:name="_Toc407135251"/>
      <w:bookmarkStart w:id="1296" w:name="_Toc86935912"/>
      <w:bookmarkStart w:id="1297" w:name="_Toc23523"/>
      <w:bookmarkStart w:id="1298" w:name="_Toc508379762"/>
      <w:bookmarkStart w:id="1299" w:name="_Toc373478395"/>
      <w:bookmarkStart w:id="1300" w:name="_Toc373227748"/>
      <w:bookmarkStart w:id="1301" w:name="_Toc300935002"/>
      <w:bookmarkStart w:id="1302" w:name="_Toc304295579"/>
      <w:bookmarkStart w:id="1303" w:name="_Toc303539159"/>
      <w:bookmarkStart w:id="1304" w:name="_Toc297216211"/>
      <w:bookmarkStart w:id="1305" w:name="_Toc297123552"/>
      <w:bookmarkStart w:id="1306" w:name="_Toc312678040"/>
      <w:r>
        <w:rPr>
          <w:rFonts w:ascii="宋体" w:hAnsi="宋体"/>
          <w:b/>
          <w:bCs/>
          <w:color w:val="auto"/>
          <w:sz w:val="32"/>
          <w:szCs w:val="32"/>
          <w:highlight w:val="none"/>
        </w:rPr>
        <w:t xml:space="preserve">12. </w:t>
      </w:r>
      <w:bookmarkEnd w:id="1282"/>
      <w:bookmarkEnd w:id="1283"/>
      <w:bookmarkEnd w:id="1284"/>
      <w:bookmarkEnd w:id="1285"/>
      <w:bookmarkEnd w:id="1286"/>
      <w:bookmarkEnd w:id="1287"/>
      <w:bookmarkEnd w:id="1288"/>
      <w:bookmarkEnd w:id="1289"/>
      <w:bookmarkEnd w:id="1290"/>
      <w:bookmarkEnd w:id="1291"/>
      <w:r>
        <w:rPr>
          <w:rFonts w:ascii="宋体" w:hAnsi="宋体"/>
          <w:b/>
          <w:bCs/>
          <w:color w:val="auto"/>
          <w:sz w:val="32"/>
          <w:szCs w:val="32"/>
          <w:highlight w:val="none"/>
        </w:rPr>
        <w:t>合同价格、计量与支付</w:t>
      </w:r>
      <w:bookmarkEnd w:id="1292"/>
      <w:bookmarkEnd w:id="1293"/>
      <w:bookmarkEnd w:id="1294"/>
      <w:bookmarkEnd w:id="1295"/>
      <w:bookmarkEnd w:id="1296"/>
      <w:bookmarkEnd w:id="1297"/>
      <w:bookmarkEnd w:id="1298"/>
      <w:bookmarkEnd w:id="1299"/>
      <w:bookmarkEnd w:id="1300"/>
    </w:p>
    <w:bookmarkEnd w:id="1301"/>
    <w:bookmarkEnd w:id="1302"/>
    <w:bookmarkEnd w:id="1303"/>
    <w:bookmarkEnd w:id="1304"/>
    <w:bookmarkEnd w:id="1305"/>
    <w:bookmarkEnd w:id="1306"/>
    <w:p w14:paraId="605201E5">
      <w:pPr>
        <w:keepNext/>
        <w:keepLines/>
        <w:spacing w:before="260" w:after="260" w:line="360" w:lineRule="auto"/>
        <w:outlineLvl w:val="2"/>
        <w:rPr>
          <w:rFonts w:ascii="宋体" w:hAnsi="宋体"/>
          <w:b/>
          <w:bCs/>
          <w:color w:val="auto"/>
          <w:sz w:val="32"/>
          <w:szCs w:val="32"/>
          <w:highlight w:val="none"/>
        </w:rPr>
      </w:pPr>
      <w:bookmarkStart w:id="1307" w:name="_Toc267251461"/>
      <w:bookmarkStart w:id="1308" w:name="_Toc292559916"/>
      <w:bookmarkStart w:id="1309" w:name="_Toc292559411"/>
      <w:bookmarkStart w:id="1310" w:name="_Toc296346707"/>
      <w:bookmarkStart w:id="1311" w:name="_Toc296347205"/>
      <w:bookmarkStart w:id="1312" w:name="_Toc296891246"/>
      <w:bookmarkStart w:id="1313" w:name="_Toc297120506"/>
      <w:bookmarkStart w:id="1314" w:name="_Toc296944545"/>
      <w:bookmarkStart w:id="1315" w:name="_Toc296891034"/>
      <w:bookmarkStart w:id="1316" w:name="_Toc296503206"/>
      <w:bookmarkStart w:id="1317" w:name="_Toc297048392"/>
      <w:bookmarkStart w:id="1318" w:name="_Toc86935913"/>
      <w:bookmarkStart w:id="1319" w:name="_Toc373478396"/>
      <w:bookmarkStart w:id="1320" w:name="_Toc373227749"/>
      <w:bookmarkStart w:id="1321" w:name="_Toc407135252"/>
      <w:bookmarkStart w:id="1322" w:name="_Toc389065314"/>
      <w:bookmarkStart w:id="1323" w:name="_Toc19859"/>
      <w:bookmarkStart w:id="1324" w:name="_Toc616"/>
      <w:bookmarkStart w:id="1325" w:name="_Toc495673428"/>
      <w:bookmarkStart w:id="1326" w:name="_Toc508379763"/>
      <w:bookmarkStart w:id="1327" w:name="_Toc304295580"/>
      <w:bookmarkStart w:id="1328" w:name="_Toc297216212"/>
      <w:bookmarkStart w:id="1329" w:name="_Toc312678041"/>
      <w:bookmarkStart w:id="1330" w:name="_Toc303539160"/>
      <w:bookmarkStart w:id="1331" w:name="_Toc300935003"/>
      <w:bookmarkStart w:id="1332" w:name="_Toc297123553"/>
      <w:r>
        <w:rPr>
          <w:rFonts w:ascii="宋体" w:hAnsi="宋体"/>
          <w:b/>
          <w:bCs/>
          <w:color w:val="auto"/>
          <w:sz w:val="32"/>
          <w:szCs w:val="32"/>
          <w:highlight w:val="none"/>
        </w:rPr>
        <w:t>12.1 合</w:t>
      </w:r>
      <w:bookmarkEnd w:id="1307"/>
      <w:bookmarkEnd w:id="1308"/>
      <w:bookmarkEnd w:id="1309"/>
      <w:r>
        <w:rPr>
          <w:rFonts w:ascii="宋体" w:hAnsi="宋体"/>
          <w:b/>
          <w:bCs/>
          <w:color w:val="auto"/>
          <w:sz w:val="32"/>
          <w:szCs w:val="32"/>
          <w:highlight w:val="none"/>
        </w:rPr>
        <w:t>同价</w:t>
      </w:r>
      <w:bookmarkEnd w:id="1310"/>
      <w:bookmarkEnd w:id="1311"/>
      <w:bookmarkEnd w:id="1312"/>
      <w:bookmarkEnd w:id="1313"/>
      <w:bookmarkEnd w:id="1314"/>
      <w:bookmarkEnd w:id="1315"/>
      <w:bookmarkEnd w:id="1316"/>
      <w:bookmarkEnd w:id="1317"/>
      <w:r>
        <w:rPr>
          <w:rFonts w:ascii="宋体" w:hAnsi="宋体"/>
          <w:b/>
          <w:bCs/>
          <w:color w:val="auto"/>
          <w:sz w:val="32"/>
          <w:szCs w:val="32"/>
          <w:highlight w:val="none"/>
        </w:rPr>
        <w:t>格形式</w:t>
      </w:r>
      <w:bookmarkEnd w:id="1318"/>
      <w:bookmarkEnd w:id="1319"/>
      <w:bookmarkEnd w:id="1320"/>
      <w:bookmarkEnd w:id="1321"/>
      <w:bookmarkEnd w:id="1322"/>
      <w:bookmarkEnd w:id="1323"/>
      <w:bookmarkEnd w:id="1324"/>
      <w:bookmarkEnd w:id="1325"/>
      <w:bookmarkEnd w:id="1326"/>
    </w:p>
    <w:bookmarkEnd w:id="1327"/>
    <w:bookmarkEnd w:id="1328"/>
    <w:bookmarkEnd w:id="1329"/>
    <w:bookmarkEnd w:id="1330"/>
    <w:bookmarkEnd w:id="1331"/>
    <w:bookmarkEnd w:id="1332"/>
    <w:p w14:paraId="56855A4A">
      <w:pPr>
        <w:pStyle w:val="135"/>
        <w:widowControl/>
        <w:spacing w:line="360" w:lineRule="auto"/>
        <w:ind w:firstLine="424" w:firstLineChars="202"/>
        <w:jc w:val="left"/>
        <w:rPr>
          <w:rFonts w:hint="eastAsia" w:ascii="宋体" w:hAnsi="宋体"/>
          <w:color w:val="auto"/>
          <w:szCs w:val="21"/>
          <w:highlight w:val="none"/>
        </w:rPr>
      </w:pPr>
      <w:bookmarkStart w:id="1333" w:name="_Toc395382553"/>
      <w:bookmarkStart w:id="1334" w:name="_Toc373478397"/>
      <w:bookmarkStart w:id="1335" w:name="_Toc373227750"/>
      <w:bookmarkStart w:id="1336" w:name="_Toc389065315"/>
      <w:bookmarkStart w:id="1337" w:name="_Toc304295581"/>
      <w:bookmarkStart w:id="1338" w:name="_Toc303539161"/>
      <w:bookmarkStart w:id="1339" w:name="_Toc297216213"/>
      <w:bookmarkStart w:id="1340" w:name="_Toc312678042"/>
      <w:bookmarkStart w:id="1341" w:name="_Toc300935004"/>
      <w:bookmarkStart w:id="1342" w:name="_Toc297123554"/>
      <w:bookmarkStart w:id="1343" w:name="_Toc296891035"/>
      <w:bookmarkStart w:id="1344" w:name="_Toc297048393"/>
      <w:bookmarkStart w:id="1345" w:name="_Toc297120507"/>
      <w:bookmarkStart w:id="1346" w:name="_Toc292559917"/>
      <w:bookmarkStart w:id="1347" w:name="_Toc296346708"/>
      <w:bookmarkStart w:id="1348" w:name="_Toc296347206"/>
      <w:bookmarkStart w:id="1349" w:name="_Toc296891247"/>
      <w:bookmarkStart w:id="1350" w:name="_Toc296944546"/>
      <w:bookmarkStart w:id="1351" w:name="_Toc292559412"/>
      <w:bookmarkStart w:id="1352" w:name="_Toc296503207"/>
      <w:r>
        <w:rPr>
          <w:rStyle w:val="35"/>
          <w:rFonts w:hint="eastAsia" w:ascii="宋体" w:hAnsi="宋体" w:eastAsia="宋体"/>
          <w:color w:val="auto"/>
          <w:highlight w:val="none"/>
        </w:rPr>
        <w:t>本合同价款采用</w:t>
      </w:r>
      <w:bookmarkEnd w:id="1333"/>
      <w:r>
        <w:rPr>
          <w:rStyle w:val="35"/>
          <w:rFonts w:hint="eastAsia" w:ascii="宋体" w:hAnsi="宋体" w:eastAsia="宋体"/>
          <w:color w:val="auto"/>
          <w:highlight w:val="none"/>
          <w:u w:val="single"/>
        </w:rPr>
        <w:t>固定综合单价方式</w:t>
      </w:r>
      <w:r>
        <w:rPr>
          <w:rStyle w:val="35"/>
          <w:rFonts w:hint="eastAsia" w:ascii="宋体" w:hAnsi="宋体" w:eastAsia="宋体"/>
          <w:color w:val="auto"/>
          <w:highlight w:val="none"/>
        </w:rPr>
        <w:t>确定，合同价格包含增值税，本工程计价时采用的增值税计税方法为：一般计税法。</w:t>
      </w:r>
    </w:p>
    <w:p w14:paraId="5F1D9F84">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w:t>
      </w:r>
      <w:r>
        <w:rPr>
          <w:rFonts w:ascii="宋体" w:hAnsi="宋体"/>
          <w:color w:val="auto"/>
          <w:szCs w:val="21"/>
          <w:highlight w:val="none"/>
        </w:rPr>
        <w:t>1</w:t>
      </w:r>
      <w:r>
        <w:rPr>
          <w:rFonts w:hint="eastAsia" w:ascii="宋体" w:hAnsi="宋体"/>
          <w:color w:val="auto"/>
          <w:szCs w:val="21"/>
          <w:highlight w:val="none"/>
        </w:rPr>
        <w:t>）</w:t>
      </w:r>
      <w:r>
        <w:rPr>
          <w:rFonts w:ascii="宋体" w:hAnsi="宋体"/>
          <w:color w:val="auto"/>
          <w:szCs w:val="21"/>
          <w:highlight w:val="none"/>
        </w:rPr>
        <w:t>单价合同。</w:t>
      </w:r>
    </w:p>
    <w:p w14:paraId="618A9133">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本合同价款采用固定综合单价方式确定。</w:t>
      </w:r>
    </w:p>
    <w:p w14:paraId="0261D7CB">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综合单价包含的风险范围：</w:t>
      </w:r>
      <w:r>
        <w:rPr>
          <w:rFonts w:ascii="宋体" w:hAnsi="宋体"/>
          <w:color w:val="auto"/>
          <w:szCs w:val="21"/>
          <w:highlight w:val="none"/>
          <w:u w:val="single"/>
        </w:rPr>
        <w:t>除工程变更、政策性调整、《承包人提供主要材料和设备一览表》约定的材料、设备价格变动风险以外因素。</w:t>
      </w:r>
    </w:p>
    <w:p w14:paraId="5F282235">
      <w:pPr>
        <w:spacing w:line="360" w:lineRule="auto"/>
        <w:ind w:firstLine="441" w:firstLineChars="210"/>
        <w:rPr>
          <w:rFonts w:ascii="宋体" w:hAnsi="宋体"/>
          <w:color w:val="auto"/>
          <w:szCs w:val="21"/>
          <w:highlight w:val="none"/>
        </w:rPr>
      </w:pPr>
      <w:r>
        <w:rPr>
          <w:rFonts w:ascii="宋体" w:hAnsi="宋体"/>
          <w:color w:val="auto"/>
          <w:szCs w:val="21"/>
          <w:highlight w:val="none"/>
        </w:rPr>
        <w:t>风险范围以外合同价格的调整方法：</w:t>
      </w:r>
    </w:p>
    <w:p w14:paraId="74F8DA96">
      <w:pPr>
        <w:spacing w:line="360" w:lineRule="auto"/>
        <w:ind w:firstLine="441" w:firstLineChars="210"/>
        <w:rPr>
          <w:rFonts w:ascii="宋体" w:hAnsi="宋体"/>
          <w:color w:val="auto"/>
          <w:szCs w:val="21"/>
          <w:highlight w:val="none"/>
        </w:rPr>
      </w:pPr>
      <w:r>
        <w:rPr>
          <w:rFonts w:ascii="宋体" w:hAnsi="宋体"/>
          <w:color w:val="auto"/>
          <w:szCs w:val="21"/>
          <w:highlight w:val="none"/>
        </w:rPr>
        <w:t>①工程变更：按10.4.1变更估价原则的约定调整。</w:t>
      </w:r>
    </w:p>
    <w:p w14:paraId="0FF1A881">
      <w:pPr>
        <w:spacing w:line="360" w:lineRule="auto"/>
        <w:ind w:firstLine="441" w:firstLineChars="210"/>
        <w:rPr>
          <w:rFonts w:ascii="宋体" w:hAnsi="宋体"/>
          <w:color w:val="auto"/>
          <w:szCs w:val="21"/>
          <w:highlight w:val="none"/>
        </w:rPr>
      </w:pPr>
      <w:r>
        <w:rPr>
          <w:rFonts w:ascii="宋体" w:hAnsi="宋体"/>
          <w:color w:val="auto"/>
          <w:szCs w:val="21"/>
          <w:highlight w:val="none"/>
        </w:rPr>
        <w:t>②政策性调整：</w:t>
      </w:r>
      <w:r>
        <w:rPr>
          <w:rFonts w:hint="eastAsia" w:ascii="宋体" w:hAnsi="宋体"/>
          <w:color w:val="auto"/>
          <w:highlight w:val="none"/>
        </w:rPr>
        <w:t>按自治区</w:t>
      </w:r>
      <w:r>
        <w:rPr>
          <w:rFonts w:hint="eastAsia" w:ascii="宋体" w:hAnsi="宋体" w:cs="宋体"/>
          <w:color w:val="auto"/>
          <w:highlight w:val="none"/>
        </w:rPr>
        <w:t>住房城乡</w:t>
      </w:r>
      <w:r>
        <w:rPr>
          <w:rFonts w:hint="eastAsia" w:ascii="宋体" w:hAnsi="宋体"/>
          <w:color w:val="auto"/>
          <w:highlight w:val="none"/>
        </w:rPr>
        <w:t>建设行政主管部门颁布的文件执行。</w:t>
      </w:r>
    </w:p>
    <w:p w14:paraId="312DC581">
      <w:pPr>
        <w:spacing w:line="360" w:lineRule="auto"/>
        <w:ind w:firstLine="441" w:firstLineChars="210"/>
        <w:rPr>
          <w:rFonts w:ascii="宋体" w:hAnsi="宋体"/>
          <w:color w:val="auto"/>
          <w:szCs w:val="21"/>
          <w:highlight w:val="none"/>
        </w:rPr>
      </w:pPr>
      <w:r>
        <w:rPr>
          <w:rFonts w:ascii="宋体" w:hAnsi="宋体"/>
          <w:color w:val="auto"/>
          <w:szCs w:val="21"/>
          <w:highlight w:val="none"/>
        </w:rPr>
        <w:t>③材料价格风险：按11.1的约定调整。</w:t>
      </w:r>
    </w:p>
    <w:p w14:paraId="3338A560">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④其它：</w:t>
      </w:r>
      <w:r>
        <w:rPr>
          <w:rFonts w:hint="eastAsia" w:ascii="宋体" w:hAnsi="宋体"/>
          <w:color w:val="auto"/>
          <w:szCs w:val="21"/>
          <w:highlight w:val="none"/>
          <w:u w:val="single"/>
        </w:rPr>
        <w:t xml:space="preserve">                      </w:t>
      </w:r>
      <w:r>
        <w:rPr>
          <w:rFonts w:ascii="宋体" w:hAnsi="宋体"/>
          <w:color w:val="auto"/>
          <w:szCs w:val="21"/>
          <w:highlight w:val="none"/>
        </w:rPr>
        <w:t>。</w:t>
      </w:r>
    </w:p>
    <w:p w14:paraId="56873072">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w:t>
      </w:r>
      <w:r>
        <w:rPr>
          <w:rFonts w:ascii="宋体" w:hAnsi="宋体"/>
          <w:color w:val="auto"/>
          <w:szCs w:val="21"/>
          <w:highlight w:val="none"/>
        </w:rPr>
        <w:t>2</w:t>
      </w:r>
      <w:r>
        <w:rPr>
          <w:rFonts w:hint="eastAsia" w:ascii="宋体" w:hAnsi="宋体"/>
          <w:color w:val="auto"/>
          <w:szCs w:val="21"/>
          <w:highlight w:val="none"/>
        </w:rPr>
        <w:t>）</w:t>
      </w:r>
      <w:r>
        <w:rPr>
          <w:rFonts w:ascii="宋体" w:hAnsi="宋体"/>
          <w:color w:val="auto"/>
          <w:szCs w:val="21"/>
          <w:highlight w:val="none"/>
        </w:rPr>
        <w:t>总价合同。</w:t>
      </w:r>
    </w:p>
    <w:p w14:paraId="0B9DCA83">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总价包含的风险范围：</w:t>
      </w:r>
      <w:r>
        <w:rPr>
          <w:rFonts w:hint="eastAsia" w:ascii="宋体" w:hAnsi="宋体"/>
          <w:color w:val="auto"/>
          <w:szCs w:val="21"/>
          <w:highlight w:val="none"/>
          <w:u w:val="single"/>
        </w:rPr>
        <w:t xml:space="preserve">                      </w:t>
      </w:r>
      <w:r>
        <w:rPr>
          <w:rFonts w:ascii="宋体" w:hAnsi="宋体"/>
          <w:color w:val="auto"/>
          <w:szCs w:val="21"/>
          <w:highlight w:val="none"/>
        </w:rPr>
        <w:t>。</w:t>
      </w:r>
    </w:p>
    <w:p w14:paraId="77A8CF8E">
      <w:pPr>
        <w:spacing w:line="360" w:lineRule="auto"/>
        <w:ind w:firstLine="420" w:firstLineChars="200"/>
        <w:jc w:val="left"/>
        <w:rPr>
          <w:rFonts w:ascii="宋体" w:hAnsi="宋体"/>
          <w:color w:val="auto"/>
          <w:szCs w:val="22"/>
          <w:highlight w:val="none"/>
        </w:rPr>
      </w:pPr>
      <w:r>
        <w:rPr>
          <w:rFonts w:ascii="宋体" w:hAnsi="宋体"/>
          <w:color w:val="auto"/>
          <w:szCs w:val="22"/>
          <w:highlight w:val="none"/>
        </w:rPr>
        <w:t>风险范围以外合同价格的调整方法：</w:t>
      </w:r>
      <w:r>
        <w:rPr>
          <w:rFonts w:hint="eastAsia" w:ascii="宋体" w:hAnsi="宋体"/>
          <w:color w:val="auto"/>
          <w:szCs w:val="21"/>
          <w:highlight w:val="none"/>
          <w:u w:val="single"/>
        </w:rPr>
        <w:t xml:space="preserve">                      </w:t>
      </w:r>
      <w:r>
        <w:rPr>
          <w:rFonts w:ascii="宋体" w:hAnsi="宋体"/>
          <w:color w:val="auto"/>
          <w:szCs w:val="22"/>
          <w:highlight w:val="none"/>
        </w:rPr>
        <w:t>。</w:t>
      </w:r>
    </w:p>
    <w:p w14:paraId="4CFD3372">
      <w:pPr>
        <w:spacing w:line="360" w:lineRule="auto"/>
        <w:ind w:firstLine="420" w:firstLineChars="200"/>
        <w:jc w:val="left"/>
        <w:rPr>
          <w:rFonts w:ascii="宋体" w:hAnsi="宋体"/>
          <w:color w:val="auto"/>
          <w:szCs w:val="22"/>
          <w:highlight w:val="none"/>
        </w:rPr>
      </w:pPr>
      <w:r>
        <w:rPr>
          <w:rFonts w:hint="eastAsia" w:ascii="宋体" w:hAnsi="宋体"/>
          <w:color w:val="auto"/>
          <w:szCs w:val="22"/>
          <w:highlight w:val="none"/>
        </w:rPr>
        <w:t>（</w:t>
      </w:r>
      <w:r>
        <w:rPr>
          <w:rFonts w:ascii="宋体" w:hAnsi="宋体"/>
          <w:color w:val="auto"/>
          <w:szCs w:val="22"/>
          <w:highlight w:val="none"/>
        </w:rPr>
        <w:t>3</w:t>
      </w:r>
      <w:r>
        <w:rPr>
          <w:rFonts w:hint="eastAsia" w:ascii="宋体" w:hAnsi="宋体"/>
          <w:color w:val="auto"/>
          <w:szCs w:val="22"/>
          <w:highlight w:val="none"/>
        </w:rPr>
        <w:t>）</w:t>
      </w:r>
      <w:r>
        <w:rPr>
          <w:rFonts w:ascii="宋体" w:hAnsi="宋体"/>
          <w:color w:val="auto"/>
          <w:szCs w:val="22"/>
          <w:highlight w:val="none"/>
        </w:rPr>
        <w:t>其他价格方式：</w:t>
      </w:r>
      <w:r>
        <w:rPr>
          <w:rFonts w:hint="eastAsia" w:ascii="宋体" w:hAnsi="宋体"/>
          <w:color w:val="auto"/>
          <w:szCs w:val="21"/>
          <w:highlight w:val="none"/>
          <w:u w:val="single"/>
        </w:rPr>
        <w:t xml:space="preserve">                      </w:t>
      </w:r>
      <w:r>
        <w:rPr>
          <w:rFonts w:ascii="宋体" w:hAnsi="宋体"/>
          <w:color w:val="auto"/>
          <w:szCs w:val="22"/>
          <w:highlight w:val="none"/>
        </w:rPr>
        <w:t>。</w:t>
      </w:r>
    </w:p>
    <w:p w14:paraId="217BBC47">
      <w:pPr>
        <w:keepNext/>
        <w:keepLines/>
        <w:spacing w:before="260" w:after="260" w:line="360" w:lineRule="auto"/>
        <w:outlineLvl w:val="2"/>
        <w:rPr>
          <w:rFonts w:ascii="宋体" w:hAnsi="宋体"/>
          <w:b/>
          <w:bCs/>
          <w:color w:val="auto"/>
          <w:sz w:val="32"/>
          <w:szCs w:val="32"/>
          <w:highlight w:val="none"/>
        </w:rPr>
      </w:pPr>
      <w:bookmarkStart w:id="1353" w:name="_Toc407135253"/>
      <w:bookmarkStart w:id="1354" w:name="_Toc86935914"/>
      <w:bookmarkStart w:id="1355" w:name="_Toc27337"/>
      <w:bookmarkStart w:id="1356" w:name="_Toc508379764"/>
      <w:bookmarkStart w:id="1357" w:name="_Toc7829"/>
      <w:bookmarkStart w:id="1358" w:name="_Toc495673429"/>
      <w:r>
        <w:rPr>
          <w:rFonts w:ascii="宋体" w:hAnsi="宋体"/>
          <w:b/>
          <w:bCs/>
          <w:color w:val="auto"/>
          <w:sz w:val="32"/>
          <w:szCs w:val="32"/>
          <w:highlight w:val="none"/>
        </w:rPr>
        <w:t>12.2 预付款</w:t>
      </w:r>
      <w:bookmarkEnd w:id="1334"/>
      <w:bookmarkEnd w:id="1335"/>
      <w:bookmarkEnd w:id="1336"/>
      <w:bookmarkEnd w:id="1353"/>
      <w:bookmarkEnd w:id="1354"/>
      <w:bookmarkEnd w:id="1355"/>
      <w:bookmarkEnd w:id="1356"/>
      <w:bookmarkEnd w:id="1357"/>
      <w:bookmarkEnd w:id="1358"/>
    </w:p>
    <w:bookmarkEnd w:id="1337"/>
    <w:bookmarkEnd w:id="1338"/>
    <w:bookmarkEnd w:id="1339"/>
    <w:bookmarkEnd w:id="1340"/>
    <w:bookmarkEnd w:id="1341"/>
    <w:bookmarkEnd w:id="1342"/>
    <w:p w14:paraId="30166504">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12.2.1 预付款的支付</w:t>
      </w:r>
    </w:p>
    <w:p w14:paraId="0F9861DA">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预付款支付比例或金额：</w:t>
      </w:r>
      <w:r>
        <w:rPr>
          <w:rFonts w:hint="eastAsia" w:ascii="宋体" w:hAnsi="宋体"/>
          <w:color w:val="auto"/>
          <w:szCs w:val="21"/>
          <w:highlight w:val="none"/>
          <w:u w:val="single"/>
          <w:lang w:val="zh-CN" w:eastAsia="zh-CN"/>
        </w:rPr>
        <w:t>按合同价款金额的</w:t>
      </w:r>
      <w:r>
        <w:rPr>
          <w:rFonts w:hint="eastAsia" w:ascii="宋体" w:hAnsi="宋体"/>
          <w:color w:val="auto"/>
          <w:szCs w:val="21"/>
          <w:highlight w:val="none"/>
          <w:u w:val="single"/>
          <w:lang w:val="en-US" w:eastAsia="zh-CN"/>
        </w:rPr>
        <w:t>3</w:t>
      </w:r>
      <w:r>
        <w:rPr>
          <w:rFonts w:hint="eastAsia" w:ascii="宋体" w:hAnsi="宋体"/>
          <w:color w:val="auto"/>
          <w:szCs w:val="21"/>
          <w:highlight w:val="none"/>
          <w:u w:val="single"/>
          <w:lang w:val="zh-CN" w:eastAsia="zh-CN"/>
        </w:rPr>
        <w:t>0%支付</w:t>
      </w:r>
      <w:r>
        <w:rPr>
          <w:rFonts w:ascii="宋体" w:hAnsi="宋体"/>
          <w:color w:val="auto"/>
          <w:szCs w:val="21"/>
          <w:highlight w:val="none"/>
          <w:u w:val="single"/>
        </w:rPr>
        <w:t xml:space="preserve"> </w:t>
      </w:r>
      <w:r>
        <w:rPr>
          <w:rFonts w:ascii="宋体" w:hAnsi="宋体"/>
          <w:color w:val="auto"/>
          <w:szCs w:val="21"/>
          <w:highlight w:val="none"/>
        </w:rPr>
        <w:t>。</w:t>
      </w:r>
    </w:p>
    <w:p w14:paraId="6259C135">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预付款支付期限：</w:t>
      </w:r>
      <w:r>
        <w:rPr>
          <w:rFonts w:hint="eastAsia" w:ascii="宋体" w:hAnsi="宋体"/>
          <w:color w:val="auto"/>
          <w:szCs w:val="21"/>
          <w:highlight w:val="none"/>
          <w:u w:val="single"/>
          <w:lang w:val="zh-CN" w:eastAsia="zh-CN"/>
        </w:rPr>
        <w:t>合同签订后并在接收到承包方提交的付款申请后10个工作日内一次性支付给承包人</w:t>
      </w:r>
      <w:r>
        <w:rPr>
          <w:rFonts w:ascii="宋体" w:hAnsi="宋体"/>
          <w:color w:val="auto"/>
          <w:szCs w:val="21"/>
          <w:highlight w:val="none"/>
        </w:rPr>
        <w:t>。</w:t>
      </w:r>
    </w:p>
    <w:p w14:paraId="365331F1">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预付款扣回的方式：</w:t>
      </w:r>
      <w:r>
        <w:rPr>
          <w:rFonts w:hint="eastAsia" w:ascii="宋体" w:hAnsi="宋体" w:eastAsia="宋体" w:cs="宋体"/>
          <w:color w:val="auto"/>
          <w:highlight w:val="none"/>
          <w:u w:val="single"/>
          <w:lang w:val="zh-CN" w:eastAsia="zh-CN"/>
        </w:rPr>
        <w:t>开工预付款在进度付款证书的累计金额未达到合同价的30％之前不予扣回，在达到签约合同价30％之后，从进度付款证书中一次性扣回</w:t>
      </w:r>
      <w:r>
        <w:rPr>
          <w:rFonts w:ascii="宋体" w:hAnsi="宋体"/>
          <w:color w:val="auto"/>
          <w:szCs w:val="21"/>
          <w:highlight w:val="none"/>
        </w:rPr>
        <w:t>。</w:t>
      </w:r>
    </w:p>
    <w:p w14:paraId="2688D35F">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12.2.2 预付款担保</w:t>
      </w:r>
    </w:p>
    <w:p w14:paraId="35F4C257">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承包人提交预付款担保的期限：</w:t>
      </w:r>
      <w:r>
        <w:rPr>
          <w:rFonts w:hint="eastAsia" w:ascii="宋体" w:hAnsi="宋体"/>
          <w:color w:val="auto"/>
          <w:szCs w:val="21"/>
          <w:highlight w:val="none"/>
          <w:u w:val="single"/>
        </w:rPr>
        <w:t xml:space="preserve">       </w:t>
      </w:r>
      <w:r>
        <w:rPr>
          <w:rFonts w:hint="eastAsia" w:ascii="宋体" w:hAnsi="宋体"/>
          <w:color w:val="auto"/>
          <w:szCs w:val="21"/>
          <w:highlight w:val="none"/>
          <w:u w:val="single"/>
          <w:lang w:val="en-US" w:eastAsia="zh-CN"/>
        </w:rPr>
        <w:t>/</w:t>
      </w:r>
      <w:r>
        <w:rPr>
          <w:rFonts w:hint="eastAsia" w:ascii="宋体" w:hAnsi="宋体"/>
          <w:color w:val="auto"/>
          <w:szCs w:val="21"/>
          <w:highlight w:val="none"/>
          <w:u w:val="single"/>
        </w:rPr>
        <w:t xml:space="preserve">               </w:t>
      </w:r>
      <w:r>
        <w:rPr>
          <w:rFonts w:ascii="宋体" w:hAnsi="宋体"/>
          <w:color w:val="auto"/>
          <w:szCs w:val="21"/>
          <w:highlight w:val="none"/>
        </w:rPr>
        <w:t>。</w:t>
      </w:r>
    </w:p>
    <w:p w14:paraId="51816D26">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预付款担保的形式为：</w:t>
      </w:r>
      <w:r>
        <w:rPr>
          <w:rFonts w:hint="eastAsia" w:ascii="宋体" w:hAnsi="宋体"/>
          <w:color w:val="auto"/>
          <w:szCs w:val="21"/>
          <w:highlight w:val="none"/>
          <w:u w:val="single"/>
        </w:rPr>
        <w:t xml:space="preserve">           </w:t>
      </w:r>
      <w:r>
        <w:rPr>
          <w:rFonts w:hint="eastAsia" w:ascii="宋体" w:hAnsi="宋体"/>
          <w:color w:val="auto"/>
          <w:szCs w:val="21"/>
          <w:highlight w:val="none"/>
          <w:u w:val="single"/>
          <w:lang w:val="en-US" w:eastAsia="zh-CN"/>
        </w:rPr>
        <w:t>/</w:t>
      </w:r>
      <w:r>
        <w:rPr>
          <w:rFonts w:hint="eastAsia" w:ascii="宋体" w:hAnsi="宋体"/>
          <w:color w:val="auto"/>
          <w:szCs w:val="21"/>
          <w:highlight w:val="none"/>
          <w:u w:val="single"/>
        </w:rPr>
        <w:t xml:space="preserve">           </w:t>
      </w:r>
      <w:r>
        <w:rPr>
          <w:rFonts w:ascii="宋体" w:hAnsi="宋体"/>
          <w:color w:val="auto"/>
          <w:szCs w:val="21"/>
          <w:highlight w:val="none"/>
        </w:rPr>
        <w:t>。</w:t>
      </w:r>
    </w:p>
    <w:p w14:paraId="30E92E1B">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预付款担保格式见合同附件7。</w:t>
      </w:r>
    </w:p>
    <w:bookmarkEnd w:id="1343"/>
    <w:bookmarkEnd w:id="1344"/>
    <w:bookmarkEnd w:id="1345"/>
    <w:bookmarkEnd w:id="1346"/>
    <w:bookmarkEnd w:id="1347"/>
    <w:bookmarkEnd w:id="1348"/>
    <w:bookmarkEnd w:id="1349"/>
    <w:bookmarkEnd w:id="1350"/>
    <w:bookmarkEnd w:id="1351"/>
    <w:bookmarkEnd w:id="1352"/>
    <w:p w14:paraId="7E200B58">
      <w:pPr>
        <w:keepNext/>
        <w:keepLines/>
        <w:spacing w:before="260" w:after="260" w:line="360" w:lineRule="auto"/>
        <w:outlineLvl w:val="2"/>
        <w:rPr>
          <w:rFonts w:ascii="宋体" w:hAnsi="宋体"/>
          <w:b/>
          <w:bCs/>
          <w:color w:val="auto"/>
          <w:sz w:val="32"/>
          <w:szCs w:val="32"/>
          <w:highlight w:val="none"/>
        </w:rPr>
      </w:pPr>
      <w:bookmarkStart w:id="1359" w:name="_Toc495673430"/>
      <w:bookmarkStart w:id="1360" w:name="_Toc508379765"/>
      <w:bookmarkStart w:id="1361" w:name="_Toc1483"/>
      <w:bookmarkStart w:id="1362" w:name="_Toc389065316"/>
      <w:bookmarkStart w:id="1363" w:name="_Toc7063"/>
      <w:bookmarkStart w:id="1364" w:name="_Toc373478398"/>
      <w:bookmarkStart w:id="1365" w:name="_Toc373227751"/>
      <w:bookmarkStart w:id="1366" w:name="_Toc407135254"/>
      <w:bookmarkStart w:id="1367" w:name="_Toc86935915"/>
      <w:r>
        <w:rPr>
          <w:rFonts w:ascii="宋体" w:hAnsi="宋体"/>
          <w:b/>
          <w:bCs/>
          <w:color w:val="auto"/>
          <w:sz w:val="32"/>
          <w:szCs w:val="32"/>
          <w:highlight w:val="none"/>
        </w:rPr>
        <w:t>12.3 计量</w:t>
      </w:r>
      <w:bookmarkEnd w:id="1359"/>
      <w:bookmarkEnd w:id="1360"/>
      <w:bookmarkEnd w:id="1361"/>
      <w:bookmarkEnd w:id="1362"/>
      <w:bookmarkEnd w:id="1363"/>
      <w:bookmarkEnd w:id="1364"/>
      <w:bookmarkEnd w:id="1365"/>
      <w:bookmarkEnd w:id="1366"/>
      <w:bookmarkEnd w:id="1367"/>
    </w:p>
    <w:p w14:paraId="44E4FF4D">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12.3.1 计量原则</w:t>
      </w:r>
    </w:p>
    <w:p w14:paraId="1372B580">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工程量计算规则：</w:t>
      </w:r>
      <w:r>
        <w:rPr>
          <w:rFonts w:ascii="宋体" w:hAnsi="宋体"/>
          <w:color w:val="auto"/>
          <w:szCs w:val="21"/>
          <w:highlight w:val="none"/>
          <w:u w:val="single"/>
        </w:rPr>
        <w:t>工程的计量均以《建设工程工程量清单计价规范》（GB50500－2013）和及其广西壮族自治区实施细则、《建设工程工程量清单计算规范》（GB50854~50862－2013）及其广西实施细则、本工程补充项目清单为准。</w:t>
      </w:r>
    </w:p>
    <w:p w14:paraId="722C5BC5">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12.3.2 计量周期</w:t>
      </w:r>
    </w:p>
    <w:p w14:paraId="278D08A3">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关于计量周期的约定：</w:t>
      </w:r>
      <w:r>
        <w:rPr>
          <w:rFonts w:ascii="宋体" w:hAnsi="宋体"/>
          <w:color w:val="auto"/>
          <w:szCs w:val="21"/>
          <w:highlight w:val="none"/>
          <w:u w:val="single"/>
        </w:rPr>
        <w:t>每月25日前</w:t>
      </w:r>
      <w:r>
        <w:rPr>
          <w:rFonts w:ascii="宋体" w:hAnsi="宋体"/>
          <w:color w:val="auto"/>
          <w:szCs w:val="21"/>
          <w:highlight w:val="none"/>
        </w:rPr>
        <w:t>。</w:t>
      </w:r>
    </w:p>
    <w:p w14:paraId="17593B36">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12.3.3 单价合同的计量</w:t>
      </w:r>
    </w:p>
    <w:p w14:paraId="58A932C1">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关于单价合同计量的约定：</w:t>
      </w:r>
    </w:p>
    <w:p w14:paraId="01A972F3">
      <w:pPr>
        <w:spacing w:line="360" w:lineRule="auto"/>
        <w:ind w:firstLine="441" w:firstLineChars="210"/>
        <w:rPr>
          <w:rFonts w:ascii="宋体" w:hAnsi="宋体"/>
          <w:color w:val="auto"/>
          <w:szCs w:val="21"/>
          <w:highlight w:val="none"/>
        </w:rPr>
      </w:pPr>
      <w:r>
        <w:rPr>
          <w:rFonts w:ascii="宋体" w:hAnsi="宋体"/>
          <w:color w:val="auto"/>
          <w:szCs w:val="21"/>
          <w:highlight w:val="none"/>
        </w:rPr>
        <w:t>(1) 工程量清单所列的工程量，不能作为承包人按合同履行其责任依据，实际施工中发生的工程量增加或减少并不影响承包人履行合同的责任，工程结算以完成的实际工程量为准。</w:t>
      </w:r>
    </w:p>
    <w:p w14:paraId="5D191B8B">
      <w:pPr>
        <w:spacing w:line="360" w:lineRule="auto"/>
        <w:ind w:firstLine="441" w:firstLineChars="210"/>
        <w:rPr>
          <w:rFonts w:ascii="宋体" w:hAnsi="宋体"/>
          <w:color w:val="auto"/>
          <w:szCs w:val="21"/>
          <w:highlight w:val="none"/>
        </w:rPr>
      </w:pPr>
      <w:r>
        <w:rPr>
          <w:rFonts w:ascii="宋体" w:hAnsi="宋体"/>
          <w:color w:val="auto"/>
          <w:szCs w:val="21"/>
          <w:highlight w:val="none"/>
        </w:rPr>
        <w:t>(2) 除另有规定外，工程师应按照合同通过计量来核实确定已完成的工程量和价款，承包人应得到该价款扣除保留金后的金额。当工程师要对已完工的工程量进行计量时，应适时地通知承包人参加。</w:t>
      </w:r>
    </w:p>
    <w:p w14:paraId="7FD2FDD6">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12.3.4 总价合同的计量</w:t>
      </w:r>
    </w:p>
    <w:p w14:paraId="3564A00E">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关于总价合同计量的约定：</w:t>
      </w:r>
      <w:r>
        <w:rPr>
          <w:rFonts w:hint="eastAsia" w:ascii="宋体" w:hAnsi="宋体"/>
          <w:color w:val="auto"/>
          <w:szCs w:val="21"/>
          <w:highlight w:val="none"/>
        </w:rPr>
        <w:t>除工程变更外，原图纸范围内的工程量不得按实计量。进度款按支付分解表支付，按通用条款</w:t>
      </w:r>
      <w:r>
        <w:rPr>
          <w:rFonts w:ascii="宋体" w:hAnsi="宋体"/>
          <w:color w:val="auto"/>
          <w:szCs w:val="21"/>
          <w:highlight w:val="none"/>
        </w:rPr>
        <w:t>第</w:t>
      </w:r>
      <w:r>
        <w:rPr>
          <w:rFonts w:ascii="宋体" w:hAnsi="宋体"/>
          <w:color w:val="auto"/>
          <w:kern w:val="0"/>
          <w:szCs w:val="21"/>
          <w:highlight w:val="none"/>
        </w:rPr>
        <w:t>12.3.4</w:t>
      </w:r>
      <w:r>
        <w:rPr>
          <w:rFonts w:ascii="宋体" w:hAnsi="宋体"/>
          <w:color w:val="auto"/>
          <w:szCs w:val="21"/>
          <w:highlight w:val="none"/>
        </w:rPr>
        <w:t>项</w:t>
      </w:r>
      <w:r>
        <w:rPr>
          <w:rFonts w:ascii="宋体" w:hAnsi="宋体"/>
          <w:color w:val="auto"/>
          <w:kern w:val="0"/>
          <w:szCs w:val="21"/>
          <w:highlight w:val="none"/>
        </w:rPr>
        <w:t>〔总价合同的计量〕</w:t>
      </w:r>
      <w:r>
        <w:rPr>
          <w:rFonts w:ascii="宋体" w:hAnsi="宋体"/>
          <w:color w:val="auto"/>
          <w:szCs w:val="21"/>
          <w:highlight w:val="none"/>
        </w:rPr>
        <w:t>约定</w:t>
      </w:r>
      <w:r>
        <w:rPr>
          <w:rFonts w:hint="eastAsia" w:ascii="宋体" w:hAnsi="宋体"/>
          <w:color w:val="auto"/>
          <w:szCs w:val="21"/>
          <w:highlight w:val="none"/>
        </w:rPr>
        <w:t>进行计量，但</w:t>
      </w:r>
      <w:r>
        <w:rPr>
          <w:rFonts w:ascii="宋体" w:hAnsi="宋体"/>
          <w:color w:val="auto"/>
          <w:kern w:val="0"/>
          <w:szCs w:val="21"/>
          <w:highlight w:val="none"/>
        </w:rPr>
        <w:t>合同价款按照支付分解表进行支付。</w:t>
      </w:r>
    </w:p>
    <w:p w14:paraId="71850EC2">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12.3.6 其他价格形式合同的计量</w:t>
      </w:r>
    </w:p>
    <w:p w14:paraId="5E7DA45E">
      <w:pPr>
        <w:spacing w:line="360" w:lineRule="auto"/>
        <w:ind w:firstLine="420" w:firstLineChars="200"/>
        <w:jc w:val="left"/>
        <w:rPr>
          <w:rFonts w:ascii="宋体" w:hAnsi="宋体"/>
          <w:color w:val="auto"/>
          <w:szCs w:val="21"/>
          <w:highlight w:val="none"/>
          <w:u w:val="single"/>
        </w:rPr>
      </w:pPr>
      <w:r>
        <w:rPr>
          <w:rFonts w:ascii="宋体" w:hAnsi="宋体"/>
          <w:color w:val="auto"/>
          <w:szCs w:val="21"/>
          <w:highlight w:val="none"/>
        </w:rPr>
        <w:t>其他价格形式的计量方式和程序：</w:t>
      </w:r>
      <w:r>
        <w:rPr>
          <w:rFonts w:hint="eastAsia" w:ascii="宋体" w:hAnsi="宋体"/>
          <w:color w:val="auto"/>
          <w:szCs w:val="21"/>
          <w:highlight w:val="none"/>
          <w:u w:val="single"/>
          <w:lang w:val="en-US" w:eastAsia="zh-CN"/>
        </w:rPr>
        <w:t xml:space="preserve">       /        </w:t>
      </w:r>
      <w:r>
        <w:rPr>
          <w:rFonts w:ascii="宋体" w:hAnsi="宋体"/>
          <w:color w:val="auto"/>
          <w:szCs w:val="21"/>
          <w:highlight w:val="none"/>
        </w:rPr>
        <w:t>。</w:t>
      </w:r>
    </w:p>
    <w:p w14:paraId="4866FAB4">
      <w:pPr>
        <w:keepNext/>
        <w:keepLines/>
        <w:spacing w:before="260" w:after="260" w:line="360" w:lineRule="auto"/>
        <w:outlineLvl w:val="2"/>
        <w:rPr>
          <w:rFonts w:ascii="宋体" w:hAnsi="宋体"/>
          <w:b/>
          <w:bCs/>
          <w:color w:val="auto"/>
          <w:sz w:val="32"/>
          <w:szCs w:val="32"/>
          <w:highlight w:val="none"/>
        </w:rPr>
      </w:pPr>
      <w:bookmarkStart w:id="1368" w:name="_Toc16516"/>
      <w:bookmarkStart w:id="1369" w:name="_Toc389065317"/>
      <w:bookmarkStart w:id="1370" w:name="_Toc495673431"/>
      <w:bookmarkStart w:id="1371" w:name="_Toc13154"/>
      <w:bookmarkStart w:id="1372" w:name="_Toc373478399"/>
      <w:bookmarkStart w:id="1373" w:name="_Toc508379766"/>
      <w:bookmarkStart w:id="1374" w:name="_Toc373227752"/>
      <w:bookmarkStart w:id="1375" w:name="_Toc407135255"/>
      <w:bookmarkStart w:id="1376" w:name="_Toc86935916"/>
      <w:r>
        <w:rPr>
          <w:rFonts w:ascii="宋体" w:hAnsi="宋体"/>
          <w:b/>
          <w:bCs/>
          <w:color w:val="auto"/>
          <w:sz w:val="32"/>
          <w:szCs w:val="32"/>
          <w:highlight w:val="none"/>
        </w:rPr>
        <w:t>12.4 工程进度款支付</w:t>
      </w:r>
      <w:bookmarkEnd w:id="1368"/>
      <w:bookmarkEnd w:id="1369"/>
      <w:bookmarkEnd w:id="1370"/>
      <w:bookmarkEnd w:id="1371"/>
      <w:bookmarkEnd w:id="1372"/>
      <w:bookmarkEnd w:id="1373"/>
      <w:bookmarkEnd w:id="1374"/>
      <w:bookmarkEnd w:id="1375"/>
      <w:bookmarkEnd w:id="1376"/>
    </w:p>
    <w:p w14:paraId="0CE137B9">
      <w:pPr>
        <w:spacing w:line="360" w:lineRule="auto"/>
        <w:ind w:firstLine="420" w:firstLineChars="200"/>
        <w:jc w:val="left"/>
        <w:rPr>
          <w:rFonts w:ascii="宋体" w:hAnsi="宋体"/>
          <w:color w:val="auto"/>
          <w:szCs w:val="21"/>
          <w:highlight w:val="none"/>
        </w:rPr>
      </w:pPr>
      <w:bookmarkStart w:id="1377" w:name="_Toc297120511"/>
      <w:bookmarkStart w:id="1378" w:name="_Toc297048397"/>
      <w:bookmarkStart w:id="1379" w:name="_Toc296346712"/>
      <w:bookmarkStart w:id="1380" w:name="_Toc297216215"/>
      <w:bookmarkStart w:id="1381" w:name="_Toc296891251"/>
      <w:bookmarkStart w:id="1382" w:name="_Toc296347210"/>
      <w:bookmarkStart w:id="1383" w:name="_Toc296891039"/>
      <w:bookmarkStart w:id="1384" w:name="_Toc292559921"/>
      <w:bookmarkStart w:id="1385" w:name="_Toc292559416"/>
      <w:bookmarkStart w:id="1386" w:name="_Toc297123556"/>
      <w:bookmarkStart w:id="1387" w:name="_Toc303539163"/>
      <w:bookmarkStart w:id="1388" w:name="_Toc296944550"/>
      <w:bookmarkStart w:id="1389" w:name="_Toc300935006"/>
      <w:bookmarkStart w:id="1390" w:name="_Toc296503211"/>
      <w:r>
        <w:rPr>
          <w:rFonts w:ascii="宋体" w:hAnsi="宋体"/>
          <w:color w:val="auto"/>
          <w:szCs w:val="21"/>
          <w:highlight w:val="none"/>
        </w:rPr>
        <w:t>12.4.1 付款周期</w:t>
      </w:r>
    </w:p>
    <w:p w14:paraId="4C7D9062">
      <w:pPr>
        <w:spacing w:line="360" w:lineRule="auto"/>
        <w:ind w:firstLine="420" w:firstLineChars="200"/>
        <w:jc w:val="left"/>
        <w:rPr>
          <w:rFonts w:ascii="宋体" w:hAnsi="宋体"/>
          <w:color w:val="auto"/>
          <w:szCs w:val="21"/>
          <w:highlight w:val="none"/>
          <w:u w:val="single"/>
        </w:rPr>
      </w:pPr>
      <w:r>
        <w:rPr>
          <w:rFonts w:ascii="宋体" w:hAnsi="宋体"/>
          <w:color w:val="auto"/>
          <w:szCs w:val="21"/>
          <w:highlight w:val="none"/>
        </w:rPr>
        <w:t>关于付款周期的约定：</w:t>
      </w:r>
      <w:r>
        <w:rPr>
          <w:rFonts w:hint="eastAsia" w:ascii="Times New Roman" w:hAnsi="Times New Roman" w:eastAsia="宋体" w:cs="Times New Roman"/>
          <w:color w:val="auto"/>
          <w:highlight w:val="none"/>
          <w:u w:val="single"/>
          <w:lang w:val="zh-CN" w:eastAsia="zh-CN"/>
        </w:rPr>
        <w:t>工程进度款按月支付，付款周期与计量周期保持一致，合同内进度款支付额为已完成工程量的80%，工程变更部分进度款支付额为已完成工程量的80%</w:t>
      </w:r>
      <w:r>
        <w:rPr>
          <w:rFonts w:hint="eastAsia" w:cs="Times New Roman"/>
          <w:color w:val="auto"/>
          <w:highlight w:val="none"/>
          <w:u w:val="single"/>
          <w:lang w:val="zh-CN" w:eastAsia="zh-CN"/>
        </w:rPr>
        <w:t>；</w:t>
      </w:r>
      <w:r>
        <w:rPr>
          <w:rFonts w:hint="eastAsia" w:ascii="Times New Roman" w:hAnsi="Times New Roman" w:eastAsia="宋体" w:cs="Times New Roman"/>
          <w:color w:val="auto"/>
          <w:highlight w:val="none"/>
          <w:u w:val="single"/>
          <w:lang w:val="zh-CN" w:eastAsia="zh-CN"/>
        </w:rPr>
        <w:t>经验收合格后支付合同内及工程变更部分工程量金额的</w:t>
      </w:r>
      <w:r>
        <w:rPr>
          <w:rFonts w:hint="eastAsia" w:cs="Times New Roman"/>
          <w:color w:val="auto"/>
          <w:highlight w:val="none"/>
          <w:u w:val="single"/>
          <w:lang w:val="en-US" w:eastAsia="zh-CN"/>
        </w:rPr>
        <w:t>90</w:t>
      </w:r>
      <w:r>
        <w:rPr>
          <w:rFonts w:hint="eastAsia" w:ascii="Times New Roman" w:hAnsi="Times New Roman" w:eastAsia="宋体" w:cs="Times New Roman"/>
          <w:color w:val="auto"/>
          <w:highlight w:val="none"/>
          <w:u w:val="single"/>
          <w:lang w:val="zh-CN" w:eastAsia="zh-CN"/>
        </w:rPr>
        <w:t>%，结算经有关部门审定后，发包人在收到承包人付款申请之日起1个月内，工程款支付至结算总价的97%</w:t>
      </w:r>
      <w:r>
        <w:rPr>
          <w:rFonts w:hint="eastAsia" w:cs="Times New Roman"/>
          <w:color w:val="auto"/>
          <w:highlight w:val="none"/>
          <w:u w:val="single"/>
          <w:lang w:val="zh-CN" w:eastAsia="zh-CN"/>
        </w:rPr>
        <w:t>；</w:t>
      </w:r>
      <w:r>
        <w:rPr>
          <w:rFonts w:hint="eastAsia" w:ascii="Times New Roman" w:hAnsi="Times New Roman" w:eastAsia="宋体" w:cs="Times New Roman"/>
          <w:color w:val="auto"/>
          <w:highlight w:val="none"/>
          <w:u w:val="single"/>
          <w:lang w:val="zh-CN" w:eastAsia="zh-CN"/>
        </w:rPr>
        <w:t>发包人按工程价款结算总额的3%预留工程质量保修金，待工程缺陷责任期满后无息返还。</w:t>
      </w:r>
    </w:p>
    <w:p w14:paraId="044969D4">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12.4.2 进度付款申请单的编制</w:t>
      </w:r>
    </w:p>
    <w:p w14:paraId="22D5C84D">
      <w:pPr>
        <w:spacing w:line="360" w:lineRule="auto"/>
        <w:ind w:firstLine="420" w:firstLineChars="200"/>
        <w:jc w:val="left"/>
        <w:rPr>
          <w:rFonts w:ascii="宋体" w:hAnsi="宋体"/>
          <w:color w:val="auto"/>
          <w:szCs w:val="21"/>
          <w:highlight w:val="none"/>
          <w:u w:val="single"/>
        </w:rPr>
      </w:pPr>
      <w:r>
        <w:rPr>
          <w:rFonts w:ascii="宋体" w:hAnsi="宋体"/>
          <w:color w:val="auto"/>
          <w:szCs w:val="21"/>
          <w:highlight w:val="none"/>
        </w:rPr>
        <w:t>关于进度付款申请单编制的约定：</w:t>
      </w:r>
      <w:r>
        <w:rPr>
          <w:rFonts w:hint="eastAsia" w:ascii="宋体" w:hAnsi="宋体"/>
          <w:color w:val="auto"/>
          <w:szCs w:val="21"/>
          <w:highlight w:val="none"/>
          <w:u w:val="single"/>
        </w:rPr>
        <w:t xml:space="preserve"> </w:t>
      </w:r>
      <w:r>
        <w:rPr>
          <w:rStyle w:val="35"/>
          <w:rFonts w:hint="eastAsia" w:ascii="宋体" w:hAnsi="宋体" w:eastAsia="宋体"/>
          <w:color w:val="auto"/>
          <w:highlight w:val="none"/>
          <w:u w:val="single"/>
        </w:rPr>
        <w:t>承包人应在每个计量周期到期后的7天内向发包人提交已完工程进度款支付申请一式四份</w:t>
      </w:r>
      <w:r>
        <w:rPr>
          <w:rStyle w:val="35"/>
          <w:rFonts w:hint="eastAsia" w:ascii="宋体" w:hAnsi="宋体" w:eastAsia="宋体"/>
          <w:color w:val="auto"/>
          <w:highlight w:val="none"/>
        </w:rPr>
        <w:t>，</w:t>
      </w:r>
      <w:r>
        <w:rPr>
          <w:rStyle w:val="35"/>
          <w:rFonts w:hint="eastAsia" w:ascii="宋体" w:hAnsi="宋体" w:eastAsia="宋体"/>
          <w:color w:val="auto"/>
          <w:highlight w:val="none"/>
          <w:u w:val="single"/>
        </w:rPr>
        <w:t>详细说明此周期自己认为有权得到的款额</w:t>
      </w:r>
      <w:r>
        <w:rPr>
          <w:rStyle w:val="35"/>
          <w:rFonts w:hint="eastAsia" w:ascii="宋体" w:hAnsi="宋体" w:eastAsia="宋体"/>
          <w:color w:val="auto"/>
          <w:highlight w:val="none"/>
        </w:rPr>
        <w:t>，</w:t>
      </w:r>
      <w:r>
        <w:rPr>
          <w:rStyle w:val="35"/>
          <w:rFonts w:hint="eastAsia" w:ascii="宋体" w:hAnsi="宋体" w:eastAsia="宋体"/>
          <w:color w:val="auto"/>
          <w:highlight w:val="none"/>
          <w:u w:val="single"/>
        </w:rPr>
        <w:t>包括分包人已完工程的价款</w:t>
      </w:r>
      <w:r>
        <w:rPr>
          <w:rStyle w:val="35"/>
          <w:rFonts w:hint="eastAsia" w:ascii="宋体" w:hAnsi="宋体" w:eastAsia="宋体"/>
          <w:color w:val="auto"/>
          <w:highlight w:val="none"/>
        </w:rPr>
        <w:t>，</w:t>
      </w:r>
      <w:r>
        <w:rPr>
          <w:rStyle w:val="35"/>
          <w:rFonts w:hint="eastAsia" w:ascii="宋体" w:hAnsi="宋体" w:eastAsia="宋体"/>
          <w:color w:val="auto"/>
          <w:highlight w:val="none"/>
          <w:u w:val="single"/>
        </w:rPr>
        <w:t>按有关规定编制</w:t>
      </w:r>
      <w:r>
        <w:rPr>
          <w:rFonts w:ascii="宋体" w:hAnsi="宋体"/>
          <w:color w:val="auto"/>
          <w:szCs w:val="21"/>
          <w:highlight w:val="none"/>
        </w:rPr>
        <w:t>。</w:t>
      </w:r>
    </w:p>
    <w:p w14:paraId="22EB4B17">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1</w:t>
      </w:r>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r>
        <w:rPr>
          <w:rFonts w:ascii="宋体" w:hAnsi="宋体"/>
          <w:color w:val="auto"/>
          <w:szCs w:val="21"/>
          <w:highlight w:val="none"/>
        </w:rPr>
        <w:t>2.4.3 进度付款申请单的提交</w:t>
      </w:r>
    </w:p>
    <w:p w14:paraId="0D02FD62">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（1）单价合同进度付款申请单提交的约定：</w:t>
      </w:r>
      <w:r>
        <w:rPr>
          <w:rStyle w:val="35"/>
          <w:rFonts w:hint="eastAsia" w:ascii="宋体" w:hAnsi="宋体" w:eastAsia="宋体"/>
          <w:color w:val="auto"/>
          <w:highlight w:val="none"/>
          <w:u w:val="single"/>
        </w:rPr>
        <w:t>承包人应在每个计量周期到期后的7天内向发包人提交已完工程进度款支付申请一式四份</w:t>
      </w:r>
      <w:r>
        <w:rPr>
          <w:rStyle w:val="35"/>
          <w:rFonts w:hint="eastAsia" w:ascii="宋体" w:hAnsi="宋体" w:eastAsia="宋体"/>
          <w:color w:val="auto"/>
          <w:highlight w:val="none"/>
        </w:rPr>
        <w:t>，</w:t>
      </w:r>
      <w:r>
        <w:rPr>
          <w:rStyle w:val="35"/>
          <w:rFonts w:hint="eastAsia" w:ascii="宋体" w:hAnsi="宋体" w:eastAsia="宋体"/>
          <w:color w:val="auto"/>
          <w:highlight w:val="none"/>
          <w:u w:val="single"/>
        </w:rPr>
        <w:t>详细说明此周期自己认为有权得到的款额</w:t>
      </w:r>
      <w:r>
        <w:rPr>
          <w:rStyle w:val="35"/>
          <w:rFonts w:hint="eastAsia" w:ascii="宋体" w:hAnsi="宋体" w:eastAsia="宋体"/>
          <w:color w:val="auto"/>
          <w:highlight w:val="none"/>
        </w:rPr>
        <w:t>，</w:t>
      </w:r>
      <w:r>
        <w:rPr>
          <w:rStyle w:val="35"/>
          <w:rFonts w:hint="eastAsia" w:ascii="宋体" w:hAnsi="宋体" w:eastAsia="宋体"/>
          <w:color w:val="auto"/>
          <w:highlight w:val="none"/>
          <w:u w:val="single"/>
        </w:rPr>
        <w:t>包括分包人已完工程的价款</w:t>
      </w:r>
      <w:r>
        <w:rPr>
          <w:rStyle w:val="35"/>
          <w:rFonts w:hint="eastAsia" w:ascii="宋体" w:hAnsi="宋体" w:eastAsia="宋体"/>
          <w:color w:val="auto"/>
          <w:highlight w:val="none"/>
        </w:rPr>
        <w:t>，</w:t>
      </w:r>
      <w:r>
        <w:rPr>
          <w:rStyle w:val="35"/>
          <w:rFonts w:hint="eastAsia" w:ascii="宋体" w:hAnsi="宋体" w:eastAsia="宋体"/>
          <w:color w:val="auto"/>
          <w:highlight w:val="none"/>
          <w:u w:val="single"/>
        </w:rPr>
        <w:t>按有关规定编制</w:t>
      </w:r>
      <w:r>
        <w:rPr>
          <w:rFonts w:hint="eastAsia" w:ascii="宋体" w:hAnsi="宋体"/>
          <w:color w:val="auto"/>
          <w:szCs w:val="21"/>
          <w:highlight w:val="none"/>
          <w:u w:val="single"/>
        </w:rPr>
        <w:t xml:space="preserve">  </w:t>
      </w:r>
      <w:r>
        <w:rPr>
          <w:rFonts w:ascii="宋体" w:hAnsi="宋体"/>
          <w:color w:val="auto"/>
          <w:szCs w:val="21"/>
          <w:highlight w:val="none"/>
        </w:rPr>
        <w:t>。</w:t>
      </w:r>
    </w:p>
    <w:p w14:paraId="0605BA1D">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（2）总价合同进度付款申请单提交的约定：</w:t>
      </w:r>
      <w:r>
        <w:rPr>
          <w:rFonts w:hint="eastAsia" w:ascii="宋体" w:hAnsi="宋体"/>
          <w:color w:val="auto"/>
          <w:szCs w:val="21"/>
          <w:highlight w:val="none"/>
          <w:u w:val="single"/>
        </w:rPr>
        <w:t xml:space="preserve">        </w:t>
      </w:r>
      <w:r>
        <w:rPr>
          <w:rFonts w:hint="eastAsia" w:ascii="宋体" w:hAnsi="宋体"/>
          <w:color w:val="auto"/>
          <w:szCs w:val="21"/>
          <w:highlight w:val="none"/>
          <w:u w:val="single"/>
          <w:lang w:val="en-US" w:eastAsia="zh-CN"/>
        </w:rPr>
        <w:t>/</w:t>
      </w:r>
      <w:r>
        <w:rPr>
          <w:rFonts w:hint="eastAsia" w:ascii="宋体" w:hAnsi="宋体"/>
          <w:color w:val="auto"/>
          <w:szCs w:val="21"/>
          <w:highlight w:val="none"/>
          <w:u w:val="single"/>
        </w:rPr>
        <w:t xml:space="preserve">              </w:t>
      </w:r>
      <w:r>
        <w:rPr>
          <w:rFonts w:ascii="宋体" w:hAnsi="宋体"/>
          <w:color w:val="auto"/>
          <w:szCs w:val="21"/>
          <w:highlight w:val="none"/>
        </w:rPr>
        <w:t>。</w:t>
      </w:r>
    </w:p>
    <w:p w14:paraId="018D5AB1">
      <w:pPr>
        <w:spacing w:line="360" w:lineRule="auto"/>
        <w:ind w:firstLine="420" w:firstLineChars="200"/>
        <w:jc w:val="left"/>
        <w:rPr>
          <w:rFonts w:ascii="宋体" w:hAnsi="宋体"/>
          <w:color w:val="auto"/>
          <w:szCs w:val="21"/>
          <w:highlight w:val="none"/>
          <w:u w:val="single"/>
        </w:rPr>
      </w:pPr>
      <w:r>
        <w:rPr>
          <w:rFonts w:ascii="宋体" w:hAnsi="宋体"/>
          <w:color w:val="auto"/>
          <w:szCs w:val="21"/>
          <w:highlight w:val="none"/>
        </w:rPr>
        <w:t>（3）其他价格形式合同进度付款申请单提交的约定：</w:t>
      </w:r>
      <w:r>
        <w:rPr>
          <w:rFonts w:hint="eastAsia" w:ascii="宋体" w:hAnsi="宋体"/>
          <w:color w:val="auto"/>
          <w:szCs w:val="21"/>
          <w:highlight w:val="none"/>
          <w:u w:val="single"/>
        </w:rPr>
        <w:t xml:space="preserve">       </w:t>
      </w:r>
      <w:r>
        <w:rPr>
          <w:rFonts w:hint="eastAsia" w:ascii="宋体" w:hAnsi="宋体"/>
          <w:color w:val="auto"/>
          <w:szCs w:val="21"/>
          <w:highlight w:val="none"/>
          <w:u w:val="single"/>
          <w:lang w:val="en-US" w:eastAsia="zh-CN"/>
        </w:rPr>
        <w:t>/</w:t>
      </w:r>
      <w:r>
        <w:rPr>
          <w:rFonts w:hint="eastAsia" w:ascii="宋体" w:hAnsi="宋体"/>
          <w:color w:val="auto"/>
          <w:szCs w:val="21"/>
          <w:highlight w:val="none"/>
          <w:u w:val="single"/>
        </w:rPr>
        <w:t xml:space="preserve">               </w:t>
      </w:r>
      <w:r>
        <w:rPr>
          <w:rFonts w:ascii="宋体" w:hAnsi="宋体"/>
          <w:color w:val="auto"/>
          <w:szCs w:val="21"/>
          <w:highlight w:val="none"/>
        </w:rPr>
        <w:t>。</w:t>
      </w:r>
    </w:p>
    <w:p w14:paraId="471536F5">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12.4.4 进度款审核和支付</w:t>
      </w:r>
    </w:p>
    <w:p w14:paraId="2354383D">
      <w:pPr>
        <w:spacing w:line="360" w:lineRule="auto"/>
        <w:ind w:firstLine="420" w:firstLineChars="200"/>
        <w:jc w:val="left"/>
        <w:rPr>
          <w:rFonts w:ascii="宋体" w:hAnsi="宋体"/>
          <w:color w:val="auto"/>
          <w:szCs w:val="21"/>
          <w:highlight w:val="none"/>
          <w:u w:val="single"/>
        </w:rPr>
      </w:pPr>
      <w:r>
        <w:rPr>
          <w:rFonts w:ascii="宋体" w:hAnsi="宋体"/>
          <w:color w:val="auto"/>
          <w:szCs w:val="21"/>
          <w:highlight w:val="none"/>
        </w:rPr>
        <w:t>（1）监理人审查并报送发包人的期限：</w:t>
      </w:r>
      <w:r>
        <w:rPr>
          <w:rFonts w:hint="eastAsia" w:ascii="宋体" w:hAnsi="宋体"/>
          <w:color w:val="auto"/>
          <w:szCs w:val="21"/>
          <w:highlight w:val="none"/>
          <w:u w:val="single"/>
        </w:rPr>
        <w:t xml:space="preserve">                      </w:t>
      </w:r>
      <w:r>
        <w:rPr>
          <w:rFonts w:ascii="宋体" w:hAnsi="宋体"/>
          <w:color w:val="auto"/>
          <w:szCs w:val="21"/>
          <w:highlight w:val="none"/>
        </w:rPr>
        <w:t>。</w:t>
      </w:r>
    </w:p>
    <w:p w14:paraId="6A8845E8">
      <w:pPr>
        <w:spacing w:line="360" w:lineRule="auto"/>
        <w:ind w:firstLine="420" w:firstLineChars="200"/>
        <w:jc w:val="left"/>
        <w:rPr>
          <w:rFonts w:ascii="宋体" w:hAnsi="宋体"/>
          <w:color w:val="auto"/>
          <w:szCs w:val="21"/>
          <w:highlight w:val="none"/>
          <w:u w:val="single"/>
        </w:rPr>
      </w:pPr>
      <w:r>
        <w:rPr>
          <w:rFonts w:ascii="宋体" w:hAnsi="宋体"/>
          <w:color w:val="auto"/>
          <w:szCs w:val="21"/>
          <w:highlight w:val="none"/>
        </w:rPr>
        <w:t>发包人完成审批并签发进度款支付证书的期限：</w:t>
      </w:r>
      <w:r>
        <w:rPr>
          <w:rFonts w:hint="eastAsia" w:ascii="宋体" w:hAnsi="宋体"/>
          <w:color w:val="auto"/>
          <w:szCs w:val="21"/>
          <w:highlight w:val="none"/>
          <w:u w:val="single"/>
        </w:rPr>
        <w:t xml:space="preserve">                      </w:t>
      </w:r>
      <w:r>
        <w:rPr>
          <w:rFonts w:ascii="宋体" w:hAnsi="宋体"/>
          <w:color w:val="auto"/>
          <w:szCs w:val="21"/>
          <w:highlight w:val="none"/>
        </w:rPr>
        <w:t>。</w:t>
      </w:r>
    </w:p>
    <w:p w14:paraId="77B5ED1B">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（2）发包人支付进度款的期限：</w:t>
      </w:r>
      <w:r>
        <w:rPr>
          <w:rFonts w:hint="eastAsia" w:ascii="宋体" w:hAnsi="宋体"/>
          <w:color w:val="auto"/>
          <w:szCs w:val="21"/>
          <w:highlight w:val="none"/>
          <w:u w:val="single"/>
        </w:rPr>
        <w:t xml:space="preserve">                      </w:t>
      </w:r>
      <w:r>
        <w:rPr>
          <w:rFonts w:ascii="宋体" w:hAnsi="宋体"/>
          <w:color w:val="auto"/>
          <w:szCs w:val="21"/>
          <w:highlight w:val="none"/>
        </w:rPr>
        <w:t>。</w:t>
      </w:r>
    </w:p>
    <w:p w14:paraId="42675BFD">
      <w:pPr>
        <w:spacing w:line="360" w:lineRule="auto"/>
        <w:ind w:firstLine="525" w:firstLineChars="250"/>
        <w:jc w:val="left"/>
        <w:rPr>
          <w:rFonts w:ascii="宋体" w:hAnsi="宋体"/>
          <w:color w:val="auto"/>
          <w:szCs w:val="21"/>
          <w:highlight w:val="none"/>
        </w:rPr>
      </w:pPr>
      <w:r>
        <w:rPr>
          <w:rFonts w:ascii="宋体" w:hAnsi="宋体"/>
          <w:color w:val="auto"/>
          <w:szCs w:val="21"/>
          <w:highlight w:val="none"/>
        </w:rPr>
        <w:t>发包人逾期支付进度款的违约金的计算方式：</w:t>
      </w:r>
      <w:r>
        <w:rPr>
          <w:rFonts w:hint="eastAsia" w:ascii="宋体" w:hAnsi="宋体"/>
          <w:color w:val="auto"/>
          <w:szCs w:val="21"/>
          <w:highlight w:val="none"/>
          <w:u w:val="single"/>
        </w:rPr>
        <w:t xml:space="preserve">                      </w:t>
      </w:r>
      <w:r>
        <w:rPr>
          <w:rFonts w:ascii="宋体" w:hAnsi="宋体"/>
          <w:color w:val="auto"/>
          <w:szCs w:val="21"/>
          <w:highlight w:val="none"/>
        </w:rPr>
        <w:t>。</w:t>
      </w:r>
    </w:p>
    <w:p w14:paraId="22213915">
      <w:pPr>
        <w:spacing w:line="360" w:lineRule="auto"/>
        <w:ind w:firstLine="525" w:firstLineChars="250"/>
        <w:jc w:val="left"/>
        <w:rPr>
          <w:rFonts w:ascii="宋体" w:hAnsi="宋体"/>
          <w:color w:val="auto"/>
          <w:szCs w:val="21"/>
          <w:highlight w:val="none"/>
        </w:rPr>
      </w:pPr>
      <w:r>
        <w:rPr>
          <w:rFonts w:ascii="宋体" w:hAnsi="宋体"/>
          <w:color w:val="auto"/>
          <w:szCs w:val="21"/>
          <w:highlight w:val="none"/>
        </w:rPr>
        <w:t>进度款支付方式：</w:t>
      </w:r>
      <w:r>
        <w:rPr>
          <w:rFonts w:ascii="宋体" w:hAnsi="宋体"/>
          <w:color w:val="auto"/>
          <w:szCs w:val="21"/>
          <w:highlight w:val="none"/>
          <w:u w:val="single"/>
        </w:rPr>
        <w:t>银行转账</w:t>
      </w:r>
      <w:r>
        <w:rPr>
          <w:rFonts w:ascii="宋体" w:hAnsi="宋体"/>
          <w:color w:val="auto"/>
          <w:szCs w:val="21"/>
          <w:highlight w:val="none"/>
        </w:rPr>
        <w:t>。</w:t>
      </w:r>
    </w:p>
    <w:p w14:paraId="49DFFF81">
      <w:pPr>
        <w:pStyle w:val="138"/>
        <w:spacing w:line="360" w:lineRule="auto"/>
        <w:ind w:firstLine="525" w:firstLineChars="250"/>
        <w:jc w:val="left"/>
        <w:rPr>
          <w:rStyle w:val="35"/>
          <w:rFonts w:hint="eastAsia" w:hAnsi="宋体"/>
          <w:color w:val="auto"/>
          <w:highlight w:val="none"/>
        </w:rPr>
      </w:pPr>
      <w:r>
        <w:rPr>
          <w:rStyle w:val="35"/>
          <w:rFonts w:hint="eastAsia" w:ascii="宋体" w:hAnsi="宋体"/>
          <w:color w:val="auto"/>
          <w:highlight w:val="none"/>
        </w:rPr>
        <w:t>（</w:t>
      </w:r>
      <w:r>
        <w:rPr>
          <w:rStyle w:val="35"/>
          <w:rFonts w:hint="eastAsia"/>
          <w:color w:val="auto"/>
          <w:highlight w:val="none"/>
        </w:rPr>
        <w:t>3</w:t>
      </w:r>
      <w:r>
        <w:rPr>
          <w:rStyle w:val="35"/>
          <w:rFonts w:hint="eastAsia" w:ascii="宋体" w:hAnsi="宋体"/>
          <w:color w:val="auto"/>
          <w:highlight w:val="none"/>
        </w:rPr>
        <w:t>） 农民工工资支付</w:t>
      </w:r>
    </w:p>
    <w:p w14:paraId="74C43ED3">
      <w:pPr>
        <w:pStyle w:val="138"/>
        <w:spacing w:line="360" w:lineRule="auto"/>
        <w:ind w:firstLine="525" w:firstLineChars="250"/>
        <w:jc w:val="left"/>
        <w:rPr>
          <w:rStyle w:val="35"/>
          <w:rFonts w:hint="eastAsia" w:hAnsi="宋体"/>
          <w:color w:val="auto"/>
          <w:kern w:val="0"/>
          <w:highlight w:val="none"/>
        </w:rPr>
      </w:pPr>
      <w:r>
        <w:rPr>
          <w:rStyle w:val="35"/>
          <w:rFonts w:hint="eastAsia"/>
          <w:color w:val="auto"/>
          <w:kern w:val="0"/>
          <w:highlight w:val="none"/>
        </w:rPr>
        <w:t>1</w:t>
      </w:r>
      <w:r>
        <w:rPr>
          <w:rStyle w:val="35"/>
          <w:rFonts w:hint="eastAsia" w:ascii="宋体" w:hAnsi="宋体"/>
          <w:color w:val="auto"/>
          <w:kern w:val="0"/>
          <w:highlight w:val="none"/>
        </w:rPr>
        <w:t>）人工费用是指发包人向承包人专用账户拨付的专项用于支付农民工工资的工程款。农民工工资专用账户是指承包人在工程建设项目所在地银行业金融机构（简称银行）开立的，专项用于支付农民工工资的专用存款账户。</w:t>
      </w:r>
    </w:p>
    <w:p w14:paraId="481C7961">
      <w:pPr>
        <w:pStyle w:val="138"/>
        <w:spacing w:line="360" w:lineRule="auto"/>
        <w:ind w:firstLine="525" w:firstLineChars="250"/>
        <w:jc w:val="left"/>
        <w:rPr>
          <w:rStyle w:val="35"/>
          <w:rFonts w:hint="eastAsia" w:hAnsi="宋体"/>
          <w:color w:val="auto"/>
          <w:kern w:val="0"/>
          <w:highlight w:val="none"/>
        </w:rPr>
      </w:pPr>
      <w:r>
        <w:rPr>
          <w:rStyle w:val="35"/>
          <w:rFonts w:hint="eastAsia"/>
          <w:color w:val="auto"/>
          <w:kern w:val="0"/>
          <w:highlight w:val="none"/>
        </w:rPr>
        <w:t>2</w:t>
      </w:r>
      <w:r>
        <w:rPr>
          <w:rStyle w:val="35"/>
          <w:rFonts w:hint="eastAsia" w:ascii="宋体" w:hAnsi="宋体"/>
          <w:color w:val="auto"/>
          <w:kern w:val="0"/>
          <w:highlight w:val="none"/>
        </w:rPr>
        <w:t>）</w:t>
      </w:r>
      <w:r>
        <w:rPr>
          <w:rStyle w:val="35"/>
          <w:rFonts w:hint="eastAsia" w:ascii="宋体" w:hAnsi="宋体"/>
          <w:color w:val="auto"/>
          <w:kern w:val="0"/>
          <w:highlight w:val="none"/>
        </w:rPr>
        <w:t>人工费应</w:t>
      </w:r>
      <w:r>
        <w:rPr>
          <w:rStyle w:val="35"/>
          <w:rFonts w:hint="eastAsia" w:ascii="宋体" w:hAnsi="宋体"/>
          <w:color w:val="auto"/>
          <w:kern w:val="0"/>
          <w:highlight w:val="none"/>
        </w:rPr>
        <w:t>与工程进度款分帐管理。必须按时足额支付，人工费拨付周期不得超过</w:t>
      </w:r>
      <w:r>
        <w:rPr>
          <w:rStyle w:val="35"/>
          <w:rFonts w:hint="eastAsia"/>
          <w:color w:val="auto"/>
          <w:kern w:val="0"/>
          <w:highlight w:val="none"/>
        </w:rPr>
        <w:t>1</w:t>
      </w:r>
      <w:r>
        <w:rPr>
          <w:rStyle w:val="35"/>
          <w:rFonts w:hint="eastAsia" w:ascii="宋体" w:hAnsi="宋体"/>
          <w:color w:val="auto"/>
          <w:kern w:val="0"/>
          <w:highlight w:val="none"/>
        </w:rPr>
        <w:t>个月，最少每月支付一次，无工程款申请的月份，承包人单独上报人工费划拨申请；若因发包人未按照合同约定划拨工程款项导致拖欠工资的，由发包人以未结清的工程款项为限先行垫付所拖欠的工资；承包人向发包人申请工程进度款时必须把农民工工资部分单独列明，如果未单独列明，监理单位不得签支付证书等支付工程款的手续，发包人单位不得审批和支付工程款。发包人必须把工程款分帐出来的人工费转入承包人农民工工资支付专用账户，转入农民工工资支付专用账户环节必须有银行流水凭证。</w:t>
      </w:r>
    </w:p>
    <w:p w14:paraId="38B54386">
      <w:pPr>
        <w:pStyle w:val="138"/>
        <w:spacing w:line="360" w:lineRule="auto"/>
        <w:ind w:firstLine="525" w:firstLineChars="250"/>
        <w:jc w:val="left"/>
        <w:rPr>
          <w:rStyle w:val="35"/>
          <w:rFonts w:hint="eastAsia" w:hAnsi="宋体"/>
          <w:color w:val="auto"/>
          <w:kern w:val="0"/>
          <w:highlight w:val="none"/>
        </w:rPr>
      </w:pPr>
      <w:r>
        <w:rPr>
          <w:rStyle w:val="35"/>
          <w:rFonts w:hint="eastAsia"/>
          <w:color w:val="auto"/>
          <w:kern w:val="0"/>
          <w:highlight w:val="none"/>
        </w:rPr>
        <w:t>3</w:t>
      </w:r>
      <w:r>
        <w:rPr>
          <w:rStyle w:val="35"/>
          <w:rFonts w:hint="eastAsia" w:ascii="宋体" w:hAnsi="宋体"/>
          <w:color w:val="auto"/>
          <w:kern w:val="0"/>
          <w:highlight w:val="none"/>
        </w:rPr>
        <w:t xml:space="preserve">）发包人依据工程进度，审核承包人申报的工程进度款，按照与承包人约定的人工费支付比例     </w:t>
      </w:r>
      <w:r>
        <w:rPr>
          <w:rStyle w:val="35"/>
          <w:rFonts w:hint="eastAsia"/>
          <w:color w:val="auto"/>
          <w:kern w:val="0"/>
          <w:highlight w:val="none"/>
        </w:rPr>
        <w:t>%</w:t>
      </w:r>
      <w:r>
        <w:rPr>
          <w:rStyle w:val="35"/>
          <w:rFonts w:hint="eastAsia" w:ascii="宋体" w:hAnsi="宋体"/>
          <w:color w:val="auto"/>
          <w:kern w:val="0"/>
          <w:highlight w:val="none"/>
        </w:rPr>
        <w:t>（房建项目不少于</w:t>
      </w:r>
      <w:r>
        <w:rPr>
          <w:rStyle w:val="35"/>
          <w:rFonts w:hint="eastAsia"/>
          <w:color w:val="auto"/>
          <w:kern w:val="0"/>
          <w:highlight w:val="none"/>
        </w:rPr>
        <w:t>20%</w:t>
      </w:r>
      <w:r>
        <w:rPr>
          <w:rStyle w:val="35"/>
          <w:rFonts w:hint="eastAsia" w:ascii="宋体" w:hAnsi="宋体"/>
          <w:color w:val="auto"/>
          <w:kern w:val="0"/>
          <w:highlight w:val="none"/>
        </w:rPr>
        <w:t>，市政项目不少于</w:t>
      </w:r>
      <w:r>
        <w:rPr>
          <w:rStyle w:val="35"/>
          <w:rFonts w:hint="eastAsia"/>
          <w:color w:val="auto"/>
          <w:kern w:val="0"/>
          <w:highlight w:val="none"/>
        </w:rPr>
        <w:t>15%</w:t>
      </w:r>
      <w:r>
        <w:rPr>
          <w:rStyle w:val="35"/>
          <w:rFonts w:hint="eastAsia" w:ascii="宋体" w:hAnsi="宋体"/>
          <w:color w:val="auto"/>
          <w:kern w:val="0"/>
          <w:highlight w:val="none"/>
        </w:rPr>
        <w:t>），将人工费按约定支付比例及时足额拨付至承包人的农民工工资专用账户，其余工程进度款项由发包人支付到承包人的单位基本户。</w:t>
      </w:r>
    </w:p>
    <w:p w14:paraId="0C62552B">
      <w:pPr>
        <w:pStyle w:val="138"/>
        <w:spacing w:line="360" w:lineRule="auto"/>
        <w:ind w:firstLine="525" w:firstLineChars="250"/>
        <w:jc w:val="left"/>
        <w:rPr>
          <w:rStyle w:val="35"/>
          <w:rFonts w:hint="eastAsia" w:hAnsi="宋体"/>
          <w:color w:val="auto"/>
          <w:kern w:val="0"/>
          <w:highlight w:val="none"/>
        </w:rPr>
      </w:pPr>
      <w:r>
        <w:rPr>
          <w:rStyle w:val="35"/>
          <w:rFonts w:hint="eastAsia"/>
          <w:color w:val="auto"/>
          <w:kern w:val="0"/>
          <w:highlight w:val="none"/>
        </w:rPr>
        <w:t>4</w:t>
      </w:r>
      <w:r>
        <w:rPr>
          <w:rStyle w:val="35"/>
          <w:rFonts w:hint="eastAsia" w:ascii="宋体" w:hAnsi="宋体"/>
          <w:color w:val="auto"/>
          <w:kern w:val="0"/>
          <w:highlight w:val="none"/>
        </w:rPr>
        <w:t xml:space="preserve">）工程建设领域总包单位对农民工工资支付负总责，推行分包单位农民工工资委托总包单位代发制度（以下简称总包代发制度）。工程建设项目施行总包代发制度的，总包单位与分包单位签订委托工资支付协议。 </w:t>
      </w:r>
    </w:p>
    <w:p w14:paraId="1670BD9D">
      <w:pPr>
        <w:pStyle w:val="138"/>
        <w:spacing w:line="360" w:lineRule="auto"/>
        <w:ind w:firstLine="525" w:firstLineChars="250"/>
        <w:jc w:val="left"/>
        <w:rPr>
          <w:rStyle w:val="35"/>
          <w:rFonts w:hint="eastAsia" w:hAnsi="宋体"/>
          <w:color w:val="auto"/>
          <w:kern w:val="0"/>
          <w:highlight w:val="none"/>
        </w:rPr>
      </w:pPr>
      <w:r>
        <w:rPr>
          <w:rStyle w:val="35"/>
          <w:rFonts w:hint="eastAsia"/>
          <w:color w:val="auto"/>
          <w:kern w:val="0"/>
          <w:highlight w:val="none"/>
        </w:rPr>
        <w:t>5</w:t>
      </w:r>
      <w:r>
        <w:rPr>
          <w:rStyle w:val="35"/>
          <w:rFonts w:hint="eastAsia" w:ascii="宋体" w:hAnsi="宋体"/>
          <w:color w:val="auto"/>
          <w:kern w:val="0"/>
          <w:highlight w:val="none"/>
        </w:rPr>
        <w:t>）凡未向付款单位提供农民工工资专用账户的，或者请款单位在申请工程进度款时未将人工费单列的，付款单位有权拒绝支付工程进度款。</w:t>
      </w:r>
    </w:p>
    <w:p w14:paraId="61D29337">
      <w:pPr>
        <w:pStyle w:val="138"/>
        <w:spacing w:line="360" w:lineRule="auto"/>
        <w:ind w:firstLine="525" w:firstLineChars="250"/>
        <w:jc w:val="left"/>
        <w:rPr>
          <w:rStyle w:val="35"/>
          <w:rFonts w:hint="eastAsia" w:hAnsi="宋体"/>
          <w:color w:val="auto"/>
          <w:kern w:val="0"/>
          <w:highlight w:val="none"/>
        </w:rPr>
      </w:pPr>
      <w:r>
        <w:rPr>
          <w:rStyle w:val="35"/>
          <w:rFonts w:hint="eastAsia"/>
          <w:color w:val="auto"/>
          <w:kern w:val="0"/>
          <w:highlight w:val="none"/>
        </w:rPr>
        <w:t>6</w:t>
      </w:r>
      <w:r>
        <w:rPr>
          <w:rStyle w:val="35"/>
          <w:rFonts w:hint="eastAsia" w:ascii="宋体" w:hAnsi="宋体"/>
          <w:color w:val="auto"/>
          <w:kern w:val="0"/>
          <w:highlight w:val="none"/>
        </w:rPr>
        <w:t>）人工费使用要求：专款专用，除发放农民工工资外，不得用于其他用途。</w:t>
      </w:r>
    </w:p>
    <w:p w14:paraId="13C9FCC1">
      <w:pPr>
        <w:pStyle w:val="138"/>
        <w:spacing w:line="360" w:lineRule="auto"/>
        <w:ind w:firstLine="525" w:firstLineChars="250"/>
        <w:jc w:val="left"/>
        <w:rPr>
          <w:rStyle w:val="35"/>
          <w:rFonts w:hint="eastAsia" w:hAnsi="宋体"/>
          <w:color w:val="auto"/>
          <w:kern w:val="0"/>
          <w:highlight w:val="none"/>
        </w:rPr>
      </w:pPr>
      <w:r>
        <w:rPr>
          <w:rStyle w:val="35"/>
          <w:rFonts w:hint="eastAsia"/>
          <w:color w:val="auto"/>
          <w:kern w:val="0"/>
          <w:highlight w:val="none"/>
        </w:rPr>
        <w:t>7</w:t>
      </w:r>
      <w:r>
        <w:rPr>
          <w:rStyle w:val="35"/>
          <w:rFonts w:hint="eastAsia" w:ascii="宋体" w:hAnsi="宋体"/>
          <w:color w:val="auto"/>
          <w:kern w:val="0"/>
          <w:highlight w:val="none"/>
        </w:rPr>
        <w:t>）承包人将人工费支付情况定期报告发包人和监理单位，并提供相应的材料接受建设行政主管部门和劳动保障行政主管部门对此事项监管。</w:t>
      </w:r>
    </w:p>
    <w:p w14:paraId="317306AD">
      <w:pPr>
        <w:spacing w:line="360" w:lineRule="auto"/>
        <w:ind w:firstLine="525" w:firstLineChars="250"/>
        <w:jc w:val="left"/>
        <w:rPr>
          <w:rFonts w:ascii="宋体" w:hAnsi="宋体"/>
          <w:color w:val="auto"/>
          <w:szCs w:val="21"/>
          <w:highlight w:val="none"/>
        </w:rPr>
      </w:pPr>
      <w:r>
        <w:rPr>
          <w:rStyle w:val="35"/>
          <w:rFonts w:hint="eastAsia" w:eastAsia="宋体"/>
          <w:color w:val="auto"/>
          <w:kern w:val="0"/>
          <w:highlight w:val="none"/>
        </w:rPr>
        <w:t>8</w:t>
      </w:r>
      <w:r>
        <w:rPr>
          <w:rStyle w:val="35"/>
          <w:rFonts w:hint="eastAsia" w:ascii="宋体" w:hAnsi="宋体" w:eastAsia="宋体"/>
          <w:color w:val="auto"/>
          <w:kern w:val="0"/>
          <w:highlight w:val="none"/>
        </w:rPr>
        <w:t>）人工费支付专用账户：××××公司农民工工资支付专用账户。账号：</w:t>
      </w:r>
      <w:r>
        <w:rPr>
          <w:rStyle w:val="35"/>
          <w:rFonts w:hint="eastAsia" w:ascii="宋体" w:hAnsi="宋体" w:eastAsia="宋体"/>
          <w:color w:val="auto"/>
          <w:kern w:val="0"/>
          <w:highlight w:val="none"/>
          <w:u w:val="single"/>
        </w:rPr>
        <w:t xml:space="preserve">      </w:t>
      </w:r>
      <w:r>
        <w:rPr>
          <w:rStyle w:val="35"/>
          <w:rFonts w:hint="eastAsia" w:ascii="宋体" w:hAnsi="宋体" w:eastAsia="宋体"/>
          <w:color w:val="auto"/>
          <w:kern w:val="0"/>
          <w:highlight w:val="none"/>
        </w:rPr>
        <w:t xml:space="preserve">         </w:t>
      </w:r>
    </w:p>
    <w:p w14:paraId="6DCAE82D">
      <w:pPr>
        <w:spacing w:line="360" w:lineRule="auto"/>
        <w:ind w:firstLine="525" w:firstLineChars="250"/>
        <w:jc w:val="left"/>
        <w:rPr>
          <w:rFonts w:ascii="宋体" w:hAnsi="宋体"/>
          <w:color w:val="auto"/>
          <w:szCs w:val="21"/>
          <w:highlight w:val="none"/>
        </w:rPr>
      </w:pPr>
      <w:r>
        <w:rPr>
          <w:rFonts w:ascii="宋体" w:hAnsi="宋体"/>
          <w:color w:val="auto"/>
          <w:szCs w:val="21"/>
          <w:highlight w:val="none"/>
        </w:rPr>
        <w:t>12.4.6 支付分解表的编制</w:t>
      </w:r>
    </w:p>
    <w:p w14:paraId="279B2BBD">
      <w:pPr>
        <w:spacing w:line="360" w:lineRule="auto"/>
        <w:ind w:firstLine="525" w:firstLineChars="250"/>
        <w:jc w:val="left"/>
        <w:rPr>
          <w:rFonts w:ascii="宋体" w:hAnsi="宋体"/>
          <w:color w:val="auto"/>
          <w:szCs w:val="21"/>
          <w:highlight w:val="none"/>
          <w:u w:val="single"/>
        </w:rPr>
      </w:pPr>
      <w:r>
        <w:rPr>
          <w:rFonts w:ascii="宋体" w:hAnsi="宋体"/>
          <w:color w:val="auto"/>
          <w:szCs w:val="21"/>
          <w:highlight w:val="none"/>
        </w:rPr>
        <w:t>2</w:t>
      </w:r>
      <w:r>
        <w:rPr>
          <w:rFonts w:hint="eastAsia" w:ascii="宋体" w:hAnsi="宋体"/>
          <w:color w:val="auto"/>
          <w:szCs w:val="21"/>
          <w:highlight w:val="none"/>
        </w:rPr>
        <w:t xml:space="preserve">. </w:t>
      </w:r>
      <w:r>
        <w:rPr>
          <w:rFonts w:ascii="宋体" w:hAnsi="宋体"/>
          <w:color w:val="auto"/>
          <w:szCs w:val="21"/>
          <w:highlight w:val="none"/>
        </w:rPr>
        <w:t>总价合同支付分解表的编制与审批：</w:t>
      </w:r>
      <w:r>
        <w:rPr>
          <w:rFonts w:hint="eastAsia" w:ascii="宋体" w:hAnsi="宋体"/>
          <w:color w:val="auto"/>
          <w:szCs w:val="21"/>
          <w:highlight w:val="none"/>
          <w:u w:val="single"/>
        </w:rPr>
        <w:t xml:space="preserve">           </w:t>
      </w:r>
      <w:r>
        <w:rPr>
          <w:rFonts w:hint="eastAsia" w:ascii="宋体" w:hAnsi="宋体"/>
          <w:color w:val="auto"/>
          <w:szCs w:val="21"/>
          <w:highlight w:val="none"/>
          <w:u w:val="single"/>
          <w:lang w:val="en-US" w:eastAsia="zh-CN"/>
        </w:rPr>
        <w:t>/</w:t>
      </w:r>
      <w:r>
        <w:rPr>
          <w:rFonts w:hint="eastAsia" w:ascii="宋体" w:hAnsi="宋体"/>
          <w:color w:val="auto"/>
          <w:szCs w:val="21"/>
          <w:highlight w:val="none"/>
          <w:u w:val="single"/>
        </w:rPr>
        <w:t xml:space="preserve">           </w:t>
      </w:r>
      <w:r>
        <w:rPr>
          <w:rFonts w:ascii="宋体" w:hAnsi="宋体"/>
          <w:color w:val="auto"/>
          <w:szCs w:val="21"/>
          <w:highlight w:val="none"/>
        </w:rPr>
        <w:t>。</w:t>
      </w:r>
    </w:p>
    <w:p w14:paraId="74F490A7">
      <w:pPr>
        <w:spacing w:line="360" w:lineRule="auto"/>
        <w:ind w:firstLine="525" w:firstLineChars="250"/>
        <w:jc w:val="left"/>
        <w:rPr>
          <w:rFonts w:ascii="宋体" w:hAnsi="宋体"/>
          <w:color w:val="auto"/>
          <w:szCs w:val="21"/>
          <w:highlight w:val="none"/>
          <w:u w:val="single"/>
        </w:rPr>
      </w:pPr>
      <w:r>
        <w:rPr>
          <w:rFonts w:ascii="宋体" w:hAnsi="宋体"/>
          <w:color w:val="auto"/>
          <w:szCs w:val="21"/>
          <w:highlight w:val="none"/>
        </w:rPr>
        <w:t>3</w:t>
      </w:r>
      <w:r>
        <w:rPr>
          <w:rFonts w:hint="eastAsia" w:ascii="宋体" w:hAnsi="宋体"/>
          <w:color w:val="auto"/>
          <w:szCs w:val="21"/>
          <w:highlight w:val="none"/>
        </w:rPr>
        <w:t xml:space="preserve">. </w:t>
      </w:r>
      <w:r>
        <w:rPr>
          <w:rFonts w:ascii="宋体" w:hAnsi="宋体"/>
          <w:color w:val="auto"/>
          <w:szCs w:val="21"/>
          <w:highlight w:val="none"/>
        </w:rPr>
        <w:t>单价合同的总价项目支付分解表的编制与审批：</w:t>
      </w:r>
      <w:r>
        <w:rPr>
          <w:rFonts w:hint="eastAsia" w:ascii="宋体" w:hAnsi="宋体"/>
          <w:color w:val="auto"/>
          <w:szCs w:val="21"/>
          <w:highlight w:val="none"/>
        </w:rPr>
        <w:t>总价项目不采用支付分解表的方式计算，而按《建设工程工程量清单计价规范（GB50500-2013）广西壮族自治区实施细则》的规定执行</w:t>
      </w:r>
      <w:r>
        <w:rPr>
          <w:rFonts w:ascii="宋体" w:hAnsi="宋体"/>
          <w:color w:val="auto"/>
          <w:szCs w:val="21"/>
          <w:highlight w:val="none"/>
        </w:rPr>
        <w:t>。</w:t>
      </w:r>
    </w:p>
    <w:bookmarkEnd w:id="1103"/>
    <w:p w14:paraId="601D23CF">
      <w:pPr>
        <w:keepNext/>
        <w:keepLines/>
        <w:spacing w:before="260" w:after="260" w:line="360" w:lineRule="auto"/>
        <w:outlineLvl w:val="1"/>
        <w:rPr>
          <w:rFonts w:ascii="宋体" w:hAnsi="宋体"/>
          <w:b/>
          <w:bCs/>
          <w:color w:val="auto"/>
          <w:sz w:val="32"/>
          <w:szCs w:val="32"/>
          <w:highlight w:val="none"/>
        </w:rPr>
      </w:pPr>
      <w:bookmarkStart w:id="1391" w:name="_Toc508379767"/>
      <w:bookmarkStart w:id="1392" w:name="_Toc86935917"/>
      <w:bookmarkStart w:id="1393" w:name="_Toc521"/>
      <w:bookmarkStart w:id="1394" w:name="_Toc373478400"/>
      <w:bookmarkStart w:id="1395" w:name="_Toc495673432"/>
      <w:bookmarkStart w:id="1396" w:name="_Toc351203645"/>
      <w:bookmarkStart w:id="1397" w:name="_Toc30013"/>
      <w:bookmarkStart w:id="1398" w:name="_Toc407135256"/>
      <w:bookmarkStart w:id="1399" w:name="_Toc373227753"/>
      <w:bookmarkStart w:id="1400" w:name="_Toc389065318"/>
      <w:bookmarkStart w:id="1401" w:name="_Toc297123564"/>
      <w:bookmarkStart w:id="1402" w:name="_Toc304295593"/>
      <w:bookmarkStart w:id="1403" w:name="_Toc292559929"/>
      <w:bookmarkStart w:id="1404" w:name="_Toc297048405"/>
      <w:bookmarkStart w:id="1405" w:name="_Toc296891259"/>
      <w:bookmarkStart w:id="1406" w:name="_Toc296347218"/>
      <w:bookmarkStart w:id="1407" w:name="_Toc292559424"/>
      <w:bookmarkStart w:id="1408" w:name="_Toc297216223"/>
      <w:bookmarkStart w:id="1409" w:name="_Toc303539172"/>
      <w:bookmarkStart w:id="1410" w:name="_Toc297120519"/>
      <w:bookmarkStart w:id="1411" w:name="_Toc296346720"/>
      <w:bookmarkStart w:id="1412" w:name="_Toc312678053"/>
      <w:bookmarkStart w:id="1413" w:name="_Toc296944558"/>
      <w:bookmarkStart w:id="1414" w:name="_Toc296891047"/>
      <w:bookmarkStart w:id="1415" w:name="_Toc300935015"/>
      <w:bookmarkStart w:id="1416" w:name="_Toc296503219"/>
      <w:r>
        <w:rPr>
          <w:rFonts w:ascii="宋体" w:hAnsi="宋体"/>
          <w:b/>
          <w:bCs/>
          <w:color w:val="auto"/>
          <w:sz w:val="32"/>
          <w:szCs w:val="32"/>
          <w:highlight w:val="none"/>
        </w:rPr>
        <w:t>13. 验收和工程试车</w:t>
      </w:r>
      <w:bookmarkEnd w:id="1391"/>
      <w:bookmarkEnd w:id="1392"/>
      <w:bookmarkEnd w:id="1393"/>
      <w:bookmarkEnd w:id="1394"/>
      <w:bookmarkEnd w:id="1395"/>
      <w:bookmarkEnd w:id="1396"/>
      <w:bookmarkEnd w:id="1397"/>
      <w:bookmarkEnd w:id="1398"/>
      <w:bookmarkEnd w:id="1399"/>
      <w:bookmarkEnd w:id="1400"/>
    </w:p>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p w14:paraId="2CAA5956">
      <w:pPr>
        <w:keepNext/>
        <w:keepLines/>
        <w:spacing w:before="260" w:after="260" w:line="360" w:lineRule="auto"/>
        <w:outlineLvl w:val="2"/>
        <w:rPr>
          <w:rFonts w:ascii="宋体" w:hAnsi="宋体"/>
          <w:b/>
          <w:bCs/>
          <w:color w:val="auto"/>
          <w:sz w:val="32"/>
          <w:szCs w:val="32"/>
          <w:highlight w:val="none"/>
        </w:rPr>
      </w:pPr>
      <w:bookmarkStart w:id="1417" w:name="_Toc407135257"/>
      <w:bookmarkStart w:id="1418" w:name="_Toc373227754"/>
      <w:bookmarkStart w:id="1419" w:name="_Toc495673433"/>
      <w:bookmarkStart w:id="1420" w:name="_Toc508379768"/>
      <w:bookmarkStart w:id="1421" w:name="_Toc373478401"/>
      <w:bookmarkStart w:id="1422" w:name="_Toc389065319"/>
      <w:bookmarkStart w:id="1423" w:name="_Toc27039"/>
      <w:bookmarkStart w:id="1424" w:name="_Toc86935918"/>
      <w:bookmarkStart w:id="1425" w:name="_Toc13035"/>
      <w:r>
        <w:rPr>
          <w:rFonts w:ascii="宋体" w:hAnsi="宋体"/>
          <w:b/>
          <w:bCs/>
          <w:color w:val="auto"/>
          <w:sz w:val="32"/>
          <w:szCs w:val="32"/>
          <w:highlight w:val="none"/>
        </w:rPr>
        <w:t>13.1 分部分项工程验收</w:t>
      </w:r>
      <w:bookmarkEnd w:id="1417"/>
      <w:bookmarkEnd w:id="1418"/>
      <w:bookmarkEnd w:id="1419"/>
      <w:bookmarkEnd w:id="1420"/>
      <w:bookmarkEnd w:id="1421"/>
      <w:bookmarkEnd w:id="1422"/>
      <w:bookmarkEnd w:id="1423"/>
      <w:bookmarkEnd w:id="1424"/>
      <w:bookmarkEnd w:id="1425"/>
    </w:p>
    <w:p w14:paraId="7A806FB2">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13.1.2监理人不能按时进行验收时，应提前</w:t>
      </w:r>
      <w:r>
        <w:rPr>
          <w:rFonts w:hint="eastAsia" w:ascii="宋体" w:hAnsi="宋体"/>
          <w:color w:val="auto"/>
          <w:szCs w:val="21"/>
          <w:highlight w:val="none"/>
          <w:u w:val="single"/>
        </w:rPr>
        <w:t xml:space="preserve">   </w:t>
      </w:r>
      <w:r>
        <w:rPr>
          <w:rFonts w:ascii="宋体" w:hAnsi="宋体"/>
          <w:color w:val="auto"/>
          <w:szCs w:val="21"/>
          <w:highlight w:val="none"/>
        </w:rPr>
        <w:t>小时提交书面延期要求。</w:t>
      </w:r>
    </w:p>
    <w:p w14:paraId="7CFA9D74">
      <w:pPr>
        <w:spacing w:line="360" w:lineRule="auto"/>
        <w:ind w:firstLine="420" w:firstLineChars="200"/>
        <w:jc w:val="left"/>
        <w:rPr>
          <w:rFonts w:ascii="宋体" w:hAnsi="宋体"/>
          <w:b/>
          <w:color w:val="auto"/>
          <w:szCs w:val="21"/>
          <w:highlight w:val="none"/>
        </w:rPr>
      </w:pPr>
      <w:r>
        <w:rPr>
          <w:rFonts w:ascii="宋体" w:hAnsi="宋体"/>
          <w:color w:val="auto"/>
          <w:szCs w:val="21"/>
          <w:highlight w:val="none"/>
        </w:rPr>
        <w:t>关于延期最长不得超过：</w:t>
      </w:r>
      <w:r>
        <w:rPr>
          <w:rFonts w:hint="eastAsia" w:ascii="宋体" w:hAnsi="宋体"/>
          <w:color w:val="auto"/>
          <w:szCs w:val="21"/>
          <w:highlight w:val="none"/>
          <w:u w:val="single"/>
        </w:rPr>
        <w:t xml:space="preserve">   </w:t>
      </w:r>
      <w:r>
        <w:rPr>
          <w:rFonts w:ascii="宋体" w:hAnsi="宋体"/>
          <w:color w:val="auto"/>
          <w:szCs w:val="21"/>
          <w:highlight w:val="none"/>
        </w:rPr>
        <w:t>小时。</w:t>
      </w:r>
    </w:p>
    <w:p w14:paraId="0040FC78">
      <w:pPr>
        <w:keepNext/>
        <w:keepLines/>
        <w:spacing w:before="260" w:after="260" w:line="360" w:lineRule="auto"/>
        <w:outlineLvl w:val="2"/>
        <w:rPr>
          <w:rFonts w:ascii="宋体" w:hAnsi="宋体"/>
          <w:b/>
          <w:bCs/>
          <w:color w:val="auto"/>
          <w:sz w:val="32"/>
          <w:szCs w:val="32"/>
          <w:highlight w:val="none"/>
        </w:rPr>
      </w:pPr>
      <w:bookmarkStart w:id="1426" w:name="_Toc373227755"/>
      <w:bookmarkStart w:id="1427" w:name="_Toc86935919"/>
      <w:bookmarkStart w:id="1428" w:name="_Toc495673434"/>
      <w:bookmarkStart w:id="1429" w:name="_Toc389065320"/>
      <w:bookmarkStart w:id="1430" w:name="_Toc21330"/>
      <w:bookmarkStart w:id="1431" w:name="_Toc373478402"/>
      <w:bookmarkStart w:id="1432" w:name="_Toc407135258"/>
      <w:bookmarkStart w:id="1433" w:name="_Toc27359"/>
      <w:bookmarkStart w:id="1434" w:name="_Toc508379769"/>
      <w:bookmarkStart w:id="1435" w:name="_Toc296346724"/>
      <w:bookmarkStart w:id="1436" w:name="_Toc296503223"/>
      <w:bookmarkStart w:id="1437" w:name="_Toc292559428"/>
      <w:bookmarkStart w:id="1438" w:name="_Toc296944562"/>
      <w:bookmarkStart w:id="1439" w:name="_Toc297120523"/>
      <w:bookmarkStart w:id="1440" w:name="_Toc292559933"/>
      <w:bookmarkStart w:id="1441" w:name="_Toc303539173"/>
      <w:bookmarkStart w:id="1442" w:name="_Toc304295596"/>
      <w:bookmarkStart w:id="1443" w:name="_Toc297048409"/>
      <w:bookmarkStart w:id="1444" w:name="_Toc297123565"/>
      <w:bookmarkStart w:id="1445" w:name="_Toc312678056"/>
      <w:bookmarkStart w:id="1446" w:name="_Toc296891263"/>
      <w:bookmarkStart w:id="1447" w:name="_Toc297216224"/>
      <w:bookmarkStart w:id="1448" w:name="_Toc296347222"/>
      <w:bookmarkStart w:id="1449" w:name="_Toc300935016"/>
      <w:bookmarkStart w:id="1450" w:name="_Toc296891051"/>
      <w:bookmarkStart w:id="1451" w:name="_Toc267251476"/>
      <w:bookmarkStart w:id="1452" w:name="_Toc267251475"/>
      <w:bookmarkStart w:id="1453" w:name="_Toc267251472"/>
      <w:bookmarkStart w:id="1454" w:name="_Toc267251474"/>
      <w:bookmarkStart w:id="1455" w:name="_Toc267251471"/>
      <w:bookmarkStart w:id="1456" w:name="_Toc267251473"/>
      <w:bookmarkStart w:id="1457" w:name="_Toc267251470"/>
      <w:r>
        <w:rPr>
          <w:rFonts w:ascii="宋体" w:hAnsi="宋体"/>
          <w:b/>
          <w:bCs/>
          <w:color w:val="auto"/>
          <w:sz w:val="32"/>
          <w:szCs w:val="32"/>
          <w:highlight w:val="none"/>
        </w:rPr>
        <w:t>13.2 竣工验收</w:t>
      </w:r>
      <w:bookmarkEnd w:id="1426"/>
      <w:bookmarkEnd w:id="1427"/>
      <w:bookmarkEnd w:id="1428"/>
      <w:bookmarkEnd w:id="1429"/>
      <w:bookmarkEnd w:id="1430"/>
      <w:bookmarkEnd w:id="1431"/>
      <w:bookmarkEnd w:id="1432"/>
      <w:bookmarkEnd w:id="1433"/>
      <w:bookmarkEnd w:id="1434"/>
    </w:p>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p w14:paraId="09D08959">
      <w:pPr>
        <w:spacing w:line="360" w:lineRule="auto"/>
        <w:ind w:firstLine="420" w:firstLineChars="200"/>
        <w:jc w:val="left"/>
        <w:rPr>
          <w:rFonts w:ascii="宋体" w:hAnsi="宋体"/>
          <w:color w:val="auto"/>
          <w:szCs w:val="21"/>
          <w:highlight w:val="none"/>
        </w:rPr>
      </w:pPr>
      <w:bookmarkStart w:id="1458" w:name="_Toc280868704"/>
      <w:bookmarkStart w:id="1459" w:name="_Toc280868705"/>
      <w:bookmarkStart w:id="1460" w:name="_Toc280868706"/>
      <w:bookmarkStart w:id="1461" w:name="_Toc280868707"/>
      <w:bookmarkStart w:id="1462" w:name="_Toc280868708"/>
      <w:bookmarkStart w:id="1463" w:name="_Toc280868709"/>
      <w:r>
        <w:rPr>
          <w:rFonts w:ascii="宋体" w:hAnsi="宋体"/>
          <w:color w:val="auto"/>
          <w:szCs w:val="21"/>
          <w:highlight w:val="none"/>
        </w:rPr>
        <w:t>13.2.1竣工验收条件</w:t>
      </w:r>
    </w:p>
    <w:p w14:paraId="1CF432A9">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w:t>
      </w:r>
      <w:r>
        <w:rPr>
          <w:rFonts w:ascii="宋体" w:hAnsi="宋体"/>
          <w:color w:val="auto"/>
          <w:szCs w:val="21"/>
          <w:highlight w:val="none"/>
        </w:rPr>
        <w:t>3</w:t>
      </w:r>
      <w:r>
        <w:rPr>
          <w:rFonts w:hint="eastAsia" w:ascii="宋体" w:hAnsi="宋体"/>
          <w:color w:val="auto"/>
          <w:szCs w:val="21"/>
          <w:highlight w:val="none"/>
        </w:rPr>
        <w:t>）</w:t>
      </w:r>
      <w:r>
        <w:rPr>
          <w:rFonts w:ascii="宋体" w:hAnsi="宋体"/>
          <w:color w:val="auto"/>
          <w:szCs w:val="21"/>
          <w:highlight w:val="none"/>
        </w:rPr>
        <w:t>承包人负责整理和提交的竣工验收资料应当符合工程所在地建设行政主管部门和(或)城市建设档案管理机构有关施工资料的要求，具体内容包括：</w:t>
      </w:r>
      <w:r>
        <w:rPr>
          <w:rFonts w:hint="eastAsia" w:ascii="宋体" w:hAnsi="宋体"/>
          <w:color w:val="auto"/>
          <w:szCs w:val="21"/>
          <w:highlight w:val="none"/>
          <w:u w:val="single"/>
        </w:rPr>
        <w:t xml:space="preserve">  </w:t>
      </w:r>
      <w:r>
        <w:rPr>
          <w:rStyle w:val="35"/>
          <w:rFonts w:hint="eastAsia" w:ascii="宋体" w:hAnsi="宋体" w:eastAsia="宋体"/>
          <w:color w:val="auto"/>
          <w:highlight w:val="none"/>
          <w:u w:val="single"/>
        </w:rPr>
        <w:t>按工程所在地建设行政主管部门（或）城市建设档案管理机构有关施工资料的要求</w:t>
      </w:r>
      <w:r>
        <w:rPr>
          <w:rFonts w:hint="eastAsia" w:ascii="宋体" w:hAnsi="宋体"/>
          <w:color w:val="auto"/>
          <w:szCs w:val="21"/>
          <w:highlight w:val="none"/>
          <w:u w:val="single"/>
        </w:rPr>
        <w:t xml:space="preserve">  </w:t>
      </w:r>
      <w:r>
        <w:rPr>
          <w:rFonts w:ascii="宋体" w:hAnsi="宋体"/>
          <w:color w:val="auto"/>
          <w:szCs w:val="21"/>
          <w:highlight w:val="none"/>
        </w:rPr>
        <w:t>。</w:t>
      </w:r>
    </w:p>
    <w:p w14:paraId="1A8B3173">
      <w:pPr>
        <w:spacing w:line="360" w:lineRule="auto"/>
        <w:ind w:firstLine="420" w:firstLineChars="200"/>
        <w:rPr>
          <w:rFonts w:ascii="宋体" w:hAnsi="宋体"/>
          <w:color w:val="auto"/>
          <w:szCs w:val="21"/>
          <w:highlight w:val="none"/>
        </w:rPr>
      </w:pPr>
      <w:r>
        <w:rPr>
          <w:rFonts w:ascii="宋体" w:hAnsi="宋体"/>
          <w:color w:val="auto"/>
          <w:szCs w:val="21"/>
          <w:highlight w:val="none"/>
        </w:rPr>
        <w:t>竣工验收资料的份数：</w:t>
      </w:r>
      <w:r>
        <w:rPr>
          <w:rFonts w:hint="eastAsia" w:ascii="宋体" w:hAnsi="宋体"/>
          <w:color w:val="auto"/>
          <w:szCs w:val="21"/>
          <w:highlight w:val="none"/>
          <w:u w:val="single"/>
        </w:rPr>
        <w:t xml:space="preserve"> </w:t>
      </w:r>
      <w:r>
        <w:rPr>
          <w:rStyle w:val="35"/>
          <w:rFonts w:hint="eastAsia" w:ascii="宋体" w:hAnsi="宋体" w:eastAsia="宋体"/>
          <w:bCs/>
          <w:color w:val="auto"/>
          <w:highlight w:val="none"/>
          <w:u w:val="single"/>
        </w:rPr>
        <w:t>承包人应在竣工后30天内按照建设行政主管部门及发包人的要求提供有关竣工资料</w:t>
      </w:r>
      <w:r>
        <w:rPr>
          <w:rStyle w:val="35"/>
          <w:rFonts w:hint="eastAsia" w:ascii="宋体" w:hAnsi="宋体" w:eastAsia="宋体"/>
          <w:bCs/>
          <w:color w:val="auto"/>
          <w:highlight w:val="none"/>
        </w:rPr>
        <w:t>，</w:t>
      </w:r>
      <w:r>
        <w:rPr>
          <w:rStyle w:val="35"/>
          <w:rFonts w:hint="eastAsia" w:ascii="宋体" w:hAnsi="宋体" w:eastAsia="宋体"/>
          <w:bCs/>
          <w:color w:val="auto"/>
          <w:highlight w:val="none"/>
          <w:u w:val="single"/>
        </w:rPr>
        <w:t>其套数除满足各政府部门存档案需要外还需另提供</w:t>
      </w:r>
      <w:r>
        <w:rPr>
          <w:rStyle w:val="35"/>
          <w:rFonts w:hint="eastAsia" w:ascii="宋体" w:hAnsi="宋体" w:eastAsia="宋体"/>
          <w:bCs/>
          <w:color w:val="auto"/>
          <w:highlight w:val="none"/>
          <w:u w:val="single"/>
          <w:lang w:val="en-US" w:eastAsia="zh-CN"/>
        </w:rPr>
        <w:t xml:space="preserve">   </w:t>
      </w:r>
      <w:r>
        <w:rPr>
          <w:rStyle w:val="35"/>
          <w:rFonts w:hint="eastAsia" w:ascii="宋体" w:hAnsi="宋体" w:eastAsia="宋体"/>
          <w:bCs/>
          <w:color w:val="auto"/>
          <w:highlight w:val="none"/>
          <w:u w:val="single"/>
        </w:rPr>
        <w:t>套原件由发包人存档备用</w:t>
      </w:r>
      <w:r>
        <w:rPr>
          <w:rFonts w:hint="eastAsia" w:ascii="宋体" w:hAnsi="宋体"/>
          <w:color w:val="auto"/>
          <w:szCs w:val="21"/>
          <w:highlight w:val="none"/>
          <w:u w:val="single"/>
        </w:rPr>
        <w:t xml:space="preserve"> </w:t>
      </w:r>
      <w:r>
        <w:rPr>
          <w:rFonts w:ascii="宋体" w:hAnsi="宋体"/>
          <w:color w:val="auto"/>
          <w:szCs w:val="21"/>
          <w:highlight w:val="none"/>
        </w:rPr>
        <w:t>。</w:t>
      </w:r>
    </w:p>
    <w:p w14:paraId="0359E4CE">
      <w:pPr>
        <w:spacing w:line="360" w:lineRule="auto"/>
        <w:ind w:firstLine="420" w:firstLineChars="200"/>
        <w:jc w:val="left"/>
        <w:rPr>
          <w:rFonts w:ascii="宋体" w:hAnsi="宋体"/>
          <w:color w:val="auto"/>
          <w:szCs w:val="21"/>
          <w:highlight w:val="none"/>
        </w:rPr>
      </w:pPr>
      <w:r>
        <w:rPr>
          <w:rFonts w:ascii="宋体" w:hAnsi="宋体"/>
          <w:bCs/>
          <w:color w:val="auto"/>
          <w:szCs w:val="21"/>
          <w:highlight w:val="none"/>
        </w:rPr>
        <w:t>承包人提供竣工图的约定：</w:t>
      </w:r>
      <w:r>
        <w:rPr>
          <w:rFonts w:ascii="宋体" w:hAnsi="宋体"/>
          <w:bCs/>
          <w:color w:val="auto"/>
          <w:szCs w:val="21"/>
          <w:highlight w:val="none"/>
          <w:u w:val="single"/>
        </w:rPr>
        <w:t>竣工验收正式通过后5天（工程造价在500万元以下含500万元）、10天（工程造价在500万元至1000万元之间含1000万元）、15天（工程造价在1000万元以上），提供竣工图的数量分别为2套、4套、6套。</w:t>
      </w:r>
    </w:p>
    <w:p w14:paraId="54051E8B">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13.2.2竣工验收程序</w:t>
      </w:r>
    </w:p>
    <w:bookmarkEnd w:id="1458"/>
    <w:p w14:paraId="4C423DAD">
      <w:pPr>
        <w:spacing w:line="360" w:lineRule="auto"/>
        <w:ind w:firstLine="420" w:firstLineChars="200"/>
        <w:jc w:val="left"/>
        <w:rPr>
          <w:rFonts w:ascii="宋体" w:hAnsi="宋体"/>
          <w:color w:val="auto"/>
          <w:szCs w:val="21"/>
          <w:highlight w:val="none"/>
          <w:u w:val="single"/>
        </w:rPr>
      </w:pPr>
      <w:r>
        <w:rPr>
          <w:rFonts w:ascii="宋体" w:hAnsi="宋体"/>
          <w:color w:val="auto"/>
          <w:kern w:val="0"/>
          <w:szCs w:val="21"/>
          <w:highlight w:val="none"/>
        </w:rPr>
        <w:t>关于竣工验收程序的约定：</w:t>
      </w:r>
      <w:r>
        <w:rPr>
          <w:rFonts w:hint="eastAsia" w:ascii="宋体" w:hAnsi="宋体"/>
          <w:color w:val="auto"/>
          <w:szCs w:val="21"/>
          <w:highlight w:val="none"/>
          <w:u w:val="single"/>
        </w:rPr>
        <w:t xml:space="preserve"> 在项目完工且收到承包人验收申请后5个工作日内组织开展履约验收。</w:t>
      </w:r>
      <w:r>
        <w:rPr>
          <w:rStyle w:val="35"/>
          <w:rFonts w:hint="eastAsia" w:ascii="宋体" w:hAnsi="宋体" w:eastAsia="宋体"/>
          <w:color w:val="auto"/>
          <w:kern w:val="0"/>
          <w:highlight w:val="none"/>
          <w:u w:val="single"/>
        </w:rPr>
        <w:t>按工程所在地建设行政主管部门的规定</w:t>
      </w:r>
      <w:r>
        <w:rPr>
          <w:rStyle w:val="35"/>
          <w:rFonts w:hint="eastAsia" w:ascii="宋体" w:hAnsi="宋体" w:eastAsia="宋体"/>
          <w:color w:val="auto"/>
          <w:kern w:val="0"/>
          <w:highlight w:val="none"/>
        </w:rPr>
        <w:t>，</w:t>
      </w:r>
      <w:r>
        <w:rPr>
          <w:rStyle w:val="35"/>
          <w:rFonts w:hint="eastAsia" w:ascii="宋体" w:hAnsi="宋体" w:eastAsia="宋体"/>
          <w:color w:val="auto"/>
          <w:highlight w:val="none"/>
          <w:u w:val="single"/>
        </w:rPr>
        <w:t>经验收合格的工程</w:t>
      </w:r>
      <w:r>
        <w:rPr>
          <w:rStyle w:val="35"/>
          <w:rFonts w:hint="eastAsia" w:ascii="宋体" w:hAnsi="宋体" w:eastAsia="宋体"/>
          <w:color w:val="auto"/>
          <w:highlight w:val="none"/>
        </w:rPr>
        <w:t>，</w:t>
      </w:r>
      <w:r>
        <w:rPr>
          <w:rStyle w:val="35"/>
          <w:rFonts w:hint="eastAsia" w:ascii="宋体" w:hAnsi="宋体" w:eastAsia="宋体"/>
          <w:color w:val="auto"/>
          <w:highlight w:val="none"/>
          <w:u w:val="single"/>
        </w:rPr>
        <w:t>实际竣工日期为承包人按照提交竣工验收申请报告或按照本款重新提交竣工验收申请报告的日期（以两者中时间在后者为准）</w:t>
      </w:r>
      <w:r>
        <w:rPr>
          <w:rFonts w:hint="eastAsia" w:ascii="宋体" w:hAnsi="宋体"/>
          <w:color w:val="auto"/>
          <w:szCs w:val="21"/>
          <w:highlight w:val="none"/>
          <w:u w:val="single"/>
        </w:rPr>
        <w:t xml:space="preserve">   </w:t>
      </w:r>
      <w:r>
        <w:rPr>
          <w:rFonts w:ascii="宋体" w:hAnsi="宋体"/>
          <w:color w:val="auto"/>
          <w:szCs w:val="21"/>
          <w:highlight w:val="none"/>
        </w:rPr>
        <w:t>。</w:t>
      </w:r>
    </w:p>
    <w:p w14:paraId="48A5BCA0">
      <w:pPr>
        <w:spacing w:line="360" w:lineRule="auto"/>
        <w:ind w:firstLine="420" w:firstLineChars="200"/>
        <w:jc w:val="left"/>
        <w:rPr>
          <w:rFonts w:ascii="宋体" w:hAnsi="宋体"/>
          <w:color w:val="auto"/>
          <w:szCs w:val="21"/>
          <w:highlight w:val="none"/>
        </w:rPr>
      </w:pPr>
      <w:r>
        <w:rPr>
          <w:rFonts w:ascii="宋体" w:hAnsi="宋体"/>
          <w:color w:val="auto"/>
          <w:kern w:val="0"/>
          <w:szCs w:val="21"/>
          <w:highlight w:val="none"/>
        </w:rPr>
        <w:t>发包人不按照本项约定组织竣工验收、颁发工程接收证书的违约金的计算方法：</w:t>
      </w:r>
      <w:r>
        <w:rPr>
          <w:rFonts w:hint="eastAsia" w:ascii="宋体" w:hAnsi="宋体"/>
          <w:color w:val="auto"/>
          <w:szCs w:val="21"/>
          <w:highlight w:val="none"/>
          <w:u w:val="single"/>
        </w:rPr>
        <w:t xml:space="preserve">   </w:t>
      </w:r>
      <w:r>
        <w:rPr>
          <w:rFonts w:hint="eastAsia" w:ascii="宋体" w:hAnsi="宋体"/>
          <w:color w:val="auto"/>
          <w:szCs w:val="21"/>
          <w:highlight w:val="none"/>
          <w:u w:val="single"/>
          <w:lang w:val="en-US" w:eastAsia="zh-CN"/>
        </w:rPr>
        <w:t>/</w:t>
      </w:r>
      <w:r>
        <w:rPr>
          <w:rFonts w:hint="eastAsia" w:ascii="宋体" w:hAnsi="宋体"/>
          <w:color w:val="auto"/>
          <w:szCs w:val="21"/>
          <w:highlight w:val="none"/>
          <w:u w:val="single"/>
        </w:rPr>
        <w:t xml:space="preserve">           </w:t>
      </w:r>
      <w:r>
        <w:rPr>
          <w:rFonts w:ascii="宋体" w:hAnsi="宋体"/>
          <w:color w:val="auto"/>
          <w:szCs w:val="21"/>
          <w:highlight w:val="none"/>
        </w:rPr>
        <w:t>。</w:t>
      </w:r>
    </w:p>
    <w:bookmarkEnd w:id="1459"/>
    <w:p w14:paraId="3630F3FD">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13.2.5移交、接收全部与部分工程</w:t>
      </w:r>
    </w:p>
    <w:bookmarkEnd w:id="1460"/>
    <w:p w14:paraId="398E9FD8">
      <w:pPr>
        <w:spacing w:line="360" w:lineRule="auto"/>
        <w:ind w:firstLine="420" w:firstLineChars="200"/>
        <w:jc w:val="left"/>
        <w:rPr>
          <w:rFonts w:ascii="宋体" w:hAnsi="宋体"/>
          <w:color w:val="auto"/>
          <w:kern w:val="0"/>
          <w:szCs w:val="21"/>
          <w:highlight w:val="none"/>
        </w:rPr>
      </w:pPr>
      <w:r>
        <w:rPr>
          <w:rFonts w:ascii="宋体" w:hAnsi="宋体"/>
          <w:color w:val="auto"/>
          <w:kern w:val="0"/>
          <w:szCs w:val="21"/>
          <w:highlight w:val="none"/>
        </w:rPr>
        <w:t>承包人向发包人移交工程的期限：</w:t>
      </w:r>
      <w:r>
        <w:rPr>
          <w:rStyle w:val="35"/>
          <w:rFonts w:hint="eastAsia" w:ascii="宋体" w:hAnsi="宋体" w:eastAsia="宋体"/>
          <w:color w:val="auto"/>
          <w:highlight w:val="none"/>
          <w:u w:val="single"/>
        </w:rPr>
        <w:t>竣工验收合格之日起</w:t>
      </w:r>
      <w:r>
        <w:rPr>
          <w:rStyle w:val="35"/>
          <w:rFonts w:hint="eastAsia" w:ascii="宋体" w:hAnsi="宋体" w:eastAsia="宋体"/>
          <w:color w:val="auto"/>
          <w:highlight w:val="none"/>
          <w:u w:val="single"/>
          <w:lang w:val="en-US" w:eastAsia="zh-CN"/>
        </w:rPr>
        <w:t xml:space="preserve">   </w:t>
      </w:r>
      <w:r>
        <w:rPr>
          <w:rStyle w:val="35"/>
          <w:rFonts w:hint="eastAsia" w:ascii="宋体" w:hAnsi="宋体" w:eastAsia="宋体"/>
          <w:color w:val="auto"/>
          <w:highlight w:val="none"/>
          <w:u w:val="single"/>
        </w:rPr>
        <w:t>天内</w:t>
      </w:r>
      <w:r>
        <w:rPr>
          <w:rFonts w:hint="eastAsia" w:ascii="宋体" w:hAnsi="宋体"/>
          <w:color w:val="auto"/>
          <w:szCs w:val="21"/>
          <w:highlight w:val="none"/>
          <w:u w:val="single"/>
        </w:rPr>
        <w:t xml:space="preserve">  </w:t>
      </w:r>
      <w:r>
        <w:rPr>
          <w:rFonts w:ascii="宋体" w:hAnsi="宋体"/>
          <w:color w:val="auto"/>
          <w:szCs w:val="21"/>
          <w:highlight w:val="none"/>
        </w:rPr>
        <w:t>。</w:t>
      </w:r>
    </w:p>
    <w:p w14:paraId="73D4F94D">
      <w:pPr>
        <w:spacing w:line="360" w:lineRule="auto"/>
        <w:ind w:firstLine="420" w:firstLineChars="200"/>
        <w:jc w:val="left"/>
        <w:rPr>
          <w:rFonts w:ascii="宋体" w:hAnsi="宋体"/>
          <w:color w:val="auto"/>
          <w:szCs w:val="21"/>
          <w:highlight w:val="none"/>
          <w:u w:val="single"/>
        </w:rPr>
      </w:pPr>
      <w:r>
        <w:rPr>
          <w:rFonts w:ascii="宋体" w:hAnsi="宋体"/>
          <w:color w:val="auto"/>
          <w:kern w:val="0"/>
          <w:szCs w:val="21"/>
          <w:highlight w:val="none"/>
        </w:rPr>
        <w:t>发包人未按本合同约定接收全部或部分工程的，违约金的计算方法为：</w:t>
      </w:r>
      <w:r>
        <w:rPr>
          <w:rFonts w:hint="eastAsia" w:ascii="宋体" w:hAnsi="宋体"/>
          <w:color w:val="auto"/>
          <w:szCs w:val="21"/>
          <w:highlight w:val="none"/>
          <w:u w:val="single"/>
        </w:rPr>
        <w:t xml:space="preserve">                      </w:t>
      </w:r>
      <w:r>
        <w:rPr>
          <w:rFonts w:ascii="宋体" w:hAnsi="宋体"/>
          <w:color w:val="auto"/>
          <w:szCs w:val="21"/>
          <w:highlight w:val="none"/>
        </w:rPr>
        <w:t>。</w:t>
      </w:r>
    </w:p>
    <w:bookmarkEnd w:id="1461"/>
    <w:p w14:paraId="6FDE1CF3">
      <w:pPr>
        <w:spacing w:line="360" w:lineRule="auto"/>
        <w:ind w:firstLine="420" w:firstLineChars="200"/>
        <w:jc w:val="left"/>
        <w:rPr>
          <w:rFonts w:ascii="宋体" w:hAnsi="宋体"/>
          <w:color w:val="auto"/>
          <w:szCs w:val="21"/>
          <w:highlight w:val="none"/>
          <w:u w:val="single"/>
        </w:rPr>
      </w:pPr>
      <w:r>
        <w:rPr>
          <w:rFonts w:ascii="宋体" w:hAnsi="宋体"/>
          <w:color w:val="auto"/>
          <w:szCs w:val="21"/>
          <w:highlight w:val="none"/>
        </w:rPr>
        <w:t>承包人未按时移交工程的，违约金的计算方法为：</w:t>
      </w:r>
      <w:r>
        <w:rPr>
          <w:rFonts w:hint="eastAsia" w:ascii="宋体" w:hAnsi="宋体"/>
          <w:color w:val="auto"/>
          <w:szCs w:val="21"/>
          <w:highlight w:val="none"/>
          <w:u w:val="single"/>
        </w:rPr>
        <w:t xml:space="preserve">                      </w:t>
      </w:r>
      <w:r>
        <w:rPr>
          <w:rFonts w:ascii="宋体" w:hAnsi="宋体"/>
          <w:color w:val="auto"/>
          <w:szCs w:val="21"/>
          <w:highlight w:val="none"/>
        </w:rPr>
        <w:t>。</w:t>
      </w:r>
    </w:p>
    <w:p w14:paraId="675E6051">
      <w:pPr>
        <w:keepNext/>
        <w:keepLines/>
        <w:spacing w:before="260" w:after="260" w:line="360" w:lineRule="auto"/>
        <w:outlineLvl w:val="2"/>
        <w:rPr>
          <w:rFonts w:ascii="宋体" w:hAnsi="宋体"/>
          <w:b/>
          <w:bCs/>
          <w:color w:val="auto"/>
          <w:sz w:val="32"/>
          <w:szCs w:val="32"/>
          <w:highlight w:val="none"/>
        </w:rPr>
      </w:pPr>
      <w:bookmarkStart w:id="1464" w:name="_Toc389065321"/>
      <w:bookmarkStart w:id="1465" w:name="_Toc508379770"/>
      <w:bookmarkStart w:id="1466" w:name="_Toc495673435"/>
      <w:bookmarkStart w:id="1467" w:name="_Toc86935920"/>
      <w:bookmarkStart w:id="1468" w:name="_Toc373478403"/>
      <w:bookmarkStart w:id="1469" w:name="_Toc407135259"/>
      <w:bookmarkStart w:id="1470" w:name="_Toc18887"/>
      <w:bookmarkStart w:id="1471" w:name="_Toc31797"/>
      <w:bookmarkStart w:id="1472" w:name="_Toc373227756"/>
      <w:r>
        <w:rPr>
          <w:rFonts w:ascii="宋体" w:hAnsi="宋体"/>
          <w:b/>
          <w:bCs/>
          <w:color w:val="auto"/>
          <w:sz w:val="32"/>
          <w:szCs w:val="32"/>
          <w:highlight w:val="none"/>
        </w:rPr>
        <w:t>13.3 工程试车</w:t>
      </w:r>
      <w:bookmarkEnd w:id="1464"/>
      <w:bookmarkEnd w:id="1465"/>
      <w:bookmarkEnd w:id="1466"/>
      <w:bookmarkEnd w:id="1467"/>
      <w:bookmarkEnd w:id="1468"/>
      <w:bookmarkEnd w:id="1469"/>
      <w:bookmarkEnd w:id="1470"/>
      <w:bookmarkEnd w:id="1471"/>
      <w:bookmarkEnd w:id="1472"/>
    </w:p>
    <w:bookmarkEnd w:id="1462"/>
    <w:p w14:paraId="76277261">
      <w:pPr>
        <w:spacing w:line="360" w:lineRule="auto"/>
        <w:ind w:firstLine="420" w:firstLineChars="200"/>
        <w:jc w:val="left"/>
        <w:rPr>
          <w:rFonts w:ascii="宋体" w:hAnsi="宋体"/>
          <w:color w:val="auto"/>
          <w:kern w:val="0"/>
          <w:szCs w:val="21"/>
          <w:highlight w:val="none"/>
        </w:rPr>
      </w:pPr>
      <w:r>
        <w:rPr>
          <w:rFonts w:ascii="宋体" w:hAnsi="宋体"/>
          <w:color w:val="auto"/>
          <w:kern w:val="0"/>
          <w:szCs w:val="21"/>
          <w:highlight w:val="none"/>
        </w:rPr>
        <w:t>13.3.1 试车程序</w:t>
      </w:r>
    </w:p>
    <w:p w14:paraId="315122D3">
      <w:pPr>
        <w:spacing w:line="360" w:lineRule="auto"/>
        <w:ind w:firstLine="420" w:firstLineChars="200"/>
        <w:jc w:val="left"/>
        <w:rPr>
          <w:rFonts w:ascii="宋体" w:hAnsi="宋体"/>
          <w:color w:val="auto"/>
          <w:szCs w:val="21"/>
          <w:highlight w:val="none"/>
          <w:u w:val="single"/>
        </w:rPr>
      </w:pPr>
      <w:r>
        <w:rPr>
          <w:rFonts w:ascii="宋体" w:hAnsi="宋体"/>
          <w:color w:val="auto"/>
          <w:kern w:val="0"/>
          <w:szCs w:val="21"/>
          <w:highlight w:val="none"/>
        </w:rPr>
        <w:t>工程试车内容：</w:t>
      </w:r>
      <w:r>
        <w:rPr>
          <w:rFonts w:hint="eastAsia" w:ascii="宋体" w:hAnsi="宋体"/>
          <w:color w:val="auto"/>
          <w:szCs w:val="21"/>
          <w:highlight w:val="none"/>
          <w:u w:val="single"/>
        </w:rPr>
        <w:t xml:space="preserve">                      </w:t>
      </w:r>
      <w:r>
        <w:rPr>
          <w:rFonts w:ascii="宋体" w:hAnsi="宋体"/>
          <w:color w:val="auto"/>
          <w:szCs w:val="21"/>
          <w:highlight w:val="none"/>
        </w:rPr>
        <w:t>。</w:t>
      </w:r>
    </w:p>
    <w:p w14:paraId="152CE3FB">
      <w:pPr>
        <w:spacing w:line="360" w:lineRule="auto"/>
        <w:ind w:firstLine="420" w:firstLineChars="200"/>
        <w:jc w:val="left"/>
        <w:rPr>
          <w:rFonts w:ascii="宋体" w:hAnsi="宋体"/>
          <w:color w:val="auto"/>
          <w:kern w:val="0"/>
          <w:szCs w:val="21"/>
          <w:highlight w:val="none"/>
        </w:rPr>
      </w:pPr>
      <w:r>
        <w:rPr>
          <w:rFonts w:ascii="宋体" w:hAnsi="宋体"/>
          <w:color w:val="auto"/>
          <w:kern w:val="0"/>
          <w:szCs w:val="21"/>
          <w:highlight w:val="none"/>
        </w:rPr>
        <w:t>（1）单机无负荷试车费用由承担；</w:t>
      </w:r>
    </w:p>
    <w:p w14:paraId="78671CEC">
      <w:pPr>
        <w:spacing w:line="360" w:lineRule="auto"/>
        <w:ind w:firstLine="420" w:firstLineChars="200"/>
        <w:jc w:val="left"/>
        <w:rPr>
          <w:rFonts w:ascii="宋体" w:hAnsi="宋体"/>
          <w:color w:val="auto"/>
          <w:kern w:val="0"/>
          <w:szCs w:val="21"/>
          <w:highlight w:val="none"/>
        </w:rPr>
      </w:pPr>
      <w:r>
        <w:rPr>
          <w:rFonts w:ascii="宋体" w:hAnsi="宋体"/>
          <w:color w:val="auto"/>
          <w:kern w:val="0"/>
          <w:szCs w:val="21"/>
          <w:highlight w:val="none"/>
        </w:rPr>
        <w:t>（2）无负荷联动试车费用由承担。</w:t>
      </w:r>
    </w:p>
    <w:p w14:paraId="5249DEAE">
      <w:pPr>
        <w:spacing w:line="360" w:lineRule="auto"/>
        <w:ind w:firstLine="420" w:firstLineChars="200"/>
        <w:jc w:val="left"/>
        <w:rPr>
          <w:rFonts w:ascii="宋体" w:hAnsi="宋体"/>
          <w:color w:val="auto"/>
          <w:kern w:val="0"/>
          <w:szCs w:val="21"/>
          <w:highlight w:val="none"/>
        </w:rPr>
      </w:pPr>
      <w:r>
        <w:rPr>
          <w:rFonts w:ascii="宋体" w:hAnsi="宋体"/>
          <w:color w:val="auto"/>
          <w:kern w:val="0"/>
          <w:szCs w:val="21"/>
          <w:highlight w:val="none"/>
        </w:rPr>
        <w:t>13.3.3 投料试车</w:t>
      </w:r>
    </w:p>
    <w:p w14:paraId="249D0983">
      <w:pPr>
        <w:spacing w:line="360" w:lineRule="auto"/>
        <w:ind w:firstLine="420" w:firstLineChars="200"/>
        <w:jc w:val="left"/>
        <w:rPr>
          <w:rFonts w:ascii="宋体" w:hAnsi="宋体"/>
          <w:color w:val="auto"/>
          <w:szCs w:val="21"/>
          <w:highlight w:val="none"/>
          <w:u w:val="single"/>
        </w:rPr>
      </w:pPr>
      <w:r>
        <w:rPr>
          <w:rFonts w:ascii="宋体" w:hAnsi="宋体"/>
          <w:color w:val="auto"/>
          <w:kern w:val="0"/>
          <w:szCs w:val="21"/>
          <w:highlight w:val="none"/>
        </w:rPr>
        <w:t>关于投料试车相关事项的约定：</w:t>
      </w:r>
      <w:r>
        <w:rPr>
          <w:rFonts w:hint="eastAsia" w:ascii="宋体" w:hAnsi="宋体"/>
          <w:color w:val="auto"/>
          <w:szCs w:val="21"/>
          <w:highlight w:val="none"/>
          <w:u w:val="single"/>
        </w:rPr>
        <w:t xml:space="preserve">                      </w:t>
      </w:r>
      <w:r>
        <w:rPr>
          <w:rFonts w:ascii="宋体" w:hAnsi="宋体"/>
          <w:color w:val="auto"/>
          <w:szCs w:val="21"/>
          <w:highlight w:val="none"/>
        </w:rPr>
        <w:t>。</w:t>
      </w:r>
    </w:p>
    <w:p w14:paraId="363213A9">
      <w:pPr>
        <w:keepNext/>
        <w:keepLines/>
        <w:spacing w:before="260" w:after="260" w:line="360" w:lineRule="auto"/>
        <w:outlineLvl w:val="2"/>
        <w:rPr>
          <w:rFonts w:ascii="宋体" w:hAnsi="宋体"/>
          <w:b/>
          <w:bCs/>
          <w:color w:val="auto"/>
          <w:sz w:val="32"/>
          <w:szCs w:val="32"/>
          <w:highlight w:val="none"/>
        </w:rPr>
      </w:pPr>
      <w:bookmarkStart w:id="1473" w:name="_Toc389065322"/>
      <w:bookmarkStart w:id="1474" w:name="_Toc86935921"/>
      <w:bookmarkStart w:id="1475" w:name="_Toc9481"/>
      <w:bookmarkStart w:id="1476" w:name="_Toc508379771"/>
      <w:bookmarkStart w:id="1477" w:name="_Toc407135260"/>
      <w:bookmarkStart w:id="1478" w:name="_Toc24566"/>
      <w:bookmarkStart w:id="1479" w:name="_Toc495673436"/>
      <w:bookmarkStart w:id="1480" w:name="_Toc373227757"/>
      <w:bookmarkStart w:id="1481" w:name="_Toc373478404"/>
      <w:r>
        <w:rPr>
          <w:rFonts w:ascii="宋体" w:hAnsi="宋体"/>
          <w:b/>
          <w:bCs/>
          <w:color w:val="auto"/>
          <w:sz w:val="32"/>
          <w:szCs w:val="32"/>
          <w:highlight w:val="none"/>
        </w:rPr>
        <w:t>13.6 竣工退场</w:t>
      </w:r>
      <w:bookmarkEnd w:id="1473"/>
      <w:bookmarkEnd w:id="1474"/>
      <w:bookmarkEnd w:id="1475"/>
      <w:bookmarkEnd w:id="1476"/>
      <w:bookmarkEnd w:id="1477"/>
      <w:bookmarkEnd w:id="1478"/>
      <w:bookmarkEnd w:id="1479"/>
      <w:bookmarkEnd w:id="1480"/>
      <w:bookmarkEnd w:id="1481"/>
    </w:p>
    <w:p w14:paraId="70905522">
      <w:pPr>
        <w:spacing w:line="360" w:lineRule="auto"/>
        <w:ind w:firstLine="420" w:firstLineChars="200"/>
        <w:jc w:val="left"/>
        <w:rPr>
          <w:rFonts w:ascii="宋体" w:hAnsi="宋体"/>
          <w:color w:val="auto"/>
          <w:kern w:val="0"/>
          <w:szCs w:val="21"/>
          <w:highlight w:val="none"/>
        </w:rPr>
      </w:pPr>
      <w:r>
        <w:rPr>
          <w:rFonts w:ascii="宋体" w:hAnsi="宋体"/>
          <w:color w:val="auto"/>
          <w:kern w:val="0"/>
          <w:szCs w:val="21"/>
          <w:highlight w:val="none"/>
        </w:rPr>
        <w:t>13.6.1 竣工退场</w:t>
      </w:r>
    </w:p>
    <w:p w14:paraId="5B0C56D9">
      <w:pPr>
        <w:spacing w:line="360" w:lineRule="auto"/>
        <w:ind w:firstLine="420" w:firstLineChars="200"/>
        <w:jc w:val="left"/>
        <w:rPr>
          <w:rFonts w:ascii="宋体" w:hAnsi="宋体"/>
          <w:color w:val="auto"/>
          <w:kern w:val="0"/>
          <w:szCs w:val="21"/>
          <w:highlight w:val="none"/>
        </w:rPr>
      </w:pPr>
      <w:r>
        <w:rPr>
          <w:rFonts w:ascii="宋体" w:hAnsi="宋体"/>
          <w:color w:val="auto"/>
          <w:kern w:val="0"/>
          <w:szCs w:val="21"/>
          <w:highlight w:val="none"/>
        </w:rPr>
        <w:t>承包人完成竣工退场的期限：</w:t>
      </w:r>
      <w:r>
        <w:rPr>
          <w:rFonts w:hint="eastAsia" w:ascii="宋体" w:hAnsi="宋体"/>
          <w:color w:val="auto"/>
          <w:szCs w:val="21"/>
          <w:highlight w:val="none"/>
          <w:u w:val="single"/>
        </w:rPr>
        <w:t xml:space="preserve"> </w:t>
      </w:r>
      <w:r>
        <w:rPr>
          <w:rStyle w:val="35"/>
          <w:rFonts w:hint="eastAsia" w:ascii="宋体" w:hAnsi="宋体" w:eastAsia="宋体"/>
          <w:color w:val="auto"/>
          <w:highlight w:val="none"/>
          <w:u w:val="single"/>
        </w:rPr>
        <w:t>竣工验收合格之日起</w:t>
      </w:r>
      <w:r>
        <w:rPr>
          <w:rStyle w:val="35"/>
          <w:rFonts w:hint="eastAsia" w:ascii="宋体" w:hAnsi="宋体" w:eastAsia="宋体"/>
          <w:color w:val="auto"/>
          <w:highlight w:val="none"/>
          <w:u w:val="single"/>
          <w:lang w:val="en-US" w:eastAsia="zh-CN"/>
        </w:rPr>
        <w:t xml:space="preserve">   </w:t>
      </w:r>
      <w:r>
        <w:rPr>
          <w:rStyle w:val="35"/>
          <w:rFonts w:hint="eastAsia" w:ascii="宋体" w:hAnsi="宋体" w:eastAsia="宋体"/>
          <w:color w:val="auto"/>
          <w:highlight w:val="none"/>
          <w:u w:val="single"/>
        </w:rPr>
        <w:t>天内</w:t>
      </w:r>
      <w:r>
        <w:rPr>
          <w:rStyle w:val="35"/>
          <w:rFonts w:hint="eastAsia" w:ascii="宋体" w:hAnsi="宋体" w:eastAsia="宋体"/>
          <w:color w:val="auto"/>
          <w:highlight w:val="none"/>
        </w:rPr>
        <w:t>，</w:t>
      </w:r>
      <w:r>
        <w:rPr>
          <w:rStyle w:val="35"/>
          <w:rFonts w:hint="eastAsia" w:ascii="宋体" w:hAnsi="宋体" w:eastAsia="宋体"/>
          <w:color w:val="auto"/>
          <w:highlight w:val="none"/>
          <w:u w:val="single"/>
        </w:rPr>
        <w:t>承包人应将除为安全需要以外的所有其它物资、机具、设备和设施</w:t>
      </w:r>
      <w:r>
        <w:rPr>
          <w:rStyle w:val="35"/>
          <w:rFonts w:hint="eastAsia" w:ascii="宋体" w:hAnsi="宋体" w:eastAsia="宋体"/>
          <w:color w:val="auto"/>
          <w:highlight w:val="none"/>
        </w:rPr>
        <w:t>，</w:t>
      </w:r>
      <w:r>
        <w:rPr>
          <w:rStyle w:val="35"/>
          <w:rFonts w:hint="eastAsia" w:ascii="宋体" w:hAnsi="宋体" w:eastAsia="宋体"/>
          <w:color w:val="auto"/>
          <w:highlight w:val="none"/>
          <w:u w:val="single"/>
        </w:rPr>
        <w:t>全部撤离现场</w:t>
      </w:r>
      <w:r>
        <w:rPr>
          <w:rFonts w:hint="eastAsia" w:ascii="宋体" w:hAnsi="宋体"/>
          <w:color w:val="auto"/>
          <w:szCs w:val="21"/>
          <w:highlight w:val="none"/>
          <w:u w:val="single"/>
        </w:rPr>
        <w:t xml:space="preserve">  </w:t>
      </w:r>
      <w:r>
        <w:rPr>
          <w:rFonts w:ascii="宋体" w:hAnsi="宋体"/>
          <w:color w:val="auto"/>
          <w:kern w:val="0"/>
          <w:szCs w:val="21"/>
          <w:highlight w:val="none"/>
        </w:rPr>
        <w:t>。</w:t>
      </w:r>
    </w:p>
    <w:p w14:paraId="3F9E911E">
      <w:pPr>
        <w:keepNext/>
        <w:keepLines/>
        <w:spacing w:before="260" w:after="260" w:line="360" w:lineRule="auto"/>
        <w:outlineLvl w:val="1"/>
        <w:rPr>
          <w:rFonts w:ascii="宋体" w:hAnsi="宋体"/>
          <w:b/>
          <w:bCs/>
          <w:color w:val="auto"/>
          <w:sz w:val="32"/>
          <w:szCs w:val="32"/>
          <w:highlight w:val="none"/>
        </w:rPr>
      </w:pPr>
      <w:bookmarkStart w:id="1482" w:name="_Toc407135261"/>
      <w:bookmarkStart w:id="1483" w:name="_Toc25445"/>
      <w:bookmarkStart w:id="1484" w:name="_Toc495673437"/>
      <w:bookmarkStart w:id="1485" w:name="_Toc373227758"/>
      <w:bookmarkStart w:id="1486" w:name="_Toc508379772"/>
      <w:bookmarkStart w:id="1487" w:name="_Toc86935922"/>
      <w:bookmarkStart w:id="1488" w:name="_Toc373478405"/>
      <w:bookmarkStart w:id="1489" w:name="_Toc2949"/>
      <w:bookmarkStart w:id="1490" w:name="_Toc389065323"/>
      <w:bookmarkStart w:id="1491" w:name="_Toc351203646"/>
      <w:r>
        <w:rPr>
          <w:rFonts w:ascii="宋体" w:hAnsi="宋体"/>
          <w:b/>
          <w:bCs/>
          <w:color w:val="auto"/>
          <w:sz w:val="32"/>
          <w:szCs w:val="32"/>
          <w:highlight w:val="none"/>
        </w:rPr>
        <w:t>14. 竣工结算</w:t>
      </w:r>
      <w:bookmarkEnd w:id="1482"/>
      <w:bookmarkEnd w:id="1483"/>
      <w:bookmarkEnd w:id="1484"/>
      <w:bookmarkEnd w:id="1485"/>
      <w:bookmarkEnd w:id="1486"/>
      <w:bookmarkEnd w:id="1487"/>
      <w:bookmarkEnd w:id="1488"/>
      <w:bookmarkEnd w:id="1489"/>
      <w:bookmarkEnd w:id="1490"/>
      <w:bookmarkEnd w:id="1491"/>
    </w:p>
    <w:p w14:paraId="215869FD">
      <w:pPr>
        <w:keepNext/>
        <w:keepLines/>
        <w:spacing w:before="260" w:after="260" w:line="360" w:lineRule="auto"/>
        <w:outlineLvl w:val="2"/>
        <w:rPr>
          <w:rFonts w:ascii="宋体" w:hAnsi="宋体"/>
          <w:b/>
          <w:bCs/>
          <w:color w:val="auto"/>
          <w:sz w:val="32"/>
          <w:szCs w:val="32"/>
          <w:highlight w:val="none"/>
        </w:rPr>
      </w:pPr>
      <w:bookmarkStart w:id="1492" w:name="_Toc86935923"/>
      <w:bookmarkStart w:id="1493" w:name="_Toc373227759"/>
      <w:bookmarkStart w:id="1494" w:name="_Toc407135262"/>
      <w:bookmarkStart w:id="1495" w:name="_Toc495673438"/>
      <w:bookmarkStart w:id="1496" w:name="_Toc12082"/>
      <w:bookmarkStart w:id="1497" w:name="_Toc389065324"/>
      <w:bookmarkStart w:id="1498" w:name="_Toc373478406"/>
      <w:bookmarkStart w:id="1499" w:name="_Toc508379773"/>
      <w:bookmarkStart w:id="1500" w:name="_Toc3772"/>
      <w:r>
        <w:rPr>
          <w:rFonts w:ascii="宋体" w:hAnsi="宋体"/>
          <w:b/>
          <w:bCs/>
          <w:color w:val="auto"/>
          <w:sz w:val="32"/>
          <w:szCs w:val="32"/>
          <w:highlight w:val="none"/>
        </w:rPr>
        <w:t>14.1 竣工付款申请</w:t>
      </w:r>
      <w:bookmarkEnd w:id="1492"/>
      <w:bookmarkEnd w:id="1493"/>
      <w:bookmarkEnd w:id="1494"/>
      <w:bookmarkEnd w:id="1495"/>
      <w:bookmarkEnd w:id="1496"/>
      <w:bookmarkEnd w:id="1497"/>
      <w:bookmarkEnd w:id="1498"/>
      <w:bookmarkEnd w:id="1499"/>
      <w:bookmarkEnd w:id="1500"/>
    </w:p>
    <w:p w14:paraId="069AA917">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承包人提交竣工付款申请单的期限：</w:t>
      </w:r>
      <w:r>
        <w:rPr>
          <w:rFonts w:hint="eastAsia" w:ascii="宋体" w:hAnsi="宋体"/>
          <w:color w:val="auto"/>
          <w:szCs w:val="21"/>
          <w:highlight w:val="none"/>
          <w:u w:val="single"/>
        </w:rPr>
        <w:t xml:space="preserve">                      </w:t>
      </w:r>
      <w:r>
        <w:rPr>
          <w:rFonts w:ascii="宋体" w:hAnsi="宋体"/>
          <w:color w:val="auto"/>
          <w:szCs w:val="21"/>
          <w:highlight w:val="none"/>
        </w:rPr>
        <w:t>。</w:t>
      </w:r>
    </w:p>
    <w:p w14:paraId="76C3C6B9">
      <w:pPr>
        <w:spacing w:line="360" w:lineRule="auto"/>
        <w:ind w:firstLine="420" w:firstLineChars="200"/>
        <w:jc w:val="left"/>
        <w:rPr>
          <w:rFonts w:ascii="宋体" w:hAnsi="宋体"/>
          <w:color w:val="auto"/>
          <w:szCs w:val="21"/>
          <w:highlight w:val="none"/>
          <w:u w:val="single"/>
        </w:rPr>
      </w:pPr>
      <w:r>
        <w:rPr>
          <w:rFonts w:ascii="宋体" w:hAnsi="宋体"/>
          <w:color w:val="auto"/>
          <w:szCs w:val="21"/>
          <w:highlight w:val="none"/>
        </w:rPr>
        <w:t>竣工付款申请单应包括的内容：</w:t>
      </w:r>
      <w:r>
        <w:rPr>
          <w:rFonts w:hint="eastAsia" w:ascii="宋体" w:hAnsi="宋体"/>
          <w:color w:val="auto"/>
          <w:szCs w:val="21"/>
          <w:highlight w:val="none"/>
          <w:u w:val="single"/>
        </w:rPr>
        <w:t xml:space="preserve"> </w:t>
      </w:r>
      <w:r>
        <w:rPr>
          <w:rStyle w:val="35"/>
          <w:rFonts w:hint="eastAsia" w:ascii="宋体" w:hAnsi="宋体" w:eastAsia="宋体"/>
          <w:color w:val="auto"/>
          <w:highlight w:val="none"/>
          <w:u w:val="single"/>
        </w:rPr>
        <w:t>竣工结算审定总价、已支付工程价款、应扣留质量保修金、应支付的竣工付款金额等</w:t>
      </w:r>
      <w:r>
        <w:rPr>
          <w:rFonts w:hint="eastAsia" w:ascii="宋体" w:hAnsi="宋体"/>
          <w:color w:val="auto"/>
          <w:szCs w:val="21"/>
          <w:highlight w:val="none"/>
          <w:u w:val="single"/>
        </w:rPr>
        <w:t xml:space="preserve"> </w:t>
      </w:r>
      <w:r>
        <w:rPr>
          <w:rFonts w:ascii="宋体" w:hAnsi="宋体"/>
          <w:color w:val="auto"/>
          <w:szCs w:val="21"/>
          <w:highlight w:val="none"/>
        </w:rPr>
        <w:t>。</w:t>
      </w:r>
    </w:p>
    <w:p w14:paraId="1250D1E3">
      <w:pPr>
        <w:keepNext/>
        <w:keepLines/>
        <w:spacing w:before="260" w:after="260" w:line="360" w:lineRule="auto"/>
        <w:outlineLvl w:val="2"/>
        <w:rPr>
          <w:rFonts w:ascii="宋体" w:hAnsi="宋体"/>
          <w:b/>
          <w:bCs/>
          <w:color w:val="auto"/>
          <w:sz w:val="32"/>
          <w:szCs w:val="32"/>
          <w:highlight w:val="none"/>
        </w:rPr>
      </w:pPr>
      <w:bookmarkStart w:id="1501" w:name="_Toc25331"/>
      <w:bookmarkStart w:id="1502" w:name="_Toc495673439"/>
      <w:bookmarkStart w:id="1503" w:name="_Toc407135263"/>
      <w:bookmarkStart w:id="1504" w:name="_Toc86935924"/>
      <w:bookmarkStart w:id="1505" w:name="_Toc373478407"/>
      <w:bookmarkStart w:id="1506" w:name="_Toc17089"/>
      <w:bookmarkStart w:id="1507" w:name="_Toc373227760"/>
      <w:bookmarkStart w:id="1508" w:name="_Toc389065325"/>
      <w:bookmarkStart w:id="1509" w:name="_Toc508379774"/>
      <w:r>
        <w:rPr>
          <w:rFonts w:ascii="宋体" w:hAnsi="宋体"/>
          <w:b/>
          <w:bCs/>
          <w:color w:val="auto"/>
          <w:sz w:val="32"/>
          <w:szCs w:val="32"/>
          <w:highlight w:val="none"/>
        </w:rPr>
        <w:t>14.2 竣工结算审核</w:t>
      </w:r>
      <w:bookmarkEnd w:id="1501"/>
      <w:bookmarkEnd w:id="1502"/>
      <w:bookmarkEnd w:id="1503"/>
      <w:bookmarkEnd w:id="1504"/>
      <w:bookmarkEnd w:id="1505"/>
      <w:bookmarkEnd w:id="1506"/>
      <w:bookmarkEnd w:id="1507"/>
      <w:bookmarkEnd w:id="1508"/>
      <w:bookmarkEnd w:id="1509"/>
    </w:p>
    <w:p w14:paraId="12C85025">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发包人审批竣工付款申请单的期限：</w:t>
      </w:r>
    </w:p>
    <w:tbl>
      <w:tblPr>
        <w:tblStyle w:val="33"/>
        <w:tblW w:w="91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5"/>
        <w:gridCol w:w="2466"/>
        <w:gridCol w:w="5967"/>
      </w:tblGrid>
      <w:tr w14:paraId="1C82C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vAlign w:val="center"/>
          </w:tcPr>
          <w:p w14:paraId="335A2F66">
            <w:pPr>
              <w:spacing w:line="360" w:lineRule="auto"/>
              <w:rPr>
                <w:rFonts w:ascii="宋体" w:hAnsi="宋体"/>
                <w:bCs/>
                <w:color w:val="auto"/>
                <w:szCs w:val="21"/>
                <w:highlight w:val="none"/>
              </w:rPr>
            </w:pPr>
          </w:p>
        </w:tc>
        <w:tc>
          <w:tcPr>
            <w:tcW w:w="2466" w:type="dxa"/>
            <w:vAlign w:val="center"/>
          </w:tcPr>
          <w:p w14:paraId="543BA6BF">
            <w:pPr>
              <w:spacing w:line="360" w:lineRule="auto"/>
              <w:ind w:firstLine="27" w:firstLineChars="13"/>
              <w:jc w:val="center"/>
              <w:rPr>
                <w:rFonts w:ascii="宋体" w:hAnsi="宋体"/>
                <w:bCs/>
                <w:color w:val="auto"/>
                <w:szCs w:val="21"/>
                <w:highlight w:val="none"/>
              </w:rPr>
            </w:pPr>
            <w:r>
              <w:rPr>
                <w:rFonts w:ascii="宋体" w:hAnsi="宋体"/>
                <w:bCs/>
                <w:color w:val="auto"/>
                <w:szCs w:val="21"/>
                <w:highlight w:val="none"/>
              </w:rPr>
              <w:t>工程竣工结算报告金额</w:t>
            </w:r>
          </w:p>
        </w:tc>
        <w:tc>
          <w:tcPr>
            <w:tcW w:w="5967" w:type="dxa"/>
            <w:vAlign w:val="center"/>
          </w:tcPr>
          <w:p w14:paraId="7CB2C57D">
            <w:pPr>
              <w:spacing w:line="360" w:lineRule="auto"/>
              <w:ind w:firstLine="441" w:firstLineChars="210"/>
              <w:jc w:val="center"/>
              <w:rPr>
                <w:rFonts w:ascii="宋体" w:hAnsi="宋体"/>
                <w:bCs/>
                <w:color w:val="auto"/>
                <w:szCs w:val="21"/>
                <w:highlight w:val="none"/>
              </w:rPr>
            </w:pPr>
            <w:r>
              <w:rPr>
                <w:rFonts w:ascii="宋体" w:hAnsi="宋体"/>
                <w:bCs/>
                <w:color w:val="auto"/>
                <w:szCs w:val="21"/>
                <w:highlight w:val="none"/>
              </w:rPr>
              <w:t>发包人审查时间</w:t>
            </w:r>
          </w:p>
        </w:tc>
      </w:tr>
      <w:tr w14:paraId="4AE92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vAlign w:val="center"/>
          </w:tcPr>
          <w:p w14:paraId="461EEF6C">
            <w:pPr>
              <w:spacing w:line="360" w:lineRule="auto"/>
              <w:jc w:val="center"/>
              <w:rPr>
                <w:rFonts w:ascii="宋体" w:hAnsi="宋体"/>
                <w:bCs/>
                <w:color w:val="auto"/>
                <w:szCs w:val="21"/>
                <w:highlight w:val="none"/>
              </w:rPr>
            </w:pPr>
            <w:r>
              <w:rPr>
                <w:rFonts w:ascii="宋体" w:hAnsi="宋体"/>
                <w:bCs/>
                <w:color w:val="auto"/>
                <w:szCs w:val="21"/>
                <w:highlight w:val="none"/>
              </w:rPr>
              <w:t>1</w:t>
            </w:r>
          </w:p>
        </w:tc>
        <w:tc>
          <w:tcPr>
            <w:tcW w:w="2466" w:type="dxa"/>
            <w:vAlign w:val="center"/>
          </w:tcPr>
          <w:p w14:paraId="319D2837">
            <w:pPr>
              <w:spacing w:line="360" w:lineRule="auto"/>
              <w:ind w:firstLine="27" w:firstLineChars="13"/>
              <w:jc w:val="left"/>
              <w:rPr>
                <w:rFonts w:ascii="宋体" w:hAnsi="宋体"/>
                <w:bCs/>
                <w:color w:val="auto"/>
                <w:szCs w:val="21"/>
                <w:highlight w:val="none"/>
              </w:rPr>
            </w:pPr>
            <w:r>
              <w:rPr>
                <w:rFonts w:ascii="宋体" w:hAnsi="宋体"/>
                <w:bCs/>
                <w:color w:val="auto"/>
                <w:szCs w:val="21"/>
                <w:highlight w:val="none"/>
              </w:rPr>
              <w:t>500万元以下</w:t>
            </w:r>
          </w:p>
        </w:tc>
        <w:tc>
          <w:tcPr>
            <w:tcW w:w="5967" w:type="dxa"/>
            <w:vAlign w:val="center"/>
          </w:tcPr>
          <w:p w14:paraId="4A214C15">
            <w:pPr>
              <w:spacing w:line="360" w:lineRule="auto"/>
              <w:ind w:firstLine="441" w:firstLineChars="210"/>
              <w:jc w:val="center"/>
              <w:rPr>
                <w:rFonts w:ascii="宋体" w:hAnsi="宋体"/>
                <w:bCs/>
                <w:color w:val="auto"/>
                <w:szCs w:val="21"/>
                <w:highlight w:val="none"/>
              </w:rPr>
            </w:pPr>
            <w:r>
              <w:rPr>
                <w:rFonts w:ascii="宋体" w:hAnsi="宋体"/>
                <w:bCs/>
                <w:color w:val="auto"/>
                <w:szCs w:val="21"/>
                <w:highlight w:val="none"/>
              </w:rPr>
              <w:t>从接到竣工结算报告和完整的竣工结算资料之日起20天</w:t>
            </w:r>
          </w:p>
        </w:tc>
      </w:tr>
      <w:tr w14:paraId="1DB02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vAlign w:val="center"/>
          </w:tcPr>
          <w:p w14:paraId="0EB216A9">
            <w:pPr>
              <w:spacing w:line="360" w:lineRule="auto"/>
              <w:jc w:val="center"/>
              <w:rPr>
                <w:rFonts w:ascii="宋体" w:hAnsi="宋体"/>
                <w:bCs/>
                <w:color w:val="auto"/>
                <w:szCs w:val="21"/>
                <w:highlight w:val="none"/>
              </w:rPr>
            </w:pPr>
            <w:r>
              <w:rPr>
                <w:rFonts w:ascii="宋体" w:hAnsi="宋体"/>
                <w:bCs/>
                <w:color w:val="auto"/>
                <w:szCs w:val="21"/>
                <w:highlight w:val="none"/>
              </w:rPr>
              <w:t>2</w:t>
            </w:r>
          </w:p>
        </w:tc>
        <w:tc>
          <w:tcPr>
            <w:tcW w:w="2466" w:type="dxa"/>
            <w:vAlign w:val="center"/>
          </w:tcPr>
          <w:p w14:paraId="54A37E42">
            <w:pPr>
              <w:spacing w:line="360" w:lineRule="auto"/>
              <w:ind w:firstLine="27" w:firstLineChars="13"/>
              <w:jc w:val="left"/>
              <w:rPr>
                <w:rFonts w:ascii="宋体" w:hAnsi="宋体"/>
                <w:bCs/>
                <w:color w:val="auto"/>
                <w:szCs w:val="21"/>
                <w:highlight w:val="none"/>
              </w:rPr>
            </w:pPr>
            <w:r>
              <w:rPr>
                <w:rFonts w:ascii="宋体" w:hAnsi="宋体"/>
                <w:bCs/>
                <w:color w:val="auto"/>
                <w:szCs w:val="21"/>
                <w:highlight w:val="none"/>
              </w:rPr>
              <w:t>500万元-2000万元</w:t>
            </w:r>
          </w:p>
        </w:tc>
        <w:tc>
          <w:tcPr>
            <w:tcW w:w="5967" w:type="dxa"/>
            <w:vAlign w:val="center"/>
          </w:tcPr>
          <w:p w14:paraId="4F580327">
            <w:pPr>
              <w:spacing w:line="360" w:lineRule="auto"/>
              <w:ind w:firstLine="441" w:firstLineChars="210"/>
              <w:jc w:val="center"/>
              <w:rPr>
                <w:rFonts w:ascii="宋体" w:hAnsi="宋体"/>
                <w:bCs/>
                <w:color w:val="auto"/>
                <w:szCs w:val="21"/>
                <w:highlight w:val="none"/>
              </w:rPr>
            </w:pPr>
            <w:r>
              <w:rPr>
                <w:rFonts w:ascii="宋体" w:hAnsi="宋体"/>
                <w:bCs/>
                <w:color w:val="auto"/>
                <w:szCs w:val="21"/>
                <w:highlight w:val="none"/>
              </w:rPr>
              <w:t>从接到竣工结算报告和完整的竣工结算资料之日起30天</w:t>
            </w:r>
          </w:p>
        </w:tc>
      </w:tr>
      <w:tr w14:paraId="5A02C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vAlign w:val="center"/>
          </w:tcPr>
          <w:p w14:paraId="55CAF2DC">
            <w:pPr>
              <w:spacing w:line="360" w:lineRule="auto"/>
              <w:jc w:val="center"/>
              <w:rPr>
                <w:rFonts w:ascii="宋体" w:hAnsi="宋体"/>
                <w:bCs/>
                <w:color w:val="auto"/>
                <w:szCs w:val="21"/>
                <w:highlight w:val="none"/>
              </w:rPr>
            </w:pPr>
            <w:r>
              <w:rPr>
                <w:rFonts w:ascii="宋体" w:hAnsi="宋体"/>
                <w:bCs/>
                <w:color w:val="auto"/>
                <w:szCs w:val="21"/>
                <w:highlight w:val="none"/>
              </w:rPr>
              <w:t>3</w:t>
            </w:r>
          </w:p>
        </w:tc>
        <w:tc>
          <w:tcPr>
            <w:tcW w:w="2466" w:type="dxa"/>
            <w:vAlign w:val="center"/>
          </w:tcPr>
          <w:p w14:paraId="414FF30E">
            <w:pPr>
              <w:spacing w:line="360" w:lineRule="auto"/>
              <w:ind w:firstLine="27" w:firstLineChars="13"/>
              <w:jc w:val="left"/>
              <w:rPr>
                <w:rFonts w:ascii="宋体" w:hAnsi="宋体"/>
                <w:bCs/>
                <w:color w:val="auto"/>
                <w:szCs w:val="21"/>
                <w:highlight w:val="none"/>
              </w:rPr>
            </w:pPr>
            <w:r>
              <w:rPr>
                <w:rFonts w:ascii="宋体" w:hAnsi="宋体"/>
                <w:bCs/>
                <w:color w:val="auto"/>
                <w:szCs w:val="21"/>
                <w:highlight w:val="none"/>
              </w:rPr>
              <w:t>2000万元-5000万元</w:t>
            </w:r>
          </w:p>
        </w:tc>
        <w:tc>
          <w:tcPr>
            <w:tcW w:w="5967" w:type="dxa"/>
            <w:vAlign w:val="center"/>
          </w:tcPr>
          <w:p w14:paraId="7A5D14ED">
            <w:pPr>
              <w:spacing w:line="360" w:lineRule="auto"/>
              <w:ind w:firstLine="441" w:firstLineChars="210"/>
              <w:jc w:val="center"/>
              <w:rPr>
                <w:rFonts w:ascii="宋体" w:hAnsi="宋体"/>
                <w:bCs/>
                <w:color w:val="auto"/>
                <w:szCs w:val="21"/>
                <w:highlight w:val="none"/>
              </w:rPr>
            </w:pPr>
            <w:r>
              <w:rPr>
                <w:rFonts w:ascii="宋体" w:hAnsi="宋体"/>
                <w:bCs/>
                <w:color w:val="auto"/>
                <w:szCs w:val="21"/>
                <w:highlight w:val="none"/>
              </w:rPr>
              <w:t>从接到竣工结算报告和完整的竣工结算资料之日起45天</w:t>
            </w:r>
          </w:p>
        </w:tc>
      </w:tr>
      <w:tr w14:paraId="18D75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vAlign w:val="center"/>
          </w:tcPr>
          <w:p w14:paraId="2E603044">
            <w:pPr>
              <w:spacing w:line="360" w:lineRule="auto"/>
              <w:jc w:val="center"/>
              <w:rPr>
                <w:rFonts w:ascii="宋体" w:hAnsi="宋体"/>
                <w:bCs/>
                <w:color w:val="auto"/>
                <w:szCs w:val="21"/>
                <w:highlight w:val="none"/>
              </w:rPr>
            </w:pPr>
            <w:r>
              <w:rPr>
                <w:rFonts w:ascii="宋体" w:hAnsi="宋体"/>
                <w:bCs/>
                <w:color w:val="auto"/>
                <w:szCs w:val="21"/>
                <w:highlight w:val="none"/>
              </w:rPr>
              <w:t>4</w:t>
            </w:r>
          </w:p>
        </w:tc>
        <w:tc>
          <w:tcPr>
            <w:tcW w:w="2466" w:type="dxa"/>
            <w:vAlign w:val="center"/>
          </w:tcPr>
          <w:p w14:paraId="64A94C19">
            <w:pPr>
              <w:spacing w:line="360" w:lineRule="auto"/>
              <w:ind w:firstLine="27" w:firstLineChars="13"/>
              <w:jc w:val="left"/>
              <w:rPr>
                <w:rFonts w:ascii="宋体" w:hAnsi="宋体"/>
                <w:bCs/>
                <w:color w:val="auto"/>
                <w:szCs w:val="21"/>
                <w:highlight w:val="none"/>
              </w:rPr>
            </w:pPr>
            <w:r>
              <w:rPr>
                <w:rFonts w:ascii="宋体" w:hAnsi="宋体"/>
                <w:bCs/>
                <w:color w:val="auto"/>
                <w:szCs w:val="21"/>
                <w:highlight w:val="none"/>
              </w:rPr>
              <w:t>5000万元以上</w:t>
            </w:r>
          </w:p>
        </w:tc>
        <w:tc>
          <w:tcPr>
            <w:tcW w:w="5967" w:type="dxa"/>
            <w:vAlign w:val="center"/>
          </w:tcPr>
          <w:p w14:paraId="3DF268D8">
            <w:pPr>
              <w:spacing w:line="360" w:lineRule="auto"/>
              <w:ind w:firstLine="441" w:firstLineChars="210"/>
              <w:jc w:val="center"/>
              <w:rPr>
                <w:rFonts w:ascii="宋体" w:hAnsi="宋体"/>
                <w:bCs/>
                <w:color w:val="auto"/>
                <w:szCs w:val="21"/>
                <w:highlight w:val="none"/>
              </w:rPr>
            </w:pPr>
            <w:r>
              <w:rPr>
                <w:rFonts w:ascii="宋体" w:hAnsi="宋体"/>
                <w:bCs/>
                <w:color w:val="auto"/>
                <w:szCs w:val="21"/>
                <w:highlight w:val="none"/>
              </w:rPr>
              <w:t>从接到竣工结算报告和完整的竣工结算资料之日起60天</w:t>
            </w:r>
          </w:p>
        </w:tc>
      </w:tr>
    </w:tbl>
    <w:p w14:paraId="4A7944F1">
      <w:pPr>
        <w:spacing w:line="360" w:lineRule="auto"/>
        <w:ind w:firstLine="420" w:firstLineChars="200"/>
        <w:jc w:val="left"/>
        <w:rPr>
          <w:rFonts w:ascii="宋体" w:hAnsi="宋体"/>
          <w:color w:val="auto"/>
          <w:szCs w:val="21"/>
          <w:highlight w:val="none"/>
        </w:rPr>
      </w:pPr>
      <w:r>
        <w:rPr>
          <w:rFonts w:ascii="宋体" w:hAnsi="宋体"/>
          <w:bCs/>
          <w:color w:val="auto"/>
          <w:szCs w:val="21"/>
          <w:highlight w:val="none"/>
        </w:rPr>
        <w:t>因承包人提供的结算资料不完整而需要补充或承包人不按时对账耽误时间时，审查时间应相应顺延</w:t>
      </w:r>
      <w:r>
        <w:rPr>
          <w:rFonts w:ascii="宋体" w:hAnsi="宋体"/>
          <w:color w:val="auto"/>
          <w:szCs w:val="21"/>
          <w:highlight w:val="none"/>
        </w:rPr>
        <w:t>。</w:t>
      </w:r>
    </w:p>
    <w:p w14:paraId="4739EEE8">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发包人完成竣工付款的期限：</w:t>
      </w:r>
      <w:r>
        <w:rPr>
          <w:rFonts w:hint="eastAsia" w:ascii="宋体" w:hAnsi="宋体"/>
          <w:color w:val="auto"/>
          <w:szCs w:val="21"/>
          <w:highlight w:val="none"/>
          <w:u w:val="single"/>
        </w:rPr>
        <w:t xml:space="preserve">                      </w:t>
      </w:r>
      <w:r>
        <w:rPr>
          <w:rFonts w:ascii="宋体" w:hAnsi="宋体"/>
          <w:color w:val="auto"/>
          <w:szCs w:val="21"/>
          <w:highlight w:val="none"/>
        </w:rPr>
        <w:t>。</w:t>
      </w:r>
    </w:p>
    <w:p w14:paraId="5577BA6B">
      <w:pPr>
        <w:spacing w:line="360" w:lineRule="auto"/>
        <w:ind w:firstLine="420" w:firstLineChars="200"/>
        <w:jc w:val="left"/>
        <w:rPr>
          <w:rFonts w:ascii="宋体" w:hAnsi="宋体"/>
          <w:color w:val="auto"/>
          <w:szCs w:val="21"/>
          <w:highlight w:val="none"/>
          <w:u w:val="single"/>
        </w:rPr>
      </w:pPr>
      <w:r>
        <w:rPr>
          <w:rFonts w:ascii="宋体" w:hAnsi="宋体"/>
          <w:color w:val="auto"/>
          <w:szCs w:val="21"/>
          <w:highlight w:val="none"/>
        </w:rPr>
        <w:t>关于竣工付款证书异议部分复核的方式和程序：</w:t>
      </w:r>
      <w:r>
        <w:rPr>
          <w:rFonts w:hint="eastAsia" w:ascii="宋体" w:hAnsi="宋体"/>
          <w:color w:val="auto"/>
          <w:szCs w:val="21"/>
          <w:highlight w:val="none"/>
          <w:u w:val="single"/>
        </w:rPr>
        <w:t xml:space="preserve">                      </w:t>
      </w:r>
      <w:r>
        <w:rPr>
          <w:rFonts w:ascii="宋体" w:hAnsi="宋体"/>
          <w:color w:val="auto"/>
          <w:szCs w:val="21"/>
          <w:highlight w:val="none"/>
        </w:rPr>
        <w:t>。</w:t>
      </w:r>
    </w:p>
    <w:p w14:paraId="2F116466">
      <w:pPr>
        <w:keepNext/>
        <w:keepLines/>
        <w:spacing w:before="260" w:after="260" w:line="360" w:lineRule="auto"/>
        <w:outlineLvl w:val="2"/>
        <w:rPr>
          <w:rFonts w:ascii="宋体" w:hAnsi="宋体"/>
          <w:b/>
          <w:bCs/>
          <w:color w:val="auto"/>
          <w:sz w:val="32"/>
          <w:szCs w:val="32"/>
          <w:highlight w:val="none"/>
        </w:rPr>
      </w:pPr>
      <w:bookmarkStart w:id="1510" w:name="_Toc508379775"/>
      <w:bookmarkStart w:id="1511" w:name="_Toc86935925"/>
      <w:bookmarkStart w:id="1512" w:name="_Toc495673440"/>
      <w:bookmarkStart w:id="1513" w:name="_Toc373227761"/>
      <w:bookmarkStart w:id="1514" w:name="_Toc389065326"/>
      <w:bookmarkStart w:id="1515" w:name="_Toc30181"/>
      <w:bookmarkStart w:id="1516" w:name="_Toc407135264"/>
      <w:bookmarkStart w:id="1517" w:name="_Toc373478408"/>
      <w:bookmarkStart w:id="1518" w:name="_Toc2212"/>
      <w:r>
        <w:rPr>
          <w:rFonts w:ascii="宋体" w:hAnsi="宋体"/>
          <w:b/>
          <w:bCs/>
          <w:color w:val="auto"/>
          <w:sz w:val="32"/>
          <w:szCs w:val="32"/>
          <w:highlight w:val="none"/>
        </w:rPr>
        <w:t>14.4 最终结清</w:t>
      </w:r>
      <w:bookmarkEnd w:id="1510"/>
      <w:bookmarkEnd w:id="1511"/>
      <w:bookmarkEnd w:id="1512"/>
      <w:bookmarkEnd w:id="1513"/>
      <w:bookmarkEnd w:id="1514"/>
      <w:bookmarkEnd w:id="1515"/>
      <w:bookmarkEnd w:id="1516"/>
      <w:bookmarkEnd w:id="1517"/>
      <w:bookmarkEnd w:id="1518"/>
    </w:p>
    <w:p w14:paraId="5EF9AB89">
      <w:pPr>
        <w:spacing w:line="360" w:lineRule="auto"/>
        <w:ind w:firstLine="420" w:firstLineChars="200"/>
        <w:jc w:val="left"/>
        <w:rPr>
          <w:rFonts w:ascii="宋体" w:hAnsi="宋体"/>
          <w:color w:val="auto"/>
          <w:kern w:val="0"/>
          <w:szCs w:val="21"/>
          <w:highlight w:val="none"/>
        </w:rPr>
      </w:pPr>
      <w:r>
        <w:rPr>
          <w:rFonts w:ascii="宋体" w:hAnsi="宋体"/>
          <w:color w:val="auto"/>
          <w:kern w:val="0"/>
          <w:szCs w:val="21"/>
          <w:highlight w:val="none"/>
        </w:rPr>
        <w:t>14.4.1 最终结清申请单</w:t>
      </w:r>
    </w:p>
    <w:p w14:paraId="35E54874">
      <w:pPr>
        <w:spacing w:line="360" w:lineRule="auto"/>
        <w:ind w:firstLine="420" w:firstLineChars="200"/>
        <w:jc w:val="left"/>
        <w:rPr>
          <w:rFonts w:ascii="宋体" w:hAnsi="宋体"/>
          <w:color w:val="auto"/>
          <w:kern w:val="0"/>
          <w:szCs w:val="21"/>
          <w:highlight w:val="none"/>
        </w:rPr>
      </w:pPr>
      <w:r>
        <w:rPr>
          <w:rFonts w:ascii="宋体" w:hAnsi="宋体"/>
          <w:color w:val="auto"/>
          <w:kern w:val="0"/>
          <w:szCs w:val="21"/>
          <w:highlight w:val="none"/>
        </w:rPr>
        <w:t>承包人提交最终结清申请单的份数：</w:t>
      </w:r>
      <w:r>
        <w:rPr>
          <w:rFonts w:hint="eastAsia" w:ascii="宋体" w:hAnsi="宋体"/>
          <w:color w:val="auto"/>
          <w:szCs w:val="21"/>
          <w:highlight w:val="none"/>
          <w:u w:val="single"/>
        </w:rPr>
        <w:t xml:space="preserve">                      </w:t>
      </w:r>
      <w:r>
        <w:rPr>
          <w:rFonts w:ascii="宋体" w:hAnsi="宋体"/>
          <w:color w:val="auto"/>
          <w:szCs w:val="21"/>
          <w:highlight w:val="none"/>
        </w:rPr>
        <w:t>。</w:t>
      </w:r>
    </w:p>
    <w:p w14:paraId="3C5D8FF2">
      <w:pPr>
        <w:spacing w:line="360" w:lineRule="auto"/>
        <w:ind w:firstLine="420" w:firstLineChars="200"/>
        <w:jc w:val="left"/>
        <w:rPr>
          <w:rFonts w:ascii="宋体" w:hAnsi="宋体"/>
          <w:color w:val="auto"/>
          <w:szCs w:val="21"/>
          <w:highlight w:val="none"/>
        </w:rPr>
      </w:pPr>
      <w:r>
        <w:rPr>
          <w:rFonts w:ascii="宋体" w:hAnsi="宋体"/>
          <w:color w:val="auto"/>
          <w:kern w:val="0"/>
          <w:szCs w:val="21"/>
          <w:highlight w:val="none"/>
        </w:rPr>
        <w:t>承包人提交最终结算申请单的期限：</w:t>
      </w:r>
      <w:r>
        <w:rPr>
          <w:rFonts w:hint="eastAsia" w:ascii="宋体" w:hAnsi="宋体"/>
          <w:color w:val="auto"/>
          <w:szCs w:val="21"/>
          <w:highlight w:val="none"/>
          <w:u w:val="single"/>
        </w:rPr>
        <w:t xml:space="preserve">                      </w:t>
      </w:r>
      <w:r>
        <w:rPr>
          <w:rFonts w:ascii="宋体" w:hAnsi="宋体"/>
          <w:color w:val="auto"/>
          <w:szCs w:val="21"/>
          <w:highlight w:val="none"/>
        </w:rPr>
        <w:t xml:space="preserve">。 </w:t>
      </w:r>
    </w:p>
    <w:p w14:paraId="387A9595">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14.4.2 最终结清证书和支付</w:t>
      </w:r>
    </w:p>
    <w:p w14:paraId="4A49AC80">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（1）发包人完成最终结清申请单的审批并颁发最终结清证书的期限：</w:t>
      </w:r>
      <w:r>
        <w:rPr>
          <w:rFonts w:hint="eastAsia" w:ascii="宋体" w:hAnsi="宋体"/>
          <w:color w:val="auto"/>
          <w:szCs w:val="21"/>
          <w:highlight w:val="none"/>
          <w:u w:val="single"/>
        </w:rPr>
        <w:t xml:space="preserve">                      </w:t>
      </w:r>
      <w:r>
        <w:rPr>
          <w:rFonts w:ascii="宋体" w:hAnsi="宋体"/>
          <w:color w:val="auto"/>
          <w:szCs w:val="21"/>
          <w:highlight w:val="none"/>
        </w:rPr>
        <w:t>。</w:t>
      </w:r>
    </w:p>
    <w:p w14:paraId="7DF45457">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（2）发包人完成支付的期限：</w:t>
      </w:r>
      <w:r>
        <w:rPr>
          <w:rFonts w:hint="eastAsia" w:ascii="宋体" w:hAnsi="宋体"/>
          <w:color w:val="auto"/>
          <w:szCs w:val="21"/>
          <w:highlight w:val="none"/>
          <w:u w:val="single"/>
        </w:rPr>
        <w:t xml:space="preserve">                      </w:t>
      </w:r>
      <w:r>
        <w:rPr>
          <w:rFonts w:ascii="宋体" w:hAnsi="宋体"/>
          <w:color w:val="auto"/>
          <w:szCs w:val="21"/>
          <w:highlight w:val="none"/>
        </w:rPr>
        <w:t>。</w:t>
      </w:r>
    </w:p>
    <w:bookmarkEnd w:id="1451"/>
    <w:bookmarkEnd w:id="1452"/>
    <w:bookmarkEnd w:id="1453"/>
    <w:bookmarkEnd w:id="1454"/>
    <w:bookmarkEnd w:id="1455"/>
    <w:bookmarkEnd w:id="1456"/>
    <w:bookmarkEnd w:id="1457"/>
    <w:bookmarkEnd w:id="1463"/>
    <w:p w14:paraId="5CF9A3A1">
      <w:pPr>
        <w:keepNext/>
        <w:keepLines/>
        <w:spacing w:before="260" w:after="260" w:line="360" w:lineRule="auto"/>
        <w:outlineLvl w:val="1"/>
        <w:rPr>
          <w:rFonts w:ascii="宋体" w:hAnsi="宋体"/>
          <w:b/>
          <w:bCs/>
          <w:color w:val="auto"/>
          <w:sz w:val="32"/>
          <w:szCs w:val="32"/>
          <w:highlight w:val="none"/>
        </w:rPr>
      </w:pPr>
      <w:bookmarkStart w:id="1519" w:name="_Toc351203647"/>
      <w:bookmarkStart w:id="1520" w:name="_Toc5984"/>
      <w:bookmarkStart w:id="1521" w:name="_Toc373478409"/>
      <w:bookmarkStart w:id="1522" w:name="_Toc407135265"/>
      <w:bookmarkStart w:id="1523" w:name="_Toc84"/>
      <w:bookmarkStart w:id="1524" w:name="_Toc508379776"/>
      <w:bookmarkStart w:id="1525" w:name="_Toc495673441"/>
      <w:bookmarkStart w:id="1526" w:name="_Toc389065327"/>
      <w:bookmarkStart w:id="1527" w:name="_Toc86935926"/>
      <w:bookmarkStart w:id="1528" w:name="_Toc373227762"/>
      <w:bookmarkStart w:id="1529" w:name="_Toc267251483"/>
      <w:bookmarkStart w:id="1530" w:name="_Toc267251482"/>
      <w:bookmarkStart w:id="1531" w:name="_Toc267251484"/>
      <w:bookmarkStart w:id="1532" w:name="_Toc267251485"/>
      <w:bookmarkStart w:id="1533" w:name="_Toc267251488"/>
      <w:bookmarkStart w:id="1534" w:name="_Toc267251490"/>
      <w:bookmarkStart w:id="1535" w:name="_Toc267251489"/>
      <w:bookmarkStart w:id="1536" w:name="_Toc267251486"/>
      <w:bookmarkStart w:id="1537" w:name="_Toc267251503"/>
      <w:bookmarkStart w:id="1538" w:name="_Toc267251495"/>
      <w:bookmarkStart w:id="1539" w:name="_Toc267251499"/>
      <w:bookmarkStart w:id="1540" w:name="_Toc267251498"/>
      <w:bookmarkStart w:id="1541" w:name="_Toc267251496"/>
      <w:bookmarkStart w:id="1542" w:name="_Toc267251501"/>
      <w:bookmarkStart w:id="1543" w:name="_Toc267251502"/>
      <w:bookmarkStart w:id="1544" w:name="_Toc267251491"/>
      <w:bookmarkStart w:id="1545" w:name="_Toc267251492"/>
      <w:bookmarkStart w:id="1546" w:name="_Toc267251493"/>
      <w:bookmarkStart w:id="1547" w:name="_Toc267251497"/>
      <w:bookmarkStart w:id="1548" w:name="_Toc267251494"/>
      <w:bookmarkStart w:id="1549" w:name="_Toc267251504"/>
      <w:bookmarkStart w:id="1550" w:name="_Toc267251506"/>
      <w:bookmarkStart w:id="1551" w:name="_Toc267251507"/>
      <w:bookmarkStart w:id="1552" w:name="_Toc267251508"/>
      <w:bookmarkStart w:id="1553" w:name="_Toc267251513"/>
      <w:bookmarkStart w:id="1554" w:name="_Toc267251510"/>
      <w:bookmarkStart w:id="1555" w:name="_Toc267251515"/>
      <w:bookmarkStart w:id="1556" w:name="_Toc267251514"/>
      <w:bookmarkStart w:id="1557" w:name="_Toc267251509"/>
      <w:bookmarkStart w:id="1558" w:name="_Toc267251511"/>
      <w:r>
        <w:rPr>
          <w:rFonts w:ascii="宋体" w:hAnsi="宋体"/>
          <w:b/>
          <w:bCs/>
          <w:color w:val="auto"/>
          <w:sz w:val="32"/>
          <w:szCs w:val="32"/>
          <w:highlight w:val="none"/>
        </w:rPr>
        <w:t>15. 缺陷责任期与保修</w:t>
      </w:r>
      <w:bookmarkEnd w:id="1519"/>
      <w:bookmarkEnd w:id="1520"/>
      <w:bookmarkEnd w:id="1521"/>
      <w:bookmarkEnd w:id="1522"/>
      <w:bookmarkEnd w:id="1523"/>
      <w:bookmarkEnd w:id="1524"/>
      <w:bookmarkEnd w:id="1525"/>
      <w:bookmarkEnd w:id="1526"/>
      <w:bookmarkEnd w:id="1527"/>
      <w:bookmarkEnd w:id="1528"/>
    </w:p>
    <w:p w14:paraId="69A3CCE2">
      <w:pPr>
        <w:keepNext/>
        <w:keepLines/>
        <w:spacing w:before="260" w:after="260" w:line="360" w:lineRule="auto"/>
        <w:outlineLvl w:val="2"/>
        <w:rPr>
          <w:rFonts w:ascii="宋体" w:hAnsi="宋体"/>
          <w:b/>
          <w:bCs/>
          <w:color w:val="auto"/>
          <w:sz w:val="32"/>
          <w:szCs w:val="32"/>
          <w:highlight w:val="none"/>
        </w:rPr>
      </w:pPr>
      <w:bookmarkStart w:id="1559" w:name="_Toc86935927"/>
      <w:bookmarkStart w:id="1560" w:name="_Toc389065328"/>
      <w:bookmarkStart w:id="1561" w:name="_Toc373478410"/>
      <w:bookmarkStart w:id="1562" w:name="_Toc12200"/>
      <w:bookmarkStart w:id="1563" w:name="_Toc407135266"/>
      <w:bookmarkStart w:id="1564" w:name="_Toc13607"/>
      <w:bookmarkStart w:id="1565" w:name="_Toc508379777"/>
      <w:bookmarkStart w:id="1566" w:name="_Toc495673442"/>
      <w:bookmarkStart w:id="1567" w:name="_Toc373227763"/>
      <w:r>
        <w:rPr>
          <w:rFonts w:ascii="宋体" w:hAnsi="宋体"/>
          <w:b/>
          <w:bCs/>
          <w:color w:val="auto"/>
          <w:sz w:val="32"/>
          <w:szCs w:val="32"/>
          <w:highlight w:val="none"/>
        </w:rPr>
        <w:t>15.2缺陷责任期</w:t>
      </w:r>
      <w:bookmarkEnd w:id="1529"/>
      <w:bookmarkEnd w:id="1559"/>
      <w:bookmarkEnd w:id="1560"/>
      <w:bookmarkEnd w:id="1561"/>
      <w:bookmarkEnd w:id="1562"/>
      <w:bookmarkEnd w:id="1563"/>
      <w:bookmarkEnd w:id="1564"/>
      <w:bookmarkEnd w:id="1565"/>
      <w:bookmarkEnd w:id="1566"/>
      <w:bookmarkEnd w:id="1567"/>
    </w:p>
    <w:p w14:paraId="0E2EF24A">
      <w:pPr>
        <w:pStyle w:val="135"/>
        <w:widowControl/>
        <w:spacing w:line="360" w:lineRule="auto"/>
        <w:ind w:firstLine="567" w:firstLineChars="270"/>
        <w:rPr>
          <w:rStyle w:val="35"/>
          <w:rFonts w:hint="eastAsia" w:ascii="宋体" w:hAnsi="宋体" w:eastAsia="宋体"/>
          <w:color w:val="auto"/>
          <w:highlight w:val="none"/>
        </w:rPr>
      </w:pPr>
      <w:r>
        <w:rPr>
          <w:rStyle w:val="35"/>
          <w:rFonts w:hint="eastAsia" w:ascii="宋体" w:hAnsi="宋体" w:eastAsia="宋体"/>
          <w:color w:val="auto"/>
          <w:highlight w:val="none"/>
        </w:rPr>
        <w:t>缺陷责任期的具体期限：</w:t>
      </w:r>
      <w:r>
        <w:rPr>
          <w:rStyle w:val="35"/>
          <w:rFonts w:hint="eastAsia" w:ascii="宋体" w:hAnsi="宋体" w:eastAsia="宋体"/>
          <w:color w:val="auto"/>
          <w:highlight w:val="none"/>
          <w:u w:val="single"/>
          <w:lang w:val="en-US" w:eastAsia="zh-CN"/>
        </w:rPr>
        <w:t>12</w:t>
      </w:r>
      <w:r>
        <w:rPr>
          <w:rStyle w:val="35"/>
          <w:rFonts w:hint="eastAsia" w:ascii="宋体" w:hAnsi="宋体" w:eastAsia="宋体"/>
          <w:color w:val="auto"/>
          <w:highlight w:val="none"/>
          <w:u w:val="single"/>
        </w:rPr>
        <w:t>个月</w:t>
      </w:r>
      <w:r>
        <w:rPr>
          <w:rStyle w:val="35"/>
          <w:rFonts w:hint="eastAsia" w:ascii="宋体" w:hAnsi="宋体" w:eastAsia="宋体"/>
          <w:color w:val="auto"/>
          <w:highlight w:val="none"/>
        </w:rPr>
        <w:t>，</w:t>
      </w:r>
      <w:r>
        <w:rPr>
          <w:rStyle w:val="35"/>
          <w:rFonts w:hint="eastAsia" w:ascii="宋体" w:hAnsi="宋体" w:eastAsia="宋体"/>
          <w:color w:val="auto"/>
          <w:highlight w:val="none"/>
          <w:u w:val="single"/>
        </w:rPr>
        <w:t>缺陷责任期自工程通过竣工验收合格之日起计算（因承包人原因导致工程无法按合同约定期限进行竣工验收的，缺陷责任期从实际通过竣工验收之日起计算）</w:t>
      </w:r>
      <w:r>
        <w:rPr>
          <w:rStyle w:val="35"/>
          <w:rFonts w:hint="eastAsia" w:ascii="宋体" w:hAnsi="宋体" w:eastAsia="宋体"/>
          <w:color w:val="auto"/>
          <w:highlight w:val="none"/>
        </w:rPr>
        <w:t>。</w:t>
      </w:r>
      <w:r>
        <w:rPr>
          <w:rStyle w:val="35"/>
          <w:rFonts w:hint="eastAsia" w:ascii="宋体" w:hAnsi="宋体" w:eastAsia="宋体"/>
          <w:color w:val="auto"/>
          <w:highlight w:val="none"/>
          <w:u w:val="single"/>
        </w:rPr>
        <w:t>单位工程先于全部工程进行验收</w:t>
      </w:r>
      <w:r>
        <w:rPr>
          <w:rStyle w:val="35"/>
          <w:rFonts w:hint="eastAsia" w:ascii="宋体" w:hAnsi="宋体" w:eastAsia="宋体"/>
          <w:color w:val="auto"/>
          <w:highlight w:val="none"/>
        </w:rPr>
        <w:t>，</w:t>
      </w:r>
      <w:r>
        <w:rPr>
          <w:rStyle w:val="35"/>
          <w:rFonts w:hint="eastAsia" w:ascii="宋体" w:hAnsi="宋体" w:eastAsia="宋体"/>
          <w:color w:val="auto"/>
          <w:highlight w:val="none"/>
          <w:u w:val="single"/>
        </w:rPr>
        <w:t>单位工程缺陷责任期自单位工程验收合格之日起算</w:t>
      </w:r>
      <w:r>
        <w:rPr>
          <w:rStyle w:val="35"/>
          <w:rFonts w:hint="eastAsia" w:ascii="宋体" w:hAnsi="宋体" w:eastAsia="宋体"/>
          <w:color w:val="auto"/>
          <w:highlight w:val="none"/>
        </w:rPr>
        <w:t>。</w:t>
      </w:r>
    </w:p>
    <w:p w14:paraId="5FEB8C9A">
      <w:pPr>
        <w:pStyle w:val="135"/>
        <w:widowControl/>
        <w:spacing w:line="360" w:lineRule="auto"/>
        <w:ind w:firstLine="424" w:firstLineChars="202"/>
        <w:jc w:val="left"/>
        <w:rPr>
          <w:rStyle w:val="35"/>
          <w:rFonts w:hint="eastAsia" w:ascii="宋体" w:hAnsi="宋体" w:eastAsia="宋体"/>
          <w:color w:val="auto"/>
          <w:kern w:val="0"/>
          <w:highlight w:val="none"/>
        </w:rPr>
      </w:pPr>
      <w:r>
        <w:rPr>
          <w:rStyle w:val="35"/>
          <w:rFonts w:hint="eastAsia" w:ascii="宋体" w:hAnsi="宋体" w:eastAsia="宋体"/>
          <w:color w:val="auto"/>
          <w:kern w:val="0"/>
          <w:highlight w:val="none"/>
          <w:u w:val="single"/>
        </w:rPr>
        <w:t>缺陷责任期内，由承包人原因造成的缺陷，承包人应负责维修，并承担鉴定及维修费用。如承包人不维修也不承担费用，发包人可按合同约定从保证金或银行保函中扣除，费用超出保证金额的，发包人可按合同约定向承包人进行索赔。承包人维修并承担相应费用后，不免除对工程的损失赔偿责任</w:t>
      </w:r>
      <w:r>
        <w:rPr>
          <w:rStyle w:val="35"/>
          <w:rFonts w:hint="eastAsia" w:ascii="宋体" w:hAnsi="宋体" w:eastAsia="宋体"/>
          <w:color w:val="auto"/>
          <w:kern w:val="0"/>
          <w:highlight w:val="none"/>
        </w:rPr>
        <w:t>。</w:t>
      </w:r>
    </w:p>
    <w:p w14:paraId="03EA0E3E">
      <w:pPr>
        <w:keepNext/>
        <w:keepLines/>
        <w:spacing w:before="260" w:after="260" w:line="360" w:lineRule="auto"/>
        <w:outlineLvl w:val="2"/>
        <w:rPr>
          <w:rFonts w:ascii="宋体" w:hAnsi="宋体"/>
          <w:b/>
          <w:bCs/>
          <w:color w:val="auto"/>
          <w:sz w:val="32"/>
          <w:szCs w:val="32"/>
          <w:highlight w:val="none"/>
        </w:rPr>
      </w:pPr>
      <w:bookmarkStart w:id="1568" w:name="_Toc373478411"/>
      <w:bookmarkStart w:id="1569" w:name="_Toc508379778"/>
      <w:bookmarkStart w:id="1570" w:name="_Toc18229"/>
      <w:bookmarkStart w:id="1571" w:name="_Toc86935928"/>
      <w:bookmarkStart w:id="1572" w:name="_Toc389065329"/>
      <w:bookmarkStart w:id="1573" w:name="_Toc407135267"/>
      <w:bookmarkStart w:id="1574" w:name="_Toc373227764"/>
      <w:bookmarkStart w:id="1575" w:name="_Toc495673443"/>
      <w:bookmarkStart w:id="1576" w:name="_Toc24985"/>
      <w:r>
        <w:rPr>
          <w:rFonts w:ascii="宋体" w:hAnsi="宋体"/>
          <w:b/>
          <w:bCs/>
          <w:color w:val="auto"/>
          <w:sz w:val="32"/>
          <w:szCs w:val="32"/>
          <w:highlight w:val="none"/>
        </w:rPr>
        <w:t>15.3 质量保证金</w:t>
      </w:r>
      <w:bookmarkEnd w:id="1568"/>
      <w:bookmarkEnd w:id="1569"/>
      <w:bookmarkEnd w:id="1570"/>
      <w:bookmarkEnd w:id="1571"/>
      <w:bookmarkEnd w:id="1572"/>
      <w:bookmarkEnd w:id="1573"/>
      <w:bookmarkEnd w:id="1574"/>
      <w:bookmarkEnd w:id="1575"/>
      <w:bookmarkEnd w:id="1576"/>
    </w:p>
    <w:p w14:paraId="6A3653D4">
      <w:pPr>
        <w:pStyle w:val="135"/>
        <w:widowControl/>
        <w:spacing w:line="360" w:lineRule="auto"/>
        <w:ind w:firstLine="420" w:firstLineChars="200"/>
        <w:rPr>
          <w:rStyle w:val="35"/>
          <w:rFonts w:hint="eastAsia" w:ascii="宋体" w:hAnsi="宋体" w:eastAsia="宋体" w:cs="宋体"/>
          <w:color w:val="auto"/>
          <w:highlight w:val="none"/>
        </w:rPr>
      </w:pPr>
      <w:r>
        <w:rPr>
          <w:rStyle w:val="35"/>
          <w:rFonts w:hint="eastAsia" w:ascii="宋体" w:hAnsi="宋体" w:eastAsia="宋体" w:cs="宋体"/>
          <w:color w:val="auto"/>
          <w:highlight w:val="none"/>
        </w:rPr>
        <w:t>关于扣留质量保证金的约定：</w:t>
      </w:r>
      <w:r>
        <w:rPr>
          <w:rStyle w:val="35"/>
          <w:rFonts w:hint="eastAsia" w:ascii="宋体" w:hAnsi="宋体" w:eastAsia="宋体"/>
          <w:color w:val="auto"/>
          <w:highlight w:val="none"/>
        </w:rPr>
        <w:t>质量保证金</w:t>
      </w:r>
      <w:r>
        <w:rPr>
          <w:rStyle w:val="35"/>
          <w:rFonts w:hint="eastAsia" w:ascii="宋体" w:hAnsi="宋体" w:eastAsia="宋体" w:cs="宋体"/>
          <w:bCs/>
          <w:color w:val="auto"/>
          <w:highlight w:val="none"/>
          <w:u w:val="single"/>
        </w:rPr>
        <w:t>金额为工程结算价的3%</w:t>
      </w:r>
      <w:r>
        <w:rPr>
          <w:rStyle w:val="35"/>
          <w:rFonts w:hint="eastAsia" w:ascii="宋体" w:hAnsi="宋体" w:eastAsia="宋体" w:cs="宋体"/>
          <w:color w:val="auto"/>
          <w:highlight w:val="none"/>
        </w:rPr>
        <w:t>，</w:t>
      </w:r>
      <w:r>
        <w:rPr>
          <w:rStyle w:val="35"/>
          <w:rFonts w:hint="eastAsia" w:ascii="宋体" w:hAnsi="宋体" w:eastAsia="宋体"/>
          <w:color w:val="auto"/>
          <w:highlight w:val="none"/>
        </w:rPr>
        <w:t>质量保证金</w:t>
      </w:r>
      <w:r>
        <w:rPr>
          <w:rStyle w:val="35"/>
          <w:rFonts w:hint="eastAsia" w:ascii="宋体" w:hAnsi="宋体" w:eastAsia="宋体" w:cs="宋体"/>
          <w:bCs/>
          <w:color w:val="auto"/>
          <w:highlight w:val="none"/>
          <w:u w:val="single"/>
        </w:rPr>
        <w:t>金额的暂扣方式</w:t>
      </w:r>
      <w:r>
        <w:rPr>
          <w:rStyle w:val="35"/>
          <w:rFonts w:hint="eastAsia" w:ascii="宋体" w:hAnsi="宋体" w:eastAsia="宋体" w:cs="宋体"/>
          <w:bCs/>
          <w:color w:val="auto"/>
          <w:highlight w:val="none"/>
        </w:rPr>
        <w:t>：</w:t>
      </w:r>
      <w:r>
        <w:rPr>
          <w:rStyle w:val="35"/>
          <w:rFonts w:hint="eastAsia" w:ascii="宋体" w:hAnsi="宋体" w:eastAsia="宋体" w:cs="宋体"/>
          <w:bCs/>
          <w:color w:val="auto"/>
          <w:highlight w:val="none"/>
          <w:u w:val="single"/>
        </w:rPr>
        <w:t>由发包人在工程结算款里扣除</w:t>
      </w:r>
      <w:r>
        <w:rPr>
          <w:rStyle w:val="35"/>
          <w:rFonts w:hint="eastAsia" w:ascii="宋体" w:hAnsi="宋体" w:eastAsia="宋体" w:cs="宋体"/>
          <w:bCs/>
          <w:color w:val="auto"/>
          <w:highlight w:val="none"/>
        </w:rPr>
        <w:t>。</w:t>
      </w:r>
    </w:p>
    <w:p w14:paraId="52F476BC">
      <w:pPr>
        <w:pStyle w:val="135"/>
        <w:widowControl/>
        <w:spacing w:line="360" w:lineRule="auto"/>
        <w:ind w:firstLine="424" w:firstLineChars="202"/>
        <w:jc w:val="left"/>
        <w:rPr>
          <w:rStyle w:val="35"/>
          <w:rFonts w:hint="eastAsia" w:ascii="宋体" w:hAnsi="宋体" w:eastAsia="宋体" w:cs="宋体"/>
          <w:color w:val="auto"/>
          <w:highlight w:val="none"/>
        </w:rPr>
      </w:pPr>
      <w:r>
        <w:rPr>
          <w:rStyle w:val="35"/>
          <w:rFonts w:hint="eastAsia" w:ascii="宋体" w:hAnsi="宋体" w:eastAsia="宋体" w:cs="宋体"/>
          <w:color w:val="auto"/>
          <w:highlight w:val="none"/>
        </w:rPr>
        <w:t>15.3.1 承包人提供质量保证金的方式</w:t>
      </w:r>
    </w:p>
    <w:p w14:paraId="190DA690">
      <w:pPr>
        <w:pStyle w:val="135"/>
        <w:widowControl/>
        <w:spacing w:line="360" w:lineRule="auto"/>
        <w:ind w:firstLine="424" w:firstLineChars="202"/>
        <w:jc w:val="left"/>
        <w:rPr>
          <w:rStyle w:val="35"/>
          <w:rFonts w:hint="eastAsia" w:ascii="宋体" w:hAnsi="宋体" w:eastAsia="宋体" w:cs="宋体"/>
          <w:color w:val="auto"/>
          <w:highlight w:val="none"/>
        </w:rPr>
      </w:pPr>
      <w:r>
        <w:rPr>
          <w:rStyle w:val="35"/>
          <w:rFonts w:hint="eastAsia" w:ascii="宋体" w:hAnsi="宋体" w:eastAsia="宋体" w:cs="宋体"/>
          <w:color w:val="auto"/>
          <w:highlight w:val="none"/>
        </w:rPr>
        <w:t>质量保证金采用以下第（2）种方式：</w:t>
      </w:r>
    </w:p>
    <w:p w14:paraId="1A5F75D3">
      <w:pPr>
        <w:pStyle w:val="135"/>
        <w:widowControl/>
        <w:autoSpaceDE w:val="0"/>
        <w:autoSpaceDN w:val="0"/>
        <w:adjustRightInd w:val="0"/>
        <w:spacing w:line="360" w:lineRule="auto"/>
        <w:ind w:firstLine="424" w:firstLineChars="202"/>
        <w:jc w:val="left"/>
        <w:rPr>
          <w:rStyle w:val="35"/>
          <w:rFonts w:hint="eastAsia" w:ascii="宋体" w:hAnsi="宋体" w:eastAsia="宋体" w:cs="宋体"/>
          <w:color w:val="auto"/>
          <w:kern w:val="0"/>
          <w:highlight w:val="none"/>
        </w:rPr>
      </w:pPr>
      <w:r>
        <w:rPr>
          <w:rStyle w:val="35"/>
          <w:rFonts w:hint="eastAsia" w:ascii="宋体" w:hAnsi="宋体" w:eastAsia="宋体" w:cs="宋体"/>
          <w:color w:val="auto"/>
          <w:kern w:val="0"/>
          <w:highlight w:val="none"/>
        </w:rPr>
        <w:t>（1）质量保证金保函</w:t>
      </w:r>
      <w:r>
        <w:rPr>
          <w:rStyle w:val="35"/>
          <w:rFonts w:hint="eastAsia" w:ascii="宋体" w:hAnsi="宋体" w:eastAsia="宋体" w:cs="宋体"/>
          <w:color w:val="auto"/>
          <w:highlight w:val="none"/>
        </w:rPr>
        <w:t>（银行保函、电子保函、保证保险保函、工程担保保函，</w:t>
      </w:r>
      <w:r>
        <w:rPr>
          <w:rStyle w:val="35"/>
          <w:rFonts w:hint="eastAsia" w:ascii="宋体" w:hAnsi="宋体" w:eastAsia="宋体" w:cs="宋体"/>
          <w:color w:val="auto"/>
          <w:kern w:val="0"/>
          <w:highlight w:val="none"/>
        </w:rPr>
        <w:t>工程担保保证人应将出具的保函相关信息录入“广西建筑市场监管云”平台（http://gxjzsc.caihcloud.com），以实现保函查询及验真功能。</w:t>
      </w:r>
      <w:r>
        <w:rPr>
          <w:rStyle w:val="35"/>
          <w:rFonts w:hint="eastAsia" w:ascii="宋体" w:hAnsi="宋体" w:eastAsia="宋体" w:cs="宋体"/>
          <w:color w:val="auto"/>
          <w:highlight w:val="none"/>
        </w:rPr>
        <w:t>）</w:t>
      </w:r>
      <w:r>
        <w:rPr>
          <w:rStyle w:val="35"/>
          <w:rFonts w:hint="eastAsia" w:ascii="宋体" w:hAnsi="宋体" w:eastAsia="宋体" w:cs="宋体"/>
          <w:color w:val="auto"/>
          <w:kern w:val="0"/>
          <w:highlight w:val="none"/>
        </w:rPr>
        <w:t>，保证金额为：</w:t>
      </w:r>
      <w:r>
        <w:rPr>
          <w:rStyle w:val="35"/>
          <w:rFonts w:hint="eastAsia" w:ascii="宋体" w:hAnsi="宋体" w:eastAsia="宋体" w:cs="宋体"/>
          <w:color w:val="auto"/>
          <w:kern w:val="0"/>
          <w:highlight w:val="none"/>
          <w:u w:val="single"/>
        </w:rPr>
        <w:t xml:space="preserve">                   </w:t>
      </w:r>
    </w:p>
    <w:p w14:paraId="68A5D9BC">
      <w:pPr>
        <w:pStyle w:val="135"/>
        <w:widowControl/>
        <w:autoSpaceDE w:val="0"/>
        <w:autoSpaceDN w:val="0"/>
        <w:adjustRightInd w:val="0"/>
        <w:spacing w:line="360" w:lineRule="auto"/>
        <w:ind w:firstLine="424" w:firstLineChars="202"/>
        <w:jc w:val="left"/>
        <w:rPr>
          <w:rStyle w:val="35"/>
          <w:rFonts w:hint="eastAsia" w:ascii="宋体" w:hAnsi="宋体" w:eastAsia="宋体" w:cs="宋体"/>
          <w:color w:val="auto"/>
          <w:kern w:val="0"/>
          <w:highlight w:val="none"/>
        </w:rPr>
      </w:pPr>
      <w:r>
        <w:rPr>
          <w:rStyle w:val="35"/>
          <w:rFonts w:hint="eastAsia" w:ascii="宋体" w:hAnsi="宋体" w:eastAsia="宋体" w:cs="宋体"/>
          <w:color w:val="auto"/>
          <w:kern w:val="0"/>
          <w:highlight w:val="none"/>
        </w:rPr>
        <w:t>（2）</w:t>
      </w:r>
      <w:r>
        <w:rPr>
          <w:rStyle w:val="35"/>
          <w:rFonts w:hint="eastAsia" w:ascii="宋体" w:hAnsi="宋体" w:eastAsia="宋体" w:cs="宋体"/>
          <w:bCs/>
          <w:color w:val="auto"/>
          <w:highlight w:val="none"/>
        </w:rPr>
        <w:t>发包人按工程价款结算总额的</w:t>
      </w:r>
      <w:r>
        <w:rPr>
          <w:rStyle w:val="35"/>
          <w:rFonts w:hint="eastAsia" w:ascii="宋体" w:hAnsi="宋体" w:eastAsia="宋体" w:cs="宋体"/>
          <w:bCs/>
          <w:color w:val="auto"/>
          <w:highlight w:val="none"/>
          <w:u w:val="single"/>
        </w:rPr>
        <w:t xml:space="preserve">3 </w:t>
      </w:r>
      <w:r>
        <w:rPr>
          <w:rStyle w:val="35"/>
          <w:rFonts w:hint="eastAsia" w:ascii="宋体" w:hAnsi="宋体" w:eastAsia="宋体" w:cs="宋体"/>
          <w:bCs/>
          <w:color w:val="auto"/>
          <w:highlight w:val="none"/>
        </w:rPr>
        <w:t>% 预留工程质量保修金，待缺陷责任期满后返还，是否付息及利息计算方式为：</w:t>
      </w:r>
      <w:r>
        <w:rPr>
          <w:rStyle w:val="35"/>
          <w:rFonts w:hint="eastAsia" w:ascii="宋体" w:hAnsi="宋体" w:eastAsia="宋体" w:cs="宋体"/>
          <w:bCs/>
          <w:color w:val="auto"/>
          <w:highlight w:val="none"/>
          <w:u w:val="single"/>
        </w:rPr>
        <w:t>否</w:t>
      </w:r>
      <w:r>
        <w:rPr>
          <w:rStyle w:val="35"/>
          <w:rFonts w:hint="eastAsia" w:ascii="宋体" w:hAnsi="宋体" w:eastAsia="宋体" w:cs="宋体"/>
          <w:color w:val="auto"/>
          <w:kern w:val="0"/>
          <w:highlight w:val="none"/>
        </w:rPr>
        <w:t>；</w:t>
      </w:r>
    </w:p>
    <w:p w14:paraId="4A65A1B8">
      <w:pPr>
        <w:pStyle w:val="138"/>
        <w:autoSpaceDE w:val="0"/>
        <w:autoSpaceDN w:val="0"/>
        <w:adjustRightInd w:val="0"/>
        <w:spacing w:line="360" w:lineRule="auto"/>
        <w:ind w:firstLine="420" w:firstLineChars="200"/>
        <w:jc w:val="left"/>
        <w:rPr>
          <w:rStyle w:val="35"/>
          <w:rFonts w:hint="eastAsia" w:ascii="宋体" w:hAnsi="宋体"/>
          <w:color w:val="auto"/>
          <w:kern w:val="0"/>
          <w:highlight w:val="none"/>
        </w:rPr>
      </w:pPr>
      <w:r>
        <w:rPr>
          <w:rStyle w:val="35"/>
          <w:rFonts w:hint="eastAsia" w:ascii="宋体" w:hAnsi="宋体" w:eastAsia="宋体" w:cs="宋体"/>
          <w:color w:val="auto"/>
          <w:kern w:val="0"/>
          <w:highlight w:val="none"/>
        </w:rPr>
        <w:t>（3）其他方式：</w:t>
      </w:r>
      <w:r>
        <w:rPr>
          <w:rStyle w:val="35"/>
          <w:rFonts w:hint="eastAsia" w:ascii="宋体" w:hAnsi="宋体" w:eastAsia="宋体" w:cs="宋体"/>
          <w:color w:val="auto"/>
          <w:highlight w:val="none"/>
        </w:rPr>
        <w:t>银行转账、电汇</w:t>
      </w:r>
      <w:r>
        <w:rPr>
          <w:rStyle w:val="35"/>
          <w:rFonts w:hint="eastAsia" w:ascii="宋体" w:hAnsi="宋体"/>
          <w:color w:val="auto"/>
          <w:highlight w:val="none"/>
        </w:rPr>
        <w:t>或网上支付等形式。</w:t>
      </w:r>
    </w:p>
    <w:p w14:paraId="71328845">
      <w:pPr>
        <w:pStyle w:val="135"/>
        <w:widowControl/>
        <w:spacing w:line="360" w:lineRule="auto"/>
        <w:ind w:firstLine="424" w:firstLineChars="202"/>
        <w:jc w:val="left"/>
        <w:rPr>
          <w:rStyle w:val="35"/>
          <w:rFonts w:hint="eastAsia" w:ascii="宋体" w:hAnsi="宋体" w:eastAsia="宋体"/>
          <w:color w:val="auto"/>
          <w:highlight w:val="none"/>
        </w:rPr>
      </w:pPr>
      <w:r>
        <w:rPr>
          <w:rStyle w:val="35"/>
          <w:rFonts w:hint="eastAsia" w:ascii="宋体" w:hAnsi="宋体" w:eastAsia="宋体"/>
          <w:color w:val="auto"/>
          <w:highlight w:val="none"/>
        </w:rPr>
        <w:t>15.3.2 质量保证金的扣留</w:t>
      </w:r>
    </w:p>
    <w:p w14:paraId="00ED13FE">
      <w:pPr>
        <w:pStyle w:val="135"/>
        <w:widowControl/>
        <w:spacing w:line="360" w:lineRule="auto"/>
        <w:ind w:firstLine="424" w:firstLineChars="202"/>
        <w:jc w:val="left"/>
        <w:rPr>
          <w:rStyle w:val="35"/>
          <w:rFonts w:hint="eastAsia" w:ascii="宋体" w:hAnsi="宋体" w:eastAsia="宋体"/>
          <w:color w:val="auto"/>
          <w:highlight w:val="none"/>
        </w:rPr>
      </w:pPr>
      <w:r>
        <w:rPr>
          <w:rStyle w:val="35"/>
          <w:rFonts w:hint="eastAsia" w:ascii="宋体" w:hAnsi="宋体" w:eastAsia="宋体"/>
          <w:color w:val="auto"/>
          <w:highlight w:val="none"/>
        </w:rPr>
        <w:t>质量保证金的扣留采取以下第（2）种方式：</w:t>
      </w:r>
    </w:p>
    <w:p w14:paraId="43A66F3B">
      <w:pPr>
        <w:pStyle w:val="135"/>
        <w:widowControl/>
        <w:autoSpaceDE w:val="0"/>
        <w:autoSpaceDN w:val="0"/>
        <w:adjustRightInd w:val="0"/>
        <w:spacing w:line="360" w:lineRule="auto"/>
        <w:ind w:firstLine="424" w:firstLineChars="202"/>
        <w:jc w:val="left"/>
        <w:rPr>
          <w:rStyle w:val="35"/>
          <w:rFonts w:hint="eastAsia" w:ascii="宋体" w:hAnsi="宋体" w:eastAsia="宋体"/>
          <w:color w:val="auto"/>
          <w:kern w:val="0"/>
          <w:highlight w:val="none"/>
        </w:rPr>
      </w:pPr>
      <w:r>
        <w:rPr>
          <w:rStyle w:val="35"/>
          <w:rFonts w:hint="eastAsia" w:ascii="宋体" w:hAnsi="宋体" w:eastAsia="宋体"/>
          <w:color w:val="auto"/>
          <w:kern w:val="0"/>
          <w:highlight w:val="none"/>
        </w:rPr>
        <w:t>（1）在支付工程进度款时逐次扣留，在此情形下，质量保证金的计算基数不包括预付款的支付、扣回以及价格调整的金额；</w:t>
      </w:r>
    </w:p>
    <w:p w14:paraId="4BD96359">
      <w:pPr>
        <w:pStyle w:val="135"/>
        <w:widowControl/>
        <w:autoSpaceDE w:val="0"/>
        <w:autoSpaceDN w:val="0"/>
        <w:adjustRightInd w:val="0"/>
        <w:spacing w:line="360" w:lineRule="auto"/>
        <w:ind w:firstLine="424" w:firstLineChars="202"/>
        <w:jc w:val="left"/>
        <w:rPr>
          <w:rStyle w:val="35"/>
          <w:rFonts w:hint="eastAsia" w:ascii="宋体" w:hAnsi="宋体" w:eastAsia="宋体"/>
          <w:color w:val="auto"/>
          <w:kern w:val="0"/>
          <w:highlight w:val="none"/>
        </w:rPr>
      </w:pPr>
      <w:r>
        <w:rPr>
          <w:rStyle w:val="35"/>
          <w:rFonts w:hint="eastAsia" w:ascii="宋体" w:hAnsi="宋体" w:eastAsia="宋体"/>
          <w:color w:val="auto"/>
          <w:kern w:val="0"/>
          <w:highlight w:val="none"/>
        </w:rPr>
        <w:t>（2）工程竣工结算时一次性扣留质量保证金；</w:t>
      </w:r>
    </w:p>
    <w:p w14:paraId="37D23C77">
      <w:pPr>
        <w:pStyle w:val="135"/>
        <w:widowControl/>
        <w:autoSpaceDE w:val="0"/>
        <w:autoSpaceDN w:val="0"/>
        <w:adjustRightInd w:val="0"/>
        <w:spacing w:line="360" w:lineRule="auto"/>
        <w:ind w:firstLine="424" w:firstLineChars="202"/>
        <w:jc w:val="left"/>
        <w:rPr>
          <w:rStyle w:val="35"/>
          <w:rFonts w:hint="eastAsia" w:ascii="宋体" w:hAnsi="宋体" w:eastAsia="宋体"/>
          <w:color w:val="auto"/>
          <w:kern w:val="0"/>
          <w:highlight w:val="none"/>
        </w:rPr>
      </w:pPr>
      <w:r>
        <w:rPr>
          <w:rStyle w:val="35"/>
          <w:rFonts w:hint="eastAsia" w:ascii="宋体" w:hAnsi="宋体" w:eastAsia="宋体"/>
          <w:color w:val="auto"/>
          <w:kern w:val="0"/>
          <w:highlight w:val="none"/>
        </w:rPr>
        <w:t>（3）其他扣留方式: 银行转账、电汇或网上支付、保函（银行保函、电子保函、保证保险保函、工程担保保函）等形式。</w:t>
      </w:r>
    </w:p>
    <w:p w14:paraId="58EBB173">
      <w:pPr>
        <w:pStyle w:val="135"/>
        <w:widowControl/>
        <w:snapToGrid w:val="0"/>
        <w:spacing w:line="360" w:lineRule="auto"/>
        <w:ind w:firstLine="424" w:firstLineChars="202"/>
        <w:rPr>
          <w:rStyle w:val="35"/>
          <w:rFonts w:hint="eastAsia" w:ascii="宋体" w:hAnsi="宋体" w:eastAsia="宋体"/>
          <w:color w:val="auto"/>
          <w:kern w:val="0"/>
          <w:highlight w:val="none"/>
          <w:u w:val="single"/>
        </w:rPr>
      </w:pPr>
      <w:r>
        <w:rPr>
          <w:rStyle w:val="35"/>
          <w:rFonts w:hint="eastAsia" w:ascii="宋体" w:hAnsi="宋体" w:eastAsia="宋体"/>
          <w:color w:val="auto"/>
          <w:highlight w:val="none"/>
        </w:rPr>
        <w:t>关于质量保证金的补充约定：</w:t>
      </w:r>
      <w:r>
        <w:rPr>
          <w:rStyle w:val="35"/>
          <w:rFonts w:hint="eastAsia" w:ascii="宋体" w:hAnsi="宋体" w:eastAsia="宋体"/>
          <w:color w:val="auto"/>
          <w:highlight w:val="none"/>
          <w:u w:val="single"/>
        </w:rPr>
        <w:t xml:space="preserve">                            </w:t>
      </w:r>
    </w:p>
    <w:bookmarkEnd w:id="1530"/>
    <w:bookmarkEnd w:id="1531"/>
    <w:p w14:paraId="1CA01F56">
      <w:pPr>
        <w:keepNext/>
        <w:keepLines/>
        <w:spacing w:before="260" w:after="260" w:line="360" w:lineRule="auto"/>
        <w:outlineLvl w:val="2"/>
        <w:rPr>
          <w:rFonts w:ascii="宋体" w:hAnsi="宋体"/>
          <w:b/>
          <w:bCs/>
          <w:color w:val="auto"/>
          <w:sz w:val="32"/>
          <w:szCs w:val="32"/>
          <w:highlight w:val="none"/>
        </w:rPr>
      </w:pPr>
      <w:bookmarkStart w:id="1577" w:name="_Toc373227765"/>
      <w:bookmarkStart w:id="1578" w:name="_Toc389065330"/>
      <w:bookmarkStart w:id="1579" w:name="_Toc495673444"/>
      <w:bookmarkStart w:id="1580" w:name="_Toc86935929"/>
      <w:bookmarkStart w:id="1581" w:name="_Toc407135268"/>
      <w:bookmarkStart w:id="1582" w:name="_Toc508379779"/>
      <w:bookmarkStart w:id="1583" w:name="_Toc373478412"/>
      <w:bookmarkStart w:id="1584" w:name="_Toc26015"/>
      <w:bookmarkStart w:id="1585" w:name="_Toc5604"/>
      <w:r>
        <w:rPr>
          <w:rFonts w:ascii="宋体" w:hAnsi="宋体"/>
          <w:b/>
          <w:bCs/>
          <w:color w:val="auto"/>
          <w:sz w:val="32"/>
          <w:szCs w:val="32"/>
          <w:highlight w:val="none"/>
        </w:rPr>
        <w:t>15.4保修</w:t>
      </w:r>
      <w:bookmarkEnd w:id="1577"/>
      <w:bookmarkEnd w:id="1578"/>
      <w:bookmarkEnd w:id="1579"/>
      <w:bookmarkEnd w:id="1580"/>
      <w:bookmarkEnd w:id="1581"/>
      <w:bookmarkEnd w:id="1582"/>
      <w:bookmarkEnd w:id="1583"/>
      <w:bookmarkEnd w:id="1584"/>
      <w:bookmarkEnd w:id="1585"/>
    </w:p>
    <w:bookmarkEnd w:id="1532"/>
    <w:p w14:paraId="4AD62345">
      <w:pPr>
        <w:spacing w:line="360" w:lineRule="auto"/>
        <w:ind w:firstLine="409" w:firstLineChars="195"/>
        <w:jc w:val="left"/>
        <w:rPr>
          <w:rFonts w:ascii="宋体" w:hAnsi="宋体"/>
          <w:color w:val="auto"/>
          <w:szCs w:val="21"/>
          <w:highlight w:val="none"/>
        </w:rPr>
      </w:pPr>
      <w:r>
        <w:rPr>
          <w:rFonts w:ascii="宋体" w:hAnsi="宋体"/>
          <w:color w:val="auto"/>
          <w:szCs w:val="21"/>
          <w:highlight w:val="none"/>
        </w:rPr>
        <w:t>15.4.1 保修责任</w:t>
      </w:r>
    </w:p>
    <w:p w14:paraId="2E0F112D">
      <w:pPr>
        <w:spacing w:line="360" w:lineRule="auto"/>
        <w:ind w:firstLine="409" w:firstLineChars="195"/>
        <w:jc w:val="left"/>
        <w:rPr>
          <w:rFonts w:ascii="宋体" w:hAnsi="宋体"/>
          <w:color w:val="auto"/>
          <w:kern w:val="0"/>
          <w:szCs w:val="21"/>
          <w:highlight w:val="none"/>
        </w:rPr>
      </w:pPr>
      <w:r>
        <w:rPr>
          <w:rFonts w:ascii="宋体" w:hAnsi="宋体"/>
          <w:color w:val="auto"/>
          <w:szCs w:val="21"/>
          <w:highlight w:val="none"/>
        </w:rPr>
        <w:t>工程保修期为：</w:t>
      </w:r>
      <w:r>
        <w:rPr>
          <w:rFonts w:hint="eastAsia" w:ascii="宋体" w:hAnsi="宋体"/>
          <w:color w:val="auto"/>
          <w:szCs w:val="21"/>
          <w:highlight w:val="none"/>
          <w:u w:val="single"/>
        </w:rPr>
        <w:t xml:space="preserve">   </w:t>
      </w:r>
      <w:r>
        <w:rPr>
          <w:rStyle w:val="35"/>
          <w:rFonts w:hint="eastAsia" w:ascii="宋体" w:hAnsi="宋体" w:eastAsia="宋体"/>
          <w:color w:val="auto"/>
          <w:kern w:val="0"/>
          <w:highlight w:val="none"/>
          <w:u w:val="single"/>
        </w:rPr>
        <w:t>按国家有关规定</w:t>
      </w:r>
      <w:r>
        <w:rPr>
          <w:rFonts w:hint="eastAsia" w:ascii="宋体" w:hAnsi="宋体"/>
          <w:color w:val="auto"/>
          <w:szCs w:val="21"/>
          <w:highlight w:val="none"/>
          <w:u w:val="single"/>
        </w:rPr>
        <w:t xml:space="preserve">   </w:t>
      </w:r>
      <w:r>
        <w:rPr>
          <w:rFonts w:ascii="宋体" w:hAnsi="宋体"/>
          <w:color w:val="auto"/>
          <w:kern w:val="0"/>
          <w:szCs w:val="21"/>
          <w:highlight w:val="none"/>
        </w:rPr>
        <w:t>。</w:t>
      </w:r>
    </w:p>
    <w:p w14:paraId="5DA8FE68">
      <w:pPr>
        <w:spacing w:line="360" w:lineRule="auto"/>
        <w:ind w:firstLine="409" w:firstLineChars="195"/>
        <w:jc w:val="left"/>
        <w:rPr>
          <w:rFonts w:ascii="宋体" w:hAnsi="宋体"/>
          <w:color w:val="auto"/>
          <w:kern w:val="0"/>
          <w:szCs w:val="21"/>
          <w:highlight w:val="none"/>
          <w:u w:val="single"/>
        </w:rPr>
      </w:pPr>
      <w:r>
        <w:rPr>
          <w:rFonts w:hint="eastAsia" w:ascii="宋体" w:hAnsi="宋体"/>
          <w:color w:val="auto"/>
          <w:szCs w:val="21"/>
          <w:highlight w:val="none"/>
        </w:rPr>
        <w:t>工程保修书具体内容见合同附件8。</w:t>
      </w:r>
    </w:p>
    <w:p w14:paraId="3954CF00">
      <w:pPr>
        <w:spacing w:line="360" w:lineRule="auto"/>
        <w:ind w:firstLine="409" w:firstLineChars="195"/>
        <w:jc w:val="left"/>
        <w:rPr>
          <w:rFonts w:ascii="宋体" w:hAnsi="宋体"/>
          <w:color w:val="auto"/>
          <w:szCs w:val="21"/>
          <w:highlight w:val="none"/>
        </w:rPr>
      </w:pPr>
      <w:r>
        <w:rPr>
          <w:rFonts w:ascii="宋体" w:hAnsi="宋体"/>
          <w:color w:val="auto"/>
          <w:szCs w:val="21"/>
          <w:highlight w:val="none"/>
        </w:rPr>
        <w:t>15.4.3 修复通知</w:t>
      </w:r>
    </w:p>
    <w:p w14:paraId="55C1B29D">
      <w:pPr>
        <w:spacing w:line="360" w:lineRule="auto"/>
        <w:ind w:firstLine="409" w:firstLineChars="195"/>
        <w:jc w:val="left"/>
        <w:rPr>
          <w:rFonts w:ascii="宋体" w:hAnsi="宋体"/>
          <w:color w:val="auto"/>
          <w:kern w:val="0"/>
          <w:szCs w:val="21"/>
          <w:highlight w:val="none"/>
          <w:u w:val="single"/>
        </w:rPr>
      </w:pPr>
      <w:r>
        <w:rPr>
          <w:rFonts w:ascii="宋体" w:hAnsi="宋体"/>
          <w:color w:val="auto"/>
          <w:kern w:val="0"/>
          <w:szCs w:val="21"/>
          <w:highlight w:val="none"/>
        </w:rPr>
        <w:t>承包人收到保修通知并到达工程现场的合理时间：</w:t>
      </w:r>
      <w:r>
        <w:rPr>
          <w:rFonts w:hint="eastAsia" w:ascii="宋体" w:hAnsi="宋体"/>
          <w:color w:val="auto"/>
          <w:szCs w:val="21"/>
          <w:highlight w:val="none"/>
          <w:u w:val="single"/>
        </w:rPr>
        <w:t xml:space="preserve">  </w:t>
      </w:r>
      <w:r>
        <w:rPr>
          <w:rFonts w:hint="eastAsia" w:ascii="宋体" w:hAnsi="宋体"/>
          <w:color w:val="auto"/>
          <w:szCs w:val="21"/>
          <w:highlight w:val="none"/>
          <w:u w:val="single"/>
          <w:lang w:val="en-US" w:eastAsia="zh-CN"/>
        </w:rPr>
        <w:t>48小时内</w:t>
      </w:r>
      <w:r>
        <w:rPr>
          <w:rFonts w:hint="eastAsia" w:ascii="宋体" w:hAnsi="宋体"/>
          <w:color w:val="auto"/>
          <w:szCs w:val="21"/>
          <w:highlight w:val="none"/>
          <w:u w:val="single"/>
        </w:rPr>
        <w:t xml:space="preserve">      </w:t>
      </w:r>
      <w:r>
        <w:rPr>
          <w:rFonts w:ascii="宋体" w:hAnsi="宋体"/>
          <w:color w:val="auto"/>
          <w:kern w:val="0"/>
          <w:szCs w:val="21"/>
          <w:highlight w:val="none"/>
        </w:rPr>
        <w:t>。</w:t>
      </w:r>
    </w:p>
    <w:bookmarkEnd w:id="1533"/>
    <w:bookmarkEnd w:id="1534"/>
    <w:bookmarkEnd w:id="1535"/>
    <w:bookmarkEnd w:id="1536"/>
    <w:p w14:paraId="7851197B">
      <w:pPr>
        <w:keepNext/>
        <w:keepLines/>
        <w:spacing w:before="260" w:after="260" w:line="360" w:lineRule="auto"/>
        <w:outlineLvl w:val="1"/>
        <w:rPr>
          <w:rFonts w:ascii="宋体" w:hAnsi="宋体"/>
          <w:b/>
          <w:bCs/>
          <w:color w:val="auto"/>
          <w:sz w:val="32"/>
          <w:szCs w:val="32"/>
          <w:highlight w:val="none"/>
        </w:rPr>
      </w:pPr>
      <w:bookmarkStart w:id="1586" w:name="_Toc508379780"/>
      <w:bookmarkStart w:id="1587" w:name="_Toc6149"/>
      <w:bookmarkStart w:id="1588" w:name="_Toc373227766"/>
      <w:bookmarkStart w:id="1589" w:name="_Toc389065331"/>
      <w:bookmarkStart w:id="1590" w:name="_Toc495673445"/>
      <w:bookmarkStart w:id="1591" w:name="_Toc351203648"/>
      <w:bookmarkStart w:id="1592" w:name="_Toc11628"/>
      <w:bookmarkStart w:id="1593" w:name="_Toc86935930"/>
      <w:bookmarkStart w:id="1594" w:name="_Toc407135269"/>
      <w:bookmarkStart w:id="1595" w:name="_Toc373478413"/>
      <w:bookmarkStart w:id="1596" w:name="_Toc280868717"/>
      <w:bookmarkStart w:id="1597" w:name="_Toc280868718"/>
      <w:r>
        <w:rPr>
          <w:rFonts w:ascii="宋体" w:hAnsi="宋体"/>
          <w:b/>
          <w:bCs/>
          <w:color w:val="auto"/>
          <w:sz w:val="32"/>
          <w:szCs w:val="32"/>
          <w:highlight w:val="none"/>
        </w:rPr>
        <w:t>16. 违约</w:t>
      </w:r>
      <w:bookmarkEnd w:id="1586"/>
      <w:bookmarkEnd w:id="1587"/>
      <w:bookmarkEnd w:id="1588"/>
      <w:bookmarkEnd w:id="1589"/>
      <w:bookmarkEnd w:id="1590"/>
      <w:bookmarkEnd w:id="1591"/>
      <w:bookmarkEnd w:id="1592"/>
      <w:bookmarkEnd w:id="1593"/>
      <w:bookmarkEnd w:id="1594"/>
      <w:bookmarkEnd w:id="1595"/>
    </w:p>
    <w:p w14:paraId="5EB028C7">
      <w:pPr>
        <w:keepNext/>
        <w:keepLines/>
        <w:spacing w:before="260" w:after="260" w:line="360" w:lineRule="auto"/>
        <w:outlineLvl w:val="2"/>
        <w:rPr>
          <w:rFonts w:ascii="宋体" w:hAnsi="宋体"/>
          <w:b/>
          <w:bCs/>
          <w:color w:val="auto"/>
          <w:sz w:val="32"/>
          <w:szCs w:val="32"/>
          <w:highlight w:val="none"/>
        </w:rPr>
      </w:pPr>
      <w:bookmarkStart w:id="1598" w:name="_Toc389065332"/>
      <w:bookmarkStart w:id="1599" w:name="_Toc508379781"/>
      <w:bookmarkStart w:id="1600" w:name="_Toc31878"/>
      <w:bookmarkStart w:id="1601" w:name="_Toc495673446"/>
      <w:bookmarkStart w:id="1602" w:name="_Toc86935931"/>
      <w:bookmarkStart w:id="1603" w:name="_Toc373478414"/>
      <w:bookmarkStart w:id="1604" w:name="_Toc407135270"/>
      <w:bookmarkStart w:id="1605" w:name="_Toc373227767"/>
      <w:bookmarkStart w:id="1606" w:name="_Toc19099"/>
      <w:r>
        <w:rPr>
          <w:rFonts w:ascii="宋体" w:hAnsi="宋体"/>
          <w:b/>
          <w:bCs/>
          <w:color w:val="auto"/>
          <w:sz w:val="32"/>
          <w:szCs w:val="32"/>
          <w:highlight w:val="none"/>
        </w:rPr>
        <w:t>16.1 发包人违约</w:t>
      </w:r>
      <w:bookmarkEnd w:id="1598"/>
      <w:bookmarkEnd w:id="1599"/>
      <w:bookmarkEnd w:id="1600"/>
      <w:bookmarkEnd w:id="1601"/>
      <w:bookmarkEnd w:id="1602"/>
      <w:bookmarkEnd w:id="1603"/>
      <w:bookmarkEnd w:id="1604"/>
      <w:bookmarkEnd w:id="1605"/>
      <w:bookmarkEnd w:id="1606"/>
    </w:p>
    <w:p w14:paraId="59073293">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16.1.1发包人违约的情形</w:t>
      </w:r>
    </w:p>
    <w:p w14:paraId="39905319">
      <w:pPr>
        <w:spacing w:line="360" w:lineRule="auto"/>
        <w:ind w:firstLine="420" w:firstLineChars="200"/>
        <w:jc w:val="left"/>
        <w:rPr>
          <w:rFonts w:ascii="宋体" w:hAnsi="宋体"/>
          <w:color w:val="auto"/>
          <w:kern w:val="0"/>
          <w:szCs w:val="21"/>
          <w:highlight w:val="none"/>
        </w:rPr>
      </w:pPr>
      <w:r>
        <w:rPr>
          <w:rFonts w:ascii="宋体" w:hAnsi="宋体"/>
          <w:color w:val="auto"/>
          <w:kern w:val="0"/>
          <w:szCs w:val="21"/>
          <w:highlight w:val="none"/>
        </w:rPr>
        <w:t>发包人违约的其他情形：</w:t>
      </w:r>
      <w:r>
        <w:rPr>
          <w:rFonts w:hint="eastAsia" w:ascii="宋体" w:hAnsi="宋体"/>
          <w:color w:val="auto"/>
          <w:szCs w:val="21"/>
          <w:highlight w:val="none"/>
          <w:u w:val="single"/>
        </w:rPr>
        <w:t xml:space="preserve">                      </w:t>
      </w:r>
      <w:r>
        <w:rPr>
          <w:rFonts w:ascii="宋体" w:hAnsi="宋体"/>
          <w:color w:val="auto"/>
          <w:kern w:val="0"/>
          <w:szCs w:val="21"/>
          <w:highlight w:val="none"/>
        </w:rPr>
        <w:t>。</w:t>
      </w:r>
    </w:p>
    <w:p w14:paraId="558D959B">
      <w:pPr>
        <w:spacing w:line="360" w:lineRule="auto"/>
        <w:ind w:firstLine="420" w:firstLineChars="200"/>
        <w:jc w:val="left"/>
        <w:rPr>
          <w:rFonts w:ascii="宋体" w:hAnsi="宋体"/>
          <w:color w:val="auto"/>
          <w:kern w:val="0"/>
          <w:szCs w:val="21"/>
          <w:highlight w:val="none"/>
        </w:rPr>
      </w:pPr>
      <w:r>
        <w:rPr>
          <w:rFonts w:ascii="宋体" w:hAnsi="宋体"/>
          <w:color w:val="auto"/>
          <w:kern w:val="0"/>
          <w:szCs w:val="21"/>
          <w:highlight w:val="none"/>
        </w:rPr>
        <w:t>16.1.2 发包人违约的责任</w:t>
      </w:r>
    </w:p>
    <w:p w14:paraId="21F12F29">
      <w:pPr>
        <w:spacing w:line="360" w:lineRule="auto"/>
        <w:ind w:firstLine="420" w:firstLineChars="200"/>
        <w:jc w:val="left"/>
        <w:rPr>
          <w:rFonts w:ascii="宋体" w:hAnsi="宋体"/>
          <w:color w:val="auto"/>
          <w:kern w:val="0"/>
          <w:szCs w:val="21"/>
          <w:highlight w:val="none"/>
        </w:rPr>
      </w:pPr>
      <w:r>
        <w:rPr>
          <w:rFonts w:ascii="宋体" w:hAnsi="宋体"/>
          <w:color w:val="auto"/>
          <w:kern w:val="0"/>
          <w:szCs w:val="21"/>
          <w:highlight w:val="none"/>
        </w:rPr>
        <w:t>发包人违约责任的承担方式和计算方法：</w:t>
      </w:r>
    </w:p>
    <w:p w14:paraId="28135FEE">
      <w:pPr>
        <w:spacing w:line="360" w:lineRule="auto"/>
        <w:ind w:firstLine="420" w:firstLineChars="200"/>
        <w:jc w:val="left"/>
        <w:rPr>
          <w:rFonts w:ascii="宋体" w:hAnsi="宋体"/>
          <w:color w:val="auto"/>
          <w:kern w:val="0"/>
          <w:szCs w:val="21"/>
          <w:highlight w:val="none"/>
          <w:u w:val="single"/>
        </w:rPr>
      </w:pPr>
      <w:r>
        <w:rPr>
          <w:rFonts w:ascii="宋体" w:hAnsi="宋体"/>
          <w:color w:val="auto"/>
          <w:kern w:val="0"/>
          <w:szCs w:val="21"/>
          <w:highlight w:val="none"/>
        </w:rPr>
        <w:t>（1）因发包人原因未能在计划开工日期前7天内下达开工通知的违约责任：</w:t>
      </w:r>
      <w:r>
        <w:rPr>
          <w:rFonts w:hint="eastAsia" w:ascii="宋体" w:hAnsi="宋体"/>
          <w:color w:val="auto"/>
          <w:szCs w:val="21"/>
          <w:highlight w:val="none"/>
          <w:u w:val="single"/>
        </w:rPr>
        <w:t xml:space="preserve">                      </w:t>
      </w:r>
      <w:r>
        <w:rPr>
          <w:rFonts w:ascii="宋体" w:hAnsi="宋体"/>
          <w:color w:val="auto"/>
          <w:kern w:val="0"/>
          <w:szCs w:val="21"/>
          <w:highlight w:val="none"/>
        </w:rPr>
        <w:t>。</w:t>
      </w:r>
    </w:p>
    <w:p w14:paraId="54EFB1A0">
      <w:pPr>
        <w:spacing w:line="360" w:lineRule="auto"/>
        <w:ind w:firstLine="420" w:firstLineChars="200"/>
        <w:jc w:val="left"/>
        <w:rPr>
          <w:rFonts w:ascii="宋体" w:hAnsi="宋体"/>
          <w:color w:val="auto"/>
          <w:kern w:val="0"/>
          <w:szCs w:val="21"/>
          <w:highlight w:val="none"/>
        </w:rPr>
      </w:pPr>
      <w:r>
        <w:rPr>
          <w:rFonts w:ascii="宋体" w:hAnsi="宋体"/>
          <w:color w:val="auto"/>
          <w:kern w:val="0"/>
          <w:szCs w:val="21"/>
          <w:highlight w:val="none"/>
        </w:rPr>
        <w:t>（2）因发包人原因未能按合同约定支付合同价款的违约责任：</w:t>
      </w:r>
      <w:r>
        <w:rPr>
          <w:rFonts w:hint="eastAsia" w:ascii="宋体" w:hAnsi="宋体"/>
          <w:color w:val="auto"/>
          <w:szCs w:val="21"/>
          <w:highlight w:val="none"/>
          <w:u w:val="single"/>
        </w:rPr>
        <w:t xml:space="preserve">                      </w:t>
      </w:r>
      <w:r>
        <w:rPr>
          <w:rFonts w:ascii="宋体" w:hAnsi="宋体"/>
          <w:color w:val="auto"/>
          <w:kern w:val="0"/>
          <w:szCs w:val="21"/>
          <w:highlight w:val="none"/>
        </w:rPr>
        <w:t>。</w:t>
      </w:r>
    </w:p>
    <w:p w14:paraId="48BAF3A7">
      <w:pPr>
        <w:spacing w:line="360" w:lineRule="auto"/>
        <w:ind w:firstLine="420" w:firstLineChars="200"/>
        <w:jc w:val="left"/>
        <w:rPr>
          <w:rFonts w:ascii="宋体" w:hAnsi="宋体"/>
          <w:color w:val="auto"/>
          <w:kern w:val="0"/>
          <w:szCs w:val="21"/>
          <w:highlight w:val="none"/>
        </w:rPr>
      </w:pPr>
      <w:r>
        <w:rPr>
          <w:rFonts w:ascii="宋体" w:hAnsi="宋体"/>
          <w:color w:val="auto"/>
          <w:kern w:val="0"/>
          <w:szCs w:val="21"/>
          <w:highlight w:val="none"/>
        </w:rPr>
        <w:t>（3）发包人违反第10.1款〔变更的范围〕第（2）项约定，自行实施被取消的工作或转由他人实施的违约责任：</w:t>
      </w:r>
      <w:r>
        <w:rPr>
          <w:rFonts w:hint="eastAsia" w:ascii="宋体" w:hAnsi="宋体"/>
          <w:color w:val="auto"/>
          <w:szCs w:val="21"/>
          <w:highlight w:val="none"/>
          <w:u w:val="single"/>
        </w:rPr>
        <w:t xml:space="preserve">                      </w:t>
      </w:r>
      <w:r>
        <w:rPr>
          <w:rFonts w:ascii="宋体" w:hAnsi="宋体"/>
          <w:color w:val="auto"/>
          <w:kern w:val="0"/>
          <w:szCs w:val="21"/>
          <w:highlight w:val="none"/>
        </w:rPr>
        <w:t>。</w:t>
      </w:r>
    </w:p>
    <w:p w14:paraId="558B8696">
      <w:pPr>
        <w:spacing w:line="360" w:lineRule="auto"/>
        <w:ind w:firstLine="420" w:firstLineChars="200"/>
        <w:jc w:val="left"/>
        <w:rPr>
          <w:rFonts w:ascii="宋体" w:hAnsi="宋体"/>
          <w:color w:val="auto"/>
          <w:kern w:val="0"/>
          <w:szCs w:val="21"/>
          <w:highlight w:val="none"/>
        </w:rPr>
      </w:pPr>
      <w:r>
        <w:rPr>
          <w:rFonts w:ascii="宋体" w:hAnsi="宋体"/>
          <w:color w:val="auto"/>
          <w:kern w:val="0"/>
          <w:szCs w:val="21"/>
          <w:highlight w:val="none"/>
        </w:rPr>
        <w:t>（4）发包人提供的材料、工程设备的规格、数量或质量不符合合同约定，或因发包人原因导致交货日期延误或交货地点变更等情况的违约责任：</w:t>
      </w:r>
      <w:r>
        <w:rPr>
          <w:rFonts w:hint="eastAsia" w:ascii="宋体" w:hAnsi="宋体"/>
          <w:color w:val="auto"/>
          <w:szCs w:val="21"/>
          <w:highlight w:val="none"/>
          <w:u w:val="single"/>
        </w:rPr>
        <w:t xml:space="preserve">                      </w:t>
      </w:r>
      <w:r>
        <w:rPr>
          <w:rFonts w:ascii="宋体" w:hAnsi="宋体"/>
          <w:color w:val="auto"/>
          <w:kern w:val="0"/>
          <w:szCs w:val="21"/>
          <w:highlight w:val="none"/>
        </w:rPr>
        <w:t>。</w:t>
      </w:r>
    </w:p>
    <w:p w14:paraId="428D33BB">
      <w:pPr>
        <w:spacing w:line="360" w:lineRule="auto"/>
        <w:ind w:firstLine="420" w:firstLineChars="200"/>
        <w:jc w:val="left"/>
        <w:rPr>
          <w:rFonts w:ascii="宋体" w:hAnsi="宋体"/>
          <w:color w:val="auto"/>
          <w:kern w:val="0"/>
          <w:szCs w:val="21"/>
          <w:highlight w:val="none"/>
          <w:u w:val="single"/>
        </w:rPr>
      </w:pPr>
      <w:r>
        <w:rPr>
          <w:rFonts w:ascii="宋体" w:hAnsi="宋体"/>
          <w:color w:val="auto"/>
          <w:kern w:val="0"/>
          <w:szCs w:val="21"/>
          <w:highlight w:val="none"/>
        </w:rPr>
        <w:t>（5）因发包人违反合同约定造成暂停施工的违约责任：</w:t>
      </w:r>
      <w:r>
        <w:rPr>
          <w:rFonts w:hint="eastAsia" w:ascii="宋体" w:hAnsi="宋体"/>
          <w:color w:val="auto"/>
          <w:szCs w:val="21"/>
          <w:highlight w:val="none"/>
          <w:u w:val="single"/>
        </w:rPr>
        <w:t xml:space="preserve">                      </w:t>
      </w:r>
      <w:r>
        <w:rPr>
          <w:rFonts w:ascii="宋体" w:hAnsi="宋体"/>
          <w:color w:val="auto"/>
          <w:kern w:val="0"/>
          <w:szCs w:val="21"/>
          <w:highlight w:val="none"/>
        </w:rPr>
        <w:t>。</w:t>
      </w:r>
    </w:p>
    <w:p w14:paraId="565F344E">
      <w:pPr>
        <w:spacing w:line="360" w:lineRule="auto"/>
        <w:ind w:firstLine="420" w:firstLineChars="200"/>
        <w:jc w:val="left"/>
        <w:rPr>
          <w:rFonts w:ascii="宋体" w:hAnsi="宋体"/>
          <w:color w:val="auto"/>
          <w:kern w:val="0"/>
          <w:szCs w:val="21"/>
          <w:highlight w:val="none"/>
        </w:rPr>
      </w:pPr>
      <w:r>
        <w:rPr>
          <w:rFonts w:ascii="宋体" w:hAnsi="宋体"/>
          <w:color w:val="auto"/>
          <w:kern w:val="0"/>
          <w:szCs w:val="21"/>
          <w:highlight w:val="none"/>
        </w:rPr>
        <w:t>（6）发包人无正当理由没有在约定期限内发出复工指示，导致承包人无法复工的违约责任：</w:t>
      </w:r>
      <w:r>
        <w:rPr>
          <w:rFonts w:hint="eastAsia" w:ascii="宋体" w:hAnsi="宋体"/>
          <w:color w:val="auto"/>
          <w:szCs w:val="21"/>
          <w:highlight w:val="none"/>
          <w:u w:val="single"/>
        </w:rPr>
        <w:t xml:space="preserve">                      </w:t>
      </w:r>
      <w:r>
        <w:rPr>
          <w:rFonts w:ascii="宋体" w:hAnsi="宋体"/>
          <w:color w:val="auto"/>
          <w:kern w:val="0"/>
          <w:szCs w:val="21"/>
          <w:highlight w:val="none"/>
        </w:rPr>
        <w:t>。</w:t>
      </w:r>
    </w:p>
    <w:p w14:paraId="6EBA564A">
      <w:pPr>
        <w:spacing w:line="360" w:lineRule="auto"/>
        <w:ind w:firstLine="420" w:firstLineChars="200"/>
        <w:jc w:val="left"/>
        <w:rPr>
          <w:rFonts w:ascii="宋体" w:hAnsi="宋体"/>
          <w:color w:val="auto"/>
          <w:kern w:val="0"/>
          <w:szCs w:val="21"/>
          <w:highlight w:val="none"/>
        </w:rPr>
      </w:pPr>
      <w:r>
        <w:rPr>
          <w:rFonts w:ascii="宋体" w:hAnsi="宋体"/>
          <w:color w:val="auto"/>
          <w:kern w:val="0"/>
          <w:szCs w:val="21"/>
          <w:highlight w:val="none"/>
        </w:rPr>
        <w:t>（7）其他：</w:t>
      </w:r>
      <w:r>
        <w:rPr>
          <w:rFonts w:hint="eastAsia" w:ascii="宋体" w:hAnsi="宋体"/>
          <w:color w:val="auto"/>
          <w:szCs w:val="21"/>
          <w:highlight w:val="none"/>
          <w:u w:val="single"/>
        </w:rPr>
        <w:t xml:space="preserve">                      </w:t>
      </w:r>
      <w:r>
        <w:rPr>
          <w:rFonts w:ascii="宋体" w:hAnsi="宋体"/>
          <w:color w:val="auto"/>
          <w:kern w:val="0"/>
          <w:szCs w:val="21"/>
          <w:highlight w:val="none"/>
        </w:rPr>
        <w:t>。</w:t>
      </w:r>
    </w:p>
    <w:p w14:paraId="2DA2F707">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16.1.3 因发包人违约解除合同</w:t>
      </w:r>
    </w:p>
    <w:p w14:paraId="5B142C4D">
      <w:pPr>
        <w:autoSpaceDE w:val="0"/>
        <w:autoSpaceDN w:val="0"/>
        <w:adjustRightInd w:val="0"/>
        <w:spacing w:line="360" w:lineRule="auto"/>
        <w:ind w:firstLine="420" w:firstLineChars="200"/>
        <w:jc w:val="left"/>
        <w:rPr>
          <w:rFonts w:ascii="宋体" w:hAnsi="宋体"/>
          <w:color w:val="auto"/>
          <w:kern w:val="0"/>
          <w:szCs w:val="21"/>
          <w:highlight w:val="none"/>
        </w:rPr>
      </w:pPr>
      <w:r>
        <w:rPr>
          <w:rFonts w:ascii="宋体" w:hAnsi="宋体"/>
          <w:color w:val="auto"/>
          <w:kern w:val="0"/>
          <w:szCs w:val="21"/>
          <w:highlight w:val="none"/>
        </w:rPr>
        <w:t>承包人按16.1.1项〔发包人违约的情形〕约定暂停施工满天后发包人仍不纠正其违约行为并致使合同目的不能实现的，承包人有权解除合同。</w:t>
      </w:r>
    </w:p>
    <w:p w14:paraId="423F99E3">
      <w:pPr>
        <w:keepNext/>
        <w:keepLines/>
        <w:spacing w:before="260" w:after="260" w:line="360" w:lineRule="auto"/>
        <w:outlineLvl w:val="2"/>
        <w:rPr>
          <w:rFonts w:ascii="宋体" w:hAnsi="宋体"/>
          <w:b/>
          <w:bCs/>
          <w:color w:val="auto"/>
          <w:sz w:val="32"/>
          <w:szCs w:val="32"/>
          <w:highlight w:val="none"/>
        </w:rPr>
      </w:pPr>
      <w:bookmarkStart w:id="1607" w:name="_Toc1213"/>
      <w:bookmarkStart w:id="1608" w:name="_Toc508379782"/>
      <w:bookmarkStart w:id="1609" w:name="_Toc389065333"/>
      <w:bookmarkStart w:id="1610" w:name="_Toc495673447"/>
      <w:bookmarkStart w:id="1611" w:name="_Toc86935932"/>
      <w:bookmarkStart w:id="1612" w:name="_Toc373227768"/>
      <w:bookmarkStart w:id="1613" w:name="_Toc11783"/>
      <w:bookmarkStart w:id="1614" w:name="_Toc407135271"/>
      <w:bookmarkStart w:id="1615" w:name="_Toc373478415"/>
      <w:r>
        <w:rPr>
          <w:rFonts w:ascii="宋体" w:hAnsi="宋体"/>
          <w:b/>
          <w:bCs/>
          <w:color w:val="auto"/>
          <w:sz w:val="32"/>
          <w:szCs w:val="32"/>
          <w:highlight w:val="none"/>
        </w:rPr>
        <w:t>16.2 承包人违约</w:t>
      </w:r>
      <w:bookmarkEnd w:id="1607"/>
      <w:bookmarkEnd w:id="1608"/>
      <w:bookmarkEnd w:id="1609"/>
      <w:bookmarkEnd w:id="1610"/>
      <w:bookmarkEnd w:id="1611"/>
      <w:bookmarkEnd w:id="1612"/>
      <w:bookmarkEnd w:id="1613"/>
      <w:bookmarkEnd w:id="1614"/>
      <w:bookmarkEnd w:id="1615"/>
    </w:p>
    <w:p w14:paraId="1DF96801">
      <w:pPr>
        <w:spacing w:line="360" w:lineRule="auto"/>
        <w:ind w:firstLine="420" w:firstLineChars="200"/>
        <w:jc w:val="left"/>
        <w:rPr>
          <w:rFonts w:ascii="宋体" w:hAnsi="宋体"/>
          <w:color w:val="auto"/>
          <w:kern w:val="0"/>
          <w:szCs w:val="21"/>
          <w:highlight w:val="none"/>
        </w:rPr>
      </w:pPr>
      <w:r>
        <w:rPr>
          <w:rFonts w:ascii="宋体" w:hAnsi="宋体"/>
          <w:color w:val="auto"/>
          <w:kern w:val="0"/>
          <w:szCs w:val="21"/>
          <w:highlight w:val="none"/>
        </w:rPr>
        <w:t>16.2.1 承包人违约的情形</w:t>
      </w:r>
    </w:p>
    <w:p w14:paraId="31233C7F">
      <w:pPr>
        <w:spacing w:line="360" w:lineRule="auto"/>
        <w:ind w:firstLine="420" w:firstLineChars="200"/>
        <w:jc w:val="left"/>
        <w:rPr>
          <w:rFonts w:ascii="宋体" w:hAnsi="宋体"/>
          <w:color w:val="auto"/>
          <w:kern w:val="0"/>
          <w:szCs w:val="21"/>
          <w:highlight w:val="none"/>
        </w:rPr>
      </w:pPr>
      <w:r>
        <w:rPr>
          <w:rFonts w:ascii="宋体" w:hAnsi="宋体"/>
          <w:color w:val="auto"/>
          <w:kern w:val="0"/>
          <w:szCs w:val="21"/>
          <w:highlight w:val="none"/>
        </w:rPr>
        <w:t>承包人违约的其他情形：</w:t>
      </w:r>
    </w:p>
    <w:p w14:paraId="4893B087">
      <w:pPr>
        <w:pStyle w:val="135"/>
        <w:widowControl/>
        <w:spacing w:line="360" w:lineRule="auto"/>
        <w:ind w:firstLine="424" w:firstLineChars="202"/>
        <w:jc w:val="left"/>
        <w:rPr>
          <w:rStyle w:val="35"/>
          <w:rFonts w:hint="eastAsia" w:ascii="宋体" w:hAnsi="宋体" w:eastAsia="宋体"/>
          <w:color w:val="auto"/>
          <w:kern w:val="0"/>
          <w:highlight w:val="none"/>
        </w:rPr>
      </w:pPr>
      <w:r>
        <w:rPr>
          <w:rStyle w:val="35"/>
          <w:rFonts w:hint="eastAsia" w:ascii="宋体" w:hAnsi="宋体" w:eastAsia="宋体"/>
          <w:color w:val="auto"/>
          <w:kern w:val="0"/>
          <w:highlight w:val="none"/>
        </w:rPr>
        <w:t>（1）承包人违反合同约定进行转包或违法分包的；</w:t>
      </w:r>
    </w:p>
    <w:p w14:paraId="2BCDAAD7">
      <w:pPr>
        <w:pStyle w:val="135"/>
        <w:widowControl/>
        <w:spacing w:line="360" w:lineRule="auto"/>
        <w:ind w:firstLine="424" w:firstLineChars="202"/>
        <w:jc w:val="left"/>
        <w:rPr>
          <w:rStyle w:val="35"/>
          <w:rFonts w:hint="eastAsia" w:ascii="宋体" w:hAnsi="宋体" w:eastAsia="宋体"/>
          <w:color w:val="auto"/>
          <w:kern w:val="0"/>
          <w:highlight w:val="none"/>
        </w:rPr>
      </w:pPr>
      <w:r>
        <w:rPr>
          <w:rStyle w:val="35"/>
          <w:rFonts w:hint="eastAsia" w:ascii="宋体" w:hAnsi="宋体" w:eastAsia="宋体"/>
          <w:color w:val="auto"/>
          <w:kern w:val="0"/>
          <w:highlight w:val="none"/>
        </w:rPr>
        <w:t>（2）承包人违反合同约定采购和使用不合格的材料和工程设备的；</w:t>
      </w:r>
    </w:p>
    <w:p w14:paraId="3B8E269E">
      <w:pPr>
        <w:pStyle w:val="135"/>
        <w:widowControl/>
        <w:spacing w:line="360" w:lineRule="auto"/>
        <w:ind w:firstLine="424" w:firstLineChars="202"/>
        <w:jc w:val="left"/>
        <w:rPr>
          <w:rStyle w:val="35"/>
          <w:rFonts w:hint="eastAsia" w:ascii="宋体" w:hAnsi="宋体" w:eastAsia="宋体"/>
          <w:color w:val="auto"/>
          <w:kern w:val="0"/>
          <w:highlight w:val="none"/>
        </w:rPr>
      </w:pPr>
      <w:r>
        <w:rPr>
          <w:rStyle w:val="35"/>
          <w:rFonts w:hint="eastAsia" w:ascii="宋体" w:hAnsi="宋体" w:eastAsia="宋体"/>
          <w:color w:val="auto"/>
          <w:kern w:val="0"/>
          <w:highlight w:val="none"/>
        </w:rPr>
        <w:t xml:space="preserve">（3）因承包人原因导致工程质量不符合合同要求的； </w:t>
      </w:r>
    </w:p>
    <w:p w14:paraId="141FB523">
      <w:pPr>
        <w:pStyle w:val="135"/>
        <w:widowControl/>
        <w:spacing w:line="360" w:lineRule="auto"/>
        <w:ind w:firstLine="424" w:firstLineChars="202"/>
        <w:jc w:val="left"/>
        <w:rPr>
          <w:rStyle w:val="35"/>
          <w:rFonts w:hint="eastAsia" w:ascii="宋体" w:hAnsi="宋体" w:eastAsia="宋体"/>
          <w:color w:val="auto"/>
          <w:kern w:val="0"/>
          <w:highlight w:val="none"/>
        </w:rPr>
      </w:pPr>
      <w:r>
        <w:rPr>
          <w:rStyle w:val="35"/>
          <w:rFonts w:hint="eastAsia" w:ascii="宋体" w:hAnsi="宋体" w:eastAsia="宋体"/>
          <w:color w:val="auto"/>
          <w:kern w:val="0"/>
          <w:highlight w:val="none"/>
        </w:rPr>
        <w:t>（4）承包人未经发包人批准，私自将已按照合同约定进入施工现场的材料或设备撤离施工现场的；</w:t>
      </w:r>
    </w:p>
    <w:p w14:paraId="706B60B4">
      <w:pPr>
        <w:pStyle w:val="135"/>
        <w:widowControl/>
        <w:spacing w:line="360" w:lineRule="auto"/>
        <w:ind w:firstLine="424" w:firstLineChars="202"/>
        <w:jc w:val="left"/>
        <w:rPr>
          <w:rStyle w:val="35"/>
          <w:rFonts w:hint="eastAsia" w:ascii="宋体" w:hAnsi="宋体" w:eastAsia="宋体"/>
          <w:color w:val="auto"/>
          <w:kern w:val="0"/>
          <w:highlight w:val="none"/>
        </w:rPr>
      </w:pPr>
      <w:r>
        <w:rPr>
          <w:rStyle w:val="35"/>
          <w:rFonts w:hint="eastAsia" w:ascii="宋体" w:hAnsi="宋体" w:eastAsia="宋体"/>
          <w:color w:val="auto"/>
          <w:kern w:val="0"/>
          <w:highlight w:val="none"/>
        </w:rPr>
        <w:t>（5）承包人未能按施工进度计划及时完成合同约定的工作，造成工期延误的；</w:t>
      </w:r>
    </w:p>
    <w:p w14:paraId="75697239">
      <w:pPr>
        <w:pStyle w:val="135"/>
        <w:widowControl/>
        <w:spacing w:line="360" w:lineRule="auto"/>
        <w:ind w:firstLine="424" w:firstLineChars="202"/>
        <w:jc w:val="left"/>
        <w:rPr>
          <w:rStyle w:val="35"/>
          <w:rFonts w:hint="eastAsia" w:ascii="宋体" w:hAnsi="宋体" w:eastAsia="宋体"/>
          <w:color w:val="auto"/>
          <w:kern w:val="0"/>
          <w:highlight w:val="none"/>
        </w:rPr>
      </w:pPr>
      <w:r>
        <w:rPr>
          <w:rStyle w:val="35"/>
          <w:rFonts w:hint="eastAsia" w:ascii="宋体" w:hAnsi="宋体" w:eastAsia="宋体"/>
          <w:color w:val="auto"/>
          <w:kern w:val="0"/>
          <w:highlight w:val="none"/>
        </w:rPr>
        <w:t>（6）承包人在缺陷责任期及保修期内，未能在合理期限对工程缺陷进行修复，或拒绝按发包人要求进行修复的；</w:t>
      </w:r>
    </w:p>
    <w:p w14:paraId="2BA94B44">
      <w:pPr>
        <w:pStyle w:val="135"/>
        <w:widowControl/>
        <w:spacing w:line="360" w:lineRule="auto"/>
        <w:ind w:firstLine="424" w:firstLineChars="202"/>
        <w:jc w:val="left"/>
        <w:rPr>
          <w:rStyle w:val="35"/>
          <w:rFonts w:hint="eastAsia" w:ascii="宋体" w:hAnsi="宋体" w:eastAsia="宋体"/>
          <w:color w:val="auto"/>
          <w:kern w:val="0"/>
          <w:highlight w:val="none"/>
        </w:rPr>
      </w:pPr>
      <w:r>
        <w:rPr>
          <w:rStyle w:val="35"/>
          <w:rFonts w:hint="eastAsia" w:ascii="宋体" w:hAnsi="宋体" w:eastAsia="宋体"/>
          <w:color w:val="auto"/>
          <w:kern w:val="0"/>
          <w:highlight w:val="none"/>
        </w:rPr>
        <w:t>（7）承包人明确表示或者以其行为表明不履行合同主要义务的；</w:t>
      </w:r>
    </w:p>
    <w:p w14:paraId="35F98776">
      <w:pPr>
        <w:pStyle w:val="135"/>
        <w:widowControl/>
        <w:spacing w:line="360" w:lineRule="auto"/>
        <w:ind w:firstLine="424" w:firstLineChars="202"/>
        <w:jc w:val="left"/>
        <w:rPr>
          <w:rStyle w:val="35"/>
          <w:rFonts w:hint="eastAsia" w:ascii="宋体" w:hAnsi="宋体" w:eastAsia="宋体"/>
          <w:color w:val="auto"/>
          <w:kern w:val="0"/>
          <w:highlight w:val="none"/>
        </w:rPr>
      </w:pPr>
      <w:r>
        <w:rPr>
          <w:rStyle w:val="35"/>
          <w:rFonts w:hint="eastAsia" w:ascii="宋体" w:hAnsi="宋体" w:eastAsia="宋体"/>
          <w:color w:val="auto"/>
          <w:kern w:val="0"/>
          <w:highlight w:val="none"/>
        </w:rPr>
        <w:t>（8）承包人未能按照合同约定履行其他义务的。</w:t>
      </w:r>
    </w:p>
    <w:p w14:paraId="620EE26E">
      <w:pPr>
        <w:pStyle w:val="135"/>
        <w:widowControl/>
        <w:spacing w:line="360" w:lineRule="auto"/>
        <w:ind w:firstLine="424" w:firstLineChars="202"/>
        <w:jc w:val="left"/>
        <w:rPr>
          <w:rFonts w:ascii="宋体" w:hAnsi="宋体"/>
          <w:color w:val="auto"/>
          <w:kern w:val="0"/>
          <w:szCs w:val="21"/>
          <w:highlight w:val="none"/>
          <w:u w:val="single"/>
        </w:rPr>
      </w:pPr>
      <w:r>
        <w:rPr>
          <w:rStyle w:val="35"/>
          <w:rFonts w:hint="eastAsia" w:ascii="宋体" w:hAnsi="宋体" w:eastAsia="宋体"/>
          <w:color w:val="auto"/>
          <w:kern w:val="0"/>
          <w:highlight w:val="none"/>
        </w:rPr>
        <w:t>承包人发生除本项第（7）目约定以外的其他违约情况时，发包人可向承包人发出整改通知，要求其在指定的期限内改正。</w:t>
      </w:r>
    </w:p>
    <w:p w14:paraId="43B5C524">
      <w:pPr>
        <w:spacing w:line="360" w:lineRule="auto"/>
        <w:ind w:firstLine="420" w:firstLineChars="200"/>
        <w:jc w:val="left"/>
        <w:rPr>
          <w:rFonts w:ascii="宋体" w:hAnsi="宋体"/>
          <w:color w:val="auto"/>
          <w:kern w:val="0"/>
          <w:szCs w:val="21"/>
          <w:highlight w:val="none"/>
        </w:rPr>
      </w:pPr>
      <w:r>
        <w:rPr>
          <w:rFonts w:ascii="宋体" w:hAnsi="宋体"/>
          <w:color w:val="auto"/>
          <w:kern w:val="0"/>
          <w:szCs w:val="21"/>
          <w:highlight w:val="none"/>
        </w:rPr>
        <w:t>16.2.2承包人违约的责任</w:t>
      </w:r>
    </w:p>
    <w:p w14:paraId="592A414F">
      <w:pPr>
        <w:spacing w:line="360" w:lineRule="auto"/>
        <w:ind w:firstLine="420" w:firstLineChars="200"/>
        <w:jc w:val="left"/>
        <w:rPr>
          <w:rFonts w:ascii="宋体" w:hAnsi="宋体"/>
          <w:color w:val="auto"/>
          <w:kern w:val="0"/>
          <w:szCs w:val="21"/>
          <w:highlight w:val="none"/>
        </w:rPr>
      </w:pPr>
      <w:r>
        <w:rPr>
          <w:rFonts w:ascii="宋体" w:hAnsi="宋体"/>
          <w:color w:val="auto"/>
          <w:kern w:val="0"/>
          <w:szCs w:val="21"/>
          <w:highlight w:val="none"/>
        </w:rPr>
        <w:t>承包人违约责任的承担方式和计算方法：</w:t>
      </w:r>
    </w:p>
    <w:p w14:paraId="77AC0F99">
      <w:pPr>
        <w:pStyle w:val="2"/>
        <w:numPr>
          <w:ilvl w:val="0"/>
          <w:numId w:val="7"/>
        </w:numPr>
        <w:rPr>
          <w:rFonts w:hint="eastAsia" w:ascii="宋体" w:hAnsi="宋体"/>
          <w:color w:val="auto"/>
          <w:kern w:val="0"/>
          <w:szCs w:val="21"/>
          <w:highlight w:val="none"/>
          <w:lang w:eastAsia="zh-CN"/>
        </w:rPr>
      </w:pPr>
      <w:r>
        <w:rPr>
          <w:rFonts w:ascii="宋体" w:hAnsi="宋体"/>
          <w:color w:val="auto"/>
          <w:kern w:val="0"/>
          <w:szCs w:val="21"/>
          <w:highlight w:val="none"/>
        </w:rPr>
        <w:t>承包人</w:t>
      </w:r>
      <w:r>
        <w:rPr>
          <w:rFonts w:hint="eastAsia" w:ascii="宋体" w:hAnsi="宋体"/>
          <w:color w:val="auto"/>
          <w:kern w:val="0"/>
          <w:szCs w:val="21"/>
          <w:highlight w:val="none"/>
          <w:lang w:eastAsia="zh-CN"/>
        </w:rPr>
        <w:t>有</w:t>
      </w:r>
      <w:r>
        <w:rPr>
          <w:rFonts w:ascii="宋体" w:hAnsi="宋体"/>
          <w:color w:val="auto"/>
          <w:kern w:val="0"/>
          <w:szCs w:val="21"/>
          <w:highlight w:val="none"/>
        </w:rPr>
        <w:t>本合同通用条款第16.2.1（</w:t>
      </w:r>
      <w:r>
        <w:rPr>
          <w:rFonts w:hint="eastAsia" w:ascii="宋体" w:hAnsi="宋体"/>
          <w:color w:val="auto"/>
          <w:kern w:val="0"/>
          <w:szCs w:val="21"/>
          <w:highlight w:val="none"/>
          <w:lang w:val="en-US" w:eastAsia="zh-CN"/>
        </w:rPr>
        <w:t>1</w:t>
      </w:r>
      <w:r>
        <w:rPr>
          <w:rFonts w:ascii="宋体" w:hAnsi="宋体"/>
          <w:color w:val="auto"/>
          <w:kern w:val="0"/>
          <w:szCs w:val="21"/>
          <w:highlight w:val="none"/>
        </w:rPr>
        <w:t>）</w:t>
      </w:r>
      <w:r>
        <w:rPr>
          <w:rFonts w:hint="eastAsia" w:ascii="宋体" w:hAnsi="宋体"/>
          <w:color w:val="auto"/>
          <w:kern w:val="0"/>
          <w:szCs w:val="21"/>
          <w:highlight w:val="none"/>
          <w:lang w:eastAsia="zh-CN"/>
        </w:rPr>
        <w:t>情形的，属于承包人违约，发包人有权主张以下责任:</w:t>
      </w:r>
    </w:p>
    <w:p w14:paraId="6871D33F">
      <w:pPr>
        <w:pStyle w:val="2"/>
        <w:numPr>
          <w:ilvl w:val="0"/>
          <w:numId w:val="0"/>
        </w:numPr>
        <w:rPr>
          <w:rFonts w:hint="eastAsia" w:ascii="宋体" w:hAnsi="宋体"/>
          <w:color w:val="auto"/>
          <w:kern w:val="0"/>
          <w:szCs w:val="21"/>
          <w:highlight w:val="none"/>
          <w:lang w:eastAsia="zh-CN"/>
        </w:rPr>
      </w:pPr>
      <w:r>
        <w:rPr>
          <w:rFonts w:hint="eastAsia" w:ascii="宋体" w:hAnsi="宋体"/>
          <w:b/>
          <w:bCs/>
          <w:color w:val="auto"/>
          <w:kern w:val="0"/>
          <w:szCs w:val="21"/>
          <w:highlight w:val="none"/>
          <w:lang w:eastAsia="zh-CN"/>
        </w:rPr>
        <w:t>一是</w:t>
      </w:r>
      <w:r>
        <w:rPr>
          <w:rFonts w:hint="eastAsia" w:ascii="宋体" w:hAnsi="宋体"/>
          <w:color w:val="auto"/>
          <w:kern w:val="0"/>
          <w:szCs w:val="21"/>
          <w:highlight w:val="none"/>
          <w:lang w:eastAsia="zh-CN"/>
        </w:rPr>
        <w:t>发包人有权解除施工合同(《民法典》第 806 条) ，合同解除不免除承包人应承担的违约责任；</w:t>
      </w:r>
    </w:p>
    <w:p w14:paraId="2A1B44F4">
      <w:pPr>
        <w:pStyle w:val="2"/>
        <w:numPr>
          <w:ilvl w:val="0"/>
          <w:numId w:val="0"/>
        </w:numPr>
        <w:rPr>
          <w:rFonts w:hint="eastAsia" w:ascii="宋体" w:hAnsi="宋体"/>
          <w:color w:val="auto"/>
          <w:kern w:val="0"/>
          <w:szCs w:val="21"/>
          <w:highlight w:val="none"/>
          <w:lang w:eastAsia="zh-CN"/>
        </w:rPr>
      </w:pPr>
      <w:r>
        <w:rPr>
          <w:rFonts w:hint="eastAsia" w:ascii="宋体" w:hAnsi="宋体"/>
          <w:color w:val="auto"/>
          <w:kern w:val="0"/>
          <w:szCs w:val="21"/>
          <w:highlight w:val="none"/>
          <w:lang w:eastAsia="zh-CN"/>
        </w:rPr>
        <w:t>二是支付合同约定违约金;</w:t>
      </w:r>
    </w:p>
    <w:p w14:paraId="5B7E61D9">
      <w:pPr>
        <w:pStyle w:val="2"/>
        <w:numPr>
          <w:ilvl w:val="0"/>
          <w:numId w:val="0"/>
        </w:numPr>
        <w:rPr>
          <w:rFonts w:hint="eastAsia" w:ascii="宋体" w:hAnsi="宋体"/>
          <w:color w:val="auto"/>
          <w:kern w:val="0"/>
          <w:szCs w:val="21"/>
          <w:highlight w:val="none"/>
          <w:lang w:eastAsia="zh-CN"/>
        </w:rPr>
      </w:pPr>
      <w:r>
        <w:rPr>
          <w:rFonts w:hint="eastAsia" w:ascii="宋体" w:hAnsi="宋体"/>
          <w:b/>
          <w:bCs/>
          <w:color w:val="auto"/>
          <w:kern w:val="0"/>
          <w:szCs w:val="21"/>
          <w:highlight w:val="none"/>
          <w:lang w:eastAsia="zh-CN"/>
        </w:rPr>
        <w:t>三是</w:t>
      </w:r>
      <w:r>
        <w:rPr>
          <w:rFonts w:hint="eastAsia" w:ascii="宋体" w:hAnsi="宋体"/>
          <w:color w:val="auto"/>
          <w:kern w:val="0"/>
          <w:szCs w:val="21"/>
          <w:highlight w:val="none"/>
          <w:lang w:eastAsia="zh-CN"/>
        </w:rPr>
        <w:t>赔偿发包人全部损失:包括工期延误损失、质量缺略修复费、清场费用、重新招标费用、监理费用增加、第三方索赔等一切因转包，违法分包造成的损失;</w:t>
      </w:r>
    </w:p>
    <w:p w14:paraId="5695F62B">
      <w:pPr>
        <w:pStyle w:val="2"/>
        <w:numPr>
          <w:ilvl w:val="0"/>
          <w:numId w:val="0"/>
        </w:numPr>
        <w:rPr>
          <w:rFonts w:hint="eastAsia" w:ascii="宋体" w:hAnsi="宋体"/>
          <w:color w:val="auto"/>
          <w:kern w:val="0"/>
          <w:szCs w:val="21"/>
          <w:highlight w:val="none"/>
          <w:lang w:eastAsia="zh-CN"/>
        </w:rPr>
      </w:pPr>
      <w:r>
        <w:rPr>
          <w:rFonts w:hint="eastAsia" w:ascii="宋体" w:hAnsi="宋体"/>
          <w:b/>
          <w:bCs/>
          <w:color w:val="auto"/>
          <w:kern w:val="0"/>
          <w:szCs w:val="21"/>
          <w:highlight w:val="none"/>
          <w:lang w:eastAsia="zh-CN"/>
        </w:rPr>
        <w:t>四是</w:t>
      </w:r>
      <w:r>
        <w:rPr>
          <w:rFonts w:hint="eastAsia" w:ascii="宋体" w:hAnsi="宋体"/>
          <w:color w:val="auto"/>
          <w:kern w:val="0"/>
          <w:szCs w:val="21"/>
          <w:highlight w:val="none"/>
          <w:lang w:eastAsia="zh-CN"/>
        </w:rPr>
        <w:t>承包人对工程质量承担连带责任:转包/违法分包情形下,分包/实际施工人施工造成质量问题，承包人与实际施工人向发包人连带承担质量修复、赔偿责任;</w:t>
      </w:r>
    </w:p>
    <w:p w14:paraId="585F18F2">
      <w:pPr>
        <w:pStyle w:val="2"/>
        <w:numPr>
          <w:ilvl w:val="0"/>
          <w:numId w:val="0"/>
        </w:numPr>
        <w:rPr>
          <w:rFonts w:hint="eastAsia" w:ascii="宋体" w:hAnsi="宋体"/>
          <w:color w:val="auto"/>
          <w:kern w:val="0"/>
          <w:szCs w:val="21"/>
          <w:highlight w:val="none"/>
          <w:lang w:eastAsia="zh-CN"/>
        </w:rPr>
      </w:pPr>
      <w:r>
        <w:rPr>
          <w:rFonts w:hint="eastAsia" w:ascii="宋体" w:hAnsi="宋体"/>
          <w:color w:val="auto"/>
          <w:kern w:val="0"/>
          <w:szCs w:val="21"/>
          <w:highlight w:val="none"/>
          <w:lang w:eastAsia="zh-CN"/>
        </w:rPr>
        <w:t>五是发包人有权暂停支付工程款，直至承包人整改完毕;</w:t>
      </w:r>
    </w:p>
    <w:p w14:paraId="638473AB">
      <w:pPr>
        <w:pStyle w:val="2"/>
        <w:numPr>
          <w:ilvl w:val="0"/>
          <w:numId w:val="0"/>
        </w:numPr>
        <w:rPr>
          <w:rFonts w:hint="default" w:eastAsia="宋体"/>
          <w:color w:val="auto"/>
          <w:lang w:val="en-US" w:eastAsia="zh-CN"/>
        </w:rPr>
      </w:pPr>
      <w:r>
        <w:rPr>
          <w:rFonts w:hint="eastAsia" w:ascii="宋体" w:hAnsi="宋体"/>
          <w:color w:val="auto"/>
          <w:kern w:val="0"/>
          <w:szCs w:val="21"/>
          <w:highlight w:val="none"/>
          <w:lang w:eastAsia="zh-CN"/>
        </w:rPr>
        <w:t>六是行政法律责任:住建部门可责令改正、没收违法所得、处以工程合同价款 0.5%-1% 罚款;情节严重可停业整顿、降低资质等级、吊销资质证书(《建设工程质量管理条例》第六十二条) 。</w:t>
      </w:r>
    </w:p>
    <w:p w14:paraId="1912D4AC">
      <w:pPr>
        <w:spacing w:line="360" w:lineRule="auto"/>
        <w:ind w:firstLine="420" w:firstLineChars="200"/>
        <w:jc w:val="left"/>
        <w:rPr>
          <w:rFonts w:ascii="宋体" w:hAnsi="宋体"/>
          <w:color w:val="auto"/>
          <w:kern w:val="0"/>
          <w:szCs w:val="21"/>
          <w:highlight w:val="none"/>
        </w:rPr>
      </w:pPr>
      <w:r>
        <w:rPr>
          <w:rFonts w:ascii="宋体" w:hAnsi="宋体"/>
          <w:color w:val="auto"/>
          <w:kern w:val="0"/>
          <w:szCs w:val="21"/>
          <w:highlight w:val="none"/>
        </w:rPr>
        <w:t>（</w:t>
      </w:r>
      <w:r>
        <w:rPr>
          <w:rFonts w:hint="eastAsia" w:ascii="宋体" w:hAnsi="宋体"/>
          <w:color w:val="auto"/>
          <w:kern w:val="0"/>
          <w:szCs w:val="21"/>
          <w:highlight w:val="none"/>
          <w:lang w:val="en-US" w:eastAsia="zh-CN"/>
        </w:rPr>
        <w:t>2</w:t>
      </w:r>
      <w:r>
        <w:rPr>
          <w:rFonts w:ascii="宋体" w:hAnsi="宋体"/>
          <w:color w:val="auto"/>
          <w:kern w:val="0"/>
          <w:szCs w:val="21"/>
          <w:highlight w:val="none"/>
        </w:rPr>
        <w:t>）承包人未按本合同通用条款第16.2.1（2）</w:t>
      </w:r>
      <w:r>
        <w:rPr>
          <w:rFonts w:hint="eastAsia" w:ascii="宋体" w:hAnsi="宋体"/>
          <w:color w:val="auto"/>
          <w:kern w:val="0"/>
          <w:szCs w:val="21"/>
          <w:highlight w:val="none"/>
        </w:rPr>
        <w:t>、</w:t>
      </w:r>
      <w:r>
        <w:rPr>
          <w:rFonts w:ascii="宋体" w:hAnsi="宋体"/>
          <w:color w:val="auto"/>
          <w:kern w:val="0"/>
          <w:szCs w:val="21"/>
          <w:highlight w:val="none"/>
        </w:rPr>
        <w:t>（3）条内容完成的，承包人无条件返工处理，修复至工程质量要求并承担相关费用，并在发包人规定的时间内完成返工，否则发包人有权扣罚该分项工程10%的工程款作为处罚。</w:t>
      </w:r>
    </w:p>
    <w:p w14:paraId="228C831A">
      <w:pPr>
        <w:spacing w:line="360" w:lineRule="auto"/>
        <w:ind w:firstLine="420" w:firstLineChars="200"/>
        <w:jc w:val="left"/>
        <w:rPr>
          <w:rFonts w:ascii="宋体" w:hAnsi="宋体"/>
          <w:color w:val="auto"/>
          <w:kern w:val="0"/>
          <w:szCs w:val="21"/>
          <w:highlight w:val="none"/>
        </w:rPr>
      </w:pPr>
      <w:r>
        <w:rPr>
          <w:rFonts w:ascii="宋体" w:hAnsi="宋体"/>
          <w:color w:val="auto"/>
          <w:kern w:val="0"/>
          <w:szCs w:val="21"/>
          <w:highlight w:val="none"/>
        </w:rPr>
        <w:t>（</w:t>
      </w:r>
      <w:r>
        <w:rPr>
          <w:rFonts w:hint="eastAsia" w:ascii="宋体" w:hAnsi="宋体"/>
          <w:color w:val="auto"/>
          <w:kern w:val="0"/>
          <w:szCs w:val="21"/>
          <w:highlight w:val="none"/>
          <w:lang w:val="en-US" w:eastAsia="zh-CN"/>
        </w:rPr>
        <w:t>3</w:t>
      </w:r>
      <w:r>
        <w:rPr>
          <w:rFonts w:ascii="宋体" w:hAnsi="宋体"/>
          <w:color w:val="auto"/>
          <w:kern w:val="0"/>
          <w:szCs w:val="21"/>
          <w:highlight w:val="none"/>
        </w:rPr>
        <w:t>）承包人有本合同通用条款第16.2.1（6）条情形的，或经监理人检验认为修复质量不合格而承包人拒绝再进行修补的，发包人将扣除承包人全部质量保修金。</w:t>
      </w:r>
    </w:p>
    <w:p w14:paraId="4042730A">
      <w:pPr>
        <w:spacing w:line="360" w:lineRule="auto"/>
        <w:ind w:firstLine="420" w:firstLineChars="200"/>
        <w:jc w:val="left"/>
        <w:rPr>
          <w:rFonts w:ascii="宋体" w:hAnsi="宋体"/>
          <w:color w:val="auto"/>
          <w:kern w:val="0"/>
          <w:szCs w:val="21"/>
          <w:highlight w:val="none"/>
        </w:rPr>
      </w:pPr>
      <w:r>
        <w:rPr>
          <w:rFonts w:ascii="宋体" w:hAnsi="宋体"/>
          <w:color w:val="auto"/>
          <w:kern w:val="0"/>
          <w:szCs w:val="21"/>
          <w:highlight w:val="none"/>
        </w:rPr>
        <w:t>（</w:t>
      </w:r>
      <w:r>
        <w:rPr>
          <w:rFonts w:hint="eastAsia" w:ascii="宋体" w:hAnsi="宋体"/>
          <w:color w:val="auto"/>
          <w:kern w:val="0"/>
          <w:szCs w:val="21"/>
          <w:highlight w:val="none"/>
          <w:lang w:val="en-US" w:eastAsia="zh-CN"/>
        </w:rPr>
        <w:t>4</w:t>
      </w:r>
      <w:r>
        <w:rPr>
          <w:rFonts w:ascii="宋体" w:hAnsi="宋体"/>
          <w:color w:val="auto"/>
          <w:kern w:val="0"/>
          <w:szCs w:val="21"/>
          <w:highlight w:val="none"/>
        </w:rPr>
        <w:t>）承包人有本专用合同条款3.2、3.3条违约责任的，发包人有权扣除承包人的违约金。违约金金额均在承包人的履约保证金及计量支付款内扣除。监理人预先下发含有罚款意向的指令，如承包人不及时采取措施纠正，则在指令下达后十五天下发罚款通知书（不再陈述罚款理由）。承包人履约保证金被罚款后由发包人从最后一次计量支付时扣除相应金额补足履约保证金。承包人在合同期内，完成合同规定的全部工程，且质量合格，在本工程施工竣工验收后十五天内可申请返还全部或部分罚款，返还金额由监理人审核，发包人批准。罚款金额返还时不包括银行利息。</w:t>
      </w:r>
    </w:p>
    <w:p w14:paraId="014A8803">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16.2.3 因承包人违约解除合同</w:t>
      </w:r>
    </w:p>
    <w:p w14:paraId="47DBE360">
      <w:pPr>
        <w:spacing w:line="360" w:lineRule="auto"/>
        <w:ind w:firstLine="420" w:firstLineChars="200"/>
        <w:jc w:val="left"/>
        <w:rPr>
          <w:rFonts w:ascii="宋体" w:hAnsi="宋体"/>
          <w:color w:val="auto"/>
          <w:kern w:val="0"/>
          <w:szCs w:val="21"/>
          <w:highlight w:val="none"/>
        </w:rPr>
      </w:pPr>
      <w:r>
        <w:rPr>
          <w:rFonts w:ascii="宋体" w:hAnsi="宋体"/>
          <w:color w:val="auto"/>
          <w:kern w:val="0"/>
          <w:szCs w:val="21"/>
          <w:highlight w:val="none"/>
        </w:rPr>
        <w:t>关于承包人违约解除合同的特别约定：</w:t>
      </w:r>
      <w:r>
        <w:rPr>
          <w:rFonts w:ascii="宋体" w:hAnsi="宋体"/>
          <w:color w:val="auto"/>
          <w:kern w:val="0"/>
          <w:szCs w:val="21"/>
          <w:highlight w:val="none"/>
          <w:u w:val="single"/>
        </w:rPr>
        <w:t>承包人有违反以下情况之一的，发包人有权解除合同，并没收其全部履约保证金</w:t>
      </w:r>
      <w:r>
        <w:rPr>
          <w:rFonts w:ascii="宋体" w:hAnsi="宋体"/>
          <w:color w:val="auto"/>
          <w:kern w:val="0"/>
          <w:szCs w:val="21"/>
          <w:highlight w:val="none"/>
        </w:rPr>
        <w:t>。</w:t>
      </w:r>
    </w:p>
    <w:p w14:paraId="14DE2234">
      <w:pPr>
        <w:spacing w:line="360" w:lineRule="auto"/>
        <w:ind w:firstLine="420" w:firstLineChars="200"/>
        <w:jc w:val="left"/>
        <w:rPr>
          <w:rFonts w:ascii="宋体" w:hAnsi="宋体"/>
          <w:color w:val="auto"/>
          <w:kern w:val="0"/>
          <w:szCs w:val="21"/>
          <w:highlight w:val="none"/>
        </w:rPr>
      </w:pPr>
      <w:r>
        <w:rPr>
          <w:rFonts w:ascii="宋体" w:hAnsi="宋体"/>
          <w:color w:val="auto"/>
          <w:kern w:val="0"/>
          <w:szCs w:val="21"/>
          <w:highlight w:val="none"/>
        </w:rPr>
        <w:t>(1)承包人无正当理由不按开工通知的要求及时进场组织施工和不按签订协议书时商</w:t>
      </w:r>
      <w:r>
        <w:rPr>
          <w:rFonts w:hint="eastAsia" w:ascii="宋体" w:hAnsi="宋体"/>
          <w:color w:val="auto"/>
          <w:kern w:val="0"/>
          <w:szCs w:val="21"/>
          <w:highlight w:val="none"/>
        </w:rPr>
        <w:t>定</w:t>
      </w:r>
      <w:r>
        <w:rPr>
          <w:rFonts w:ascii="宋体" w:hAnsi="宋体"/>
          <w:color w:val="auto"/>
          <w:kern w:val="0"/>
          <w:szCs w:val="21"/>
          <w:highlight w:val="none"/>
        </w:rPr>
        <w:t>的进度计划有效地开展施工准备，造成工期延误的；</w:t>
      </w:r>
    </w:p>
    <w:p w14:paraId="1B67A874">
      <w:pPr>
        <w:spacing w:line="360" w:lineRule="auto"/>
        <w:ind w:firstLine="420" w:firstLineChars="200"/>
        <w:jc w:val="left"/>
        <w:rPr>
          <w:rFonts w:ascii="宋体" w:hAnsi="宋体"/>
          <w:color w:val="auto"/>
          <w:kern w:val="0"/>
          <w:szCs w:val="21"/>
          <w:highlight w:val="none"/>
        </w:rPr>
      </w:pPr>
      <w:r>
        <w:rPr>
          <w:rFonts w:ascii="宋体" w:hAnsi="宋体"/>
          <w:color w:val="auto"/>
          <w:kern w:val="0"/>
          <w:szCs w:val="21"/>
          <w:highlight w:val="none"/>
        </w:rPr>
        <w:t>(2)承包人违反本合同通用条款第3.5条规定私自将合同或合同的任何部分或任何权利转让给其他人，或私自将工程或工程的一部分分包出去的；</w:t>
      </w:r>
    </w:p>
    <w:p w14:paraId="070AE60F">
      <w:pPr>
        <w:spacing w:line="360" w:lineRule="auto"/>
        <w:ind w:firstLine="420" w:firstLineChars="200"/>
        <w:jc w:val="left"/>
        <w:rPr>
          <w:rFonts w:ascii="宋体" w:hAnsi="宋体"/>
          <w:color w:val="auto"/>
          <w:kern w:val="0"/>
          <w:szCs w:val="21"/>
          <w:highlight w:val="none"/>
        </w:rPr>
      </w:pPr>
      <w:r>
        <w:rPr>
          <w:rFonts w:ascii="宋体" w:hAnsi="宋体"/>
          <w:color w:val="auto"/>
          <w:kern w:val="0"/>
          <w:szCs w:val="21"/>
          <w:highlight w:val="none"/>
        </w:rPr>
        <w:t>(3)未经监理人批准，承包人私自将已按投标文件承诺进入工地的工程设备、施工设备、临时工程或材料撤离工地的；</w:t>
      </w:r>
    </w:p>
    <w:p w14:paraId="0005696E">
      <w:pPr>
        <w:spacing w:line="360" w:lineRule="auto"/>
        <w:ind w:firstLine="420" w:firstLineChars="200"/>
        <w:jc w:val="left"/>
        <w:rPr>
          <w:rFonts w:ascii="宋体" w:hAnsi="宋体"/>
          <w:color w:val="auto"/>
          <w:kern w:val="0"/>
          <w:szCs w:val="21"/>
          <w:highlight w:val="none"/>
        </w:rPr>
      </w:pPr>
      <w:r>
        <w:rPr>
          <w:rFonts w:ascii="宋体" w:hAnsi="宋体"/>
          <w:color w:val="auto"/>
          <w:kern w:val="0"/>
          <w:szCs w:val="21"/>
          <w:highlight w:val="none"/>
        </w:rPr>
        <w:t>(4)由于承包人原因拒绝按合同进度计划及时完成合同规定的工程，而又未采取有效措施赶上进度，造成工期延误的；</w:t>
      </w:r>
    </w:p>
    <w:p w14:paraId="7F78D914">
      <w:pPr>
        <w:spacing w:line="360" w:lineRule="auto"/>
        <w:ind w:firstLine="420" w:firstLineChars="200"/>
        <w:rPr>
          <w:rFonts w:ascii="宋体" w:hAnsi="宋体"/>
          <w:color w:val="auto"/>
          <w:kern w:val="0"/>
          <w:szCs w:val="21"/>
          <w:highlight w:val="none"/>
        </w:rPr>
      </w:pPr>
      <w:r>
        <w:rPr>
          <w:rFonts w:ascii="宋体" w:hAnsi="宋体"/>
          <w:color w:val="auto"/>
          <w:kern w:val="0"/>
          <w:szCs w:val="21"/>
          <w:highlight w:val="none"/>
        </w:rPr>
        <w:t>(5)承包人否认合同有效或拒绝履行合同规定的承包人义务，或由于法律、财务等原因导致承包人无法继续履行或实质上已停止履行合同的义务的；</w:t>
      </w:r>
    </w:p>
    <w:p w14:paraId="06AB751F">
      <w:pPr>
        <w:spacing w:line="360" w:lineRule="auto"/>
        <w:ind w:firstLine="420" w:firstLineChars="200"/>
        <w:rPr>
          <w:rFonts w:ascii="宋体" w:hAnsi="宋体"/>
          <w:color w:val="auto"/>
          <w:kern w:val="0"/>
          <w:szCs w:val="21"/>
          <w:highlight w:val="none"/>
        </w:rPr>
      </w:pPr>
      <w:r>
        <w:rPr>
          <w:rFonts w:ascii="宋体" w:hAnsi="宋体"/>
          <w:color w:val="auto"/>
          <w:kern w:val="0"/>
          <w:szCs w:val="21"/>
          <w:highlight w:val="none"/>
        </w:rPr>
        <w:t>(6)合同签订之日起十五日内，承包人无法按合同规定及投标文件的承诺进场经监理工程师认可的全部人员和机械的。</w:t>
      </w:r>
    </w:p>
    <w:p w14:paraId="15290F81">
      <w:pPr>
        <w:spacing w:line="360" w:lineRule="auto"/>
        <w:ind w:firstLine="420" w:firstLineChars="200"/>
        <w:rPr>
          <w:rFonts w:ascii="宋体" w:hAnsi="宋体"/>
          <w:color w:val="auto"/>
          <w:kern w:val="0"/>
          <w:szCs w:val="21"/>
          <w:highlight w:val="none"/>
        </w:rPr>
      </w:pPr>
      <w:r>
        <w:rPr>
          <w:rFonts w:ascii="宋体" w:hAnsi="宋体"/>
          <w:color w:val="auto"/>
          <w:kern w:val="0"/>
          <w:szCs w:val="21"/>
          <w:highlight w:val="none"/>
        </w:rPr>
        <w:t>发包人继续使用承包人在施工现场的材料、设备、临时工程、承包人文件和由承包人或以其名义编制的其他文件的费用承担方式：</w:t>
      </w:r>
      <w:r>
        <w:rPr>
          <w:rFonts w:hint="eastAsia" w:ascii="宋体" w:hAnsi="宋体"/>
          <w:color w:val="auto"/>
          <w:szCs w:val="21"/>
          <w:highlight w:val="none"/>
          <w:u w:val="single"/>
        </w:rPr>
        <w:t xml:space="preserve">                      </w:t>
      </w:r>
      <w:r>
        <w:rPr>
          <w:rFonts w:ascii="宋体" w:hAnsi="宋体"/>
          <w:color w:val="auto"/>
          <w:kern w:val="0"/>
          <w:szCs w:val="21"/>
          <w:highlight w:val="none"/>
        </w:rPr>
        <w:t>。</w:t>
      </w:r>
    </w:p>
    <w:p w14:paraId="4889E4FD">
      <w:pPr>
        <w:keepNext/>
        <w:keepLines/>
        <w:spacing w:before="260" w:after="260" w:line="360" w:lineRule="auto"/>
        <w:outlineLvl w:val="1"/>
        <w:rPr>
          <w:rFonts w:ascii="宋体" w:hAnsi="宋体"/>
          <w:b/>
          <w:bCs/>
          <w:color w:val="auto"/>
          <w:sz w:val="32"/>
          <w:szCs w:val="32"/>
          <w:highlight w:val="none"/>
        </w:rPr>
      </w:pPr>
      <w:bookmarkStart w:id="1616" w:name="_Toc373478416"/>
      <w:bookmarkStart w:id="1617" w:name="_Toc407135272"/>
      <w:bookmarkStart w:id="1618" w:name="_Toc389065334"/>
      <w:bookmarkStart w:id="1619" w:name="_Toc86935933"/>
      <w:bookmarkStart w:id="1620" w:name="_Toc373227769"/>
      <w:bookmarkStart w:id="1621" w:name="_Toc508379783"/>
      <w:bookmarkStart w:id="1622" w:name="_Toc4853"/>
      <w:bookmarkStart w:id="1623" w:name="_Toc23912"/>
      <w:bookmarkStart w:id="1624" w:name="_Toc351203649"/>
      <w:bookmarkStart w:id="1625" w:name="_Toc495673448"/>
      <w:r>
        <w:rPr>
          <w:rFonts w:ascii="宋体" w:hAnsi="宋体"/>
          <w:b/>
          <w:bCs/>
          <w:color w:val="auto"/>
          <w:sz w:val="32"/>
          <w:szCs w:val="32"/>
          <w:highlight w:val="none"/>
        </w:rPr>
        <w:t>17. 不可抗力</w:t>
      </w:r>
      <w:bookmarkEnd w:id="1596"/>
      <w:bookmarkEnd w:id="1616"/>
      <w:bookmarkEnd w:id="1617"/>
      <w:bookmarkEnd w:id="1618"/>
      <w:bookmarkEnd w:id="1619"/>
      <w:bookmarkEnd w:id="1620"/>
      <w:bookmarkEnd w:id="1621"/>
      <w:bookmarkEnd w:id="1622"/>
      <w:bookmarkEnd w:id="1623"/>
      <w:bookmarkEnd w:id="1624"/>
      <w:bookmarkEnd w:id="1625"/>
    </w:p>
    <w:p w14:paraId="3E30CD12">
      <w:pPr>
        <w:keepNext/>
        <w:keepLines/>
        <w:spacing w:before="260" w:after="260" w:line="360" w:lineRule="auto"/>
        <w:outlineLvl w:val="2"/>
        <w:rPr>
          <w:rFonts w:ascii="宋体" w:hAnsi="宋体"/>
          <w:b/>
          <w:bCs/>
          <w:color w:val="auto"/>
          <w:sz w:val="32"/>
          <w:szCs w:val="32"/>
          <w:highlight w:val="none"/>
        </w:rPr>
      </w:pPr>
      <w:bookmarkStart w:id="1626" w:name="_Toc373478417"/>
      <w:bookmarkStart w:id="1627" w:name="_Toc8390"/>
      <w:bookmarkStart w:id="1628" w:name="_Toc7525"/>
      <w:bookmarkStart w:id="1629" w:name="_Toc495673449"/>
      <w:bookmarkStart w:id="1630" w:name="_Toc407135273"/>
      <w:bookmarkStart w:id="1631" w:name="_Toc389065335"/>
      <w:bookmarkStart w:id="1632" w:name="_Toc373227770"/>
      <w:bookmarkStart w:id="1633" w:name="_Toc508379784"/>
      <w:bookmarkStart w:id="1634" w:name="_Toc86935934"/>
      <w:r>
        <w:rPr>
          <w:rFonts w:ascii="宋体" w:hAnsi="宋体"/>
          <w:b/>
          <w:bCs/>
          <w:color w:val="auto"/>
          <w:sz w:val="32"/>
          <w:szCs w:val="32"/>
          <w:highlight w:val="none"/>
        </w:rPr>
        <w:t>17.1 不可抗力的确认</w:t>
      </w:r>
      <w:bookmarkEnd w:id="1626"/>
      <w:bookmarkEnd w:id="1627"/>
      <w:bookmarkEnd w:id="1628"/>
      <w:bookmarkEnd w:id="1629"/>
      <w:bookmarkEnd w:id="1630"/>
      <w:bookmarkEnd w:id="1631"/>
      <w:bookmarkEnd w:id="1632"/>
      <w:bookmarkEnd w:id="1633"/>
      <w:bookmarkEnd w:id="1634"/>
    </w:p>
    <w:p w14:paraId="3A49ACBB">
      <w:pPr>
        <w:pStyle w:val="135"/>
        <w:widowControl/>
        <w:spacing w:line="360" w:lineRule="auto"/>
        <w:ind w:firstLine="424" w:firstLineChars="202"/>
        <w:jc w:val="left"/>
        <w:rPr>
          <w:rStyle w:val="35"/>
          <w:rFonts w:hint="eastAsia" w:ascii="宋体" w:hAnsi="宋体" w:eastAsia="宋体"/>
          <w:color w:val="auto"/>
          <w:highlight w:val="none"/>
        </w:rPr>
      </w:pPr>
      <w:r>
        <w:rPr>
          <w:rFonts w:ascii="宋体" w:hAnsi="宋体"/>
          <w:color w:val="auto"/>
          <w:szCs w:val="21"/>
          <w:highlight w:val="none"/>
        </w:rPr>
        <w:t>除通用合同条款约定的不可抗力事件之外，视为不可抗力的其他情形：</w:t>
      </w:r>
      <w:r>
        <w:rPr>
          <w:rFonts w:hint="eastAsia" w:ascii="宋体" w:hAnsi="宋体"/>
          <w:color w:val="auto"/>
          <w:szCs w:val="21"/>
          <w:highlight w:val="none"/>
          <w:u w:val="single"/>
        </w:rPr>
        <w:t xml:space="preserve"> </w:t>
      </w:r>
      <w:r>
        <w:rPr>
          <w:rStyle w:val="35"/>
          <w:rFonts w:hint="eastAsia" w:ascii="宋体" w:hAnsi="宋体" w:eastAsia="宋体"/>
          <w:color w:val="auto"/>
          <w:highlight w:val="none"/>
          <w:u w:val="single"/>
        </w:rPr>
        <w:t>包括战争、恐怖活动、动乱、瘟疫、空中飞行物体坠落或其他非发包人承包人责任造成的爆炸、火灾</w:t>
      </w:r>
      <w:r>
        <w:rPr>
          <w:rStyle w:val="35"/>
          <w:rFonts w:hint="eastAsia" w:ascii="宋体" w:hAnsi="宋体" w:eastAsia="宋体"/>
          <w:color w:val="auto"/>
          <w:highlight w:val="none"/>
        </w:rPr>
        <w:t>，</w:t>
      </w:r>
      <w:r>
        <w:rPr>
          <w:rStyle w:val="35"/>
          <w:rFonts w:hint="eastAsia" w:ascii="宋体" w:hAnsi="宋体" w:eastAsia="宋体"/>
          <w:color w:val="auto"/>
          <w:highlight w:val="none"/>
          <w:u w:val="single"/>
        </w:rPr>
        <w:t>以及地震、洪涝等自然灾害</w:t>
      </w:r>
      <w:r>
        <w:rPr>
          <w:rStyle w:val="35"/>
          <w:rFonts w:hint="eastAsia" w:ascii="宋体" w:hAnsi="宋体" w:eastAsia="宋体"/>
          <w:color w:val="auto"/>
          <w:kern w:val="0"/>
          <w:highlight w:val="none"/>
        </w:rPr>
        <w:t>。</w:t>
      </w:r>
    </w:p>
    <w:p w14:paraId="51F5FCDD">
      <w:pPr>
        <w:keepNext/>
        <w:keepLines/>
        <w:spacing w:before="260" w:after="260" w:line="360" w:lineRule="auto"/>
        <w:outlineLvl w:val="2"/>
        <w:rPr>
          <w:rFonts w:ascii="宋体" w:hAnsi="宋体"/>
          <w:b/>
          <w:bCs/>
          <w:color w:val="auto"/>
          <w:sz w:val="32"/>
          <w:szCs w:val="32"/>
          <w:highlight w:val="none"/>
        </w:rPr>
      </w:pPr>
      <w:bookmarkStart w:id="1635" w:name="_Toc508379785"/>
      <w:bookmarkStart w:id="1636" w:name="_Toc24066"/>
      <w:bookmarkStart w:id="1637" w:name="_Toc407135274"/>
      <w:bookmarkStart w:id="1638" w:name="_Toc86935935"/>
      <w:bookmarkStart w:id="1639" w:name="_Toc495673450"/>
      <w:bookmarkStart w:id="1640" w:name="_Toc373478418"/>
      <w:bookmarkStart w:id="1641" w:name="_Toc373227771"/>
      <w:bookmarkStart w:id="1642" w:name="_Toc19100"/>
      <w:bookmarkStart w:id="1643" w:name="_Toc389065336"/>
      <w:r>
        <w:rPr>
          <w:rFonts w:ascii="宋体" w:hAnsi="宋体"/>
          <w:b/>
          <w:bCs/>
          <w:color w:val="auto"/>
          <w:sz w:val="32"/>
          <w:szCs w:val="32"/>
          <w:highlight w:val="none"/>
        </w:rPr>
        <w:t>17.4 因不可抗力解除合同</w:t>
      </w:r>
      <w:bookmarkEnd w:id="1635"/>
      <w:bookmarkEnd w:id="1636"/>
      <w:bookmarkEnd w:id="1637"/>
      <w:bookmarkEnd w:id="1638"/>
      <w:bookmarkEnd w:id="1639"/>
      <w:bookmarkEnd w:id="1640"/>
      <w:bookmarkEnd w:id="1641"/>
      <w:bookmarkEnd w:id="1642"/>
      <w:bookmarkEnd w:id="1643"/>
    </w:p>
    <w:p w14:paraId="70CF6E2C">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合同解除后，发包人应在商定或确定发包人应支付款项后天内完成款项的支付。</w:t>
      </w:r>
    </w:p>
    <w:p w14:paraId="6108AC20">
      <w:pPr>
        <w:keepNext/>
        <w:keepLines/>
        <w:spacing w:before="260" w:after="260" w:line="360" w:lineRule="auto"/>
        <w:outlineLvl w:val="1"/>
        <w:rPr>
          <w:rFonts w:ascii="宋体" w:hAnsi="宋体"/>
          <w:b/>
          <w:bCs/>
          <w:color w:val="auto"/>
          <w:sz w:val="32"/>
          <w:szCs w:val="32"/>
          <w:highlight w:val="none"/>
        </w:rPr>
      </w:pPr>
      <w:bookmarkStart w:id="1644" w:name="_Toc16080"/>
      <w:bookmarkStart w:id="1645" w:name="_Toc30708"/>
      <w:bookmarkStart w:id="1646" w:name="_Toc373227772"/>
      <w:bookmarkStart w:id="1647" w:name="_Toc373478419"/>
      <w:bookmarkStart w:id="1648" w:name="_Toc351203650"/>
      <w:bookmarkStart w:id="1649" w:name="_Toc495673451"/>
      <w:bookmarkStart w:id="1650" w:name="_Toc389065337"/>
      <w:bookmarkStart w:id="1651" w:name="_Toc508379786"/>
      <w:bookmarkStart w:id="1652" w:name="_Toc86935936"/>
      <w:bookmarkStart w:id="1653" w:name="_Toc407135275"/>
      <w:r>
        <w:rPr>
          <w:rFonts w:ascii="宋体" w:hAnsi="宋体"/>
          <w:b/>
          <w:bCs/>
          <w:color w:val="auto"/>
          <w:sz w:val="32"/>
          <w:szCs w:val="32"/>
          <w:highlight w:val="none"/>
        </w:rPr>
        <w:t>18. 保险</w:t>
      </w:r>
      <w:bookmarkEnd w:id="1644"/>
      <w:bookmarkEnd w:id="1645"/>
      <w:bookmarkEnd w:id="1646"/>
      <w:bookmarkEnd w:id="1647"/>
      <w:bookmarkEnd w:id="1648"/>
      <w:bookmarkEnd w:id="1649"/>
      <w:bookmarkEnd w:id="1650"/>
      <w:bookmarkEnd w:id="1651"/>
      <w:bookmarkEnd w:id="1652"/>
      <w:bookmarkEnd w:id="1653"/>
    </w:p>
    <w:bookmarkEnd w:id="1597"/>
    <w:p w14:paraId="385678E0">
      <w:pPr>
        <w:keepNext/>
        <w:keepLines/>
        <w:spacing w:before="260" w:after="260" w:line="360" w:lineRule="auto"/>
        <w:outlineLvl w:val="2"/>
        <w:rPr>
          <w:rFonts w:ascii="宋体" w:hAnsi="宋体"/>
          <w:b/>
          <w:bCs/>
          <w:color w:val="auto"/>
          <w:sz w:val="32"/>
          <w:szCs w:val="32"/>
          <w:highlight w:val="none"/>
        </w:rPr>
      </w:pPr>
      <w:bookmarkStart w:id="1654" w:name="_Toc389065338"/>
      <w:bookmarkStart w:id="1655" w:name="_Toc11557"/>
      <w:bookmarkStart w:id="1656" w:name="_Toc86935937"/>
      <w:bookmarkStart w:id="1657" w:name="_Toc508379787"/>
      <w:bookmarkStart w:id="1658" w:name="_Toc407135276"/>
      <w:bookmarkStart w:id="1659" w:name="_Toc373478420"/>
      <w:bookmarkStart w:id="1660" w:name="_Toc495673452"/>
      <w:bookmarkStart w:id="1661" w:name="_Toc373227773"/>
      <w:bookmarkStart w:id="1662" w:name="_Toc6990"/>
      <w:r>
        <w:rPr>
          <w:rFonts w:ascii="宋体" w:hAnsi="宋体"/>
          <w:b/>
          <w:bCs/>
          <w:color w:val="auto"/>
          <w:sz w:val="32"/>
          <w:szCs w:val="32"/>
          <w:highlight w:val="none"/>
        </w:rPr>
        <w:t>18.1 工程保险</w:t>
      </w:r>
      <w:bookmarkEnd w:id="1654"/>
      <w:bookmarkEnd w:id="1655"/>
      <w:bookmarkEnd w:id="1656"/>
      <w:bookmarkEnd w:id="1657"/>
      <w:bookmarkEnd w:id="1658"/>
      <w:bookmarkEnd w:id="1659"/>
      <w:bookmarkEnd w:id="1660"/>
      <w:bookmarkEnd w:id="1661"/>
      <w:bookmarkEnd w:id="1662"/>
    </w:p>
    <w:p w14:paraId="317D62FA">
      <w:pPr>
        <w:spacing w:line="360" w:lineRule="auto"/>
        <w:ind w:firstLine="420" w:firstLineChars="200"/>
        <w:jc w:val="left"/>
        <w:rPr>
          <w:rFonts w:ascii="宋体" w:hAnsi="宋体"/>
          <w:color w:val="auto"/>
          <w:kern w:val="0"/>
          <w:szCs w:val="21"/>
          <w:highlight w:val="none"/>
        </w:rPr>
      </w:pPr>
      <w:r>
        <w:rPr>
          <w:rFonts w:ascii="宋体" w:hAnsi="宋体"/>
          <w:color w:val="auto"/>
          <w:szCs w:val="21"/>
          <w:highlight w:val="none"/>
        </w:rPr>
        <w:t>关于工程保险的特别约定：</w:t>
      </w:r>
      <w:r>
        <w:rPr>
          <w:rFonts w:hint="eastAsia" w:ascii="宋体" w:hAnsi="宋体"/>
          <w:color w:val="auto"/>
          <w:szCs w:val="21"/>
          <w:highlight w:val="none"/>
          <w:u w:val="single"/>
        </w:rPr>
        <w:t xml:space="preserve"> </w:t>
      </w:r>
      <w:r>
        <w:rPr>
          <w:rStyle w:val="35"/>
          <w:rFonts w:hint="eastAsia" w:ascii="宋体" w:hAnsi="宋体" w:eastAsia="宋体"/>
          <w:color w:val="auto"/>
          <w:highlight w:val="none"/>
          <w:u w:val="single"/>
        </w:rPr>
        <w:t>建设工程</w:t>
      </w:r>
      <w:r>
        <w:rPr>
          <w:rStyle w:val="35"/>
          <w:rFonts w:hint="eastAsia" w:ascii="宋体" w:hAnsi="宋体" w:eastAsia="宋体"/>
          <w:bCs/>
          <w:color w:val="auto"/>
          <w:highlight w:val="none"/>
          <w:u w:val="single"/>
        </w:rPr>
        <w:t>一切险和第三方责任险</w:t>
      </w:r>
      <w:r>
        <w:rPr>
          <w:rFonts w:hint="eastAsia" w:ascii="宋体" w:hAnsi="宋体"/>
          <w:color w:val="auto"/>
          <w:szCs w:val="21"/>
          <w:highlight w:val="none"/>
          <w:u w:val="single"/>
        </w:rPr>
        <w:t xml:space="preserve">  </w:t>
      </w:r>
      <w:r>
        <w:rPr>
          <w:rFonts w:ascii="宋体" w:hAnsi="宋体"/>
          <w:color w:val="auto"/>
          <w:kern w:val="0"/>
          <w:szCs w:val="21"/>
          <w:highlight w:val="none"/>
        </w:rPr>
        <w:t>。</w:t>
      </w:r>
    </w:p>
    <w:p w14:paraId="0CABA84F">
      <w:pPr>
        <w:pStyle w:val="135"/>
        <w:widowControl/>
        <w:spacing w:line="360" w:lineRule="auto"/>
        <w:ind w:firstLine="424" w:firstLineChars="202"/>
        <w:rPr>
          <w:rStyle w:val="35"/>
          <w:rFonts w:hint="eastAsia" w:ascii="宋体" w:hAnsi="宋体" w:eastAsia="宋体"/>
          <w:color w:val="auto"/>
          <w:highlight w:val="none"/>
        </w:rPr>
      </w:pPr>
      <w:r>
        <w:rPr>
          <w:rStyle w:val="35"/>
          <w:rFonts w:hint="eastAsia" w:ascii="宋体" w:hAnsi="宋体" w:eastAsia="宋体"/>
          <w:color w:val="auto"/>
          <w:highlight w:val="none"/>
        </w:rPr>
        <w:t>18.1.1投保</w:t>
      </w:r>
    </w:p>
    <w:p w14:paraId="65641A8F">
      <w:pPr>
        <w:pStyle w:val="135"/>
        <w:widowControl/>
        <w:spacing w:line="360" w:lineRule="auto"/>
        <w:ind w:firstLine="424" w:firstLineChars="202"/>
        <w:rPr>
          <w:rStyle w:val="35"/>
          <w:rFonts w:hint="eastAsia" w:ascii="宋体" w:hAnsi="宋体" w:eastAsia="宋体"/>
          <w:color w:val="auto"/>
          <w:highlight w:val="none"/>
        </w:rPr>
      </w:pPr>
      <w:r>
        <w:rPr>
          <w:rStyle w:val="35"/>
          <w:rFonts w:hint="eastAsia" w:ascii="宋体" w:hAnsi="宋体" w:eastAsia="宋体"/>
          <w:color w:val="auto"/>
          <w:highlight w:val="none"/>
        </w:rPr>
        <w:t>（1）投保人：</w:t>
      </w:r>
      <w:r>
        <w:rPr>
          <w:rStyle w:val="35"/>
          <w:rFonts w:hint="eastAsia" w:ascii="宋体" w:hAnsi="宋体" w:eastAsia="宋体"/>
          <w:color w:val="auto"/>
          <w:highlight w:val="none"/>
          <w:u w:val="single"/>
        </w:rPr>
        <w:t>承包人</w:t>
      </w:r>
      <w:r>
        <w:rPr>
          <w:rStyle w:val="35"/>
          <w:rFonts w:hint="eastAsia" w:ascii="宋体" w:hAnsi="宋体" w:eastAsia="宋体"/>
          <w:color w:val="auto"/>
          <w:highlight w:val="none"/>
        </w:rPr>
        <w:t>。</w:t>
      </w:r>
    </w:p>
    <w:p w14:paraId="13798083">
      <w:pPr>
        <w:pStyle w:val="135"/>
        <w:widowControl/>
        <w:spacing w:line="360" w:lineRule="auto"/>
        <w:ind w:firstLine="424" w:firstLineChars="202"/>
        <w:rPr>
          <w:rStyle w:val="35"/>
          <w:rFonts w:hint="eastAsia" w:ascii="宋体" w:hAnsi="宋体" w:eastAsia="宋体"/>
          <w:bCs/>
          <w:color w:val="auto"/>
          <w:highlight w:val="none"/>
        </w:rPr>
      </w:pPr>
      <w:r>
        <w:rPr>
          <w:rStyle w:val="35"/>
          <w:rFonts w:hint="eastAsia" w:ascii="宋体" w:hAnsi="宋体" w:eastAsia="宋体"/>
          <w:color w:val="auto"/>
          <w:highlight w:val="none"/>
        </w:rPr>
        <w:t>（2）投保内容：</w:t>
      </w:r>
      <w:r>
        <w:rPr>
          <w:rStyle w:val="35"/>
          <w:rFonts w:hint="eastAsia" w:ascii="宋体" w:hAnsi="宋体" w:eastAsia="宋体"/>
          <w:bCs/>
          <w:color w:val="auto"/>
          <w:highlight w:val="none"/>
          <w:u w:val="single"/>
        </w:rPr>
        <w:t>承包人必须为从事危险作业的职工办理意外伤害保险</w:t>
      </w:r>
      <w:r>
        <w:rPr>
          <w:rStyle w:val="35"/>
          <w:rFonts w:hint="eastAsia" w:ascii="宋体" w:hAnsi="宋体" w:eastAsia="宋体"/>
          <w:bCs/>
          <w:color w:val="auto"/>
          <w:highlight w:val="none"/>
        </w:rPr>
        <w:t>，</w:t>
      </w:r>
      <w:r>
        <w:rPr>
          <w:rStyle w:val="35"/>
          <w:rFonts w:hint="eastAsia" w:ascii="宋体" w:hAnsi="宋体" w:eastAsia="宋体"/>
          <w:bCs/>
          <w:color w:val="auto"/>
          <w:highlight w:val="none"/>
          <w:u w:val="single"/>
        </w:rPr>
        <w:t>并为施工场地内承包人的自有人员生命财产及施工机械设备办理保险</w:t>
      </w:r>
      <w:r>
        <w:rPr>
          <w:rStyle w:val="35"/>
          <w:rFonts w:hint="eastAsia" w:ascii="宋体" w:hAnsi="宋体" w:eastAsia="宋体"/>
          <w:bCs/>
          <w:color w:val="auto"/>
          <w:highlight w:val="none"/>
        </w:rPr>
        <w:t>，</w:t>
      </w:r>
      <w:r>
        <w:rPr>
          <w:rStyle w:val="35"/>
          <w:rFonts w:hint="eastAsia" w:ascii="宋体" w:hAnsi="宋体" w:eastAsia="宋体"/>
          <w:bCs/>
          <w:color w:val="auto"/>
          <w:highlight w:val="none"/>
          <w:u w:val="single"/>
        </w:rPr>
        <w:t>支付保险费用</w:t>
      </w:r>
      <w:r>
        <w:rPr>
          <w:rStyle w:val="35"/>
          <w:rFonts w:hint="eastAsia" w:ascii="宋体" w:hAnsi="宋体" w:eastAsia="宋体"/>
          <w:bCs/>
          <w:color w:val="auto"/>
          <w:highlight w:val="none"/>
        </w:rPr>
        <w:t>。</w:t>
      </w:r>
      <w:r>
        <w:rPr>
          <w:rStyle w:val="35"/>
          <w:rFonts w:hint="eastAsia" w:ascii="宋体" w:hAnsi="宋体" w:eastAsia="宋体"/>
          <w:bCs/>
          <w:color w:val="auto"/>
          <w:highlight w:val="none"/>
          <w:u w:val="single"/>
        </w:rPr>
        <w:t>保险合同约定的保险责任范围应当包括工地范围内的全部财产的物质损坏或灭失以及所产生的费用、因发生与所承保工程直接相关的意外事故引起工地内及邻近区域的第三者（包括发包人的人员）人身伤亡、财产损失以及所产生的费用、承包人施工人员因发生与所承保工程直接相关的意外事故引起的人身伤亡、疾病或财产损失以及所产生的费用</w:t>
      </w:r>
      <w:r>
        <w:rPr>
          <w:rStyle w:val="35"/>
          <w:rFonts w:hint="eastAsia" w:ascii="宋体" w:hAnsi="宋体" w:eastAsia="宋体"/>
          <w:bCs/>
          <w:color w:val="auto"/>
          <w:highlight w:val="none"/>
        </w:rPr>
        <w:t>。</w:t>
      </w:r>
      <w:r>
        <w:rPr>
          <w:rStyle w:val="35"/>
          <w:rFonts w:hint="eastAsia" w:ascii="宋体" w:hAnsi="宋体" w:eastAsia="宋体"/>
          <w:bCs/>
          <w:color w:val="auto"/>
          <w:highlight w:val="none"/>
          <w:u w:val="single"/>
        </w:rPr>
        <w:t>无论是否获得保险机构的赔偿</w:t>
      </w:r>
      <w:r>
        <w:rPr>
          <w:rStyle w:val="35"/>
          <w:rFonts w:hint="eastAsia" w:ascii="宋体" w:hAnsi="宋体" w:eastAsia="宋体"/>
          <w:bCs/>
          <w:color w:val="auto"/>
          <w:highlight w:val="none"/>
        </w:rPr>
        <w:t>，</w:t>
      </w:r>
      <w:r>
        <w:rPr>
          <w:rStyle w:val="35"/>
          <w:rFonts w:hint="eastAsia" w:ascii="宋体" w:hAnsi="宋体" w:eastAsia="宋体"/>
          <w:bCs/>
          <w:color w:val="auto"/>
          <w:highlight w:val="none"/>
          <w:u w:val="single"/>
        </w:rPr>
        <w:t>凡施工中发生的一切安全事故</w:t>
      </w:r>
      <w:r>
        <w:rPr>
          <w:rStyle w:val="35"/>
          <w:rFonts w:hint="eastAsia" w:ascii="宋体" w:hAnsi="宋体" w:eastAsia="宋体"/>
          <w:bCs/>
          <w:color w:val="auto"/>
          <w:highlight w:val="none"/>
        </w:rPr>
        <w:t>，</w:t>
      </w:r>
      <w:r>
        <w:rPr>
          <w:rStyle w:val="35"/>
          <w:rFonts w:hint="eastAsia" w:ascii="宋体" w:hAnsi="宋体" w:eastAsia="宋体"/>
          <w:bCs/>
          <w:color w:val="auto"/>
          <w:highlight w:val="none"/>
          <w:u w:val="single"/>
        </w:rPr>
        <w:t>均由承包人负责所发生事故的依法应该支付的损失赔偿费、抚恤费和承担法律责任</w:t>
      </w:r>
      <w:r>
        <w:rPr>
          <w:rStyle w:val="35"/>
          <w:rFonts w:hint="eastAsia" w:ascii="宋体" w:hAnsi="宋体" w:eastAsia="宋体"/>
          <w:bCs/>
          <w:color w:val="auto"/>
          <w:highlight w:val="none"/>
        </w:rPr>
        <w:t>，</w:t>
      </w:r>
      <w:r>
        <w:rPr>
          <w:rStyle w:val="35"/>
          <w:rFonts w:hint="eastAsia" w:ascii="宋体" w:hAnsi="宋体" w:eastAsia="宋体"/>
          <w:bCs/>
          <w:color w:val="auto"/>
          <w:highlight w:val="none"/>
          <w:u w:val="single"/>
        </w:rPr>
        <w:t>发包人不承担该等责任</w:t>
      </w:r>
      <w:r>
        <w:rPr>
          <w:rStyle w:val="35"/>
          <w:rFonts w:hint="eastAsia" w:ascii="宋体" w:hAnsi="宋体" w:eastAsia="宋体"/>
          <w:bCs/>
          <w:color w:val="auto"/>
          <w:highlight w:val="none"/>
        </w:rPr>
        <w:t>。</w:t>
      </w:r>
    </w:p>
    <w:p w14:paraId="338607C9">
      <w:pPr>
        <w:pStyle w:val="135"/>
        <w:widowControl/>
        <w:spacing w:line="360" w:lineRule="auto"/>
        <w:ind w:firstLine="424" w:firstLineChars="202"/>
        <w:rPr>
          <w:rStyle w:val="35"/>
          <w:rFonts w:hint="eastAsia" w:ascii="宋体" w:hAnsi="宋体" w:eastAsia="宋体"/>
          <w:color w:val="auto"/>
          <w:highlight w:val="none"/>
        </w:rPr>
      </w:pPr>
      <w:r>
        <w:rPr>
          <w:rStyle w:val="35"/>
          <w:rFonts w:hint="eastAsia" w:ascii="宋体" w:hAnsi="宋体" w:eastAsia="宋体"/>
          <w:color w:val="auto"/>
          <w:highlight w:val="none"/>
        </w:rPr>
        <w:t>（3）保险费率：</w:t>
      </w:r>
      <w:r>
        <w:rPr>
          <w:rStyle w:val="35"/>
          <w:rFonts w:hint="eastAsia" w:ascii="宋体" w:hAnsi="宋体" w:eastAsia="宋体"/>
          <w:color w:val="auto"/>
          <w:highlight w:val="none"/>
          <w:u w:val="single"/>
        </w:rPr>
        <w:t>由投保人与合同双方同意的保险人商定</w:t>
      </w:r>
      <w:r>
        <w:rPr>
          <w:rStyle w:val="35"/>
          <w:rFonts w:hint="eastAsia" w:ascii="宋体" w:hAnsi="宋体" w:eastAsia="宋体"/>
          <w:bCs/>
          <w:color w:val="auto"/>
          <w:highlight w:val="none"/>
        </w:rPr>
        <w:t>。</w:t>
      </w:r>
    </w:p>
    <w:p w14:paraId="146469B4">
      <w:pPr>
        <w:pStyle w:val="135"/>
        <w:widowControl/>
        <w:spacing w:line="360" w:lineRule="auto"/>
        <w:ind w:firstLine="424" w:firstLineChars="202"/>
        <w:rPr>
          <w:rStyle w:val="35"/>
          <w:rFonts w:hint="eastAsia" w:ascii="宋体" w:hAnsi="宋体" w:eastAsia="宋体"/>
          <w:color w:val="auto"/>
          <w:highlight w:val="none"/>
        </w:rPr>
      </w:pPr>
      <w:r>
        <w:rPr>
          <w:rStyle w:val="35"/>
          <w:rFonts w:hint="eastAsia" w:ascii="宋体" w:hAnsi="宋体" w:eastAsia="宋体"/>
          <w:color w:val="auto"/>
          <w:highlight w:val="none"/>
        </w:rPr>
        <w:t>（4）保险金额：</w:t>
      </w:r>
      <w:r>
        <w:rPr>
          <w:rStyle w:val="35"/>
          <w:rFonts w:hint="eastAsia" w:ascii="宋体" w:hAnsi="宋体" w:eastAsia="宋体"/>
          <w:color w:val="auto"/>
          <w:highlight w:val="none"/>
          <w:u w:val="single"/>
        </w:rPr>
        <w:t>由投保人与合同双方同意的保险人商定</w:t>
      </w:r>
      <w:r>
        <w:rPr>
          <w:rStyle w:val="35"/>
          <w:rFonts w:hint="eastAsia" w:ascii="宋体" w:hAnsi="宋体" w:eastAsia="宋体"/>
          <w:bCs/>
          <w:color w:val="auto"/>
          <w:highlight w:val="none"/>
        </w:rPr>
        <w:t>。</w:t>
      </w:r>
    </w:p>
    <w:p w14:paraId="5AC90A64">
      <w:pPr>
        <w:pStyle w:val="135"/>
        <w:widowControl/>
        <w:spacing w:line="360" w:lineRule="auto"/>
        <w:ind w:firstLine="424" w:firstLineChars="202"/>
        <w:rPr>
          <w:rStyle w:val="35"/>
          <w:rFonts w:hint="eastAsia" w:ascii="宋体" w:hAnsi="宋体" w:eastAsia="宋体"/>
          <w:bCs/>
          <w:color w:val="auto"/>
          <w:highlight w:val="none"/>
        </w:rPr>
      </w:pPr>
      <w:r>
        <w:rPr>
          <w:rStyle w:val="35"/>
          <w:rFonts w:hint="eastAsia" w:ascii="宋体" w:hAnsi="宋体" w:eastAsia="宋体"/>
          <w:color w:val="auto"/>
          <w:highlight w:val="none"/>
        </w:rPr>
        <w:t>（5）保险期限：</w:t>
      </w:r>
      <w:r>
        <w:rPr>
          <w:rStyle w:val="35"/>
          <w:rFonts w:hint="eastAsia" w:ascii="宋体" w:hAnsi="宋体" w:eastAsia="宋体"/>
          <w:bCs/>
          <w:color w:val="auto"/>
          <w:highlight w:val="none"/>
          <w:u w:val="single"/>
        </w:rPr>
        <w:t>保险种类包括一切险和第三方责任险</w:t>
      </w:r>
      <w:r>
        <w:rPr>
          <w:rStyle w:val="35"/>
          <w:rFonts w:hint="eastAsia" w:ascii="宋体" w:hAnsi="宋体" w:eastAsia="宋体"/>
          <w:bCs/>
          <w:color w:val="auto"/>
          <w:highlight w:val="none"/>
        </w:rPr>
        <w:t>，</w:t>
      </w:r>
      <w:r>
        <w:rPr>
          <w:rStyle w:val="35"/>
          <w:rFonts w:hint="eastAsia" w:ascii="宋体" w:hAnsi="宋体" w:eastAsia="宋体"/>
          <w:bCs/>
          <w:color w:val="auto"/>
          <w:highlight w:val="none"/>
          <w:u w:val="single"/>
        </w:rPr>
        <w:t>保险期从工程开工之日起到工程竣工验收之日</w:t>
      </w:r>
      <w:r>
        <w:rPr>
          <w:rStyle w:val="35"/>
          <w:rFonts w:hint="eastAsia" w:ascii="宋体" w:hAnsi="宋体" w:eastAsia="宋体"/>
          <w:bCs/>
          <w:color w:val="auto"/>
          <w:highlight w:val="none"/>
        </w:rPr>
        <w:t>，</w:t>
      </w:r>
      <w:r>
        <w:rPr>
          <w:rStyle w:val="35"/>
          <w:rFonts w:hint="eastAsia" w:ascii="宋体" w:hAnsi="宋体" w:eastAsia="宋体"/>
          <w:bCs/>
          <w:color w:val="auto"/>
          <w:highlight w:val="none"/>
          <w:u w:val="single"/>
        </w:rPr>
        <w:t>如若项目延期</w:t>
      </w:r>
      <w:r>
        <w:rPr>
          <w:rStyle w:val="35"/>
          <w:rFonts w:hint="eastAsia" w:ascii="宋体" w:hAnsi="宋体" w:eastAsia="宋体"/>
          <w:bCs/>
          <w:color w:val="auto"/>
          <w:highlight w:val="none"/>
        </w:rPr>
        <w:t>，</w:t>
      </w:r>
      <w:r>
        <w:rPr>
          <w:rStyle w:val="35"/>
          <w:rFonts w:hint="eastAsia" w:ascii="宋体" w:hAnsi="宋体" w:eastAsia="宋体"/>
          <w:bCs/>
          <w:color w:val="auto"/>
          <w:highlight w:val="none"/>
          <w:u w:val="single"/>
        </w:rPr>
        <w:t>投标单位必须无条件办理延期手续并承担一切费用, 如故意或疏忽而没有投保、少投保或漏投保</w:t>
      </w:r>
      <w:r>
        <w:rPr>
          <w:rStyle w:val="35"/>
          <w:rFonts w:hint="eastAsia" w:ascii="宋体" w:hAnsi="宋体" w:eastAsia="宋体"/>
          <w:bCs/>
          <w:color w:val="auto"/>
          <w:highlight w:val="none"/>
        </w:rPr>
        <w:t>，</w:t>
      </w:r>
      <w:r>
        <w:rPr>
          <w:rStyle w:val="35"/>
          <w:rFonts w:hint="eastAsia" w:ascii="宋体" w:hAnsi="宋体" w:eastAsia="宋体"/>
          <w:bCs/>
          <w:color w:val="auto"/>
          <w:highlight w:val="none"/>
          <w:u w:val="single"/>
        </w:rPr>
        <w:t>造成的后果由承包人负全部责任</w:t>
      </w:r>
      <w:r>
        <w:rPr>
          <w:rStyle w:val="35"/>
          <w:rFonts w:hint="eastAsia" w:ascii="宋体" w:hAnsi="宋体" w:eastAsia="宋体"/>
          <w:bCs/>
          <w:color w:val="auto"/>
          <w:highlight w:val="none"/>
        </w:rPr>
        <w:t>。</w:t>
      </w:r>
    </w:p>
    <w:p w14:paraId="6AB535E7">
      <w:pPr>
        <w:pStyle w:val="135"/>
        <w:widowControl/>
        <w:spacing w:line="360" w:lineRule="auto"/>
        <w:ind w:firstLine="424" w:firstLineChars="202"/>
        <w:jc w:val="left"/>
        <w:rPr>
          <w:rFonts w:ascii="宋体" w:hAnsi="宋体"/>
          <w:color w:val="auto"/>
          <w:kern w:val="0"/>
          <w:szCs w:val="21"/>
          <w:highlight w:val="none"/>
        </w:rPr>
      </w:pPr>
      <w:r>
        <w:rPr>
          <w:rStyle w:val="35"/>
          <w:rFonts w:hint="eastAsia" w:ascii="宋体" w:hAnsi="宋体" w:eastAsia="宋体"/>
          <w:bCs/>
          <w:color w:val="auto"/>
          <w:highlight w:val="none"/>
        </w:rPr>
        <w:t>（6）安全生产责任保险费：</w:t>
      </w:r>
      <w:r>
        <w:rPr>
          <w:rStyle w:val="35"/>
          <w:rFonts w:hint="eastAsia" w:ascii="宋体" w:hAnsi="宋体" w:eastAsia="宋体"/>
          <w:bCs/>
          <w:color w:val="auto"/>
          <w:highlight w:val="none"/>
          <w:u w:val="single"/>
        </w:rPr>
        <w:t>安全生产责任保险费按照分部分项工程费及措施项目费（含单价及总价措施项目费）为计算基数乘以0.2%计入暂估价，工程结算时，由发承包双方根据工程实际情况确认的安全生产责任保险费计入工程造价</w:t>
      </w:r>
      <w:r>
        <w:rPr>
          <w:rStyle w:val="35"/>
          <w:rFonts w:hint="eastAsia" w:ascii="宋体" w:hAnsi="宋体" w:eastAsia="宋体"/>
          <w:bCs/>
          <w:color w:val="auto"/>
          <w:highlight w:val="none"/>
        </w:rPr>
        <w:t>。</w:t>
      </w:r>
    </w:p>
    <w:p w14:paraId="2EA43AE7">
      <w:pPr>
        <w:keepNext/>
        <w:keepLines/>
        <w:spacing w:before="260" w:after="260" w:line="360" w:lineRule="auto"/>
        <w:outlineLvl w:val="2"/>
        <w:rPr>
          <w:rFonts w:ascii="宋体" w:hAnsi="宋体"/>
          <w:b/>
          <w:bCs/>
          <w:color w:val="auto"/>
          <w:sz w:val="32"/>
          <w:szCs w:val="32"/>
          <w:highlight w:val="none"/>
        </w:rPr>
      </w:pPr>
      <w:bookmarkStart w:id="1663" w:name="_Toc407135277"/>
      <w:bookmarkStart w:id="1664" w:name="_Toc373478421"/>
      <w:bookmarkStart w:id="1665" w:name="_Toc373227774"/>
      <w:bookmarkStart w:id="1666" w:name="_Toc1503"/>
      <w:bookmarkStart w:id="1667" w:name="_Toc86935938"/>
      <w:bookmarkStart w:id="1668" w:name="_Toc27469"/>
      <w:bookmarkStart w:id="1669" w:name="_Toc389065339"/>
      <w:bookmarkStart w:id="1670" w:name="_Toc508379788"/>
      <w:bookmarkStart w:id="1671" w:name="_Toc495673453"/>
      <w:r>
        <w:rPr>
          <w:rFonts w:ascii="宋体" w:hAnsi="宋体"/>
          <w:b/>
          <w:bCs/>
          <w:color w:val="auto"/>
          <w:sz w:val="32"/>
          <w:szCs w:val="32"/>
          <w:highlight w:val="none"/>
        </w:rPr>
        <w:t>18.3 其他保险</w:t>
      </w:r>
      <w:bookmarkEnd w:id="1663"/>
      <w:bookmarkEnd w:id="1664"/>
      <w:bookmarkEnd w:id="1665"/>
      <w:bookmarkEnd w:id="1666"/>
      <w:bookmarkEnd w:id="1667"/>
      <w:bookmarkEnd w:id="1668"/>
      <w:bookmarkEnd w:id="1669"/>
      <w:bookmarkEnd w:id="1670"/>
      <w:bookmarkEnd w:id="1671"/>
    </w:p>
    <w:p w14:paraId="2149E502">
      <w:pPr>
        <w:spacing w:line="360" w:lineRule="auto"/>
        <w:ind w:firstLine="420" w:firstLineChars="200"/>
        <w:jc w:val="left"/>
        <w:rPr>
          <w:rFonts w:ascii="宋体" w:hAnsi="宋体"/>
          <w:color w:val="auto"/>
          <w:kern w:val="0"/>
          <w:szCs w:val="21"/>
          <w:highlight w:val="none"/>
        </w:rPr>
      </w:pPr>
      <w:r>
        <w:rPr>
          <w:rFonts w:ascii="宋体" w:hAnsi="宋体"/>
          <w:color w:val="auto"/>
          <w:szCs w:val="21"/>
          <w:highlight w:val="none"/>
        </w:rPr>
        <w:t>关于其他保险的约定：</w:t>
      </w:r>
      <w:r>
        <w:rPr>
          <w:rFonts w:hint="eastAsia" w:ascii="宋体" w:hAnsi="宋体"/>
          <w:color w:val="auto"/>
          <w:szCs w:val="21"/>
          <w:highlight w:val="none"/>
          <w:u w:val="single"/>
        </w:rPr>
        <w:t xml:space="preserve">  </w:t>
      </w:r>
      <w:r>
        <w:rPr>
          <w:rStyle w:val="35"/>
          <w:rFonts w:hint="eastAsia" w:ascii="宋体" w:hAnsi="宋体" w:eastAsia="宋体"/>
          <w:color w:val="auto"/>
          <w:highlight w:val="none"/>
          <w:u w:val="single"/>
        </w:rPr>
        <w:t>除了强制规定由发包人负责的保险以外的其他一切工程保险均有承包人自行承担</w:t>
      </w:r>
      <w:r>
        <w:rPr>
          <w:rFonts w:hint="eastAsia" w:ascii="宋体" w:hAnsi="宋体"/>
          <w:color w:val="auto"/>
          <w:szCs w:val="21"/>
          <w:highlight w:val="none"/>
          <w:u w:val="single"/>
        </w:rPr>
        <w:t xml:space="preserve"> </w:t>
      </w:r>
      <w:r>
        <w:rPr>
          <w:rFonts w:hint="eastAsia" w:ascii="宋体" w:hAnsi="宋体"/>
          <w:bCs/>
          <w:color w:val="auto"/>
          <w:szCs w:val="21"/>
          <w:highlight w:val="none"/>
        </w:rPr>
        <w:t>。</w:t>
      </w:r>
    </w:p>
    <w:p w14:paraId="4B6627FC">
      <w:pPr>
        <w:spacing w:line="360" w:lineRule="auto"/>
        <w:ind w:firstLine="420" w:firstLineChars="200"/>
        <w:jc w:val="left"/>
        <w:rPr>
          <w:rFonts w:ascii="宋体" w:hAnsi="宋体"/>
          <w:color w:val="auto"/>
          <w:szCs w:val="21"/>
          <w:highlight w:val="none"/>
          <w:u w:val="single"/>
        </w:rPr>
      </w:pPr>
      <w:r>
        <w:rPr>
          <w:rFonts w:ascii="宋体" w:hAnsi="宋体"/>
          <w:color w:val="auto"/>
          <w:szCs w:val="21"/>
          <w:highlight w:val="none"/>
        </w:rPr>
        <w:t>承包人是否应为其施工设备等办理财产保险：</w:t>
      </w:r>
      <w:r>
        <w:rPr>
          <w:rFonts w:hint="eastAsia" w:ascii="宋体" w:hAnsi="宋体"/>
          <w:color w:val="auto"/>
          <w:szCs w:val="21"/>
          <w:highlight w:val="none"/>
          <w:u w:val="single"/>
        </w:rPr>
        <w:t xml:space="preserve">  </w:t>
      </w:r>
      <w:r>
        <w:rPr>
          <w:rStyle w:val="35"/>
          <w:rFonts w:hint="eastAsia" w:ascii="宋体" w:hAnsi="宋体" w:eastAsia="宋体"/>
          <w:color w:val="auto"/>
          <w:highlight w:val="none"/>
        </w:rPr>
        <w:t xml:space="preserve"> </w:t>
      </w:r>
      <w:r>
        <w:rPr>
          <w:rStyle w:val="35"/>
          <w:rFonts w:hint="eastAsia" w:ascii="宋体" w:hAnsi="宋体" w:eastAsia="宋体"/>
          <w:bCs/>
          <w:color w:val="auto"/>
          <w:highlight w:val="none"/>
          <w:u w:val="single"/>
        </w:rPr>
        <w:t>承包人必须为</w:t>
      </w:r>
      <w:r>
        <w:rPr>
          <w:rStyle w:val="35"/>
          <w:rFonts w:hint="eastAsia" w:ascii="宋体" w:hAnsi="宋体" w:eastAsia="宋体"/>
          <w:color w:val="auto"/>
          <w:highlight w:val="none"/>
          <w:u w:val="single"/>
        </w:rPr>
        <w:t>其施工设备、进场材料和工程设备等办理的保险</w:t>
      </w:r>
      <w:r>
        <w:rPr>
          <w:rStyle w:val="35"/>
          <w:rFonts w:hint="eastAsia" w:ascii="宋体" w:hAnsi="宋体" w:eastAsia="宋体"/>
          <w:bCs/>
          <w:color w:val="auto"/>
          <w:highlight w:val="none"/>
        </w:rPr>
        <w:t>，</w:t>
      </w:r>
      <w:r>
        <w:rPr>
          <w:rStyle w:val="35"/>
          <w:rFonts w:hint="eastAsia" w:ascii="宋体" w:hAnsi="宋体" w:eastAsia="宋体"/>
          <w:bCs/>
          <w:color w:val="auto"/>
          <w:highlight w:val="none"/>
          <w:u w:val="single"/>
        </w:rPr>
        <w:t>支付保险费用</w:t>
      </w:r>
      <w:r>
        <w:rPr>
          <w:rStyle w:val="35"/>
          <w:rFonts w:hint="eastAsia" w:ascii="宋体" w:hAnsi="宋体" w:eastAsia="宋体"/>
          <w:color w:val="auto"/>
          <w:highlight w:val="none"/>
        </w:rPr>
        <w:t>。</w:t>
      </w:r>
      <w:r>
        <w:rPr>
          <w:rStyle w:val="35"/>
          <w:rFonts w:hint="eastAsia" w:ascii="宋体" w:hAnsi="宋体" w:eastAsia="宋体"/>
          <w:bCs/>
          <w:color w:val="auto"/>
          <w:highlight w:val="none"/>
          <w:u w:val="single"/>
        </w:rPr>
        <w:t>保险合同约定的保险责任范围应当包括工地范围内的全部财产的物质损坏或灭失以及所产生的费用</w:t>
      </w:r>
      <w:r>
        <w:rPr>
          <w:rStyle w:val="35"/>
          <w:rFonts w:hint="eastAsia" w:ascii="宋体" w:hAnsi="宋体" w:eastAsia="宋体"/>
          <w:bCs/>
          <w:color w:val="auto"/>
          <w:highlight w:val="none"/>
        </w:rPr>
        <w:t>，</w:t>
      </w:r>
      <w:r>
        <w:rPr>
          <w:rStyle w:val="35"/>
          <w:rFonts w:hint="eastAsia" w:ascii="宋体" w:hAnsi="宋体" w:eastAsia="宋体"/>
          <w:bCs/>
          <w:color w:val="auto"/>
          <w:highlight w:val="none"/>
          <w:u w:val="single"/>
        </w:rPr>
        <w:t>无论是否获得保险机构的赔偿</w:t>
      </w:r>
      <w:r>
        <w:rPr>
          <w:rStyle w:val="35"/>
          <w:rFonts w:hint="eastAsia" w:ascii="宋体" w:hAnsi="宋体" w:eastAsia="宋体"/>
          <w:bCs/>
          <w:color w:val="auto"/>
          <w:highlight w:val="none"/>
        </w:rPr>
        <w:t>，</w:t>
      </w:r>
      <w:r>
        <w:rPr>
          <w:rStyle w:val="35"/>
          <w:rFonts w:hint="eastAsia" w:ascii="宋体" w:hAnsi="宋体" w:eastAsia="宋体"/>
          <w:bCs/>
          <w:color w:val="auto"/>
          <w:highlight w:val="none"/>
          <w:u w:val="single"/>
        </w:rPr>
        <w:t>凡施工中发生的一切安全事故</w:t>
      </w:r>
      <w:r>
        <w:rPr>
          <w:rStyle w:val="35"/>
          <w:rFonts w:hint="eastAsia" w:ascii="宋体" w:hAnsi="宋体" w:eastAsia="宋体"/>
          <w:bCs/>
          <w:color w:val="auto"/>
          <w:highlight w:val="none"/>
        </w:rPr>
        <w:t>，</w:t>
      </w:r>
      <w:r>
        <w:rPr>
          <w:rStyle w:val="35"/>
          <w:rFonts w:hint="eastAsia" w:ascii="宋体" w:hAnsi="宋体" w:eastAsia="宋体"/>
          <w:bCs/>
          <w:color w:val="auto"/>
          <w:highlight w:val="none"/>
          <w:u w:val="single"/>
        </w:rPr>
        <w:t>均由承包人负责所发生事故的依法应该支付的损失赔偿费和承担法律责任</w:t>
      </w:r>
      <w:r>
        <w:rPr>
          <w:rStyle w:val="35"/>
          <w:rFonts w:hint="eastAsia" w:ascii="宋体" w:hAnsi="宋体" w:eastAsia="宋体"/>
          <w:bCs/>
          <w:color w:val="auto"/>
          <w:highlight w:val="none"/>
        </w:rPr>
        <w:t>，</w:t>
      </w:r>
      <w:r>
        <w:rPr>
          <w:rStyle w:val="35"/>
          <w:rFonts w:hint="eastAsia" w:ascii="宋体" w:hAnsi="宋体" w:eastAsia="宋体"/>
          <w:bCs/>
          <w:color w:val="auto"/>
          <w:highlight w:val="none"/>
          <w:u w:val="single"/>
        </w:rPr>
        <w:t>发包人不承担该等责任</w:t>
      </w:r>
      <w:r>
        <w:rPr>
          <w:rStyle w:val="35"/>
          <w:rFonts w:hint="eastAsia" w:ascii="宋体" w:hAnsi="宋体" w:eastAsia="宋体"/>
          <w:bCs/>
          <w:color w:val="auto"/>
          <w:highlight w:val="none"/>
        </w:rPr>
        <w:t>。</w:t>
      </w:r>
      <w:r>
        <w:rPr>
          <w:rStyle w:val="35"/>
          <w:rFonts w:hint="eastAsia" w:ascii="宋体" w:hAnsi="宋体" w:eastAsia="宋体"/>
          <w:color w:val="auto"/>
          <w:highlight w:val="none"/>
          <w:u w:val="single"/>
        </w:rPr>
        <w:t>保险费率由承包人与发包人同意的保险人商定</w:t>
      </w:r>
      <w:r>
        <w:rPr>
          <w:rStyle w:val="35"/>
          <w:rFonts w:hint="eastAsia" w:ascii="宋体" w:hAnsi="宋体" w:eastAsia="宋体"/>
          <w:color w:val="auto"/>
          <w:highlight w:val="none"/>
        </w:rPr>
        <w:t>，</w:t>
      </w:r>
      <w:r>
        <w:rPr>
          <w:rStyle w:val="35"/>
          <w:rFonts w:hint="eastAsia" w:ascii="宋体" w:hAnsi="宋体" w:eastAsia="宋体"/>
          <w:color w:val="auto"/>
          <w:highlight w:val="none"/>
          <w:u w:val="single"/>
        </w:rPr>
        <w:t>相关保险费由承包人承担</w:t>
      </w:r>
      <w:r>
        <w:rPr>
          <w:rFonts w:hint="eastAsia" w:ascii="宋体" w:hAnsi="宋体"/>
          <w:color w:val="auto"/>
          <w:szCs w:val="21"/>
          <w:highlight w:val="none"/>
          <w:u w:val="single"/>
        </w:rPr>
        <w:t xml:space="preserve">  </w:t>
      </w:r>
      <w:r>
        <w:rPr>
          <w:rFonts w:ascii="宋体" w:hAnsi="宋体"/>
          <w:color w:val="auto"/>
          <w:szCs w:val="21"/>
          <w:highlight w:val="none"/>
        </w:rPr>
        <w:t>。</w:t>
      </w:r>
    </w:p>
    <w:p w14:paraId="20ABCC11">
      <w:pPr>
        <w:keepNext/>
        <w:keepLines/>
        <w:spacing w:before="260" w:after="260" w:line="360" w:lineRule="auto"/>
        <w:outlineLvl w:val="2"/>
        <w:rPr>
          <w:rFonts w:ascii="宋体" w:hAnsi="宋体"/>
          <w:b/>
          <w:bCs/>
          <w:color w:val="auto"/>
          <w:sz w:val="32"/>
          <w:szCs w:val="32"/>
          <w:highlight w:val="none"/>
        </w:rPr>
      </w:pPr>
      <w:bookmarkStart w:id="1672" w:name="_Toc508379789"/>
      <w:bookmarkStart w:id="1673" w:name="_Toc495673454"/>
      <w:bookmarkStart w:id="1674" w:name="_Toc22682"/>
      <w:bookmarkStart w:id="1675" w:name="_Toc373478422"/>
      <w:bookmarkStart w:id="1676" w:name="_Toc373227775"/>
      <w:bookmarkStart w:id="1677" w:name="_Toc86935939"/>
      <w:bookmarkStart w:id="1678" w:name="_Toc407135278"/>
      <w:bookmarkStart w:id="1679" w:name="_Toc389065340"/>
      <w:bookmarkStart w:id="1680" w:name="_Toc20147"/>
      <w:r>
        <w:rPr>
          <w:rFonts w:ascii="宋体" w:hAnsi="宋体"/>
          <w:b/>
          <w:bCs/>
          <w:color w:val="auto"/>
          <w:sz w:val="32"/>
          <w:szCs w:val="32"/>
          <w:highlight w:val="none"/>
        </w:rPr>
        <w:t>18.7 通知义务</w:t>
      </w:r>
      <w:bookmarkEnd w:id="1672"/>
      <w:bookmarkEnd w:id="1673"/>
      <w:bookmarkEnd w:id="1674"/>
      <w:bookmarkEnd w:id="1675"/>
      <w:bookmarkEnd w:id="1676"/>
      <w:bookmarkEnd w:id="1677"/>
      <w:bookmarkEnd w:id="1678"/>
      <w:bookmarkEnd w:id="1679"/>
      <w:bookmarkEnd w:id="1680"/>
    </w:p>
    <w:p w14:paraId="333F3E2E">
      <w:pPr>
        <w:spacing w:line="360" w:lineRule="auto"/>
        <w:ind w:firstLine="420" w:firstLineChars="200"/>
        <w:jc w:val="left"/>
        <w:rPr>
          <w:rFonts w:ascii="宋体" w:hAnsi="宋体"/>
          <w:color w:val="auto"/>
          <w:szCs w:val="21"/>
          <w:highlight w:val="none"/>
          <w:u w:val="single"/>
        </w:rPr>
      </w:pPr>
      <w:r>
        <w:rPr>
          <w:rFonts w:ascii="宋体" w:hAnsi="宋体"/>
          <w:color w:val="auto"/>
          <w:kern w:val="0"/>
          <w:szCs w:val="21"/>
          <w:highlight w:val="none"/>
        </w:rPr>
        <w:t>关于变更保险合同时的通知义务的约定：</w:t>
      </w:r>
      <w:r>
        <w:rPr>
          <w:rFonts w:hint="eastAsia" w:ascii="宋体" w:hAnsi="宋体"/>
          <w:color w:val="auto"/>
          <w:szCs w:val="21"/>
          <w:highlight w:val="none"/>
          <w:u w:val="single"/>
        </w:rPr>
        <w:t xml:space="preserve"> </w:t>
      </w:r>
      <w:r>
        <w:rPr>
          <w:rStyle w:val="35"/>
          <w:rFonts w:hint="eastAsia" w:ascii="宋体" w:hAnsi="宋体" w:eastAsia="宋体"/>
          <w:color w:val="auto"/>
          <w:highlight w:val="none"/>
          <w:u w:val="single"/>
        </w:rPr>
        <w:t>承包人向发包人提交各项保险生效的证据和保险单副本的期限</w:t>
      </w:r>
      <w:r>
        <w:rPr>
          <w:rStyle w:val="35"/>
          <w:rFonts w:hint="eastAsia" w:ascii="宋体" w:hAnsi="宋体" w:eastAsia="宋体"/>
          <w:color w:val="auto"/>
          <w:highlight w:val="none"/>
        </w:rPr>
        <w:t>：</w:t>
      </w:r>
      <w:r>
        <w:rPr>
          <w:rStyle w:val="35"/>
          <w:rFonts w:hint="eastAsia" w:ascii="宋体" w:hAnsi="宋体" w:eastAsia="宋体"/>
          <w:color w:val="auto"/>
          <w:highlight w:val="none"/>
          <w:u w:val="single"/>
        </w:rPr>
        <w:t>各项保险生效 3天内</w:t>
      </w:r>
      <w:r>
        <w:rPr>
          <w:rFonts w:hint="eastAsia" w:ascii="宋体" w:hAnsi="宋体"/>
          <w:color w:val="auto"/>
          <w:szCs w:val="21"/>
          <w:highlight w:val="none"/>
          <w:u w:val="single"/>
        </w:rPr>
        <w:t xml:space="preserve">   </w:t>
      </w:r>
      <w:r>
        <w:rPr>
          <w:rFonts w:ascii="宋体" w:hAnsi="宋体"/>
          <w:color w:val="auto"/>
          <w:szCs w:val="21"/>
          <w:highlight w:val="none"/>
        </w:rPr>
        <w:t>。</w:t>
      </w:r>
    </w:p>
    <w:bookmarkEnd w:id="1537"/>
    <w:bookmarkEnd w:id="1538"/>
    <w:bookmarkEnd w:id="1539"/>
    <w:bookmarkEnd w:id="1540"/>
    <w:bookmarkEnd w:id="1541"/>
    <w:bookmarkEnd w:id="1542"/>
    <w:bookmarkEnd w:id="1543"/>
    <w:bookmarkEnd w:id="1544"/>
    <w:bookmarkEnd w:id="1545"/>
    <w:bookmarkEnd w:id="1546"/>
    <w:bookmarkEnd w:id="1547"/>
    <w:bookmarkEnd w:id="1548"/>
    <w:p w14:paraId="2FB90337">
      <w:pPr>
        <w:keepNext/>
        <w:keepLines/>
        <w:spacing w:before="260" w:after="260" w:line="360" w:lineRule="auto"/>
        <w:outlineLvl w:val="1"/>
        <w:rPr>
          <w:rFonts w:ascii="宋体" w:hAnsi="宋体"/>
          <w:b/>
          <w:bCs/>
          <w:color w:val="auto"/>
          <w:sz w:val="32"/>
          <w:szCs w:val="32"/>
          <w:highlight w:val="none"/>
        </w:rPr>
      </w:pPr>
      <w:bookmarkStart w:id="1681" w:name="_Toc508379790"/>
      <w:bookmarkStart w:id="1682" w:name="_Toc495673455"/>
      <w:bookmarkStart w:id="1683" w:name="_Toc389065341"/>
      <w:bookmarkStart w:id="1684" w:name="_Toc351203651"/>
      <w:bookmarkStart w:id="1685" w:name="_Toc373478423"/>
      <w:bookmarkStart w:id="1686" w:name="_Toc5761"/>
      <w:bookmarkStart w:id="1687" w:name="_Toc86935940"/>
      <w:bookmarkStart w:id="1688" w:name="_Toc407135279"/>
      <w:bookmarkStart w:id="1689" w:name="_Toc160"/>
      <w:bookmarkStart w:id="1690" w:name="_Toc373227776"/>
      <w:r>
        <w:rPr>
          <w:rFonts w:ascii="宋体" w:hAnsi="宋体"/>
          <w:b/>
          <w:bCs/>
          <w:color w:val="auto"/>
          <w:sz w:val="32"/>
          <w:szCs w:val="32"/>
          <w:highlight w:val="none"/>
        </w:rPr>
        <w:t>20. 争议解决</w:t>
      </w:r>
      <w:bookmarkEnd w:id="1681"/>
      <w:bookmarkEnd w:id="1682"/>
      <w:bookmarkEnd w:id="1683"/>
      <w:bookmarkEnd w:id="1684"/>
      <w:bookmarkEnd w:id="1685"/>
      <w:bookmarkEnd w:id="1686"/>
      <w:bookmarkEnd w:id="1687"/>
      <w:bookmarkEnd w:id="1688"/>
      <w:bookmarkEnd w:id="1689"/>
      <w:bookmarkEnd w:id="1690"/>
    </w:p>
    <w:bookmarkEnd w:id="1549"/>
    <w:bookmarkEnd w:id="1550"/>
    <w:p w14:paraId="63ADD5AF">
      <w:pPr>
        <w:keepNext/>
        <w:keepLines/>
        <w:spacing w:before="260" w:after="260" w:line="360" w:lineRule="auto"/>
        <w:outlineLvl w:val="2"/>
        <w:rPr>
          <w:rFonts w:ascii="宋体" w:hAnsi="宋体"/>
          <w:b/>
          <w:bCs/>
          <w:color w:val="auto"/>
          <w:sz w:val="32"/>
          <w:szCs w:val="32"/>
          <w:highlight w:val="none"/>
        </w:rPr>
      </w:pPr>
      <w:bookmarkStart w:id="1691" w:name="_Toc373227777"/>
      <w:bookmarkStart w:id="1692" w:name="_Toc495673456"/>
      <w:bookmarkStart w:id="1693" w:name="_Toc30033"/>
      <w:bookmarkStart w:id="1694" w:name="_Toc389065342"/>
      <w:bookmarkStart w:id="1695" w:name="_Toc407135280"/>
      <w:bookmarkStart w:id="1696" w:name="_Toc12886"/>
      <w:bookmarkStart w:id="1697" w:name="_Toc508379791"/>
      <w:bookmarkStart w:id="1698" w:name="_Toc86935941"/>
      <w:bookmarkStart w:id="1699" w:name="_Toc373478424"/>
      <w:r>
        <w:rPr>
          <w:rFonts w:ascii="宋体" w:hAnsi="宋体"/>
          <w:b/>
          <w:bCs/>
          <w:color w:val="auto"/>
          <w:sz w:val="32"/>
          <w:szCs w:val="32"/>
          <w:highlight w:val="none"/>
        </w:rPr>
        <w:t>20.3 争</w:t>
      </w:r>
      <w:bookmarkEnd w:id="1551"/>
      <w:r>
        <w:rPr>
          <w:rFonts w:ascii="宋体" w:hAnsi="宋体"/>
          <w:b/>
          <w:bCs/>
          <w:color w:val="auto"/>
          <w:sz w:val="32"/>
          <w:szCs w:val="32"/>
          <w:highlight w:val="none"/>
        </w:rPr>
        <w:t>议评审</w:t>
      </w:r>
      <w:bookmarkEnd w:id="1691"/>
      <w:bookmarkEnd w:id="1692"/>
      <w:bookmarkEnd w:id="1693"/>
      <w:bookmarkEnd w:id="1694"/>
      <w:bookmarkEnd w:id="1695"/>
      <w:bookmarkEnd w:id="1696"/>
      <w:bookmarkEnd w:id="1697"/>
      <w:bookmarkEnd w:id="1698"/>
      <w:bookmarkEnd w:id="1699"/>
    </w:p>
    <w:p w14:paraId="08E2FD1D">
      <w:pPr>
        <w:spacing w:line="360" w:lineRule="auto"/>
        <w:ind w:left="149" w:leftChars="71" w:firstLine="315" w:firstLineChars="150"/>
        <w:jc w:val="left"/>
        <w:rPr>
          <w:rFonts w:ascii="宋体" w:hAnsi="宋体"/>
          <w:color w:val="auto"/>
          <w:szCs w:val="21"/>
          <w:highlight w:val="none"/>
          <w:u w:val="single"/>
        </w:rPr>
      </w:pPr>
      <w:r>
        <w:rPr>
          <w:rFonts w:ascii="宋体" w:hAnsi="宋体"/>
          <w:color w:val="auto"/>
          <w:szCs w:val="21"/>
          <w:highlight w:val="none"/>
        </w:rPr>
        <w:t>合同当事人是否同意将工程争议提交争议评审小组决定：</w:t>
      </w:r>
      <w:r>
        <w:rPr>
          <w:rFonts w:hint="eastAsia" w:ascii="宋体" w:hAnsi="宋体"/>
          <w:color w:val="auto"/>
          <w:szCs w:val="21"/>
          <w:highlight w:val="none"/>
          <w:u w:val="single"/>
        </w:rPr>
        <w:t xml:space="preserve">                      </w:t>
      </w:r>
      <w:r>
        <w:rPr>
          <w:rFonts w:ascii="宋体" w:hAnsi="宋体"/>
          <w:color w:val="auto"/>
          <w:szCs w:val="21"/>
          <w:highlight w:val="none"/>
        </w:rPr>
        <w:t>。</w:t>
      </w:r>
    </w:p>
    <w:p w14:paraId="3E782BFF">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20.3.1 争议评审小组的确定</w:t>
      </w:r>
    </w:p>
    <w:p w14:paraId="13F16001">
      <w:pPr>
        <w:spacing w:line="360" w:lineRule="auto"/>
        <w:ind w:firstLine="420" w:firstLineChars="200"/>
        <w:jc w:val="left"/>
        <w:rPr>
          <w:rFonts w:ascii="宋体" w:hAnsi="宋体"/>
          <w:color w:val="auto"/>
          <w:szCs w:val="21"/>
          <w:highlight w:val="none"/>
          <w:u w:val="single"/>
        </w:rPr>
      </w:pPr>
      <w:r>
        <w:rPr>
          <w:rFonts w:ascii="宋体" w:hAnsi="宋体"/>
          <w:color w:val="auto"/>
          <w:szCs w:val="21"/>
          <w:highlight w:val="none"/>
        </w:rPr>
        <w:t>争议评审小组成员的确定：</w:t>
      </w:r>
      <w:r>
        <w:rPr>
          <w:rFonts w:hint="eastAsia" w:ascii="宋体" w:hAnsi="宋体"/>
          <w:color w:val="auto"/>
          <w:szCs w:val="21"/>
          <w:highlight w:val="none"/>
          <w:u w:val="single"/>
        </w:rPr>
        <w:t xml:space="preserve">                      </w:t>
      </w:r>
      <w:r>
        <w:rPr>
          <w:rFonts w:ascii="宋体" w:hAnsi="宋体"/>
          <w:color w:val="auto"/>
          <w:szCs w:val="21"/>
          <w:highlight w:val="none"/>
        </w:rPr>
        <w:t>。</w:t>
      </w:r>
    </w:p>
    <w:p w14:paraId="611F99ED">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选定争议评审员的期限：</w:t>
      </w:r>
      <w:r>
        <w:rPr>
          <w:rFonts w:hint="eastAsia" w:ascii="宋体" w:hAnsi="宋体"/>
          <w:color w:val="auto"/>
          <w:szCs w:val="21"/>
          <w:highlight w:val="none"/>
          <w:u w:val="single"/>
        </w:rPr>
        <w:t xml:space="preserve">                      </w:t>
      </w:r>
      <w:r>
        <w:rPr>
          <w:rFonts w:ascii="宋体" w:hAnsi="宋体"/>
          <w:color w:val="auto"/>
          <w:szCs w:val="21"/>
          <w:highlight w:val="none"/>
        </w:rPr>
        <w:t>。</w:t>
      </w:r>
    </w:p>
    <w:p w14:paraId="1F2A564F">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争议评审小组成员的报酬承担方式：</w:t>
      </w:r>
      <w:r>
        <w:rPr>
          <w:rFonts w:hint="eastAsia" w:ascii="宋体" w:hAnsi="宋体"/>
          <w:color w:val="auto"/>
          <w:szCs w:val="21"/>
          <w:highlight w:val="none"/>
          <w:u w:val="single"/>
        </w:rPr>
        <w:t xml:space="preserve">                      </w:t>
      </w:r>
      <w:r>
        <w:rPr>
          <w:rFonts w:ascii="宋体" w:hAnsi="宋体"/>
          <w:color w:val="auto"/>
          <w:szCs w:val="21"/>
          <w:highlight w:val="none"/>
        </w:rPr>
        <w:t>。</w:t>
      </w:r>
    </w:p>
    <w:p w14:paraId="70A4B6DE">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其他事项的约定：</w:t>
      </w:r>
      <w:r>
        <w:rPr>
          <w:rFonts w:hint="eastAsia" w:ascii="宋体" w:hAnsi="宋体"/>
          <w:color w:val="auto"/>
          <w:szCs w:val="21"/>
          <w:highlight w:val="none"/>
          <w:u w:val="single"/>
        </w:rPr>
        <w:t xml:space="preserve">                      </w:t>
      </w:r>
      <w:r>
        <w:rPr>
          <w:rFonts w:ascii="宋体" w:hAnsi="宋体"/>
          <w:color w:val="auto"/>
          <w:szCs w:val="21"/>
          <w:highlight w:val="none"/>
        </w:rPr>
        <w:t>。</w:t>
      </w:r>
    </w:p>
    <w:p w14:paraId="6EF40107">
      <w:pPr>
        <w:autoSpaceDE w:val="0"/>
        <w:autoSpaceDN w:val="0"/>
        <w:adjustRightInd w:val="0"/>
        <w:spacing w:line="360" w:lineRule="auto"/>
        <w:ind w:firstLine="420" w:firstLineChars="200"/>
        <w:jc w:val="left"/>
        <w:rPr>
          <w:rFonts w:ascii="宋体" w:hAnsi="宋体"/>
          <w:color w:val="auto"/>
          <w:kern w:val="0"/>
          <w:szCs w:val="21"/>
          <w:highlight w:val="none"/>
        </w:rPr>
      </w:pPr>
      <w:r>
        <w:rPr>
          <w:rFonts w:ascii="宋体" w:hAnsi="宋体"/>
          <w:color w:val="auto"/>
          <w:kern w:val="0"/>
          <w:szCs w:val="21"/>
          <w:highlight w:val="none"/>
        </w:rPr>
        <w:t>20.3.2 争议评审小组的决定</w:t>
      </w:r>
    </w:p>
    <w:p w14:paraId="4A69946F">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合同当事人关于本项的约定：</w:t>
      </w:r>
      <w:r>
        <w:rPr>
          <w:rFonts w:hint="eastAsia" w:ascii="宋体" w:hAnsi="宋体"/>
          <w:color w:val="auto"/>
          <w:szCs w:val="21"/>
          <w:highlight w:val="none"/>
          <w:u w:val="single"/>
        </w:rPr>
        <w:t xml:space="preserve">                      </w:t>
      </w:r>
      <w:r>
        <w:rPr>
          <w:rFonts w:ascii="宋体" w:hAnsi="宋体"/>
          <w:color w:val="auto"/>
          <w:szCs w:val="21"/>
          <w:highlight w:val="none"/>
        </w:rPr>
        <w:t>。</w:t>
      </w:r>
    </w:p>
    <w:p w14:paraId="488096EA">
      <w:pPr>
        <w:keepNext/>
        <w:keepLines/>
        <w:spacing w:before="260" w:after="260" w:line="360" w:lineRule="auto"/>
        <w:outlineLvl w:val="2"/>
        <w:rPr>
          <w:rFonts w:ascii="宋体" w:hAnsi="宋体"/>
          <w:b/>
          <w:bCs/>
          <w:color w:val="auto"/>
          <w:sz w:val="32"/>
          <w:szCs w:val="32"/>
          <w:highlight w:val="none"/>
        </w:rPr>
      </w:pPr>
      <w:bookmarkStart w:id="1700" w:name="_Toc495673457"/>
      <w:bookmarkStart w:id="1701" w:name="_Toc26989"/>
      <w:bookmarkStart w:id="1702" w:name="_Toc407135281"/>
      <w:bookmarkStart w:id="1703" w:name="_Toc10439"/>
      <w:bookmarkStart w:id="1704" w:name="_Toc86935942"/>
      <w:bookmarkStart w:id="1705" w:name="_Toc389065343"/>
      <w:bookmarkStart w:id="1706" w:name="_Toc508379792"/>
      <w:bookmarkStart w:id="1707" w:name="_Toc373478425"/>
      <w:bookmarkStart w:id="1708" w:name="_Toc373227778"/>
      <w:r>
        <w:rPr>
          <w:rFonts w:ascii="宋体" w:hAnsi="宋体"/>
          <w:b/>
          <w:bCs/>
          <w:color w:val="auto"/>
          <w:sz w:val="32"/>
          <w:szCs w:val="32"/>
          <w:highlight w:val="none"/>
        </w:rPr>
        <w:t>20.4仲裁或诉讼</w:t>
      </w:r>
      <w:bookmarkEnd w:id="1552"/>
      <w:bookmarkEnd w:id="1700"/>
      <w:bookmarkEnd w:id="1701"/>
      <w:bookmarkEnd w:id="1702"/>
      <w:bookmarkEnd w:id="1703"/>
      <w:bookmarkEnd w:id="1704"/>
      <w:bookmarkEnd w:id="1705"/>
      <w:bookmarkEnd w:id="1706"/>
      <w:bookmarkEnd w:id="1707"/>
      <w:bookmarkEnd w:id="1708"/>
    </w:p>
    <w:p w14:paraId="7CAFEDD0">
      <w:pPr>
        <w:spacing w:line="360" w:lineRule="auto"/>
        <w:ind w:firstLine="420" w:firstLineChars="200"/>
        <w:rPr>
          <w:rFonts w:ascii="宋体" w:hAnsi="宋体"/>
          <w:color w:val="auto"/>
          <w:szCs w:val="21"/>
          <w:highlight w:val="none"/>
        </w:rPr>
      </w:pPr>
      <w:r>
        <w:rPr>
          <w:rFonts w:ascii="宋体" w:hAnsi="宋体"/>
          <w:color w:val="auto"/>
          <w:szCs w:val="21"/>
          <w:highlight w:val="none"/>
        </w:rPr>
        <w:t>因合同及合同有关事项发生的争议，按下列第</w:t>
      </w:r>
      <w:r>
        <w:rPr>
          <w:rStyle w:val="35"/>
          <w:rFonts w:hint="eastAsia" w:ascii="宋体" w:hAnsi="宋体" w:eastAsia="宋体"/>
          <w:color w:val="auto"/>
          <w:highlight w:val="none"/>
        </w:rPr>
        <w:t>（2）</w:t>
      </w:r>
      <w:r>
        <w:rPr>
          <w:rFonts w:ascii="宋体" w:hAnsi="宋体"/>
          <w:color w:val="auto"/>
          <w:szCs w:val="21"/>
          <w:highlight w:val="none"/>
        </w:rPr>
        <w:t>种方式解决：</w:t>
      </w:r>
    </w:p>
    <w:p w14:paraId="7E6DFB7F">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（1）提请仲裁委员会按照该会仲裁规则进行仲裁，仲裁裁决是终局的，对合同双方均有约束力。</w:t>
      </w:r>
    </w:p>
    <w:p w14:paraId="4F4FAB79">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（2）向</w:t>
      </w:r>
      <w:r>
        <w:rPr>
          <w:rStyle w:val="35"/>
          <w:rFonts w:hint="eastAsia" w:ascii="宋体" w:hAnsi="宋体" w:eastAsia="宋体"/>
          <w:color w:val="auto"/>
          <w:highlight w:val="none"/>
          <w:u w:val="single"/>
        </w:rPr>
        <w:t>项目所在地有管辖权的</w:t>
      </w:r>
      <w:r>
        <w:rPr>
          <w:rFonts w:ascii="宋体" w:hAnsi="宋体"/>
          <w:color w:val="auto"/>
          <w:szCs w:val="21"/>
          <w:highlight w:val="none"/>
        </w:rPr>
        <w:t>人民法院起诉。</w:t>
      </w:r>
      <w:bookmarkEnd w:id="1553"/>
      <w:bookmarkEnd w:id="1554"/>
      <w:bookmarkEnd w:id="1555"/>
      <w:bookmarkEnd w:id="1556"/>
      <w:bookmarkEnd w:id="1557"/>
      <w:bookmarkEnd w:id="1558"/>
    </w:p>
    <w:p w14:paraId="3146BD0D">
      <w:pPr>
        <w:keepNext/>
        <w:keepLines/>
        <w:spacing w:before="260" w:after="260" w:line="360" w:lineRule="auto"/>
        <w:outlineLvl w:val="1"/>
        <w:rPr>
          <w:rFonts w:ascii="宋体" w:hAnsi="宋体"/>
          <w:b/>
          <w:bCs/>
          <w:color w:val="auto"/>
          <w:sz w:val="32"/>
          <w:szCs w:val="32"/>
          <w:highlight w:val="none"/>
        </w:rPr>
      </w:pPr>
      <w:bookmarkStart w:id="1709" w:name="_Toc508379793"/>
      <w:bookmarkStart w:id="1710" w:name="_Toc407135282"/>
      <w:bookmarkStart w:id="1711" w:name="_Toc495673458"/>
      <w:bookmarkStart w:id="1712" w:name="_Toc389065344"/>
      <w:bookmarkStart w:id="1713" w:name="_Toc1782"/>
      <w:bookmarkStart w:id="1714" w:name="_Toc373478426"/>
      <w:bookmarkStart w:id="1715" w:name="_Toc373227779"/>
      <w:bookmarkStart w:id="1716" w:name="_Toc86935943"/>
      <w:bookmarkStart w:id="1717" w:name="_Toc17112"/>
      <w:r>
        <w:rPr>
          <w:rFonts w:ascii="宋体" w:hAnsi="宋体"/>
          <w:b/>
          <w:bCs/>
          <w:color w:val="auto"/>
          <w:sz w:val="32"/>
          <w:szCs w:val="32"/>
          <w:highlight w:val="none"/>
        </w:rPr>
        <w:t>21. 补充条款</w:t>
      </w:r>
      <w:bookmarkEnd w:id="1709"/>
      <w:bookmarkEnd w:id="1710"/>
      <w:bookmarkEnd w:id="1711"/>
      <w:bookmarkEnd w:id="1712"/>
      <w:bookmarkEnd w:id="1713"/>
      <w:bookmarkEnd w:id="1714"/>
      <w:bookmarkEnd w:id="1715"/>
      <w:bookmarkEnd w:id="1716"/>
      <w:bookmarkEnd w:id="1717"/>
    </w:p>
    <w:p w14:paraId="3AF060EE">
      <w:pPr>
        <w:spacing w:line="360" w:lineRule="auto"/>
        <w:ind w:firstLine="420"/>
        <w:rPr>
          <w:rFonts w:ascii="宋体" w:hAnsi="宋体"/>
          <w:color w:val="auto"/>
          <w:szCs w:val="21"/>
          <w:highlight w:val="none"/>
        </w:rPr>
      </w:pPr>
      <w:r>
        <w:rPr>
          <w:rFonts w:ascii="宋体" w:hAnsi="宋体"/>
          <w:color w:val="auto"/>
          <w:szCs w:val="21"/>
          <w:highlight w:val="none"/>
        </w:rPr>
        <w:t xml:space="preserve">21.1 </w:t>
      </w:r>
      <w:ins w:id="0" w:author="法审部" w:date="2026-04-02T11:48:46Z">
        <w:r>
          <w:rPr>
            <w:rFonts w:hint="eastAsia" w:ascii="宋体" w:hAnsi="宋体"/>
            <w:color w:val="auto"/>
            <w:szCs w:val="21"/>
            <w:highlight w:val="none"/>
            <w:lang w:eastAsia="zh-CN"/>
          </w:rPr>
          <w:t>本工程</w:t>
        </w:r>
      </w:ins>
      <w:r>
        <w:rPr>
          <w:rFonts w:ascii="宋体" w:hAnsi="宋体"/>
          <w:color w:val="auto"/>
          <w:szCs w:val="21"/>
          <w:highlight w:val="none"/>
        </w:rPr>
        <w:t>禁止使用童工。</w:t>
      </w:r>
    </w:p>
    <w:p w14:paraId="0520CAFB">
      <w:pPr>
        <w:pStyle w:val="135"/>
        <w:widowControl/>
        <w:adjustRightInd w:val="0"/>
        <w:snapToGrid w:val="0"/>
        <w:spacing w:line="360" w:lineRule="auto"/>
        <w:ind w:firstLine="424" w:firstLineChars="202"/>
        <w:rPr>
          <w:rStyle w:val="35"/>
          <w:rFonts w:hint="eastAsia" w:ascii="宋体" w:hAnsi="宋体" w:eastAsia="宋体"/>
          <w:color w:val="auto"/>
          <w:highlight w:val="none"/>
          <w:u w:val="single"/>
        </w:rPr>
      </w:pPr>
      <w:r>
        <w:rPr>
          <w:rStyle w:val="35"/>
          <w:rFonts w:hint="eastAsia" w:ascii="宋体" w:hAnsi="宋体" w:eastAsia="宋体"/>
          <w:color w:val="auto"/>
          <w:highlight w:val="none"/>
        </w:rPr>
        <w:t>21.2关于工期：（1）</w:t>
      </w:r>
      <w:r>
        <w:rPr>
          <w:rStyle w:val="35"/>
          <w:rFonts w:hint="eastAsia" w:ascii="宋体" w:hAnsi="宋体" w:eastAsia="宋体"/>
          <w:color w:val="auto"/>
          <w:highlight w:val="none"/>
          <w:u w:val="single"/>
        </w:rPr>
        <w:t>凡双方认可的合理工期顺延</w:t>
      </w:r>
      <w:r>
        <w:rPr>
          <w:rStyle w:val="35"/>
          <w:rFonts w:hint="eastAsia" w:ascii="宋体" w:hAnsi="宋体" w:eastAsia="宋体"/>
          <w:color w:val="auto"/>
          <w:highlight w:val="none"/>
        </w:rPr>
        <w:t>，</w:t>
      </w:r>
      <w:r>
        <w:rPr>
          <w:rStyle w:val="35"/>
          <w:rFonts w:hint="eastAsia" w:ascii="宋体" w:hAnsi="宋体" w:eastAsia="宋体"/>
          <w:color w:val="auto"/>
          <w:highlight w:val="none"/>
          <w:u w:val="single"/>
        </w:rPr>
        <w:t>发包人不承担因工期顺延、停工产生的一切损失及费用</w:t>
      </w:r>
      <w:r>
        <w:rPr>
          <w:rStyle w:val="35"/>
          <w:rFonts w:hint="eastAsia" w:ascii="宋体" w:hAnsi="宋体" w:eastAsia="宋体"/>
          <w:color w:val="auto"/>
          <w:highlight w:val="none"/>
        </w:rPr>
        <w:t>。（2）</w:t>
      </w:r>
      <w:r>
        <w:rPr>
          <w:rStyle w:val="35"/>
          <w:rFonts w:hint="eastAsia" w:ascii="宋体" w:hAnsi="宋体" w:eastAsia="宋体"/>
          <w:color w:val="auto"/>
          <w:highlight w:val="none"/>
          <w:u w:val="single"/>
        </w:rPr>
        <w:t>保证文明施工</w:t>
      </w:r>
      <w:r>
        <w:rPr>
          <w:rStyle w:val="35"/>
          <w:rFonts w:hint="eastAsia" w:ascii="宋体" w:hAnsi="宋体" w:eastAsia="宋体"/>
          <w:color w:val="auto"/>
          <w:highlight w:val="none"/>
        </w:rPr>
        <w:t>，</w:t>
      </w:r>
      <w:r>
        <w:rPr>
          <w:rStyle w:val="35"/>
          <w:rFonts w:hint="eastAsia" w:ascii="宋体" w:hAnsi="宋体" w:eastAsia="宋体"/>
          <w:color w:val="auto"/>
          <w:highlight w:val="none"/>
          <w:u w:val="single"/>
        </w:rPr>
        <w:t>安全生产</w:t>
      </w:r>
      <w:r>
        <w:rPr>
          <w:rStyle w:val="35"/>
          <w:rFonts w:hint="eastAsia" w:ascii="宋体" w:hAnsi="宋体" w:eastAsia="宋体"/>
          <w:color w:val="auto"/>
          <w:highlight w:val="none"/>
        </w:rPr>
        <w:t>，</w:t>
      </w:r>
      <w:r>
        <w:rPr>
          <w:rStyle w:val="35"/>
          <w:rFonts w:hint="eastAsia" w:ascii="宋体" w:hAnsi="宋体" w:eastAsia="宋体"/>
          <w:color w:val="auto"/>
          <w:highlight w:val="none"/>
          <w:u w:val="single"/>
        </w:rPr>
        <w:t>因承包人原因发生安全事故或造成其他损失</w:t>
      </w:r>
      <w:r>
        <w:rPr>
          <w:rStyle w:val="35"/>
          <w:rFonts w:hint="eastAsia" w:ascii="宋体" w:hAnsi="宋体" w:eastAsia="宋体"/>
          <w:color w:val="auto"/>
          <w:highlight w:val="none"/>
        </w:rPr>
        <w:t>，</w:t>
      </w:r>
      <w:r>
        <w:rPr>
          <w:rStyle w:val="35"/>
          <w:rFonts w:hint="eastAsia" w:ascii="宋体" w:hAnsi="宋体" w:eastAsia="宋体"/>
          <w:color w:val="auto"/>
          <w:highlight w:val="none"/>
          <w:u w:val="single"/>
        </w:rPr>
        <w:t>由承包人承担一切费用</w:t>
      </w:r>
      <w:r>
        <w:rPr>
          <w:rStyle w:val="35"/>
          <w:rFonts w:hint="eastAsia" w:ascii="宋体" w:hAnsi="宋体" w:eastAsia="宋体"/>
          <w:color w:val="auto"/>
          <w:highlight w:val="none"/>
        </w:rPr>
        <w:t>，</w:t>
      </w:r>
      <w:r>
        <w:rPr>
          <w:rStyle w:val="35"/>
          <w:rFonts w:hint="eastAsia" w:ascii="宋体" w:hAnsi="宋体" w:eastAsia="宋体"/>
          <w:color w:val="auto"/>
          <w:highlight w:val="none"/>
          <w:u w:val="single"/>
        </w:rPr>
        <w:t>工期不予延长</w:t>
      </w:r>
      <w:r>
        <w:rPr>
          <w:rStyle w:val="35"/>
          <w:rFonts w:hint="eastAsia" w:ascii="宋体" w:hAnsi="宋体" w:eastAsia="宋体"/>
          <w:color w:val="auto"/>
          <w:highlight w:val="none"/>
        </w:rPr>
        <w:t>；</w:t>
      </w:r>
      <w:r>
        <w:rPr>
          <w:rStyle w:val="35"/>
          <w:rFonts w:hint="eastAsia" w:ascii="宋体" w:hAnsi="宋体" w:eastAsia="宋体"/>
          <w:color w:val="auto"/>
          <w:highlight w:val="none"/>
          <w:u w:val="single"/>
        </w:rPr>
        <w:t>因承包人原因造成的停工</w:t>
      </w:r>
      <w:r>
        <w:rPr>
          <w:rStyle w:val="35"/>
          <w:rFonts w:hint="eastAsia" w:ascii="宋体" w:hAnsi="宋体" w:eastAsia="宋体"/>
          <w:color w:val="auto"/>
          <w:highlight w:val="none"/>
        </w:rPr>
        <w:t>，</w:t>
      </w:r>
      <w:r>
        <w:rPr>
          <w:rStyle w:val="35"/>
          <w:rFonts w:hint="eastAsia" w:ascii="宋体" w:hAnsi="宋体" w:eastAsia="宋体"/>
          <w:color w:val="auto"/>
          <w:highlight w:val="none"/>
          <w:u w:val="single"/>
        </w:rPr>
        <w:t>由承包人承担一切费用</w:t>
      </w:r>
      <w:r>
        <w:rPr>
          <w:rStyle w:val="35"/>
          <w:rFonts w:hint="eastAsia" w:ascii="宋体" w:hAnsi="宋体" w:eastAsia="宋体"/>
          <w:color w:val="auto"/>
          <w:highlight w:val="none"/>
        </w:rPr>
        <w:t>，</w:t>
      </w:r>
      <w:r>
        <w:rPr>
          <w:rStyle w:val="35"/>
          <w:rFonts w:hint="eastAsia" w:ascii="宋体" w:hAnsi="宋体" w:eastAsia="宋体"/>
          <w:color w:val="auto"/>
          <w:highlight w:val="none"/>
          <w:u w:val="single"/>
        </w:rPr>
        <w:t>工期不予延长,如承包人原因造成的工期延误导致发包人的损失承包人负责赔偿</w:t>
      </w:r>
      <w:r>
        <w:rPr>
          <w:rStyle w:val="35"/>
          <w:rFonts w:hint="eastAsia" w:ascii="宋体" w:hAnsi="宋体" w:eastAsia="宋体"/>
          <w:color w:val="auto"/>
          <w:highlight w:val="none"/>
        </w:rPr>
        <w:t>：</w:t>
      </w:r>
      <w:r>
        <w:rPr>
          <w:rStyle w:val="35"/>
          <w:rFonts w:hint="eastAsia" w:ascii="宋体" w:hAnsi="宋体" w:eastAsia="宋体"/>
          <w:color w:val="auto"/>
          <w:highlight w:val="none"/>
          <w:u w:val="single"/>
        </w:rPr>
        <w:t>每天赔偿金额为合同价款的万分之四</w:t>
      </w:r>
      <w:r>
        <w:rPr>
          <w:rStyle w:val="35"/>
          <w:rFonts w:hint="eastAsia" w:ascii="宋体" w:hAnsi="宋体" w:eastAsia="宋体"/>
          <w:color w:val="auto"/>
          <w:highlight w:val="none"/>
        </w:rPr>
        <w:t>；</w:t>
      </w:r>
      <w:r>
        <w:rPr>
          <w:rStyle w:val="35"/>
          <w:rFonts w:hint="eastAsia" w:ascii="宋体" w:hAnsi="宋体" w:eastAsia="宋体"/>
          <w:color w:val="auto"/>
          <w:highlight w:val="none"/>
          <w:u w:val="single"/>
        </w:rPr>
        <w:t>因供水、供电部门的原因停水、停电导致的停工</w:t>
      </w:r>
      <w:r>
        <w:rPr>
          <w:rStyle w:val="35"/>
          <w:rFonts w:hint="eastAsia" w:ascii="宋体" w:hAnsi="宋体" w:eastAsia="宋体"/>
          <w:color w:val="auto"/>
          <w:highlight w:val="none"/>
        </w:rPr>
        <w:t>，</w:t>
      </w:r>
      <w:r>
        <w:rPr>
          <w:rStyle w:val="35"/>
          <w:rFonts w:hint="eastAsia" w:ascii="宋体" w:hAnsi="宋体" w:eastAsia="宋体"/>
          <w:color w:val="auto"/>
          <w:highlight w:val="none"/>
          <w:u w:val="single"/>
        </w:rPr>
        <w:t>连续超过24小时</w:t>
      </w:r>
      <w:r>
        <w:rPr>
          <w:rStyle w:val="35"/>
          <w:rFonts w:hint="eastAsia" w:ascii="宋体" w:hAnsi="宋体" w:eastAsia="宋体"/>
          <w:color w:val="auto"/>
          <w:highlight w:val="none"/>
        </w:rPr>
        <w:t>，</w:t>
      </w:r>
      <w:r>
        <w:rPr>
          <w:rStyle w:val="35"/>
          <w:rFonts w:hint="eastAsia" w:ascii="宋体" w:hAnsi="宋体" w:eastAsia="宋体"/>
          <w:color w:val="auto"/>
          <w:highlight w:val="none"/>
          <w:u w:val="single"/>
        </w:rPr>
        <w:t>工期顺延</w:t>
      </w:r>
      <w:r>
        <w:rPr>
          <w:rStyle w:val="35"/>
          <w:rFonts w:hint="eastAsia" w:ascii="宋体" w:hAnsi="宋体" w:eastAsia="宋体"/>
          <w:color w:val="auto"/>
          <w:highlight w:val="none"/>
        </w:rPr>
        <w:t>，</w:t>
      </w:r>
      <w:r>
        <w:rPr>
          <w:rStyle w:val="35"/>
          <w:rFonts w:hint="eastAsia" w:ascii="宋体" w:hAnsi="宋体" w:eastAsia="宋体"/>
          <w:color w:val="auto"/>
          <w:highlight w:val="none"/>
          <w:u w:val="single"/>
        </w:rPr>
        <w:t>发包人不承担由此造成的损失</w:t>
      </w:r>
      <w:r>
        <w:rPr>
          <w:rStyle w:val="35"/>
          <w:rFonts w:hint="eastAsia" w:ascii="宋体" w:hAnsi="宋体" w:eastAsia="宋体"/>
          <w:color w:val="auto"/>
          <w:highlight w:val="none"/>
        </w:rPr>
        <w:t>。（3）</w:t>
      </w:r>
      <w:r>
        <w:rPr>
          <w:rStyle w:val="35"/>
          <w:rFonts w:hint="eastAsia" w:ascii="宋体" w:hAnsi="宋体" w:eastAsia="宋体"/>
          <w:color w:val="auto"/>
          <w:highlight w:val="none"/>
          <w:u w:val="single"/>
        </w:rPr>
        <w:t>一般设计变更工期不予延长</w:t>
      </w:r>
      <w:r>
        <w:rPr>
          <w:rStyle w:val="35"/>
          <w:rFonts w:hint="eastAsia" w:ascii="宋体" w:hAnsi="宋体" w:eastAsia="宋体"/>
          <w:color w:val="auto"/>
          <w:highlight w:val="none"/>
        </w:rPr>
        <w:t>；</w:t>
      </w:r>
      <w:r>
        <w:rPr>
          <w:rStyle w:val="35"/>
          <w:rFonts w:hint="eastAsia" w:ascii="宋体" w:hAnsi="宋体" w:eastAsia="宋体"/>
          <w:color w:val="auto"/>
          <w:highlight w:val="none"/>
          <w:u w:val="single"/>
        </w:rPr>
        <w:t>重大设计变更由双方协商相应延长工期</w:t>
      </w:r>
      <w:r>
        <w:rPr>
          <w:rStyle w:val="35"/>
          <w:rFonts w:hint="eastAsia" w:ascii="宋体" w:hAnsi="宋体" w:eastAsia="宋体"/>
          <w:bCs/>
          <w:color w:val="auto"/>
          <w:highlight w:val="none"/>
        </w:rPr>
        <w:t>。</w:t>
      </w:r>
    </w:p>
    <w:p w14:paraId="650761ED">
      <w:pPr>
        <w:pStyle w:val="135"/>
        <w:widowControl/>
        <w:adjustRightInd w:val="0"/>
        <w:snapToGrid w:val="0"/>
        <w:spacing w:line="360" w:lineRule="auto"/>
        <w:ind w:firstLine="424" w:firstLineChars="202"/>
        <w:rPr>
          <w:rStyle w:val="35"/>
          <w:rFonts w:hint="eastAsia" w:ascii="宋体" w:hAnsi="宋体" w:eastAsia="宋体"/>
          <w:color w:val="auto"/>
          <w:highlight w:val="none"/>
          <w:u w:val="single"/>
        </w:rPr>
      </w:pPr>
      <w:r>
        <w:rPr>
          <w:rStyle w:val="35"/>
          <w:rFonts w:hint="eastAsia" w:ascii="宋体" w:hAnsi="宋体" w:eastAsia="宋体"/>
          <w:color w:val="auto"/>
          <w:highlight w:val="none"/>
        </w:rPr>
        <w:t>21.3关于安全文明施工：（1）</w:t>
      </w:r>
      <w:r>
        <w:rPr>
          <w:rStyle w:val="35"/>
          <w:rFonts w:hint="eastAsia" w:ascii="宋体" w:hAnsi="宋体" w:eastAsia="宋体"/>
          <w:color w:val="auto"/>
          <w:highlight w:val="none"/>
          <w:u w:val="single"/>
        </w:rPr>
        <w:t>承包人应遵守政府有关主管部门对施工场地的管理规定</w:t>
      </w:r>
      <w:r>
        <w:rPr>
          <w:rStyle w:val="35"/>
          <w:rFonts w:hint="eastAsia" w:ascii="宋体" w:hAnsi="宋体" w:eastAsia="宋体"/>
          <w:color w:val="auto"/>
          <w:highlight w:val="none"/>
        </w:rPr>
        <w:t>，</w:t>
      </w:r>
      <w:r>
        <w:rPr>
          <w:rStyle w:val="35"/>
          <w:rFonts w:hint="eastAsia" w:ascii="宋体" w:hAnsi="宋体" w:eastAsia="宋体"/>
          <w:color w:val="auto"/>
          <w:highlight w:val="none"/>
          <w:u w:val="single"/>
        </w:rPr>
        <w:t>并按规定办理相关手续</w:t>
      </w:r>
      <w:r>
        <w:rPr>
          <w:rStyle w:val="35"/>
          <w:rFonts w:hint="eastAsia" w:ascii="宋体" w:hAnsi="宋体" w:eastAsia="宋体"/>
          <w:bCs/>
          <w:color w:val="auto"/>
          <w:highlight w:val="none"/>
        </w:rPr>
        <w:t>。</w:t>
      </w:r>
    </w:p>
    <w:p w14:paraId="21472ABB">
      <w:pPr>
        <w:pStyle w:val="135"/>
        <w:widowControl/>
        <w:adjustRightInd w:val="0"/>
        <w:snapToGrid w:val="0"/>
        <w:spacing w:line="360" w:lineRule="auto"/>
        <w:ind w:firstLine="424" w:firstLineChars="202"/>
        <w:rPr>
          <w:rStyle w:val="35"/>
          <w:rFonts w:hint="eastAsia" w:ascii="宋体" w:hAnsi="宋体" w:eastAsia="宋体"/>
          <w:color w:val="auto"/>
          <w:highlight w:val="none"/>
          <w:u w:val="single"/>
        </w:rPr>
      </w:pPr>
      <w:r>
        <w:rPr>
          <w:rStyle w:val="35"/>
          <w:rFonts w:hint="eastAsia" w:ascii="宋体" w:hAnsi="宋体" w:eastAsia="宋体"/>
          <w:color w:val="auto"/>
          <w:highlight w:val="none"/>
        </w:rPr>
        <w:t>21.4关于竣工结算：以竣工结算行政主管部门评审（或审定）结果为准。（1）</w:t>
      </w:r>
      <w:r>
        <w:rPr>
          <w:rStyle w:val="35"/>
          <w:rFonts w:hint="eastAsia" w:ascii="宋体" w:hAnsi="宋体" w:eastAsia="宋体"/>
          <w:color w:val="auto"/>
          <w:highlight w:val="none"/>
          <w:u w:val="single"/>
        </w:rPr>
        <w:t>工程竣工验收合格后三十日内，承包人将完整的竣工资料和结算资料送到发包人，发包人在收到完整的竣工资料和结算资料后2个月内办清结算并提交结算审核。若因承包人提交结算资料不完整、延迟及双方争议等原因造成结算工作不能按期完成的，结算时间顺延</w:t>
      </w:r>
      <w:r>
        <w:rPr>
          <w:rStyle w:val="35"/>
          <w:rFonts w:hint="eastAsia" w:ascii="宋体" w:hAnsi="宋体" w:eastAsia="宋体"/>
          <w:color w:val="auto"/>
          <w:highlight w:val="none"/>
        </w:rPr>
        <w:t>。（2）</w:t>
      </w:r>
      <w:r>
        <w:rPr>
          <w:rStyle w:val="35"/>
          <w:rFonts w:hint="eastAsia" w:ascii="宋体" w:hAnsi="宋体" w:eastAsia="宋体"/>
          <w:color w:val="auto"/>
          <w:highlight w:val="none"/>
          <w:u w:val="single"/>
        </w:rPr>
        <w:t>所有竣工和结算资料必须经业主项目负责人、现场代表、监理工程师、承包人签字确认后，方可做为有效竣工和结算资料</w:t>
      </w:r>
      <w:r>
        <w:rPr>
          <w:rStyle w:val="35"/>
          <w:rFonts w:hint="eastAsia" w:ascii="宋体" w:hAnsi="宋体" w:eastAsia="宋体"/>
          <w:color w:val="auto"/>
          <w:highlight w:val="none"/>
        </w:rPr>
        <w:t>。（3）</w:t>
      </w:r>
      <w:r>
        <w:rPr>
          <w:rStyle w:val="35"/>
          <w:rFonts w:hint="eastAsia" w:ascii="宋体" w:hAnsi="宋体" w:eastAsia="宋体"/>
          <w:color w:val="auto"/>
          <w:highlight w:val="none"/>
          <w:u w:val="single"/>
        </w:rPr>
        <w:t>工程竣工结算由发包人委托竣工结算行政主管部门。工程造价审减或审增（增减不相互抵消）与报审价相比小于5%（含5%）时，由发包人承担结算费用；工程造价审减或审增（增减不相互抵消）与报价相比大于5%（不含5%）时，超出的结算费由承包人承担结算费用</w:t>
      </w:r>
      <w:r>
        <w:rPr>
          <w:rStyle w:val="35"/>
          <w:rFonts w:hint="eastAsia" w:ascii="宋体" w:hAnsi="宋体" w:eastAsia="宋体"/>
          <w:color w:val="auto"/>
          <w:highlight w:val="none"/>
        </w:rPr>
        <w:t>。（4）</w:t>
      </w:r>
      <w:r>
        <w:rPr>
          <w:rStyle w:val="35"/>
          <w:rFonts w:hint="eastAsia" w:ascii="宋体" w:hAnsi="宋体" w:eastAsia="宋体"/>
          <w:color w:val="auto"/>
          <w:highlight w:val="none"/>
          <w:u w:val="single"/>
        </w:rPr>
        <w:t>工程竣工结算期间，此条款若与竣工结算行政主管部门的规定不一致的，以竣工结算行政主管部门的规定为准</w:t>
      </w:r>
      <w:r>
        <w:rPr>
          <w:rStyle w:val="35"/>
          <w:rFonts w:hint="eastAsia" w:ascii="宋体" w:hAnsi="宋体" w:eastAsia="宋体"/>
          <w:color w:val="auto"/>
          <w:highlight w:val="none"/>
        </w:rPr>
        <w:t>。</w:t>
      </w:r>
    </w:p>
    <w:p w14:paraId="43D71121">
      <w:pPr>
        <w:pStyle w:val="135"/>
        <w:widowControl/>
        <w:adjustRightInd w:val="0"/>
        <w:snapToGrid w:val="0"/>
        <w:spacing w:line="360" w:lineRule="auto"/>
        <w:ind w:firstLine="424" w:firstLineChars="202"/>
        <w:rPr>
          <w:rStyle w:val="35"/>
          <w:rFonts w:hint="eastAsia" w:ascii="宋体" w:hAnsi="宋体" w:eastAsia="宋体"/>
          <w:color w:val="auto"/>
          <w:highlight w:val="none"/>
          <w:u w:val="single"/>
        </w:rPr>
      </w:pPr>
      <w:r>
        <w:rPr>
          <w:rStyle w:val="35"/>
          <w:rFonts w:hint="eastAsia" w:ascii="宋体" w:hAnsi="宋体" w:eastAsia="宋体"/>
          <w:color w:val="auto"/>
          <w:highlight w:val="none"/>
        </w:rPr>
        <w:t>21.5</w:t>
      </w:r>
      <w:r>
        <w:rPr>
          <w:rStyle w:val="35"/>
          <w:rFonts w:hint="eastAsia" w:ascii="宋体" w:hAnsi="宋体" w:eastAsia="宋体"/>
          <w:color w:val="auto"/>
          <w:highlight w:val="none"/>
          <w:u w:val="single"/>
        </w:rPr>
        <w:t>承包人在施工过程中涉及的设计变更、签证与计量、材料价格核定以及工程款和竣工结算审核等工作</w:t>
      </w:r>
      <w:r>
        <w:rPr>
          <w:rStyle w:val="35"/>
          <w:rFonts w:hint="eastAsia" w:ascii="宋体" w:hAnsi="宋体" w:eastAsia="宋体"/>
          <w:color w:val="auto"/>
          <w:highlight w:val="none"/>
        </w:rPr>
        <w:t>，</w:t>
      </w:r>
      <w:r>
        <w:rPr>
          <w:rStyle w:val="35"/>
          <w:rFonts w:hint="eastAsia" w:ascii="宋体" w:hAnsi="宋体" w:eastAsia="宋体"/>
          <w:color w:val="auto"/>
          <w:highlight w:val="none"/>
          <w:u w:val="single"/>
        </w:rPr>
        <w:t>需严格按发包人相关管理办法以及程序执行</w:t>
      </w:r>
      <w:r>
        <w:rPr>
          <w:rStyle w:val="35"/>
          <w:rFonts w:hint="eastAsia" w:ascii="宋体" w:hAnsi="宋体" w:eastAsia="宋体"/>
          <w:bCs/>
          <w:color w:val="auto"/>
          <w:highlight w:val="none"/>
        </w:rPr>
        <w:t>。</w:t>
      </w:r>
    </w:p>
    <w:p w14:paraId="0332B2D1">
      <w:pPr>
        <w:pStyle w:val="135"/>
        <w:widowControl/>
        <w:adjustRightInd w:val="0"/>
        <w:snapToGrid w:val="0"/>
        <w:spacing w:line="360" w:lineRule="auto"/>
        <w:ind w:firstLine="424" w:firstLineChars="202"/>
        <w:rPr>
          <w:rStyle w:val="35"/>
          <w:rFonts w:hint="eastAsia" w:ascii="宋体" w:hAnsi="宋体" w:eastAsia="宋体"/>
          <w:color w:val="auto"/>
          <w:highlight w:val="none"/>
          <w:u w:val="single"/>
        </w:rPr>
      </w:pPr>
      <w:r>
        <w:rPr>
          <w:rStyle w:val="35"/>
          <w:rFonts w:hint="eastAsia" w:ascii="宋体" w:hAnsi="宋体" w:eastAsia="宋体"/>
          <w:color w:val="auto"/>
          <w:highlight w:val="none"/>
        </w:rPr>
        <w:t>21.6</w:t>
      </w:r>
      <w:r>
        <w:rPr>
          <w:rStyle w:val="35"/>
          <w:rFonts w:hint="eastAsia" w:ascii="宋体" w:hAnsi="宋体" w:eastAsia="宋体"/>
          <w:color w:val="auto"/>
          <w:highlight w:val="none"/>
          <w:u w:val="single"/>
        </w:rPr>
        <w:t>承包人必须按月支付人工费</w:t>
      </w:r>
      <w:r>
        <w:rPr>
          <w:rStyle w:val="35"/>
          <w:rFonts w:hint="eastAsia" w:ascii="宋体" w:hAnsi="宋体" w:eastAsia="宋体"/>
          <w:color w:val="auto"/>
          <w:highlight w:val="none"/>
        </w:rPr>
        <w:t>，</w:t>
      </w:r>
      <w:r>
        <w:rPr>
          <w:rStyle w:val="35"/>
          <w:rFonts w:hint="eastAsia" w:ascii="宋体" w:hAnsi="宋体" w:eastAsia="宋体"/>
          <w:color w:val="auto"/>
          <w:highlight w:val="none"/>
          <w:u w:val="single"/>
        </w:rPr>
        <w:t>若有拖欠人工工资款时</w:t>
      </w:r>
      <w:r>
        <w:rPr>
          <w:rStyle w:val="35"/>
          <w:rFonts w:hint="eastAsia" w:ascii="宋体" w:hAnsi="宋体" w:eastAsia="宋体"/>
          <w:color w:val="auto"/>
          <w:highlight w:val="none"/>
        </w:rPr>
        <w:t>，</w:t>
      </w:r>
      <w:r>
        <w:rPr>
          <w:rStyle w:val="35"/>
          <w:rFonts w:hint="eastAsia" w:ascii="宋体" w:hAnsi="宋体" w:eastAsia="宋体"/>
          <w:color w:val="auto"/>
          <w:highlight w:val="none"/>
          <w:u w:val="single"/>
        </w:rPr>
        <w:t>业主有权从月进度款支付中扣除</w:t>
      </w:r>
      <w:r>
        <w:rPr>
          <w:rStyle w:val="35"/>
          <w:rFonts w:hint="eastAsia" w:ascii="宋体" w:hAnsi="宋体" w:eastAsia="宋体"/>
          <w:color w:val="auto"/>
          <w:highlight w:val="none"/>
        </w:rPr>
        <w:t>，</w:t>
      </w:r>
      <w:r>
        <w:rPr>
          <w:rStyle w:val="35"/>
          <w:rFonts w:hint="eastAsia" w:ascii="宋体" w:hAnsi="宋体" w:eastAsia="宋体"/>
          <w:color w:val="auto"/>
          <w:highlight w:val="none"/>
          <w:u w:val="single"/>
        </w:rPr>
        <w:t>直接支付人工工资</w:t>
      </w:r>
      <w:r>
        <w:rPr>
          <w:rStyle w:val="35"/>
          <w:rFonts w:hint="eastAsia" w:ascii="宋体" w:hAnsi="宋体" w:eastAsia="宋体"/>
          <w:color w:val="auto"/>
          <w:highlight w:val="none"/>
        </w:rPr>
        <w:t>，</w:t>
      </w:r>
      <w:r>
        <w:rPr>
          <w:rStyle w:val="35"/>
          <w:rFonts w:hint="eastAsia" w:ascii="宋体" w:hAnsi="宋体" w:eastAsia="宋体"/>
          <w:color w:val="auto"/>
          <w:highlight w:val="none"/>
          <w:u w:val="single"/>
        </w:rPr>
        <w:t>承包人并因此承担工程结算总价0.1%的违约责任</w:t>
      </w:r>
      <w:r>
        <w:rPr>
          <w:rStyle w:val="35"/>
          <w:rFonts w:hint="eastAsia" w:ascii="宋体" w:hAnsi="宋体" w:eastAsia="宋体"/>
          <w:bCs/>
          <w:color w:val="auto"/>
          <w:highlight w:val="none"/>
        </w:rPr>
        <w:t>。</w:t>
      </w:r>
    </w:p>
    <w:p w14:paraId="172F1588">
      <w:pPr>
        <w:pStyle w:val="135"/>
        <w:widowControl/>
        <w:adjustRightInd w:val="0"/>
        <w:snapToGrid w:val="0"/>
        <w:spacing w:line="360" w:lineRule="auto"/>
        <w:ind w:firstLine="424" w:firstLineChars="202"/>
        <w:rPr>
          <w:rStyle w:val="35"/>
          <w:rFonts w:hint="eastAsia" w:ascii="宋体" w:hAnsi="宋体" w:eastAsia="宋体"/>
          <w:color w:val="auto"/>
          <w:highlight w:val="none"/>
          <w:u w:val="single"/>
        </w:rPr>
      </w:pPr>
      <w:r>
        <w:rPr>
          <w:rStyle w:val="35"/>
          <w:rFonts w:hint="eastAsia" w:ascii="宋体" w:hAnsi="宋体" w:eastAsia="宋体"/>
          <w:color w:val="auto"/>
          <w:highlight w:val="none"/>
        </w:rPr>
        <w:t>21.7</w:t>
      </w:r>
      <w:r>
        <w:rPr>
          <w:rStyle w:val="35"/>
          <w:rFonts w:hint="eastAsia" w:ascii="宋体" w:hAnsi="宋体" w:eastAsia="宋体"/>
          <w:color w:val="auto"/>
          <w:highlight w:val="none"/>
          <w:u w:val="single"/>
        </w:rPr>
        <w:t>承包人须按《工程建设标准强制性条文》、《建筑工程质量验收统一标准》（GB50300-2013）、国家及地方现行建筑工程各专业工程施工质量验收规范</w:t>
      </w:r>
      <w:r>
        <w:rPr>
          <w:rStyle w:val="35"/>
          <w:rFonts w:hint="eastAsia" w:ascii="宋体" w:hAnsi="宋体" w:eastAsia="宋体"/>
          <w:color w:val="auto"/>
          <w:highlight w:val="none"/>
        </w:rPr>
        <w:t>，</w:t>
      </w:r>
      <w:r>
        <w:rPr>
          <w:rStyle w:val="35"/>
          <w:rFonts w:hint="eastAsia" w:ascii="宋体" w:hAnsi="宋体" w:eastAsia="宋体"/>
          <w:color w:val="auto"/>
          <w:highlight w:val="none"/>
          <w:u w:val="single"/>
        </w:rPr>
        <w:t>对工程质量一次验收达到合格</w:t>
      </w:r>
      <w:r>
        <w:rPr>
          <w:rStyle w:val="35"/>
          <w:rFonts w:hint="eastAsia" w:ascii="宋体" w:hAnsi="宋体" w:eastAsia="宋体"/>
          <w:color w:val="auto"/>
          <w:highlight w:val="none"/>
        </w:rPr>
        <w:t>，</w:t>
      </w:r>
      <w:r>
        <w:rPr>
          <w:rStyle w:val="35"/>
          <w:rFonts w:hint="eastAsia" w:ascii="宋体" w:hAnsi="宋体" w:eastAsia="宋体"/>
          <w:color w:val="auto"/>
          <w:highlight w:val="none"/>
          <w:u w:val="single"/>
        </w:rPr>
        <w:t>否则</w:t>
      </w:r>
      <w:r>
        <w:rPr>
          <w:rStyle w:val="35"/>
          <w:rFonts w:hint="eastAsia" w:ascii="宋体" w:hAnsi="宋体" w:eastAsia="宋体"/>
          <w:color w:val="auto"/>
          <w:highlight w:val="none"/>
        </w:rPr>
        <w:t>，</w:t>
      </w:r>
      <w:r>
        <w:rPr>
          <w:rStyle w:val="35"/>
          <w:rFonts w:hint="eastAsia" w:ascii="宋体" w:hAnsi="宋体" w:eastAsia="宋体"/>
          <w:color w:val="auto"/>
          <w:highlight w:val="none"/>
          <w:u w:val="single"/>
        </w:rPr>
        <w:t>属承包人违约</w:t>
      </w:r>
      <w:r>
        <w:rPr>
          <w:rStyle w:val="35"/>
          <w:rFonts w:hint="eastAsia" w:ascii="宋体" w:hAnsi="宋体" w:eastAsia="宋体"/>
          <w:color w:val="auto"/>
          <w:highlight w:val="none"/>
        </w:rPr>
        <w:t>。</w:t>
      </w:r>
      <w:r>
        <w:rPr>
          <w:rStyle w:val="35"/>
          <w:rFonts w:hint="eastAsia" w:ascii="宋体" w:hAnsi="宋体" w:eastAsia="宋体"/>
          <w:color w:val="auto"/>
          <w:highlight w:val="none"/>
          <w:u w:val="single"/>
        </w:rPr>
        <w:t>除承包人返修达到合格外</w:t>
      </w:r>
      <w:r>
        <w:rPr>
          <w:rStyle w:val="35"/>
          <w:rFonts w:hint="eastAsia" w:ascii="宋体" w:hAnsi="宋体" w:eastAsia="宋体"/>
          <w:color w:val="auto"/>
          <w:highlight w:val="none"/>
        </w:rPr>
        <w:t>，</w:t>
      </w:r>
      <w:r>
        <w:rPr>
          <w:rStyle w:val="35"/>
          <w:rFonts w:hint="eastAsia" w:ascii="宋体" w:hAnsi="宋体" w:eastAsia="宋体"/>
          <w:color w:val="auto"/>
          <w:highlight w:val="none"/>
          <w:u w:val="single"/>
        </w:rPr>
        <w:t>发包人按本项目结算总价的0.2%处罚承包人（同时如工期违约仍按上条执行）</w:t>
      </w:r>
      <w:r>
        <w:rPr>
          <w:rStyle w:val="35"/>
          <w:rFonts w:hint="eastAsia" w:ascii="宋体" w:hAnsi="宋体" w:eastAsia="宋体"/>
          <w:color w:val="auto"/>
          <w:highlight w:val="none"/>
        </w:rPr>
        <w:t>，</w:t>
      </w:r>
      <w:r>
        <w:rPr>
          <w:rStyle w:val="35"/>
          <w:rFonts w:hint="eastAsia" w:ascii="宋体" w:hAnsi="宋体" w:eastAsia="宋体"/>
          <w:color w:val="auto"/>
          <w:highlight w:val="none"/>
          <w:u w:val="single"/>
        </w:rPr>
        <w:t>且承包人自行承担因此而造成的损失及赔偿责任</w:t>
      </w:r>
      <w:r>
        <w:rPr>
          <w:rStyle w:val="35"/>
          <w:rFonts w:hint="eastAsia" w:ascii="宋体" w:hAnsi="宋体" w:eastAsia="宋体"/>
          <w:bCs/>
          <w:color w:val="auto"/>
          <w:highlight w:val="none"/>
        </w:rPr>
        <w:t>。</w:t>
      </w:r>
    </w:p>
    <w:p w14:paraId="2561F21B">
      <w:pPr>
        <w:pStyle w:val="135"/>
        <w:widowControl/>
        <w:adjustRightInd w:val="0"/>
        <w:snapToGrid w:val="0"/>
        <w:spacing w:line="360" w:lineRule="auto"/>
        <w:ind w:firstLine="424" w:firstLineChars="202"/>
        <w:rPr>
          <w:rStyle w:val="35"/>
          <w:rFonts w:hint="eastAsia" w:ascii="宋体" w:hAnsi="宋体" w:eastAsia="宋体"/>
          <w:color w:val="auto"/>
          <w:highlight w:val="none"/>
          <w:u w:val="single"/>
        </w:rPr>
      </w:pPr>
      <w:r>
        <w:rPr>
          <w:rStyle w:val="35"/>
          <w:rFonts w:hint="eastAsia" w:ascii="宋体" w:hAnsi="宋体" w:eastAsia="宋体"/>
          <w:color w:val="auto"/>
          <w:highlight w:val="none"/>
        </w:rPr>
        <w:t>21.8</w:t>
      </w:r>
      <w:r>
        <w:rPr>
          <w:rStyle w:val="35"/>
          <w:rFonts w:hint="eastAsia" w:ascii="宋体" w:hAnsi="宋体" w:eastAsia="宋体"/>
          <w:color w:val="auto"/>
          <w:highlight w:val="none"/>
          <w:u w:val="single"/>
        </w:rPr>
        <w:t>承包人应在施工中注意排查地下管线</w:t>
      </w:r>
      <w:r>
        <w:rPr>
          <w:rStyle w:val="35"/>
          <w:rFonts w:hint="eastAsia" w:ascii="宋体" w:hAnsi="宋体" w:eastAsia="宋体"/>
          <w:color w:val="auto"/>
          <w:highlight w:val="none"/>
        </w:rPr>
        <w:t>，</w:t>
      </w:r>
      <w:r>
        <w:rPr>
          <w:rStyle w:val="35"/>
          <w:rFonts w:hint="eastAsia" w:ascii="宋体" w:hAnsi="宋体" w:eastAsia="宋体"/>
          <w:color w:val="auto"/>
          <w:highlight w:val="none"/>
          <w:u w:val="single"/>
        </w:rPr>
        <w:t>做到安全文明施工</w:t>
      </w:r>
      <w:r>
        <w:rPr>
          <w:rStyle w:val="35"/>
          <w:rFonts w:hint="eastAsia" w:ascii="宋体" w:hAnsi="宋体" w:eastAsia="宋体"/>
          <w:color w:val="auto"/>
          <w:highlight w:val="none"/>
        </w:rPr>
        <w:t>。</w:t>
      </w:r>
      <w:r>
        <w:rPr>
          <w:rStyle w:val="35"/>
          <w:rFonts w:hint="eastAsia" w:ascii="宋体" w:hAnsi="宋体" w:eastAsia="宋体"/>
          <w:color w:val="auto"/>
          <w:highlight w:val="none"/>
          <w:u w:val="single"/>
        </w:rPr>
        <w:t>发现地下管网等不安全隐患时应采取措施加以保护</w:t>
      </w:r>
      <w:r>
        <w:rPr>
          <w:rStyle w:val="35"/>
          <w:rFonts w:hint="eastAsia" w:ascii="宋体" w:hAnsi="宋体" w:eastAsia="宋体"/>
          <w:color w:val="auto"/>
          <w:highlight w:val="none"/>
        </w:rPr>
        <w:t>。</w:t>
      </w:r>
      <w:r>
        <w:rPr>
          <w:rStyle w:val="35"/>
          <w:rFonts w:hint="eastAsia" w:ascii="宋体" w:hAnsi="宋体" w:eastAsia="宋体"/>
          <w:color w:val="auto"/>
          <w:highlight w:val="none"/>
          <w:u w:val="single"/>
        </w:rPr>
        <w:t>对突发隐患险情应积极组织力量排危抢险</w:t>
      </w:r>
      <w:r>
        <w:rPr>
          <w:rStyle w:val="35"/>
          <w:rFonts w:hint="eastAsia" w:ascii="宋体" w:hAnsi="宋体" w:eastAsia="宋体"/>
          <w:color w:val="auto"/>
          <w:highlight w:val="none"/>
        </w:rPr>
        <w:t>，</w:t>
      </w:r>
      <w:r>
        <w:rPr>
          <w:rStyle w:val="35"/>
          <w:rFonts w:hint="eastAsia" w:ascii="宋体" w:hAnsi="宋体" w:eastAsia="宋体"/>
          <w:color w:val="auto"/>
          <w:highlight w:val="none"/>
          <w:u w:val="single"/>
        </w:rPr>
        <w:t>并同时联络有关单位施救并及时通报监理单位和发包人</w:t>
      </w:r>
      <w:r>
        <w:rPr>
          <w:rStyle w:val="35"/>
          <w:rFonts w:hint="eastAsia" w:ascii="宋体" w:hAnsi="宋体" w:eastAsia="宋体"/>
          <w:bCs/>
          <w:color w:val="auto"/>
          <w:highlight w:val="none"/>
        </w:rPr>
        <w:t>。</w:t>
      </w:r>
    </w:p>
    <w:p w14:paraId="1DB2F93A">
      <w:pPr>
        <w:pStyle w:val="135"/>
        <w:widowControl/>
        <w:adjustRightInd w:val="0"/>
        <w:snapToGrid w:val="0"/>
        <w:spacing w:line="360" w:lineRule="auto"/>
        <w:ind w:firstLine="424" w:firstLineChars="202"/>
        <w:rPr>
          <w:rStyle w:val="35"/>
          <w:rFonts w:hint="eastAsia" w:ascii="宋体" w:hAnsi="宋体" w:eastAsia="宋体"/>
          <w:color w:val="auto"/>
          <w:highlight w:val="none"/>
          <w:u w:val="single"/>
        </w:rPr>
      </w:pPr>
      <w:r>
        <w:rPr>
          <w:rStyle w:val="35"/>
          <w:rFonts w:hint="eastAsia" w:ascii="宋体" w:hAnsi="宋体" w:eastAsia="宋体"/>
          <w:color w:val="auto"/>
          <w:highlight w:val="none"/>
        </w:rPr>
        <w:t>21.9</w:t>
      </w:r>
      <w:r>
        <w:rPr>
          <w:rStyle w:val="35"/>
          <w:rFonts w:hint="eastAsia" w:ascii="宋体" w:hAnsi="宋体" w:eastAsia="宋体"/>
          <w:color w:val="auto"/>
          <w:highlight w:val="none"/>
          <w:u w:val="single"/>
        </w:rPr>
        <w:t>因承包人原因解除合同</w:t>
      </w:r>
      <w:r>
        <w:rPr>
          <w:rStyle w:val="35"/>
          <w:rFonts w:hint="eastAsia" w:ascii="宋体" w:hAnsi="宋体" w:eastAsia="宋体"/>
          <w:color w:val="auto"/>
          <w:highlight w:val="none"/>
        </w:rPr>
        <w:t>，</w:t>
      </w:r>
      <w:r>
        <w:rPr>
          <w:rStyle w:val="35"/>
          <w:rFonts w:hint="eastAsia" w:ascii="宋体" w:hAnsi="宋体" w:eastAsia="宋体"/>
          <w:color w:val="auto"/>
          <w:highlight w:val="none"/>
          <w:u w:val="single"/>
        </w:rPr>
        <w:t>发包人将扣除全部履约保证金</w:t>
      </w:r>
      <w:r>
        <w:rPr>
          <w:rStyle w:val="35"/>
          <w:rFonts w:hint="eastAsia" w:ascii="宋体" w:hAnsi="宋体" w:eastAsia="宋体"/>
          <w:color w:val="auto"/>
          <w:highlight w:val="none"/>
        </w:rPr>
        <w:t>，</w:t>
      </w:r>
      <w:r>
        <w:rPr>
          <w:rStyle w:val="35"/>
          <w:rFonts w:hint="eastAsia" w:ascii="宋体" w:hAnsi="宋体" w:eastAsia="宋体"/>
          <w:color w:val="auto"/>
          <w:highlight w:val="none"/>
          <w:u w:val="single"/>
        </w:rPr>
        <w:t>并对已完成工程量按相应结算依据执行</w:t>
      </w:r>
      <w:r>
        <w:rPr>
          <w:rStyle w:val="35"/>
          <w:rFonts w:hint="eastAsia" w:ascii="宋体" w:hAnsi="宋体" w:eastAsia="宋体"/>
          <w:bCs/>
          <w:color w:val="auto"/>
          <w:highlight w:val="none"/>
        </w:rPr>
        <w:t>。</w:t>
      </w:r>
    </w:p>
    <w:p w14:paraId="0D522C49">
      <w:pPr>
        <w:spacing w:line="360" w:lineRule="auto"/>
        <w:ind w:firstLine="420" w:firstLineChars="200"/>
        <w:jc w:val="left"/>
        <w:rPr>
          <w:rFonts w:hint="eastAsia" w:hAnsi="宋体" w:cs="宋体"/>
          <w:color w:val="auto"/>
          <w:highlight w:val="none"/>
        </w:rPr>
      </w:pPr>
      <w:r>
        <w:rPr>
          <w:rStyle w:val="35"/>
          <w:rFonts w:hint="eastAsia" w:ascii="宋体" w:hAnsi="宋体" w:eastAsia="宋体" w:cs="Times New Roman"/>
          <w:color w:val="auto"/>
          <w:highlight w:val="none"/>
        </w:rPr>
        <w:t>21.10</w:t>
      </w:r>
      <w:r>
        <w:rPr>
          <w:rStyle w:val="35"/>
          <w:rFonts w:hint="eastAsia" w:ascii="宋体" w:hAnsi="宋体" w:eastAsia="宋体" w:cs="Times New Roman"/>
          <w:color w:val="auto"/>
          <w:highlight w:val="none"/>
          <w:u w:val="single"/>
        </w:rPr>
        <w:t>未尽事宜双方协商签订补充协议解决。</w:t>
      </w:r>
    </w:p>
    <w:p w14:paraId="77BE28AC">
      <w:pPr>
        <w:spacing w:line="360" w:lineRule="auto"/>
        <w:jc w:val="left"/>
        <w:rPr>
          <w:rFonts w:hint="eastAsia" w:eastAsia="黑体" w:cs="黑体"/>
          <w:b/>
          <w:bCs/>
          <w:color w:val="auto"/>
          <w:sz w:val="28"/>
          <w:szCs w:val="28"/>
          <w:highlight w:val="none"/>
        </w:rPr>
      </w:pPr>
    </w:p>
    <w:p w14:paraId="00B9E588">
      <w:pPr>
        <w:spacing w:line="360" w:lineRule="auto"/>
        <w:jc w:val="left"/>
        <w:rPr>
          <w:rFonts w:hint="eastAsia" w:eastAsia="黑体" w:cs="黑体"/>
          <w:b/>
          <w:bCs/>
          <w:color w:val="auto"/>
          <w:sz w:val="28"/>
          <w:szCs w:val="28"/>
          <w:highlight w:val="none"/>
        </w:rPr>
      </w:pPr>
    </w:p>
    <w:p w14:paraId="5F044EBA">
      <w:pPr>
        <w:spacing w:line="360" w:lineRule="auto"/>
        <w:jc w:val="left"/>
        <w:rPr>
          <w:rFonts w:eastAsia="黑体"/>
          <w:b/>
          <w:bCs/>
          <w:color w:val="auto"/>
          <w:sz w:val="28"/>
          <w:szCs w:val="28"/>
          <w:highlight w:val="none"/>
        </w:rPr>
      </w:pPr>
      <w:r>
        <w:rPr>
          <w:rFonts w:hint="eastAsia" w:eastAsia="黑体" w:cs="黑体"/>
          <w:b/>
          <w:bCs/>
          <w:color w:val="auto"/>
          <w:sz w:val="28"/>
          <w:szCs w:val="28"/>
          <w:highlight w:val="none"/>
        </w:rPr>
        <w:t>附件</w:t>
      </w:r>
    </w:p>
    <w:p w14:paraId="5CCE1D6B">
      <w:pPr>
        <w:spacing w:line="360" w:lineRule="auto"/>
        <w:jc w:val="left"/>
        <w:rPr>
          <w:rFonts w:ascii="宋体" w:hAnsi="宋体" w:cs="宋体"/>
          <w:color w:val="auto"/>
          <w:szCs w:val="21"/>
          <w:highlight w:val="none"/>
        </w:rPr>
      </w:pPr>
      <w:r>
        <w:rPr>
          <w:rFonts w:hint="eastAsia" w:ascii="宋体" w:hAnsi="宋体" w:cs="宋体"/>
          <w:color w:val="auto"/>
          <w:szCs w:val="21"/>
          <w:highlight w:val="none"/>
        </w:rPr>
        <w:t>附件</w:t>
      </w:r>
      <w:r>
        <w:rPr>
          <w:rFonts w:ascii="宋体" w:hAnsi="宋体" w:cs="宋体"/>
          <w:color w:val="auto"/>
          <w:szCs w:val="21"/>
          <w:highlight w:val="none"/>
        </w:rPr>
        <w:t>1</w:t>
      </w:r>
      <w:r>
        <w:rPr>
          <w:rFonts w:hint="eastAsia" w:ascii="宋体" w:hAnsi="宋体" w:cs="宋体"/>
          <w:color w:val="auto"/>
          <w:szCs w:val="21"/>
          <w:highlight w:val="none"/>
        </w:rPr>
        <w:t>：承包人承揽工程项目一览表</w:t>
      </w:r>
    </w:p>
    <w:p w14:paraId="4A7F7BF0">
      <w:pPr>
        <w:spacing w:line="360" w:lineRule="auto"/>
        <w:jc w:val="left"/>
        <w:rPr>
          <w:rFonts w:ascii="宋体" w:hAnsi="宋体" w:cs="宋体"/>
          <w:color w:val="auto"/>
          <w:szCs w:val="21"/>
          <w:highlight w:val="none"/>
        </w:rPr>
      </w:pPr>
      <w:r>
        <w:rPr>
          <w:rFonts w:hint="eastAsia" w:ascii="宋体" w:hAnsi="宋体" w:cs="宋体"/>
          <w:color w:val="auto"/>
          <w:szCs w:val="21"/>
          <w:highlight w:val="none"/>
        </w:rPr>
        <w:t>附件2：工程质量保修书</w:t>
      </w:r>
    </w:p>
    <w:p w14:paraId="7BA0BA97">
      <w:pPr>
        <w:spacing w:line="360" w:lineRule="auto"/>
        <w:jc w:val="left"/>
        <w:rPr>
          <w:rFonts w:ascii="宋体" w:hAnsi="宋体" w:cs="宋体"/>
          <w:color w:val="auto"/>
          <w:szCs w:val="21"/>
          <w:highlight w:val="none"/>
        </w:rPr>
      </w:pPr>
      <w:r>
        <w:rPr>
          <w:rFonts w:ascii="宋体" w:hAnsi="宋体" w:cs="宋体"/>
          <w:color w:val="auto"/>
          <w:szCs w:val="21"/>
          <w:highlight w:val="none"/>
        </w:rPr>
        <w:t>附件</w:t>
      </w:r>
      <w:r>
        <w:rPr>
          <w:rFonts w:hint="eastAsia" w:ascii="宋体" w:hAnsi="宋体" w:cs="宋体"/>
          <w:color w:val="auto"/>
          <w:szCs w:val="21"/>
          <w:highlight w:val="none"/>
        </w:rPr>
        <w:t>3</w:t>
      </w:r>
      <w:r>
        <w:rPr>
          <w:rFonts w:ascii="宋体" w:hAnsi="宋体" w:cs="宋体"/>
          <w:color w:val="auto"/>
          <w:szCs w:val="21"/>
          <w:highlight w:val="none"/>
        </w:rPr>
        <w:t>：主要建设工程文件目录</w:t>
      </w:r>
    </w:p>
    <w:p w14:paraId="6927B728">
      <w:pPr>
        <w:spacing w:line="360" w:lineRule="auto"/>
        <w:jc w:val="left"/>
        <w:rPr>
          <w:rFonts w:ascii="宋体" w:hAnsi="宋体" w:cs="宋体"/>
          <w:color w:val="auto"/>
          <w:szCs w:val="21"/>
          <w:highlight w:val="none"/>
        </w:rPr>
      </w:pPr>
      <w:r>
        <w:rPr>
          <w:rFonts w:hint="eastAsia" w:ascii="宋体" w:hAnsi="宋体" w:cs="宋体"/>
          <w:color w:val="auto"/>
          <w:szCs w:val="21"/>
          <w:highlight w:val="none"/>
        </w:rPr>
        <w:t>附件4：承包人用于本工程施工的机械设备表</w:t>
      </w:r>
    </w:p>
    <w:p w14:paraId="4309D9CA">
      <w:pPr>
        <w:spacing w:line="360" w:lineRule="auto"/>
        <w:jc w:val="left"/>
        <w:rPr>
          <w:rFonts w:ascii="宋体"/>
          <w:color w:val="auto"/>
          <w:szCs w:val="21"/>
          <w:highlight w:val="none"/>
        </w:rPr>
      </w:pPr>
      <w:r>
        <w:rPr>
          <w:rFonts w:hint="eastAsia" w:ascii="宋体" w:hAnsi="宋体" w:cs="宋体"/>
          <w:color w:val="auto"/>
          <w:szCs w:val="21"/>
          <w:highlight w:val="none"/>
        </w:rPr>
        <w:t>附件5：承包人主要施工管理人员表</w:t>
      </w:r>
    </w:p>
    <w:p w14:paraId="3AA4859F">
      <w:pPr>
        <w:spacing w:line="360" w:lineRule="auto"/>
        <w:jc w:val="left"/>
        <w:rPr>
          <w:rFonts w:ascii="宋体"/>
          <w:color w:val="auto"/>
          <w:szCs w:val="21"/>
          <w:highlight w:val="none"/>
        </w:rPr>
      </w:pPr>
      <w:r>
        <w:rPr>
          <w:rFonts w:hint="eastAsia" w:ascii="宋体" w:hAnsi="宋体" w:cs="宋体"/>
          <w:color w:val="auto"/>
          <w:szCs w:val="21"/>
          <w:highlight w:val="none"/>
        </w:rPr>
        <w:t>附件6：分包人主要施工管理人员表</w:t>
      </w:r>
    </w:p>
    <w:p w14:paraId="37ACE34A">
      <w:pPr>
        <w:spacing w:line="360" w:lineRule="auto"/>
        <w:jc w:val="left"/>
        <w:rPr>
          <w:rFonts w:ascii="宋体"/>
          <w:color w:val="auto"/>
          <w:szCs w:val="21"/>
          <w:highlight w:val="none"/>
        </w:rPr>
      </w:pPr>
      <w:r>
        <w:rPr>
          <w:rFonts w:hint="eastAsia" w:ascii="宋体" w:hAnsi="宋体" w:cs="宋体"/>
          <w:color w:val="auto"/>
          <w:szCs w:val="21"/>
          <w:highlight w:val="none"/>
        </w:rPr>
        <w:t>附件7：履约担保格式</w:t>
      </w:r>
    </w:p>
    <w:p w14:paraId="5418A595">
      <w:pPr>
        <w:spacing w:line="360" w:lineRule="auto"/>
        <w:jc w:val="left"/>
        <w:rPr>
          <w:rFonts w:ascii="宋体" w:hAnsi="宋体" w:cs="宋体"/>
          <w:color w:val="auto"/>
          <w:szCs w:val="21"/>
          <w:highlight w:val="none"/>
        </w:rPr>
      </w:pPr>
      <w:r>
        <w:rPr>
          <w:rFonts w:hint="eastAsia" w:ascii="宋体" w:hAnsi="宋体" w:cs="宋体"/>
          <w:color w:val="auto"/>
          <w:szCs w:val="21"/>
          <w:highlight w:val="none"/>
        </w:rPr>
        <w:t>附件8：预付款担保格式</w:t>
      </w:r>
    </w:p>
    <w:p w14:paraId="7C56DB6A">
      <w:pPr>
        <w:spacing w:line="360" w:lineRule="auto"/>
        <w:jc w:val="left"/>
        <w:rPr>
          <w:rFonts w:ascii="宋体" w:hAnsi="宋体" w:cs="宋体"/>
          <w:color w:val="auto"/>
          <w:szCs w:val="21"/>
          <w:highlight w:val="none"/>
        </w:rPr>
      </w:pPr>
      <w:r>
        <w:rPr>
          <w:rFonts w:hint="eastAsia" w:ascii="宋体" w:hAnsi="宋体" w:cs="宋体"/>
          <w:color w:val="auto"/>
          <w:szCs w:val="21"/>
          <w:highlight w:val="none"/>
        </w:rPr>
        <w:t>附件9：支付担保格式</w:t>
      </w:r>
    </w:p>
    <w:p w14:paraId="4FC1B20C">
      <w:pPr>
        <w:spacing w:line="360" w:lineRule="auto"/>
        <w:jc w:val="left"/>
        <w:rPr>
          <w:color w:val="auto"/>
          <w:szCs w:val="21"/>
          <w:highlight w:val="none"/>
        </w:rPr>
      </w:pPr>
      <w:r>
        <w:rPr>
          <w:rFonts w:hint="eastAsia" w:ascii="宋体" w:hAnsi="宋体" w:cs="宋体"/>
          <w:color w:val="auto"/>
          <w:szCs w:val="21"/>
          <w:highlight w:val="none"/>
        </w:rPr>
        <w:t>附件10：预付款</w:t>
      </w:r>
      <w:r>
        <w:rPr>
          <w:rFonts w:hint="eastAsia"/>
          <w:color w:val="auto"/>
          <w:szCs w:val="21"/>
          <w:highlight w:val="none"/>
        </w:rPr>
        <w:t>支付申请（核准）表</w:t>
      </w:r>
    </w:p>
    <w:p w14:paraId="11D0AD92">
      <w:pPr>
        <w:spacing w:line="360" w:lineRule="auto"/>
        <w:jc w:val="left"/>
        <w:rPr>
          <w:color w:val="auto"/>
          <w:szCs w:val="21"/>
          <w:highlight w:val="none"/>
        </w:rPr>
      </w:pPr>
      <w:r>
        <w:rPr>
          <w:rFonts w:hint="eastAsia" w:ascii="宋体" w:hAnsi="宋体" w:cs="宋体"/>
          <w:color w:val="auto"/>
          <w:szCs w:val="21"/>
          <w:highlight w:val="none"/>
        </w:rPr>
        <w:t>附件11：</w:t>
      </w:r>
      <w:r>
        <w:rPr>
          <w:rFonts w:hint="eastAsia"/>
          <w:color w:val="auto"/>
          <w:szCs w:val="21"/>
          <w:highlight w:val="none"/>
        </w:rPr>
        <w:t>进度款支付申请（核准）表</w:t>
      </w:r>
    </w:p>
    <w:p w14:paraId="4DD1FAE6">
      <w:pPr>
        <w:spacing w:line="360" w:lineRule="auto"/>
        <w:jc w:val="left"/>
        <w:rPr>
          <w:color w:val="auto"/>
          <w:szCs w:val="21"/>
          <w:highlight w:val="none"/>
        </w:rPr>
      </w:pPr>
      <w:r>
        <w:rPr>
          <w:rFonts w:hint="eastAsia" w:ascii="宋体" w:hAnsi="宋体" w:cs="宋体"/>
          <w:color w:val="auto"/>
          <w:szCs w:val="21"/>
          <w:highlight w:val="none"/>
        </w:rPr>
        <w:t>附件12：竣工结算</w:t>
      </w:r>
      <w:r>
        <w:rPr>
          <w:rFonts w:hint="eastAsia"/>
          <w:color w:val="auto"/>
          <w:szCs w:val="21"/>
          <w:highlight w:val="none"/>
        </w:rPr>
        <w:t>款支付申请（核准）表</w:t>
      </w:r>
    </w:p>
    <w:p w14:paraId="4B71CC92">
      <w:pPr>
        <w:spacing w:line="360" w:lineRule="auto"/>
        <w:jc w:val="left"/>
        <w:rPr>
          <w:color w:val="auto"/>
          <w:szCs w:val="21"/>
          <w:highlight w:val="none"/>
        </w:rPr>
      </w:pPr>
      <w:r>
        <w:rPr>
          <w:rFonts w:hint="eastAsia" w:ascii="宋体" w:hAnsi="宋体" w:cs="宋体"/>
          <w:color w:val="auto"/>
          <w:szCs w:val="21"/>
          <w:highlight w:val="none"/>
        </w:rPr>
        <w:t>附件13：最终结算</w:t>
      </w:r>
      <w:r>
        <w:rPr>
          <w:rFonts w:hint="eastAsia"/>
          <w:color w:val="auto"/>
          <w:szCs w:val="21"/>
          <w:highlight w:val="none"/>
        </w:rPr>
        <w:t>款支付申请（核准）表</w:t>
      </w:r>
    </w:p>
    <w:p w14:paraId="6111DA75">
      <w:pPr>
        <w:spacing w:line="360" w:lineRule="auto"/>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附件14：总价合同进度款支付分解表</w:t>
      </w:r>
    </w:p>
    <w:p w14:paraId="2F1B9254">
      <w:pPr>
        <w:spacing w:line="360" w:lineRule="auto"/>
        <w:jc w:val="left"/>
        <w:rPr>
          <w:rFonts w:hint="eastAsia" w:ascii="宋体" w:hAnsi="宋体" w:eastAsia="宋体" w:cs="宋体"/>
          <w:color w:val="auto"/>
          <w:highlight w:val="none"/>
        </w:rPr>
      </w:pPr>
      <w:r>
        <w:rPr>
          <w:rFonts w:hint="eastAsia" w:ascii="宋体" w:hAnsi="宋体" w:eastAsia="宋体" w:cs="宋体"/>
          <w:color w:val="auto"/>
          <w:highlight w:val="none"/>
        </w:rPr>
        <w:t>附件15：廉政合同</w:t>
      </w:r>
    </w:p>
    <w:p w14:paraId="200A2828">
      <w:pPr>
        <w:spacing w:line="360" w:lineRule="auto"/>
        <w:jc w:val="left"/>
        <w:rPr>
          <w:rFonts w:hint="eastAsia" w:ascii="宋体" w:hAnsi="宋体" w:eastAsia="宋体" w:cs="宋体"/>
          <w:color w:val="auto"/>
          <w:highlight w:val="none"/>
        </w:rPr>
      </w:pPr>
      <w:r>
        <w:rPr>
          <w:rFonts w:hint="eastAsia" w:ascii="宋体" w:hAnsi="宋体" w:eastAsia="宋体" w:cs="宋体"/>
          <w:color w:val="auto"/>
          <w:highlight w:val="none"/>
        </w:rPr>
        <w:t>附件16：安全生产合同</w:t>
      </w:r>
    </w:p>
    <w:p w14:paraId="1BFB3528">
      <w:pPr>
        <w:spacing w:line="360" w:lineRule="auto"/>
        <w:jc w:val="left"/>
        <w:rPr>
          <w:rFonts w:hint="eastAsia"/>
          <w:color w:val="auto"/>
          <w:szCs w:val="21"/>
          <w:highlight w:val="none"/>
        </w:rPr>
      </w:pPr>
    </w:p>
    <w:p w14:paraId="218A74DD">
      <w:pPr>
        <w:spacing w:line="360" w:lineRule="auto"/>
        <w:ind w:firstLine="420" w:firstLineChars="200"/>
        <w:rPr>
          <w:color w:val="auto"/>
          <w:szCs w:val="21"/>
          <w:highlight w:val="none"/>
        </w:rPr>
      </w:pPr>
    </w:p>
    <w:p w14:paraId="4F7D0BF9">
      <w:pPr>
        <w:spacing w:line="360" w:lineRule="auto"/>
        <w:ind w:firstLine="420" w:firstLineChars="200"/>
        <w:rPr>
          <w:color w:val="auto"/>
          <w:szCs w:val="21"/>
          <w:highlight w:val="none"/>
        </w:rPr>
      </w:pPr>
    </w:p>
    <w:p w14:paraId="0B45B8C4">
      <w:pPr>
        <w:widowControl/>
        <w:spacing w:line="360" w:lineRule="auto"/>
        <w:jc w:val="left"/>
        <w:rPr>
          <w:rFonts w:ascii="仿宋_GB2312" w:eastAsia="仿宋_GB2312" w:cs="仿宋_GB2312"/>
          <w:color w:val="auto"/>
          <w:sz w:val="30"/>
          <w:szCs w:val="30"/>
          <w:highlight w:val="none"/>
        </w:rPr>
      </w:pPr>
      <w:r>
        <w:rPr>
          <w:rFonts w:ascii="仿宋_GB2312" w:eastAsia="仿宋_GB2312" w:cs="仿宋_GB2312"/>
          <w:color w:val="auto"/>
          <w:sz w:val="30"/>
          <w:szCs w:val="30"/>
          <w:highlight w:val="none"/>
        </w:rPr>
        <w:br w:type="page"/>
      </w:r>
    </w:p>
    <w:p w14:paraId="1A759FBE">
      <w:pPr>
        <w:spacing w:beforeLines="50" w:afterLines="50" w:line="360" w:lineRule="auto"/>
        <w:jc w:val="left"/>
        <w:rPr>
          <w:rFonts w:ascii="仿宋_GB2312" w:eastAsia="仿宋_GB2312"/>
          <w:color w:val="auto"/>
          <w:sz w:val="30"/>
          <w:szCs w:val="30"/>
          <w:highlight w:val="none"/>
        </w:rPr>
      </w:pPr>
      <w:r>
        <w:rPr>
          <w:rFonts w:hint="eastAsia" w:ascii="仿宋_GB2312" w:eastAsia="仿宋_GB2312" w:cs="仿宋_GB2312"/>
          <w:color w:val="auto"/>
          <w:sz w:val="30"/>
          <w:szCs w:val="30"/>
          <w:highlight w:val="none"/>
        </w:rPr>
        <w:t>附件</w:t>
      </w:r>
      <w:r>
        <w:rPr>
          <w:rFonts w:ascii="仿宋_GB2312" w:eastAsia="仿宋_GB2312" w:cs="仿宋_GB2312"/>
          <w:color w:val="auto"/>
          <w:sz w:val="30"/>
          <w:szCs w:val="30"/>
          <w:highlight w:val="none"/>
        </w:rPr>
        <w:t>1</w:t>
      </w:r>
      <w:r>
        <w:rPr>
          <w:rFonts w:hint="eastAsia" w:ascii="仿宋_GB2312" w:eastAsia="仿宋_GB2312" w:cs="仿宋_GB2312"/>
          <w:color w:val="auto"/>
          <w:sz w:val="30"/>
          <w:szCs w:val="30"/>
          <w:highlight w:val="none"/>
        </w:rPr>
        <w:t>：</w:t>
      </w:r>
    </w:p>
    <w:p w14:paraId="410C9E9B">
      <w:pPr>
        <w:spacing w:beforeLines="50" w:afterLines="50" w:line="360" w:lineRule="auto"/>
        <w:jc w:val="center"/>
        <w:rPr>
          <w:rFonts w:eastAsia="黑体"/>
          <w:color w:val="auto"/>
          <w:sz w:val="30"/>
          <w:szCs w:val="30"/>
          <w:highlight w:val="none"/>
        </w:rPr>
      </w:pPr>
      <w:r>
        <w:rPr>
          <w:rFonts w:hint="eastAsia" w:eastAsia="黑体" w:cs="黑体"/>
          <w:color w:val="auto"/>
          <w:sz w:val="30"/>
          <w:szCs w:val="30"/>
          <w:highlight w:val="none"/>
        </w:rPr>
        <w:t>承包人承揽工程项目一览表</w:t>
      </w:r>
    </w:p>
    <w:tbl>
      <w:tblPr>
        <w:tblStyle w:val="33"/>
        <w:tblW w:w="1078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999"/>
        <w:gridCol w:w="880"/>
        <w:gridCol w:w="1600"/>
        <w:gridCol w:w="957"/>
        <w:gridCol w:w="705"/>
        <w:gridCol w:w="1294"/>
        <w:gridCol w:w="1763"/>
        <w:gridCol w:w="1175"/>
        <w:gridCol w:w="705"/>
        <w:gridCol w:w="705"/>
      </w:tblGrid>
      <w:tr w14:paraId="27321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18" w:hRule="atLeast"/>
          <w:jc w:val="center"/>
        </w:trPr>
        <w:tc>
          <w:tcPr>
            <w:tcW w:w="999" w:type="dxa"/>
            <w:vAlign w:val="center"/>
          </w:tcPr>
          <w:p w14:paraId="538867DE">
            <w:pPr>
              <w:keepNext/>
              <w:adjustRightInd w:val="0"/>
              <w:spacing w:line="360" w:lineRule="auto"/>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rPr>
              <w:t>单位工程名称</w:t>
            </w:r>
          </w:p>
        </w:tc>
        <w:tc>
          <w:tcPr>
            <w:tcW w:w="880" w:type="dxa"/>
            <w:vAlign w:val="center"/>
          </w:tcPr>
          <w:p w14:paraId="32A10AE3">
            <w:pPr>
              <w:keepNext/>
              <w:adjustRightInd w:val="0"/>
              <w:spacing w:line="360" w:lineRule="auto"/>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rPr>
              <w:t>建设规模</w:t>
            </w:r>
          </w:p>
        </w:tc>
        <w:tc>
          <w:tcPr>
            <w:tcW w:w="1600" w:type="dxa"/>
            <w:vAlign w:val="center"/>
          </w:tcPr>
          <w:p w14:paraId="538172AA">
            <w:pPr>
              <w:keepNext/>
              <w:adjustRightInd w:val="0"/>
              <w:spacing w:line="360" w:lineRule="auto"/>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rPr>
              <w:t>建筑面积</w:t>
            </w:r>
            <w:r>
              <w:rPr>
                <w:rFonts w:eastAsia="仿宋_GB2312"/>
                <w:color w:val="auto"/>
                <w:sz w:val="28"/>
                <w:szCs w:val="28"/>
                <w:highlight w:val="none"/>
              </w:rPr>
              <w:t>(</w:t>
            </w:r>
            <w:r>
              <w:rPr>
                <w:rFonts w:hint="eastAsia" w:eastAsia="仿宋_GB2312" w:cs="仿宋_GB2312"/>
                <w:color w:val="auto"/>
                <w:sz w:val="28"/>
                <w:szCs w:val="28"/>
                <w:highlight w:val="none"/>
              </w:rPr>
              <w:t>平方米</w:t>
            </w:r>
            <w:r>
              <w:rPr>
                <w:rFonts w:eastAsia="仿宋_GB2312"/>
                <w:color w:val="auto"/>
                <w:sz w:val="28"/>
                <w:szCs w:val="28"/>
                <w:highlight w:val="none"/>
              </w:rPr>
              <w:t>)</w:t>
            </w:r>
          </w:p>
        </w:tc>
        <w:tc>
          <w:tcPr>
            <w:tcW w:w="957" w:type="dxa"/>
            <w:vAlign w:val="center"/>
          </w:tcPr>
          <w:p w14:paraId="5E5BBBE5">
            <w:pPr>
              <w:keepNext/>
              <w:adjustRightInd w:val="0"/>
              <w:spacing w:line="360" w:lineRule="auto"/>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rPr>
              <w:t>结构形式</w:t>
            </w:r>
          </w:p>
        </w:tc>
        <w:tc>
          <w:tcPr>
            <w:tcW w:w="705" w:type="dxa"/>
            <w:vAlign w:val="center"/>
          </w:tcPr>
          <w:p w14:paraId="36B539BC">
            <w:pPr>
              <w:keepNext/>
              <w:adjustRightInd w:val="0"/>
              <w:spacing w:line="360" w:lineRule="auto"/>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rPr>
              <w:t>层数</w:t>
            </w:r>
          </w:p>
        </w:tc>
        <w:tc>
          <w:tcPr>
            <w:tcW w:w="1294" w:type="dxa"/>
            <w:vAlign w:val="center"/>
          </w:tcPr>
          <w:p w14:paraId="3BE892DC">
            <w:pPr>
              <w:keepNext/>
              <w:adjustRightInd w:val="0"/>
              <w:spacing w:line="360" w:lineRule="auto"/>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rPr>
              <w:t>生产能力</w:t>
            </w:r>
          </w:p>
        </w:tc>
        <w:tc>
          <w:tcPr>
            <w:tcW w:w="1763" w:type="dxa"/>
            <w:vAlign w:val="center"/>
          </w:tcPr>
          <w:p w14:paraId="6E7D643D">
            <w:pPr>
              <w:keepNext/>
              <w:adjustRightInd w:val="0"/>
              <w:spacing w:line="360" w:lineRule="auto"/>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rPr>
              <w:t>设备安装内容</w:t>
            </w:r>
          </w:p>
        </w:tc>
        <w:tc>
          <w:tcPr>
            <w:tcW w:w="1175" w:type="dxa"/>
            <w:vAlign w:val="center"/>
          </w:tcPr>
          <w:p w14:paraId="6A594C07">
            <w:pPr>
              <w:keepNext/>
              <w:adjustRightInd w:val="0"/>
              <w:spacing w:line="360" w:lineRule="auto"/>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rPr>
              <w:t>合同价格（元）</w:t>
            </w:r>
          </w:p>
        </w:tc>
        <w:tc>
          <w:tcPr>
            <w:tcW w:w="705" w:type="dxa"/>
            <w:vAlign w:val="center"/>
          </w:tcPr>
          <w:p w14:paraId="334A8F6A">
            <w:pPr>
              <w:keepNext/>
              <w:adjustRightInd w:val="0"/>
              <w:spacing w:line="360" w:lineRule="auto"/>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rPr>
              <w:t>开工日期</w:t>
            </w:r>
          </w:p>
        </w:tc>
        <w:tc>
          <w:tcPr>
            <w:tcW w:w="705" w:type="dxa"/>
            <w:vAlign w:val="center"/>
          </w:tcPr>
          <w:p w14:paraId="1DC84D76">
            <w:pPr>
              <w:keepNext/>
              <w:adjustRightInd w:val="0"/>
              <w:spacing w:line="360" w:lineRule="auto"/>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rPr>
              <w:t>竣工日期</w:t>
            </w:r>
          </w:p>
        </w:tc>
      </w:tr>
      <w:tr w14:paraId="357EE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66" w:hRule="atLeast"/>
          <w:jc w:val="center"/>
        </w:trPr>
        <w:tc>
          <w:tcPr>
            <w:tcW w:w="999" w:type="dxa"/>
            <w:vAlign w:val="center"/>
          </w:tcPr>
          <w:p w14:paraId="6FBA6410">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880" w:type="dxa"/>
            <w:vAlign w:val="center"/>
          </w:tcPr>
          <w:p w14:paraId="7D21B138">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1600" w:type="dxa"/>
            <w:vAlign w:val="center"/>
          </w:tcPr>
          <w:p w14:paraId="01F5E192">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957" w:type="dxa"/>
            <w:vAlign w:val="center"/>
          </w:tcPr>
          <w:p w14:paraId="4726E819">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705" w:type="dxa"/>
            <w:vAlign w:val="center"/>
          </w:tcPr>
          <w:p w14:paraId="0B7A7950">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1294" w:type="dxa"/>
            <w:vAlign w:val="center"/>
          </w:tcPr>
          <w:p w14:paraId="61CAAEEC">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1763" w:type="dxa"/>
            <w:vAlign w:val="center"/>
          </w:tcPr>
          <w:p w14:paraId="6C2C8667">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1175" w:type="dxa"/>
            <w:vAlign w:val="center"/>
          </w:tcPr>
          <w:p w14:paraId="5DA17C38">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705" w:type="dxa"/>
            <w:vAlign w:val="center"/>
          </w:tcPr>
          <w:p w14:paraId="4FD8BD34">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705" w:type="dxa"/>
            <w:vAlign w:val="center"/>
          </w:tcPr>
          <w:p w14:paraId="6D52DF2C">
            <w:pPr>
              <w:keepNext/>
              <w:adjustRightInd w:val="0"/>
              <w:spacing w:line="360" w:lineRule="auto"/>
              <w:ind w:left="63" w:leftChars="30" w:right="63" w:rightChars="30"/>
              <w:jc w:val="center"/>
              <w:textAlignment w:val="baseline"/>
              <w:rPr>
                <w:rFonts w:eastAsia="仿宋_GB2312"/>
                <w:color w:val="auto"/>
                <w:sz w:val="30"/>
                <w:szCs w:val="30"/>
                <w:highlight w:val="none"/>
              </w:rPr>
            </w:pPr>
          </w:p>
        </w:tc>
      </w:tr>
      <w:tr w14:paraId="46210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66" w:hRule="atLeast"/>
          <w:jc w:val="center"/>
        </w:trPr>
        <w:tc>
          <w:tcPr>
            <w:tcW w:w="999" w:type="dxa"/>
            <w:vAlign w:val="center"/>
          </w:tcPr>
          <w:p w14:paraId="4BD50350">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880" w:type="dxa"/>
            <w:vAlign w:val="center"/>
          </w:tcPr>
          <w:p w14:paraId="5E1B5050">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1600" w:type="dxa"/>
            <w:vAlign w:val="center"/>
          </w:tcPr>
          <w:p w14:paraId="279F9DDB">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957" w:type="dxa"/>
            <w:vAlign w:val="center"/>
          </w:tcPr>
          <w:p w14:paraId="79DD0D9C">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705" w:type="dxa"/>
            <w:vAlign w:val="center"/>
          </w:tcPr>
          <w:p w14:paraId="5539039C">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1294" w:type="dxa"/>
            <w:vAlign w:val="center"/>
          </w:tcPr>
          <w:p w14:paraId="172F5B51">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1763" w:type="dxa"/>
            <w:vAlign w:val="center"/>
          </w:tcPr>
          <w:p w14:paraId="11649502">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1175" w:type="dxa"/>
            <w:vAlign w:val="center"/>
          </w:tcPr>
          <w:p w14:paraId="65C424E7">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705" w:type="dxa"/>
            <w:vAlign w:val="center"/>
          </w:tcPr>
          <w:p w14:paraId="39B1E259">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705" w:type="dxa"/>
            <w:vAlign w:val="center"/>
          </w:tcPr>
          <w:p w14:paraId="5C4BECCD">
            <w:pPr>
              <w:keepNext/>
              <w:adjustRightInd w:val="0"/>
              <w:spacing w:line="360" w:lineRule="auto"/>
              <w:ind w:left="63" w:leftChars="30" w:right="63" w:rightChars="30"/>
              <w:jc w:val="center"/>
              <w:textAlignment w:val="baseline"/>
              <w:rPr>
                <w:rFonts w:eastAsia="仿宋_GB2312"/>
                <w:color w:val="auto"/>
                <w:sz w:val="30"/>
                <w:szCs w:val="30"/>
                <w:highlight w:val="none"/>
              </w:rPr>
            </w:pPr>
          </w:p>
        </w:tc>
      </w:tr>
      <w:tr w14:paraId="5AB8A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66" w:hRule="atLeast"/>
          <w:jc w:val="center"/>
        </w:trPr>
        <w:tc>
          <w:tcPr>
            <w:tcW w:w="999" w:type="dxa"/>
            <w:vAlign w:val="center"/>
          </w:tcPr>
          <w:p w14:paraId="704C7814">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880" w:type="dxa"/>
            <w:vAlign w:val="center"/>
          </w:tcPr>
          <w:p w14:paraId="5C6FAD57">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1600" w:type="dxa"/>
            <w:vAlign w:val="center"/>
          </w:tcPr>
          <w:p w14:paraId="600DBEE2">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957" w:type="dxa"/>
            <w:vAlign w:val="center"/>
          </w:tcPr>
          <w:p w14:paraId="7E7AEE93">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705" w:type="dxa"/>
            <w:vAlign w:val="center"/>
          </w:tcPr>
          <w:p w14:paraId="1BC74B59">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1294" w:type="dxa"/>
            <w:vAlign w:val="center"/>
          </w:tcPr>
          <w:p w14:paraId="76B9959E">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1763" w:type="dxa"/>
            <w:vAlign w:val="center"/>
          </w:tcPr>
          <w:p w14:paraId="2407BBE7">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1175" w:type="dxa"/>
            <w:vAlign w:val="center"/>
          </w:tcPr>
          <w:p w14:paraId="64B51293">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705" w:type="dxa"/>
            <w:vAlign w:val="center"/>
          </w:tcPr>
          <w:p w14:paraId="56BAEA57">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705" w:type="dxa"/>
            <w:vAlign w:val="center"/>
          </w:tcPr>
          <w:p w14:paraId="3276E54A">
            <w:pPr>
              <w:keepNext/>
              <w:adjustRightInd w:val="0"/>
              <w:spacing w:line="360" w:lineRule="auto"/>
              <w:ind w:left="63" w:leftChars="30" w:right="63" w:rightChars="30"/>
              <w:jc w:val="center"/>
              <w:textAlignment w:val="baseline"/>
              <w:rPr>
                <w:rFonts w:eastAsia="仿宋_GB2312"/>
                <w:color w:val="auto"/>
                <w:sz w:val="30"/>
                <w:szCs w:val="30"/>
                <w:highlight w:val="none"/>
              </w:rPr>
            </w:pPr>
          </w:p>
        </w:tc>
      </w:tr>
      <w:tr w14:paraId="230CF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66" w:hRule="atLeast"/>
          <w:jc w:val="center"/>
        </w:trPr>
        <w:tc>
          <w:tcPr>
            <w:tcW w:w="999" w:type="dxa"/>
            <w:vAlign w:val="center"/>
          </w:tcPr>
          <w:p w14:paraId="7218FA90">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880" w:type="dxa"/>
            <w:vAlign w:val="center"/>
          </w:tcPr>
          <w:p w14:paraId="5D79D4FA">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1600" w:type="dxa"/>
            <w:vAlign w:val="center"/>
          </w:tcPr>
          <w:p w14:paraId="78ABA2F0">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957" w:type="dxa"/>
            <w:vAlign w:val="center"/>
          </w:tcPr>
          <w:p w14:paraId="5F4002F1">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705" w:type="dxa"/>
            <w:vAlign w:val="center"/>
          </w:tcPr>
          <w:p w14:paraId="0CD23E61">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1294" w:type="dxa"/>
            <w:vAlign w:val="center"/>
          </w:tcPr>
          <w:p w14:paraId="76A2C964">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1763" w:type="dxa"/>
            <w:vAlign w:val="center"/>
          </w:tcPr>
          <w:p w14:paraId="624B6F2E">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1175" w:type="dxa"/>
            <w:vAlign w:val="center"/>
          </w:tcPr>
          <w:p w14:paraId="7B653FBA">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705" w:type="dxa"/>
            <w:vAlign w:val="center"/>
          </w:tcPr>
          <w:p w14:paraId="5D07370D">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705" w:type="dxa"/>
            <w:vAlign w:val="center"/>
          </w:tcPr>
          <w:p w14:paraId="1B1CC283">
            <w:pPr>
              <w:keepNext/>
              <w:adjustRightInd w:val="0"/>
              <w:spacing w:line="360" w:lineRule="auto"/>
              <w:ind w:left="63" w:leftChars="30" w:right="63" w:rightChars="30"/>
              <w:jc w:val="center"/>
              <w:textAlignment w:val="baseline"/>
              <w:rPr>
                <w:rFonts w:eastAsia="仿宋_GB2312"/>
                <w:color w:val="auto"/>
                <w:sz w:val="30"/>
                <w:szCs w:val="30"/>
                <w:highlight w:val="none"/>
              </w:rPr>
            </w:pPr>
          </w:p>
        </w:tc>
      </w:tr>
      <w:tr w14:paraId="514F5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66" w:hRule="atLeast"/>
          <w:jc w:val="center"/>
        </w:trPr>
        <w:tc>
          <w:tcPr>
            <w:tcW w:w="999" w:type="dxa"/>
            <w:vAlign w:val="center"/>
          </w:tcPr>
          <w:p w14:paraId="673F867A">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880" w:type="dxa"/>
            <w:vAlign w:val="center"/>
          </w:tcPr>
          <w:p w14:paraId="09CFC036">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1600" w:type="dxa"/>
            <w:vAlign w:val="center"/>
          </w:tcPr>
          <w:p w14:paraId="2FA12040">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957" w:type="dxa"/>
            <w:vAlign w:val="center"/>
          </w:tcPr>
          <w:p w14:paraId="34862432">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705" w:type="dxa"/>
            <w:vAlign w:val="center"/>
          </w:tcPr>
          <w:p w14:paraId="2C73EB8D">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1294" w:type="dxa"/>
            <w:vAlign w:val="center"/>
          </w:tcPr>
          <w:p w14:paraId="17ABA92D">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1763" w:type="dxa"/>
            <w:vAlign w:val="center"/>
          </w:tcPr>
          <w:p w14:paraId="10A3131B">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1175" w:type="dxa"/>
            <w:vAlign w:val="center"/>
          </w:tcPr>
          <w:p w14:paraId="36C2D978">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705" w:type="dxa"/>
            <w:vAlign w:val="center"/>
          </w:tcPr>
          <w:p w14:paraId="1094C2F5">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705" w:type="dxa"/>
            <w:vAlign w:val="center"/>
          </w:tcPr>
          <w:p w14:paraId="4448EA4C">
            <w:pPr>
              <w:keepNext/>
              <w:adjustRightInd w:val="0"/>
              <w:spacing w:line="360" w:lineRule="auto"/>
              <w:ind w:left="63" w:leftChars="30" w:right="63" w:rightChars="30"/>
              <w:jc w:val="center"/>
              <w:textAlignment w:val="baseline"/>
              <w:rPr>
                <w:rFonts w:eastAsia="仿宋_GB2312"/>
                <w:color w:val="auto"/>
                <w:sz w:val="30"/>
                <w:szCs w:val="30"/>
                <w:highlight w:val="none"/>
              </w:rPr>
            </w:pPr>
          </w:p>
        </w:tc>
      </w:tr>
      <w:tr w14:paraId="6B076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66" w:hRule="atLeast"/>
          <w:jc w:val="center"/>
        </w:trPr>
        <w:tc>
          <w:tcPr>
            <w:tcW w:w="999" w:type="dxa"/>
            <w:vAlign w:val="center"/>
          </w:tcPr>
          <w:p w14:paraId="54E76A36">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880" w:type="dxa"/>
            <w:vAlign w:val="center"/>
          </w:tcPr>
          <w:p w14:paraId="61983214">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1600" w:type="dxa"/>
            <w:vAlign w:val="center"/>
          </w:tcPr>
          <w:p w14:paraId="611F44E5">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957" w:type="dxa"/>
            <w:vAlign w:val="center"/>
          </w:tcPr>
          <w:p w14:paraId="20691280">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705" w:type="dxa"/>
            <w:vAlign w:val="center"/>
          </w:tcPr>
          <w:p w14:paraId="7D45BC6B">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1294" w:type="dxa"/>
            <w:vAlign w:val="center"/>
          </w:tcPr>
          <w:p w14:paraId="32F28E54">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1763" w:type="dxa"/>
            <w:vAlign w:val="center"/>
          </w:tcPr>
          <w:p w14:paraId="2740A807">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1175" w:type="dxa"/>
            <w:vAlign w:val="center"/>
          </w:tcPr>
          <w:p w14:paraId="08A89C85">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705" w:type="dxa"/>
            <w:vAlign w:val="center"/>
          </w:tcPr>
          <w:p w14:paraId="1A19A86A">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705" w:type="dxa"/>
            <w:vAlign w:val="center"/>
          </w:tcPr>
          <w:p w14:paraId="780A579C">
            <w:pPr>
              <w:keepNext/>
              <w:adjustRightInd w:val="0"/>
              <w:spacing w:line="360" w:lineRule="auto"/>
              <w:ind w:left="63" w:leftChars="30" w:right="63" w:rightChars="30"/>
              <w:jc w:val="center"/>
              <w:textAlignment w:val="baseline"/>
              <w:rPr>
                <w:rFonts w:eastAsia="仿宋_GB2312"/>
                <w:color w:val="auto"/>
                <w:sz w:val="30"/>
                <w:szCs w:val="30"/>
                <w:highlight w:val="none"/>
              </w:rPr>
            </w:pPr>
          </w:p>
        </w:tc>
      </w:tr>
      <w:tr w14:paraId="3F0E0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66" w:hRule="atLeast"/>
          <w:jc w:val="center"/>
        </w:trPr>
        <w:tc>
          <w:tcPr>
            <w:tcW w:w="999" w:type="dxa"/>
            <w:vAlign w:val="center"/>
          </w:tcPr>
          <w:p w14:paraId="6AF58B50">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880" w:type="dxa"/>
            <w:vAlign w:val="center"/>
          </w:tcPr>
          <w:p w14:paraId="2D23947D">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1600" w:type="dxa"/>
            <w:vAlign w:val="center"/>
          </w:tcPr>
          <w:p w14:paraId="52976BBA">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957" w:type="dxa"/>
            <w:vAlign w:val="center"/>
          </w:tcPr>
          <w:p w14:paraId="426389BC">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705" w:type="dxa"/>
            <w:vAlign w:val="center"/>
          </w:tcPr>
          <w:p w14:paraId="76A419E0">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1294" w:type="dxa"/>
            <w:vAlign w:val="center"/>
          </w:tcPr>
          <w:p w14:paraId="60D613EA">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1763" w:type="dxa"/>
            <w:vAlign w:val="center"/>
          </w:tcPr>
          <w:p w14:paraId="1D013E4F">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1175" w:type="dxa"/>
            <w:vAlign w:val="center"/>
          </w:tcPr>
          <w:p w14:paraId="600ED9D8">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705" w:type="dxa"/>
            <w:vAlign w:val="center"/>
          </w:tcPr>
          <w:p w14:paraId="4DFCA844">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705" w:type="dxa"/>
            <w:vAlign w:val="center"/>
          </w:tcPr>
          <w:p w14:paraId="7D3970FE">
            <w:pPr>
              <w:keepNext/>
              <w:adjustRightInd w:val="0"/>
              <w:spacing w:line="360" w:lineRule="auto"/>
              <w:ind w:left="63" w:leftChars="30" w:right="63" w:rightChars="30"/>
              <w:jc w:val="center"/>
              <w:textAlignment w:val="baseline"/>
              <w:rPr>
                <w:rFonts w:eastAsia="仿宋_GB2312"/>
                <w:color w:val="auto"/>
                <w:sz w:val="30"/>
                <w:szCs w:val="30"/>
                <w:highlight w:val="none"/>
              </w:rPr>
            </w:pPr>
          </w:p>
        </w:tc>
      </w:tr>
      <w:tr w14:paraId="5EF8C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66" w:hRule="atLeast"/>
          <w:jc w:val="center"/>
        </w:trPr>
        <w:tc>
          <w:tcPr>
            <w:tcW w:w="999" w:type="dxa"/>
            <w:vAlign w:val="center"/>
          </w:tcPr>
          <w:p w14:paraId="1EF01127">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880" w:type="dxa"/>
            <w:vAlign w:val="center"/>
          </w:tcPr>
          <w:p w14:paraId="3CFB048B">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1600" w:type="dxa"/>
            <w:vAlign w:val="center"/>
          </w:tcPr>
          <w:p w14:paraId="7AD5C0B7">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957" w:type="dxa"/>
            <w:vAlign w:val="center"/>
          </w:tcPr>
          <w:p w14:paraId="24997747">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705" w:type="dxa"/>
            <w:vAlign w:val="center"/>
          </w:tcPr>
          <w:p w14:paraId="12F64C33">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1294" w:type="dxa"/>
            <w:vAlign w:val="center"/>
          </w:tcPr>
          <w:p w14:paraId="16AD02B2">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1763" w:type="dxa"/>
            <w:vAlign w:val="center"/>
          </w:tcPr>
          <w:p w14:paraId="15149EFC">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1175" w:type="dxa"/>
            <w:vAlign w:val="center"/>
          </w:tcPr>
          <w:p w14:paraId="3E51CC89">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705" w:type="dxa"/>
            <w:vAlign w:val="center"/>
          </w:tcPr>
          <w:p w14:paraId="0F055A35">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705" w:type="dxa"/>
            <w:vAlign w:val="center"/>
          </w:tcPr>
          <w:p w14:paraId="494D87F2">
            <w:pPr>
              <w:keepNext/>
              <w:adjustRightInd w:val="0"/>
              <w:spacing w:line="360" w:lineRule="auto"/>
              <w:ind w:left="63" w:leftChars="30" w:right="63" w:rightChars="30"/>
              <w:jc w:val="center"/>
              <w:textAlignment w:val="baseline"/>
              <w:rPr>
                <w:rFonts w:eastAsia="仿宋_GB2312"/>
                <w:color w:val="auto"/>
                <w:sz w:val="30"/>
                <w:szCs w:val="30"/>
                <w:highlight w:val="none"/>
              </w:rPr>
            </w:pPr>
          </w:p>
        </w:tc>
      </w:tr>
      <w:tr w14:paraId="5F0F1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66" w:hRule="atLeast"/>
          <w:jc w:val="center"/>
        </w:trPr>
        <w:tc>
          <w:tcPr>
            <w:tcW w:w="999" w:type="dxa"/>
            <w:vAlign w:val="center"/>
          </w:tcPr>
          <w:p w14:paraId="27DEA2D9">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880" w:type="dxa"/>
            <w:vAlign w:val="center"/>
          </w:tcPr>
          <w:p w14:paraId="41EFE23F">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1600" w:type="dxa"/>
            <w:vAlign w:val="center"/>
          </w:tcPr>
          <w:p w14:paraId="731ECCF0">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957" w:type="dxa"/>
            <w:vAlign w:val="center"/>
          </w:tcPr>
          <w:p w14:paraId="3B40348D">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705" w:type="dxa"/>
            <w:vAlign w:val="center"/>
          </w:tcPr>
          <w:p w14:paraId="61899FF6">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1294" w:type="dxa"/>
            <w:vAlign w:val="center"/>
          </w:tcPr>
          <w:p w14:paraId="3D20FF18">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1763" w:type="dxa"/>
            <w:vAlign w:val="center"/>
          </w:tcPr>
          <w:p w14:paraId="557ED236">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1175" w:type="dxa"/>
            <w:vAlign w:val="center"/>
          </w:tcPr>
          <w:p w14:paraId="58C5C8E4">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705" w:type="dxa"/>
            <w:vAlign w:val="center"/>
          </w:tcPr>
          <w:p w14:paraId="46A6BC4C">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705" w:type="dxa"/>
            <w:vAlign w:val="center"/>
          </w:tcPr>
          <w:p w14:paraId="2C75AA2A">
            <w:pPr>
              <w:keepNext/>
              <w:adjustRightInd w:val="0"/>
              <w:spacing w:line="360" w:lineRule="auto"/>
              <w:ind w:left="63" w:leftChars="30" w:right="63" w:rightChars="30"/>
              <w:jc w:val="center"/>
              <w:textAlignment w:val="baseline"/>
              <w:rPr>
                <w:rFonts w:eastAsia="仿宋_GB2312"/>
                <w:color w:val="auto"/>
                <w:sz w:val="30"/>
                <w:szCs w:val="30"/>
                <w:highlight w:val="none"/>
              </w:rPr>
            </w:pPr>
          </w:p>
        </w:tc>
      </w:tr>
      <w:tr w14:paraId="219F4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74" w:hRule="atLeast"/>
          <w:jc w:val="center"/>
        </w:trPr>
        <w:tc>
          <w:tcPr>
            <w:tcW w:w="999" w:type="dxa"/>
            <w:vAlign w:val="center"/>
          </w:tcPr>
          <w:p w14:paraId="33C5CD27">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880" w:type="dxa"/>
            <w:vAlign w:val="center"/>
          </w:tcPr>
          <w:p w14:paraId="5C676EAD">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1600" w:type="dxa"/>
            <w:vAlign w:val="center"/>
          </w:tcPr>
          <w:p w14:paraId="31851260">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957" w:type="dxa"/>
            <w:vAlign w:val="center"/>
          </w:tcPr>
          <w:p w14:paraId="5FB4F30F">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705" w:type="dxa"/>
            <w:vAlign w:val="center"/>
          </w:tcPr>
          <w:p w14:paraId="18283DD7">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1294" w:type="dxa"/>
            <w:vAlign w:val="center"/>
          </w:tcPr>
          <w:p w14:paraId="2C0980AE">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1763" w:type="dxa"/>
            <w:vAlign w:val="center"/>
          </w:tcPr>
          <w:p w14:paraId="7B5E77FA">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1175" w:type="dxa"/>
            <w:vAlign w:val="center"/>
          </w:tcPr>
          <w:p w14:paraId="1242941F">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705" w:type="dxa"/>
            <w:vAlign w:val="center"/>
          </w:tcPr>
          <w:p w14:paraId="6AAD4934">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705" w:type="dxa"/>
            <w:vAlign w:val="center"/>
          </w:tcPr>
          <w:p w14:paraId="6D32FC96">
            <w:pPr>
              <w:keepNext/>
              <w:adjustRightInd w:val="0"/>
              <w:spacing w:line="360" w:lineRule="auto"/>
              <w:ind w:left="63" w:leftChars="30" w:right="63" w:rightChars="30"/>
              <w:jc w:val="center"/>
              <w:textAlignment w:val="baseline"/>
              <w:rPr>
                <w:rFonts w:eastAsia="仿宋_GB2312"/>
                <w:color w:val="auto"/>
                <w:sz w:val="30"/>
                <w:szCs w:val="30"/>
                <w:highlight w:val="none"/>
              </w:rPr>
            </w:pPr>
          </w:p>
        </w:tc>
      </w:tr>
    </w:tbl>
    <w:p w14:paraId="388DAA48">
      <w:pPr>
        <w:spacing w:line="360" w:lineRule="auto"/>
        <w:ind w:firstLine="420" w:firstLineChars="200"/>
        <w:rPr>
          <w:color w:val="auto"/>
          <w:szCs w:val="21"/>
          <w:highlight w:val="none"/>
        </w:rPr>
      </w:pPr>
    </w:p>
    <w:p w14:paraId="5F92D1E7">
      <w:pPr>
        <w:spacing w:line="360" w:lineRule="auto"/>
        <w:ind w:firstLine="420" w:firstLineChars="200"/>
        <w:rPr>
          <w:color w:val="auto"/>
          <w:szCs w:val="21"/>
          <w:highlight w:val="none"/>
        </w:rPr>
      </w:pPr>
    </w:p>
    <w:p w14:paraId="3E5EB50C">
      <w:pPr>
        <w:widowControl/>
        <w:spacing w:line="360" w:lineRule="auto"/>
        <w:jc w:val="left"/>
        <w:rPr>
          <w:rFonts w:hAnsi="宋体" w:cs="宋体"/>
          <w:color w:val="auto"/>
          <w:sz w:val="30"/>
          <w:szCs w:val="30"/>
          <w:highlight w:val="none"/>
        </w:rPr>
      </w:pPr>
      <w:r>
        <w:rPr>
          <w:rFonts w:hAnsi="宋体" w:cs="宋体"/>
          <w:color w:val="auto"/>
          <w:sz w:val="30"/>
          <w:szCs w:val="30"/>
          <w:highlight w:val="none"/>
        </w:rPr>
        <w:br w:type="page"/>
      </w:r>
    </w:p>
    <w:p w14:paraId="3751C418">
      <w:pPr>
        <w:spacing w:line="360" w:lineRule="auto"/>
        <w:rPr>
          <w:color w:val="auto"/>
          <w:sz w:val="30"/>
          <w:szCs w:val="30"/>
          <w:highlight w:val="none"/>
        </w:rPr>
      </w:pPr>
      <w:r>
        <w:rPr>
          <w:rFonts w:hint="eastAsia" w:hAnsi="宋体" w:cs="宋体"/>
          <w:color w:val="auto"/>
          <w:sz w:val="30"/>
          <w:szCs w:val="30"/>
          <w:highlight w:val="none"/>
        </w:rPr>
        <w:t>附件</w:t>
      </w:r>
      <w:r>
        <w:rPr>
          <w:rFonts w:hint="eastAsia"/>
          <w:color w:val="auto"/>
          <w:sz w:val="30"/>
          <w:szCs w:val="30"/>
          <w:highlight w:val="none"/>
        </w:rPr>
        <w:t>2</w:t>
      </w:r>
      <w:r>
        <w:rPr>
          <w:rFonts w:hint="eastAsia" w:hAnsi="宋体" w:cs="宋体"/>
          <w:color w:val="auto"/>
          <w:sz w:val="30"/>
          <w:szCs w:val="30"/>
          <w:highlight w:val="none"/>
        </w:rPr>
        <w:t>：</w:t>
      </w:r>
    </w:p>
    <w:p w14:paraId="10EE3C6C">
      <w:pPr>
        <w:spacing w:beforeLines="50" w:afterLines="50" w:line="360" w:lineRule="auto"/>
        <w:jc w:val="center"/>
        <w:rPr>
          <w:rFonts w:ascii="宋体" w:hAnsi="宋体"/>
          <w:color w:val="auto"/>
          <w:sz w:val="32"/>
          <w:szCs w:val="32"/>
          <w:highlight w:val="none"/>
        </w:rPr>
      </w:pPr>
      <w:r>
        <w:rPr>
          <w:rFonts w:hint="eastAsia" w:ascii="宋体" w:hAnsi="宋体"/>
          <w:color w:val="auto"/>
          <w:sz w:val="32"/>
          <w:szCs w:val="32"/>
          <w:highlight w:val="none"/>
        </w:rPr>
        <w:t>工程质量保修书（</w:t>
      </w:r>
      <w:r>
        <w:rPr>
          <w:rFonts w:hint="eastAsia" w:ascii="宋体" w:hAnsi="宋体"/>
          <w:color w:val="auto"/>
          <w:sz w:val="32"/>
          <w:szCs w:val="32"/>
          <w:highlight w:val="none"/>
          <w:lang w:eastAsia="zh-CN"/>
        </w:rPr>
        <w:t>建筑工程</w:t>
      </w:r>
      <w:r>
        <w:rPr>
          <w:rFonts w:hint="eastAsia" w:ascii="宋体" w:hAnsi="宋体"/>
          <w:color w:val="auto"/>
          <w:sz w:val="32"/>
          <w:szCs w:val="32"/>
          <w:highlight w:val="none"/>
        </w:rPr>
        <w:t>）</w:t>
      </w:r>
    </w:p>
    <w:p w14:paraId="48EF6125">
      <w:pPr>
        <w:spacing w:line="360" w:lineRule="auto"/>
        <w:ind w:firstLine="420" w:firstLineChars="200"/>
        <w:rPr>
          <w:rFonts w:ascii="宋体" w:hAnsi="宋体"/>
          <w:color w:val="auto"/>
          <w:szCs w:val="21"/>
          <w:highlight w:val="none"/>
        </w:rPr>
      </w:pPr>
      <w:r>
        <w:rPr>
          <w:rFonts w:ascii="宋体" w:hAnsi="宋体"/>
          <w:color w:val="auto"/>
          <w:szCs w:val="21"/>
          <w:highlight w:val="none"/>
        </w:rPr>
        <w:t>发包人（全称）：</w:t>
      </w:r>
      <w:r>
        <w:rPr>
          <w:rFonts w:hint="eastAsia" w:ascii="宋体" w:hAnsi="宋体"/>
          <w:color w:val="auto"/>
          <w:szCs w:val="21"/>
          <w:highlight w:val="none"/>
          <w:u w:val="single"/>
        </w:rPr>
        <w:t xml:space="preserve">                      </w:t>
      </w:r>
    </w:p>
    <w:p w14:paraId="03B7E4ED">
      <w:pPr>
        <w:spacing w:line="360" w:lineRule="auto"/>
        <w:ind w:firstLine="420" w:firstLineChars="200"/>
        <w:rPr>
          <w:rFonts w:ascii="宋体" w:hAnsi="宋体"/>
          <w:color w:val="auto"/>
          <w:szCs w:val="21"/>
          <w:highlight w:val="none"/>
        </w:rPr>
      </w:pPr>
      <w:r>
        <w:rPr>
          <w:rFonts w:ascii="宋体" w:hAnsi="宋体"/>
          <w:color w:val="auto"/>
          <w:szCs w:val="21"/>
          <w:highlight w:val="none"/>
        </w:rPr>
        <w:t>承包人（全称）：</w:t>
      </w:r>
      <w:r>
        <w:rPr>
          <w:rFonts w:hint="eastAsia" w:ascii="宋体" w:hAnsi="宋体"/>
          <w:color w:val="auto"/>
          <w:szCs w:val="21"/>
          <w:highlight w:val="none"/>
          <w:u w:val="single"/>
        </w:rPr>
        <w:t xml:space="preserve">                      </w:t>
      </w:r>
    </w:p>
    <w:p w14:paraId="790A2B76">
      <w:pPr>
        <w:spacing w:line="360" w:lineRule="auto"/>
        <w:rPr>
          <w:rFonts w:ascii="宋体" w:hAnsi="宋体"/>
          <w:color w:val="auto"/>
          <w:szCs w:val="21"/>
          <w:highlight w:val="none"/>
        </w:rPr>
      </w:pPr>
    </w:p>
    <w:p w14:paraId="66FADB71">
      <w:pPr>
        <w:spacing w:line="360" w:lineRule="auto"/>
        <w:ind w:firstLine="420"/>
        <w:rPr>
          <w:rFonts w:ascii="宋体" w:hAnsi="宋体"/>
          <w:color w:val="auto"/>
          <w:szCs w:val="21"/>
          <w:highlight w:val="none"/>
        </w:rPr>
      </w:pPr>
      <w:r>
        <w:rPr>
          <w:rFonts w:ascii="宋体" w:hAnsi="宋体"/>
          <w:color w:val="auto"/>
          <w:szCs w:val="21"/>
          <w:highlight w:val="none"/>
        </w:rPr>
        <w:t>发包人和承包人根据《中华人民共和国建筑法》和《建设工程质量管理条例》，经协商一致就（工程全称）签订工程质量保修书。</w:t>
      </w:r>
    </w:p>
    <w:p w14:paraId="160FDECB">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一、工程质量保修范围和内容</w:t>
      </w:r>
    </w:p>
    <w:p w14:paraId="76BA45D3">
      <w:pPr>
        <w:spacing w:line="360" w:lineRule="auto"/>
        <w:ind w:firstLine="420" w:firstLineChars="200"/>
        <w:rPr>
          <w:rFonts w:ascii="宋体" w:hAnsi="宋体"/>
          <w:color w:val="auto"/>
          <w:szCs w:val="21"/>
          <w:highlight w:val="none"/>
        </w:rPr>
      </w:pPr>
      <w:r>
        <w:rPr>
          <w:rFonts w:ascii="宋体" w:hAnsi="宋体"/>
          <w:color w:val="auto"/>
          <w:szCs w:val="21"/>
          <w:highlight w:val="none"/>
        </w:rPr>
        <w:t>承包人在质量保修期内，按照有关法律规定和合同约定，承担工程质量保修责任。</w:t>
      </w:r>
    </w:p>
    <w:p w14:paraId="44B8766E">
      <w:pPr>
        <w:spacing w:line="360" w:lineRule="auto"/>
        <w:ind w:firstLine="420" w:firstLineChars="200"/>
        <w:rPr>
          <w:rFonts w:ascii="宋体" w:hAnsi="宋体"/>
          <w:color w:val="auto"/>
          <w:szCs w:val="21"/>
          <w:highlight w:val="none"/>
        </w:rPr>
      </w:pPr>
      <w:r>
        <w:rPr>
          <w:rFonts w:ascii="宋体" w:hAnsi="宋体"/>
          <w:color w:val="auto"/>
          <w:szCs w:val="21"/>
          <w:highlight w:val="none"/>
        </w:rPr>
        <w:t>质量保修范围包括，以及双方约定的其他项目。具体保修的内容，双方约定如下：</w:t>
      </w:r>
      <w:r>
        <w:rPr>
          <w:rFonts w:hint="eastAsia" w:ascii="宋体" w:hAnsi="宋体"/>
          <w:color w:val="auto"/>
          <w:szCs w:val="21"/>
          <w:highlight w:val="none"/>
          <w:u w:val="single"/>
        </w:rPr>
        <w:t xml:space="preserve">                      </w:t>
      </w:r>
      <w:r>
        <w:rPr>
          <w:rFonts w:ascii="宋体" w:hAnsi="宋体"/>
          <w:color w:val="auto"/>
          <w:szCs w:val="21"/>
          <w:highlight w:val="none"/>
        </w:rPr>
        <w:t>。</w:t>
      </w:r>
    </w:p>
    <w:p w14:paraId="475FCAD2">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二、质量保修期</w:t>
      </w:r>
    </w:p>
    <w:p w14:paraId="2608AD6B">
      <w:pPr>
        <w:spacing w:line="360" w:lineRule="auto"/>
        <w:ind w:firstLine="420" w:firstLineChars="200"/>
        <w:rPr>
          <w:rFonts w:ascii="宋体" w:hAnsi="宋体"/>
          <w:color w:val="auto"/>
          <w:szCs w:val="21"/>
          <w:highlight w:val="none"/>
        </w:rPr>
      </w:pPr>
      <w:r>
        <w:rPr>
          <w:rFonts w:ascii="宋体" w:hAnsi="宋体"/>
          <w:color w:val="auto"/>
          <w:szCs w:val="21"/>
          <w:highlight w:val="none"/>
        </w:rPr>
        <w:t>根据《建设工程质量管理条例》及有关规定，工程的质量保修期如下：</w:t>
      </w:r>
    </w:p>
    <w:p w14:paraId="7E21D160">
      <w:pPr>
        <w:spacing w:line="360" w:lineRule="auto"/>
        <w:ind w:firstLine="426"/>
        <w:rPr>
          <w:rFonts w:ascii="宋体" w:hAnsi="宋体"/>
          <w:color w:val="auto"/>
          <w:szCs w:val="21"/>
          <w:highlight w:val="none"/>
        </w:rPr>
      </w:pPr>
      <w:r>
        <w:rPr>
          <w:rFonts w:hint="eastAsia" w:ascii="宋体" w:hAnsi="宋体"/>
          <w:color w:val="auto"/>
          <w:szCs w:val="21"/>
          <w:highlight w:val="none"/>
        </w:rPr>
        <w:t>1．桥梁工程为</w:t>
      </w:r>
      <w:r>
        <w:rPr>
          <w:rFonts w:hint="eastAsia" w:ascii="宋体" w:hAnsi="宋体"/>
          <w:color w:val="auto"/>
          <w:szCs w:val="21"/>
          <w:highlight w:val="none"/>
          <w:u w:val="single"/>
          <w:lang w:val="en-US" w:eastAsia="zh-CN"/>
        </w:rPr>
        <w:t xml:space="preserve">   </w:t>
      </w:r>
      <w:r>
        <w:rPr>
          <w:rFonts w:hint="eastAsia" w:ascii="宋体" w:hAnsi="宋体"/>
          <w:color w:val="auto"/>
          <w:szCs w:val="21"/>
          <w:highlight w:val="none"/>
        </w:rPr>
        <w:t>年（建议桥梁隧道主体结构工程为设计文件规定的合理使用年限）；</w:t>
      </w:r>
    </w:p>
    <w:p w14:paraId="5C921BF7">
      <w:pPr>
        <w:spacing w:line="360" w:lineRule="auto"/>
        <w:ind w:firstLine="426"/>
        <w:rPr>
          <w:rFonts w:ascii="宋体" w:hAnsi="宋体"/>
          <w:color w:val="auto"/>
          <w:szCs w:val="21"/>
          <w:highlight w:val="none"/>
        </w:rPr>
      </w:pPr>
      <w:r>
        <w:rPr>
          <w:rFonts w:hint="eastAsia" w:ascii="宋体" w:hAnsi="宋体"/>
          <w:color w:val="auto"/>
          <w:szCs w:val="21"/>
          <w:highlight w:val="none"/>
        </w:rPr>
        <w:t>2．道路工程为</w:t>
      </w:r>
      <w:r>
        <w:rPr>
          <w:rFonts w:hint="eastAsia" w:ascii="宋体" w:hAnsi="宋体"/>
          <w:color w:val="auto"/>
          <w:szCs w:val="21"/>
          <w:highlight w:val="none"/>
          <w:u w:val="single"/>
          <w:lang w:val="en-US" w:eastAsia="zh-CN"/>
        </w:rPr>
        <w:t xml:space="preserve">   </w:t>
      </w:r>
      <w:r>
        <w:rPr>
          <w:rFonts w:hint="eastAsia" w:ascii="宋体" w:hAnsi="宋体"/>
          <w:color w:val="auto"/>
          <w:szCs w:val="21"/>
          <w:highlight w:val="none"/>
        </w:rPr>
        <w:t>年（建议路基、路面、桥面为</w:t>
      </w:r>
      <w:r>
        <w:rPr>
          <w:rFonts w:ascii="宋体" w:hAnsi="宋体"/>
          <w:color w:val="auto"/>
          <w:szCs w:val="21"/>
          <w:highlight w:val="none"/>
        </w:rPr>
        <w:t>2</w:t>
      </w:r>
      <w:r>
        <w:rPr>
          <w:rFonts w:hint="eastAsia" w:ascii="宋体" w:hAnsi="宋体"/>
          <w:color w:val="auto"/>
          <w:szCs w:val="21"/>
          <w:highlight w:val="none"/>
        </w:rPr>
        <w:t>年）；</w:t>
      </w:r>
    </w:p>
    <w:p w14:paraId="27A71496">
      <w:pPr>
        <w:spacing w:line="360" w:lineRule="auto"/>
        <w:ind w:firstLine="426"/>
        <w:rPr>
          <w:rFonts w:ascii="宋体" w:hAnsi="宋体"/>
          <w:color w:val="auto"/>
          <w:szCs w:val="21"/>
          <w:highlight w:val="none"/>
        </w:rPr>
      </w:pPr>
      <w:r>
        <w:rPr>
          <w:rFonts w:hint="eastAsia" w:ascii="宋体" w:hAnsi="宋体"/>
          <w:color w:val="auto"/>
          <w:szCs w:val="21"/>
          <w:highlight w:val="none"/>
        </w:rPr>
        <w:t>3．排水（雨水）工程为</w:t>
      </w:r>
      <w:r>
        <w:rPr>
          <w:rFonts w:hint="eastAsia" w:ascii="宋体" w:hAnsi="宋体"/>
          <w:color w:val="auto"/>
          <w:szCs w:val="21"/>
          <w:highlight w:val="none"/>
          <w:u w:val="single"/>
          <w:lang w:val="en-US" w:eastAsia="zh-CN"/>
        </w:rPr>
        <w:t xml:space="preserve">   </w:t>
      </w:r>
      <w:r>
        <w:rPr>
          <w:rFonts w:hint="eastAsia" w:ascii="宋体" w:hAnsi="宋体"/>
          <w:color w:val="auto"/>
          <w:szCs w:val="21"/>
          <w:highlight w:val="none"/>
        </w:rPr>
        <w:t>年（建议道路工程中的排水工程为</w:t>
      </w:r>
      <w:r>
        <w:rPr>
          <w:rFonts w:ascii="宋体" w:hAnsi="宋体"/>
          <w:color w:val="auto"/>
          <w:szCs w:val="21"/>
          <w:highlight w:val="none"/>
        </w:rPr>
        <w:t>3</w:t>
      </w:r>
      <w:r>
        <w:rPr>
          <w:rFonts w:hint="eastAsia" w:ascii="宋体" w:hAnsi="宋体"/>
          <w:color w:val="auto"/>
          <w:szCs w:val="21"/>
          <w:highlight w:val="none"/>
        </w:rPr>
        <w:t>年）；</w:t>
      </w:r>
    </w:p>
    <w:p w14:paraId="6960FF3B">
      <w:pPr>
        <w:spacing w:line="360" w:lineRule="auto"/>
        <w:ind w:firstLine="426"/>
        <w:rPr>
          <w:rFonts w:ascii="宋体" w:hAnsi="宋体"/>
          <w:color w:val="auto"/>
          <w:szCs w:val="21"/>
          <w:highlight w:val="none"/>
        </w:rPr>
      </w:pPr>
      <w:r>
        <w:rPr>
          <w:rFonts w:hint="eastAsia" w:ascii="宋体" w:hAnsi="宋体"/>
          <w:color w:val="auto"/>
          <w:szCs w:val="21"/>
          <w:highlight w:val="none"/>
        </w:rPr>
        <w:t xml:space="preserve">4．绿化工程为 </w:t>
      </w:r>
      <w:r>
        <w:rPr>
          <w:rFonts w:hint="eastAsia" w:ascii="宋体" w:hAnsi="宋体"/>
          <w:color w:val="auto"/>
          <w:szCs w:val="21"/>
          <w:highlight w:val="none"/>
          <w:u w:val="single"/>
        </w:rPr>
        <w:t>单位工程竣工验收合格后    年</w:t>
      </w:r>
      <w:r>
        <w:rPr>
          <w:rFonts w:hint="eastAsia" w:ascii="宋体" w:hAnsi="宋体"/>
          <w:color w:val="auto"/>
          <w:szCs w:val="21"/>
          <w:highlight w:val="none"/>
        </w:rPr>
        <w:t>；</w:t>
      </w:r>
    </w:p>
    <w:p w14:paraId="6B740883">
      <w:pPr>
        <w:spacing w:line="360" w:lineRule="auto"/>
        <w:ind w:firstLine="426"/>
        <w:rPr>
          <w:rFonts w:ascii="宋体" w:hAnsi="宋体"/>
          <w:color w:val="auto"/>
          <w:szCs w:val="21"/>
          <w:highlight w:val="none"/>
        </w:rPr>
      </w:pPr>
      <w:r>
        <w:rPr>
          <w:rFonts w:hint="eastAsia" w:ascii="宋体" w:hAnsi="宋体"/>
          <w:color w:val="auto"/>
          <w:szCs w:val="21"/>
          <w:highlight w:val="none"/>
        </w:rPr>
        <w:t>5.  地下防水工程为</w:t>
      </w:r>
      <w:r>
        <w:rPr>
          <w:rFonts w:hint="eastAsia" w:ascii="宋体" w:hAnsi="宋体"/>
          <w:color w:val="auto"/>
          <w:szCs w:val="21"/>
          <w:highlight w:val="none"/>
          <w:u w:val="single"/>
          <w:lang w:val="en-US" w:eastAsia="zh-CN"/>
        </w:rPr>
        <w:t xml:space="preserve">   </w:t>
      </w:r>
      <w:r>
        <w:rPr>
          <w:rFonts w:hint="eastAsia" w:ascii="宋体" w:hAnsi="宋体"/>
          <w:color w:val="auto"/>
          <w:szCs w:val="21"/>
          <w:highlight w:val="none"/>
        </w:rPr>
        <w:t>年（建议为5年）；</w:t>
      </w:r>
    </w:p>
    <w:p w14:paraId="2F047B26">
      <w:pPr>
        <w:spacing w:line="360" w:lineRule="auto"/>
        <w:ind w:firstLine="426"/>
        <w:rPr>
          <w:rFonts w:ascii="宋体" w:hAnsi="宋体"/>
          <w:color w:val="auto"/>
          <w:szCs w:val="21"/>
          <w:highlight w:val="none"/>
        </w:rPr>
      </w:pPr>
      <w:r>
        <w:rPr>
          <w:rFonts w:hint="eastAsia" w:ascii="宋体" w:hAnsi="宋体"/>
          <w:color w:val="auto"/>
          <w:szCs w:val="21"/>
          <w:highlight w:val="none"/>
        </w:rPr>
        <w:t>6．其他附属工程为</w:t>
      </w:r>
      <w:r>
        <w:rPr>
          <w:rFonts w:hint="eastAsia" w:ascii="宋体" w:hAnsi="宋体"/>
          <w:color w:val="auto"/>
          <w:szCs w:val="21"/>
          <w:highlight w:val="none"/>
          <w:u w:val="single"/>
          <w:lang w:val="en-US" w:eastAsia="zh-CN"/>
        </w:rPr>
        <w:t xml:space="preserve">   </w:t>
      </w:r>
      <w:r>
        <w:rPr>
          <w:rFonts w:hint="eastAsia" w:ascii="宋体" w:hAnsi="宋体"/>
          <w:color w:val="auto"/>
          <w:szCs w:val="21"/>
          <w:highlight w:val="none"/>
        </w:rPr>
        <w:t>年；</w:t>
      </w:r>
    </w:p>
    <w:p w14:paraId="6EEC57E0">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7．</w:t>
      </w:r>
      <w:r>
        <w:rPr>
          <w:rFonts w:ascii="宋体" w:hAnsi="宋体"/>
          <w:color w:val="auto"/>
          <w:szCs w:val="21"/>
          <w:highlight w:val="none"/>
        </w:rPr>
        <w:t>其他项目保修期限约定如下：</w:t>
      </w:r>
      <w:r>
        <w:rPr>
          <w:rFonts w:hint="eastAsia" w:ascii="宋体" w:hAnsi="宋体"/>
          <w:color w:val="auto"/>
          <w:szCs w:val="21"/>
          <w:highlight w:val="none"/>
          <w:u w:val="single"/>
        </w:rPr>
        <w:t xml:space="preserve">                      </w:t>
      </w:r>
      <w:r>
        <w:rPr>
          <w:rFonts w:ascii="宋体" w:hAnsi="宋体"/>
          <w:color w:val="auto"/>
          <w:szCs w:val="21"/>
          <w:highlight w:val="none"/>
        </w:rPr>
        <w:t>。</w:t>
      </w:r>
    </w:p>
    <w:p w14:paraId="0E852B78">
      <w:pPr>
        <w:spacing w:line="360" w:lineRule="auto"/>
        <w:ind w:firstLine="420" w:firstLineChars="200"/>
        <w:rPr>
          <w:rFonts w:ascii="宋体" w:hAnsi="宋体"/>
          <w:color w:val="auto"/>
          <w:szCs w:val="21"/>
          <w:highlight w:val="none"/>
        </w:rPr>
      </w:pPr>
      <w:r>
        <w:rPr>
          <w:rFonts w:ascii="宋体" w:hAnsi="宋体"/>
          <w:color w:val="auto"/>
          <w:szCs w:val="21"/>
          <w:highlight w:val="none"/>
        </w:rPr>
        <w:t>质量保修期自工程竣工验收合格之日起计算。</w:t>
      </w:r>
    </w:p>
    <w:p w14:paraId="5ABBC432">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三、缺陷责任期</w:t>
      </w:r>
    </w:p>
    <w:p w14:paraId="58A975BD">
      <w:pPr>
        <w:spacing w:line="360" w:lineRule="auto"/>
        <w:ind w:firstLine="420" w:firstLineChars="200"/>
        <w:rPr>
          <w:rFonts w:ascii="宋体" w:hAnsi="宋体"/>
          <w:color w:val="auto"/>
          <w:szCs w:val="21"/>
          <w:highlight w:val="none"/>
        </w:rPr>
      </w:pPr>
      <w:r>
        <w:rPr>
          <w:rFonts w:ascii="宋体" w:hAnsi="宋体"/>
          <w:color w:val="auto"/>
          <w:szCs w:val="21"/>
          <w:highlight w:val="none"/>
        </w:rPr>
        <w:t>工程缺陷责任期为</w:t>
      </w:r>
      <w:r>
        <w:rPr>
          <w:rFonts w:hint="eastAsia" w:ascii="宋体" w:hAnsi="宋体"/>
          <w:color w:val="auto"/>
          <w:szCs w:val="21"/>
          <w:highlight w:val="none"/>
          <w:u w:val="single"/>
          <w:lang w:val="en-US" w:eastAsia="zh-CN"/>
        </w:rPr>
        <w:t>12</w:t>
      </w:r>
      <w:r>
        <w:rPr>
          <w:rFonts w:ascii="宋体" w:hAnsi="宋体"/>
          <w:color w:val="auto"/>
          <w:szCs w:val="21"/>
          <w:highlight w:val="none"/>
        </w:rPr>
        <w:t>个月</w:t>
      </w:r>
      <w:r>
        <w:rPr>
          <w:rFonts w:hint="eastAsia" w:ascii="宋体" w:hAnsi="宋体"/>
          <w:color w:val="auto"/>
          <w:szCs w:val="21"/>
          <w:highlight w:val="none"/>
        </w:rPr>
        <w:t>（最长不超过24个月）</w:t>
      </w:r>
      <w:r>
        <w:rPr>
          <w:rFonts w:ascii="宋体" w:hAnsi="宋体"/>
          <w:color w:val="auto"/>
          <w:szCs w:val="21"/>
          <w:highlight w:val="none"/>
        </w:rPr>
        <w:t>，缺陷责任期自工程竣工验收合格之日起计算。单位工程先于全部工程进行验收，单位工程缺陷责任期自单位工程验收合格之日起算。</w:t>
      </w:r>
    </w:p>
    <w:p w14:paraId="5A871534">
      <w:pPr>
        <w:spacing w:line="360" w:lineRule="auto"/>
        <w:ind w:firstLine="420" w:firstLineChars="200"/>
        <w:rPr>
          <w:rFonts w:ascii="宋体" w:hAnsi="宋体"/>
          <w:color w:val="auto"/>
          <w:szCs w:val="21"/>
          <w:highlight w:val="none"/>
        </w:rPr>
      </w:pPr>
      <w:r>
        <w:rPr>
          <w:rFonts w:ascii="宋体" w:hAnsi="宋体"/>
          <w:color w:val="auto"/>
          <w:szCs w:val="21"/>
          <w:highlight w:val="none"/>
        </w:rPr>
        <w:t>缺陷责任期终止后，发包人应退还剩余的质量保证金。</w:t>
      </w:r>
    </w:p>
    <w:p w14:paraId="17D1CFEF">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四、质量保修责任</w:t>
      </w:r>
    </w:p>
    <w:p w14:paraId="5ACDB180">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w:t>
      </w:r>
      <w:r>
        <w:rPr>
          <w:rFonts w:ascii="宋体" w:hAnsi="宋体"/>
          <w:color w:val="auto"/>
          <w:szCs w:val="21"/>
          <w:highlight w:val="none"/>
        </w:rPr>
        <w:t>属于保修范围、内容的项目，承包人应当在接到保修通知之日起天内派人保修。承包人不在约定期限内派人保修的，发包人可以委托他人修理</w:t>
      </w:r>
      <w:r>
        <w:rPr>
          <w:rFonts w:hint="eastAsia" w:ascii="宋体" w:hAnsi="宋体"/>
          <w:color w:val="auto"/>
          <w:szCs w:val="21"/>
          <w:highlight w:val="none"/>
        </w:rPr>
        <w:t>，修理费用从质量保修金内扣除</w:t>
      </w:r>
      <w:r>
        <w:rPr>
          <w:rFonts w:ascii="宋体" w:hAnsi="宋体"/>
          <w:color w:val="auto"/>
          <w:szCs w:val="21"/>
          <w:highlight w:val="none"/>
        </w:rPr>
        <w:t>。</w:t>
      </w:r>
    </w:p>
    <w:p w14:paraId="78C0A565">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w:t>
      </w:r>
      <w:r>
        <w:rPr>
          <w:rFonts w:ascii="宋体" w:hAnsi="宋体"/>
          <w:color w:val="auto"/>
          <w:szCs w:val="21"/>
          <w:highlight w:val="none"/>
        </w:rPr>
        <w:t>发生紧急事故需抢修的，承包人在接到事故通知后，应当立即到达事故现场抢修。</w:t>
      </w:r>
    </w:p>
    <w:p w14:paraId="7EDDA20C">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3．</w:t>
      </w:r>
      <w:r>
        <w:rPr>
          <w:rFonts w:ascii="宋体" w:hAnsi="宋体"/>
          <w:color w:val="auto"/>
          <w:szCs w:val="21"/>
          <w:highlight w:val="none"/>
        </w:rPr>
        <w:t>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14:paraId="0FAC3CED">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4．</w:t>
      </w:r>
      <w:r>
        <w:rPr>
          <w:rFonts w:ascii="宋体" w:hAnsi="宋体"/>
          <w:color w:val="auto"/>
          <w:szCs w:val="21"/>
          <w:highlight w:val="none"/>
        </w:rPr>
        <w:t>质量保修完成后，由发包人组织验收。</w:t>
      </w:r>
    </w:p>
    <w:p w14:paraId="7D8CF34C">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五、保修费用</w:t>
      </w:r>
    </w:p>
    <w:p w14:paraId="3287D232">
      <w:pPr>
        <w:spacing w:line="360" w:lineRule="auto"/>
        <w:ind w:firstLine="420" w:firstLineChars="200"/>
        <w:rPr>
          <w:rFonts w:ascii="宋体" w:hAnsi="宋体"/>
          <w:color w:val="auto"/>
          <w:szCs w:val="21"/>
          <w:highlight w:val="none"/>
        </w:rPr>
      </w:pPr>
      <w:r>
        <w:rPr>
          <w:rFonts w:ascii="宋体" w:hAnsi="宋体"/>
          <w:color w:val="auto"/>
          <w:szCs w:val="21"/>
          <w:highlight w:val="none"/>
        </w:rPr>
        <w:t>保修费用由造成质量缺陷的责任方承担。</w:t>
      </w:r>
    </w:p>
    <w:p w14:paraId="727254F5">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六、双方约定的其他工程质量保修事项：</w:t>
      </w:r>
      <w:r>
        <w:rPr>
          <w:rFonts w:hint="eastAsia" w:ascii="宋体" w:hAnsi="宋体"/>
          <w:color w:val="auto"/>
          <w:szCs w:val="21"/>
          <w:highlight w:val="none"/>
          <w:u w:val="single"/>
        </w:rPr>
        <w:t xml:space="preserve">                      </w:t>
      </w:r>
      <w:r>
        <w:rPr>
          <w:rFonts w:ascii="宋体" w:hAnsi="宋体"/>
          <w:color w:val="auto"/>
          <w:szCs w:val="21"/>
          <w:highlight w:val="none"/>
        </w:rPr>
        <w:t>。</w:t>
      </w:r>
    </w:p>
    <w:p w14:paraId="3CE8BACA">
      <w:pPr>
        <w:spacing w:line="360" w:lineRule="auto"/>
        <w:ind w:firstLine="399" w:firstLineChars="190"/>
        <w:rPr>
          <w:rFonts w:ascii="宋体" w:hAnsi="宋体"/>
          <w:color w:val="auto"/>
          <w:szCs w:val="21"/>
          <w:highlight w:val="none"/>
        </w:rPr>
      </w:pPr>
      <w:r>
        <w:rPr>
          <w:rFonts w:ascii="宋体" w:hAnsi="宋体"/>
          <w:color w:val="auto"/>
          <w:szCs w:val="21"/>
          <w:highlight w:val="none"/>
        </w:rPr>
        <w:t>工程质量保修书由发包人、承包人在工程竣工验收前共同签署，作为施工合同附件，其有效期限至保修期满。</w:t>
      </w:r>
    </w:p>
    <w:p w14:paraId="78D84734">
      <w:pPr>
        <w:spacing w:line="360" w:lineRule="auto"/>
        <w:ind w:firstLine="420"/>
        <w:rPr>
          <w:rFonts w:ascii="宋体" w:hAnsi="宋体"/>
          <w:color w:val="auto"/>
          <w:szCs w:val="21"/>
          <w:highlight w:val="none"/>
        </w:rPr>
      </w:pPr>
    </w:p>
    <w:p w14:paraId="06F861BD">
      <w:pPr>
        <w:spacing w:line="360" w:lineRule="auto"/>
        <w:ind w:firstLine="420"/>
        <w:rPr>
          <w:rFonts w:ascii="宋体" w:hAnsi="宋体"/>
          <w:color w:val="auto"/>
          <w:szCs w:val="21"/>
          <w:highlight w:val="none"/>
        </w:rPr>
      </w:pPr>
    </w:p>
    <w:p w14:paraId="02F328A7">
      <w:pPr>
        <w:spacing w:line="360" w:lineRule="auto"/>
        <w:rPr>
          <w:rFonts w:ascii="宋体" w:hAnsi="宋体"/>
          <w:color w:val="auto"/>
          <w:szCs w:val="21"/>
          <w:highlight w:val="none"/>
        </w:rPr>
      </w:pPr>
      <w:r>
        <w:rPr>
          <w:rFonts w:ascii="宋体" w:hAnsi="宋体"/>
          <w:color w:val="auto"/>
          <w:szCs w:val="21"/>
          <w:highlight w:val="none"/>
        </w:rPr>
        <w:t>发包人</w:t>
      </w:r>
      <w:r>
        <w:rPr>
          <w:rFonts w:hint="eastAsia" w:ascii="宋体" w:hAnsi="宋体"/>
          <w:color w:val="auto"/>
          <w:szCs w:val="21"/>
          <w:highlight w:val="none"/>
        </w:rPr>
        <w:t>（</w:t>
      </w:r>
      <w:r>
        <w:rPr>
          <w:rFonts w:ascii="宋体" w:hAnsi="宋体"/>
          <w:color w:val="auto"/>
          <w:szCs w:val="21"/>
          <w:highlight w:val="none"/>
        </w:rPr>
        <w:t>公章</w:t>
      </w:r>
      <w:r>
        <w:rPr>
          <w:rFonts w:hint="eastAsia" w:ascii="宋体" w:hAnsi="宋体"/>
          <w:color w:val="auto"/>
          <w:szCs w:val="21"/>
          <w:highlight w:val="none"/>
        </w:rPr>
        <w:t>）</w:t>
      </w:r>
      <w:r>
        <w:rPr>
          <w:rFonts w:ascii="宋体" w:hAnsi="宋体"/>
          <w:color w:val="auto"/>
          <w:szCs w:val="21"/>
          <w:highlight w:val="none"/>
        </w:rPr>
        <w:t>：</w:t>
      </w:r>
      <w:r>
        <w:rPr>
          <w:rFonts w:hint="eastAsia" w:ascii="宋体" w:hAnsi="宋体"/>
          <w:color w:val="auto"/>
          <w:szCs w:val="21"/>
          <w:highlight w:val="none"/>
          <w:u w:val="single"/>
        </w:rPr>
        <w:t xml:space="preserve">                      </w:t>
      </w:r>
      <w:r>
        <w:rPr>
          <w:rFonts w:ascii="宋体" w:hAnsi="宋体"/>
          <w:color w:val="auto"/>
          <w:szCs w:val="21"/>
          <w:highlight w:val="none"/>
        </w:rPr>
        <w:t>承包人</w:t>
      </w:r>
      <w:r>
        <w:rPr>
          <w:rFonts w:hint="eastAsia" w:ascii="宋体" w:hAnsi="宋体"/>
          <w:color w:val="auto"/>
          <w:szCs w:val="21"/>
          <w:highlight w:val="none"/>
        </w:rPr>
        <w:t>（</w:t>
      </w:r>
      <w:r>
        <w:rPr>
          <w:rFonts w:ascii="宋体" w:hAnsi="宋体"/>
          <w:color w:val="auto"/>
          <w:szCs w:val="21"/>
          <w:highlight w:val="none"/>
        </w:rPr>
        <w:t>公章</w:t>
      </w:r>
      <w:r>
        <w:rPr>
          <w:rFonts w:hint="eastAsia" w:ascii="宋体" w:hAnsi="宋体"/>
          <w:color w:val="auto"/>
          <w:szCs w:val="21"/>
          <w:highlight w:val="none"/>
        </w:rPr>
        <w:t>）</w:t>
      </w:r>
      <w:r>
        <w:rPr>
          <w:rFonts w:ascii="宋体" w:hAnsi="宋体"/>
          <w:color w:val="auto"/>
          <w:szCs w:val="21"/>
          <w:highlight w:val="none"/>
        </w:rPr>
        <w:t>：</w:t>
      </w:r>
      <w:r>
        <w:rPr>
          <w:rFonts w:hint="eastAsia" w:ascii="宋体" w:hAnsi="宋体"/>
          <w:color w:val="auto"/>
          <w:szCs w:val="21"/>
          <w:highlight w:val="none"/>
          <w:u w:val="single"/>
        </w:rPr>
        <w:t xml:space="preserve">                      </w:t>
      </w:r>
    </w:p>
    <w:p w14:paraId="6BA4164E">
      <w:pPr>
        <w:spacing w:line="360" w:lineRule="auto"/>
        <w:rPr>
          <w:rFonts w:ascii="宋体" w:hAnsi="宋体"/>
          <w:color w:val="auto"/>
          <w:szCs w:val="21"/>
          <w:highlight w:val="none"/>
        </w:rPr>
      </w:pPr>
      <w:r>
        <w:rPr>
          <w:rFonts w:ascii="宋体" w:hAnsi="宋体"/>
          <w:color w:val="auto"/>
          <w:szCs w:val="21"/>
          <w:highlight w:val="none"/>
        </w:rPr>
        <w:t>地  址：</w:t>
      </w:r>
      <w:r>
        <w:rPr>
          <w:rFonts w:hint="eastAsia" w:ascii="宋体" w:hAnsi="宋体"/>
          <w:color w:val="auto"/>
          <w:szCs w:val="21"/>
          <w:highlight w:val="none"/>
          <w:u w:val="single"/>
        </w:rPr>
        <w:t xml:space="preserve">                             </w:t>
      </w:r>
      <w:r>
        <w:rPr>
          <w:rFonts w:hint="eastAsia" w:ascii="宋体" w:hAnsi="宋体"/>
          <w:color w:val="auto"/>
          <w:szCs w:val="21"/>
          <w:highlight w:val="none"/>
          <w:u w:val="single"/>
          <w:lang w:val="en-US" w:eastAsia="zh-CN"/>
        </w:rPr>
        <w:t xml:space="preserve"> </w:t>
      </w:r>
      <w:r>
        <w:rPr>
          <w:rFonts w:ascii="宋体" w:hAnsi="宋体"/>
          <w:color w:val="auto"/>
          <w:szCs w:val="21"/>
          <w:highlight w:val="none"/>
        </w:rPr>
        <w:t>地  址：</w:t>
      </w:r>
      <w:r>
        <w:rPr>
          <w:rFonts w:hint="eastAsia" w:ascii="宋体" w:hAnsi="宋体"/>
          <w:color w:val="auto"/>
          <w:szCs w:val="21"/>
          <w:highlight w:val="none"/>
          <w:u w:val="single"/>
        </w:rPr>
        <w:t xml:space="preserve">                             </w:t>
      </w:r>
      <w:r>
        <w:rPr>
          <w:rFonts w:hint="eastAsia" w:ascii="宋体" w:hAnsi="宋体"/>
          <w:color w:val="auto"/>
          <w:szCs w:val="21"/>
          <w:highlight w:val="none"/>
          <w:u w:val="single"/>
          <w:lang w:val="en-US" w:eastAsia="zh-CN"/>
        </w:rPr>
        <w:t xml:space="preserve"> </w:t>
      </w:r>
    </w:p>
    <w:p w14:paraId="0CFA5B30">
      <w:pPr>
        <w:spacing w:line="360" w:lineRule="auto"/>
        <w:rPr>
          <w:rFonts w:ascii="宋体" w:hAnsi="宋体"/>
          <w:color w:val="auto"/>
          <w:szCs w:val="21"/>
          <w:highlight w:val="none"/>
        </w:rPr>
      </w:pPr>
      <w:r>
        <w:rPr>
          <w:rFonts w:ascii="宋体" w:hAnsi="宋体"/>
          <w:color w:val="auto"/>
          <w:szCs w:val="21"/>
          <w:highlight w:val="none"/>
        </w:rPr>
        <w:t>法定代表人</w:t>
      </w:r>
      <w:r>
        <w:rPr>
          <w:rFonts w:hint="eastAsia" w:ascii="宋体" w:hAnsi="宋体"/>
          <w:color w:val="auto"/>
          <w:szCs w:val="21"/>
          <w:highlight w:val="none"/>
        </w:rPr>
        <w:t>（</w:t>
      </w:r>
      <w:r>
        <w:rPr>
          <w:rFonts w:ascii="宋体" w:hAnsi="宋体"/>
          <w:color w:val="auto"/>
          <w:szCs w:val="21"/>
          <w:highlight w:val="none"/>
        </w:rPr>
        <w:t>签字</w:t>
      </w:r>
      <w:r>
        <w:rPr>
          <w:rFonts w:hint="eastAsia" w:ascii="宋体" w:hAnsi="宋体"/>
          <w:color w:val="auto"/>
          <w:szCs w:val="21"/>
          <w:highlight w:val="none"/>
        </w:rPr>
        <w:t>）</w:t>
      </w:r>
      <w:r>
        <w:rPr>
          <w:rFonts w:ascii="宋体" w:hAnsi="宋体"/>
          <w:color w:val="auto"/>
          <w:szCs w:val="21"/>
          <w:highlight w:val="none"/>
        </w:rPr>
        <w:t>：</w:t>
      </w:r>
      <w:r>
        <w:rPr>
          <w:rFonts w:hint="eastAsia" w:ascii="宋体" w:hAnsi="宋体"/>
          <w:color w:val="auto"/>
          <w:szCs w:val="21"/>
          <w:highlight w:val="none"/>
          <w:u w:val="single"/>
        </w:rPr>
        <w:t xml:space="preserve">               </w:t>
      </w:r>
      <w:r>
        <w:rPr>
          <w:rFonts w:hint="eastAsia" w:ascii="宋体" w:hAnsi="宋体"/>
          <w:color w:val="auto"/>
          <w:szCs w:val="21"/>
          <w:highlight w:val="none"/>
          <w:u w:val="single"/>
          <w:lang w:val="en-US" w:eastAsia="zh-CN"/>
        </w:rPr>
        <w:t xml:space="preserve"> </w:t>
      </w:r>
      <w:r>
        <w:rPr>
          <w:rFonts w:hint="eastAsia" w:ascii="宋体" w:hAnsi="宋体"/>
          <w:color w:val="auto"/>
          <w:szCs w:val="21"/>
          <w:highlight w:val="none"/>
          <w:u w:val="single"/>
        </w:rPr>
        <w:t xml:space="preserve">  </w:t>
      </w:r>
      <w:r>
        <w:rPr>
          <w:rFonts w:ascii="宋体" w:hAnsi="宋体"/>
          <w:color w:val="auto"/>
          <w:szCs w:val="21"/>
          <w:highlight w:val="none"/>
        </w:rPr>
        <w:t>法定代表人</w:t>
      </w:r>
      <w:r>
        <w:rPr>
          <w:rFonts w:hint="eastAsia" w:ascii="宋体" w:hAnsi="宋体"/>
          <w:color w:val="auto"/>
          <w:szCs w:val="21"/>
          <w:highlight w:val="none"/>
        </w:rPr>
        <w:t>（</w:t>
      </w:r>
      <w:r>
        <w:rPr>
          <w:rFonts w:ascii="宋体" w:hAnsi="宋体"/>
          <w:color w:val="auto"/>
          <w:szCs w:val="21"/>
          <w:highlight w:val="none"/>
        </w:rPr>
        <w:t>签字</w:t>
      </w:r>
      <w:r>
        <w:rPr>
          <w:rFonts w:hint="eastAsia" w:ascii="宋体" w:hAnsi="宋体"/>
          <w:color w:val="auto"/>
          <w:szCs w:val="21"/>
          <w:highlight w:val="none"/>
        </w:rPr>
        <w:t>）</w:t>
      </w:r>
      <w:r>
        <w:rPr>
          <w:rFonts w:ascii="宋体" w:hAnsi="宋体"/>
          <w:color w:val="auto"/>
          <w:szCs w:val="21"/>
          <w:highlight w:val="none"/>
        </w:rPr>
        <w:t>：</w:t>
      </w:r>
      <w:r>
        <w:rPr>
          <w:rFonts w:hint="eastAsia" w:ascii="宋体" w:hAnsi="宋体"/>
          <w:color w:val="auto"/>
          <w:szCs w:val="21"/>
          <w:highlight w:val="none"/>
          <w:u w:val="single"/>
        </w:rPr>
        <w:t xml:space="preserve">                  </w:t>
      </w:r>
    </w:p>
    <w:p w14:paraId="217B1CE1">
      <w:pPr>
        <w:spacing w:line="360" w:lineRule="auto"/>
        <w:rPr>
          <w:rFonts w:ascii="宋体" w:hAnsi="宋体"/>
          <w:color w:val="auto"/>
          <w:szCs w:val="21"/>
          <w:highlight w:val="none"/>
        </w:rPr>
      </w:pPr>
      <w:r>
        <w:rPr>
          <w:rFonts w:ascii="宋体" w:hAnsi="宋体"/>
          <w:color w:val="auto"/>
          <w:szCs w:val="21"/>
          <w:highlight w:val="none"/>
        </w:rPr>
        <w:t>委托代理人</w:t>
      </w:r>
      <w:r>
        <w:rPr>
          <w:rFonts w:hint="eastAsia" w:ascii="宋体" w:hAnsi="宋体"/>
          <w:color w:val="auto"/>
          <w:szCs w:val="21"/>
          <w:highlight w:val="none"/>
        </w:rPr>
        <w:t>（</w:t>
      </w:r>
      <w:r>
        <w:rPr>
          <w:rFonts w:ascii="宋体" w:hAnsi="宋体"/>
          <w:color w:val="auto"/>
          <w:szCs w:val="21"/>
          <w:highlight w:val="none"/>
        </w:rPr>
        <w:t>签字</w:t>
      </w:r>
      <w:r>
        <w:rPr>
          <w:rFonts w:hint="eastAsia" w:ascii="宋体" w:hAnsi="宋体"/>
          <w:color w:val="auto"/>
          <w:szCs w:val="21"/>
          <w:highlight w:val="none"/>
        </w:rPr>
        <w:t>）</w:t>
      </w:r>
      <w:r>
        <w:rPr>
          <w:rFonts w:ascii="宋体" w:hAnsi="宋体"/>
          <w:color w:val="auto"/>
          <w:szCs w:val="21"/>
          <w:highlight w:val="none"/>
        </w:rPr>
        <w:t>：</w:t>
      </w:r>
      <w:r>
        <w:rPr>
          <w:rFonts w:hint="eastAsia" w:ascii="宋体" w:hAnsi="宋体"/>
          <w:color w:val="auto"/>
          <w:szCs w:val="21"/>
          <w:highlight w:val="none"/>
          <w:u w:val="single"/>
        </w:rPr>
        <w:t xml:space="preserve">               </w:t>
      </w:r>
      <w:r>
        <w:rPr>
          <w:rFonts w:hint="eastAsia" w:ascii="宋体" w:hAnsi="宋体"/>
          <w:color w:val="auto"/>
          <w:szCs w:val="21"/>
          <w:highlight w:val="none"/>
          <w:u w:val="single"/>
          <w:lang w:val="en-US" w:eastAsia="zh-CN"/>
        </w:rPr>
        <w:t xml:space="preserve"> </w:t>
      </w:r>
      <w:r>
        <w:rPr>
          <w:rFonts w:hint="eastAsia" w:ascii="宋体" w:hAnsi="宋体"/>
          <w:color w:val="auto"/>
          <w:szCs w:val="21"/>
          <w:highlight w:val="none"/>
          <w:u w:val="single"/>
        </w:rPr>
        <w:t xml:space="preserve">  </w:t>
      </w:r>
      <w:r>
        <w:rPr>
          <w:rFonts w:ascii="宋体" w:hAnsi="宋体"/>
          <w:color w:val="auto"/>
          <w:szCs w:val="21"/>
          <w:highlight w:val="none"/>
        </w:rPr>
        <w:t>委托代理人</w:t>
      </w:r>
      <w:r>
        <w:rPr>
          <w:rFonts w:hint="eastAsia" w:ascii="宋体" w:hAnsi="宋体"/>
          <w:color w:val="auto"/>
          <w:szCs w:val="21"/>
          <w:highlight w:val="none"/>
        </w:rPr>
        <w:t>（</w:t>
      </w:r>
      <w:r>
        <w:rPr>
          <w:rFonts w:ascii="宋体" w:hAnsi="宋体"/>
          <w:color w:val="auto"/>
          <w:szCs w:val="21"/>
          <w:highlight w:val="none"/>
        </w:rPr>
        <w:t>签字</w:t>
      </w:r>
      <w:r>
        <w:rPr>
          <w:rFonts w:hint="eastAsia" w:ascii="宋体" w:hAnsi="宋体"/>
          <w:color w:val="auto"/>
          <w:szCs w:val="21"/>
          <w:highlight w:val="none"/>
        </w:rPr>
        <w:t>）</w:t>
      </w:r>
      <w:r>
        <w:rPr>
          <w:rFonts w:ascii="宋体" w:hAnsi="宋体"/>
          <w:color w:val="auto"/>
          <w:szCs w:val="21"/>
          <w:highlight w:val="none"/>
        </w:rPr>
        <w:t>：</w:t>
      </w:r>
      <w:r>
        <w:rPr>
          <w:rFonts w:hint="eastAsia" w:ascii="宋体" w:hAnsi="宋体"/>
          <w:color w:val="auto"/>
          <w:szCs w:val="21"/>
          <w:highlight w:val="none"/>
          <w:u w:val="single"/>
        </w:rPr>
        <w:t xml:space="preserve">                  </w:t>
      </w:r>
    </w:p>
    <w:p w14:paraId="793A64AE">
      <w:pPr>
        <w:spacing w:line="360" w:lineRule="auto"/>
        <w:rPr>
          <w:rFonts w:ascii="宋体" w:hAnsi="宋体"/>
          <w:color w:val="auto"/>
          <w:szCs w:val="21"/>
          <w:highlight w:val="none"/>
        </w:rPr>
      </w:pPr>
      <w:r>
        <w:rPr>
          <w:rFonts w:ascii="宋体" w:hAnsi="宋体"/>
          <w:color w:val="auto"/>
          <w:szCs w:val="21"/>
          <w:highlight w:val="none"/>
        </w:rPr>
        <w:t>电  话：</w:t>
      </w:r>
      <w:r>
        <w:rPr>
          <w:rFonts w:hint="eastAsia" w:ascii="宋体" w:hAnsi="宋体"/>
          <w:color w:val="auto"/>
          <w:szCs w:val="21"/>
          <w:highlight w:val="none"/>
          <w:u w:val="single"/>
        </w:rPr>
        <w:t xml:space="preserve">                         </w:t>
      </w:r>
      <w:r>
        <w:rPr>
          <w:rFonts w:hint="eastAsia" w:ascii="宋体" w:hAnsi="宋体"/>
          <w:color w:val="auto"/>
          <w:szCs w:val="21"/>
          <w:highlight w:val="none"/>
          <w:u w:val="single"/>
          <w:lang w:val="en-US" w:eastAsia="zh-CN"/>
        </w:rPr>
        <w:t xml:space="preserve">  </w:t>
      </w:r>
      <w:r>
        <w:rPr>
          <w:rFonts w:hint="eastAsia" w:ascii="宋体" w:hAnsi="宋体"/>
          <w:color w:val="auto"/>
          <w:szCs w:val="21"/>
          <w:highlight w:val="none"/>
          <w:u w:val="single"/>
        </w:rPr>
        <w:t xml:space="preserve">   </w:t>
      </w:r>
      <w:r>
        <w:rPr>
          <w:rFonts w:ascii="宋体" w:hAnsi="宋体"/>
          <w:color w:val="auto"/>
          <w:szCs w:val="21"/>
          <w:highlight w:val="none"/>
        </w:rPr>
        <w:t>电  话：</w:t>
      </w:r>
      <w:r>
        <w:rPr>
          <w:rFonts w:hint="eastAsia" w:ascii="宋体" w:hAnsi="宋体"/>
          <w:color w:val="auto"/>
          <w:szCs w:val="21"/>
          <w:highlight w:val="none"/>
          <w:u w:val="single"/>
        </w:rPr>
        <w:t xml:space="preserve">                             </w:t>
      </w:r>
      <w:r>
        <w:rPr>
          <w:rFonts w:hint="eastAsia" w:ascii="宋体" w:hAnsi="宋体"/>
          <w:color w:val="auto"/>
          <w:szCs w:val="21"/>
          <w:highlight w:val="none"/>
          <w:u w:val="single"/>
          <w:lang w:val="en-US" w:eastAsia="zh-CN"/>
        </w:rPr>
        <w:t xml:space="preserve"> </w:t>
      </w:r>
    </w:p>
    <w:p w14:paraId="07B83846">
      <w:pPr>
        <w:spacing w:line="360" w:lineRule="auto"/>
        <w:rPr>
          <w:rFonts w:ascii="宋体" w:hAnsi="宋体"/>
          <w:color w:val="auto"/>
          <w:szCs w:val="21"/>
          <w:highlight w:val="none"/>
        </w:rPr>
      </w:pPr>
      <w:r>
        <w:rPr>
          <w:rFonts w:ascii="宋体" w:hAnsi="宋体"/>
          <w:color w:val="auto"/>
          <w:szCs w:val="21"/>
          <w:highlight w:val="none"/>
        </w:rPr>
        <w:t>传  真：</w:t>
      </w:r>
      <w:r>
        <w:rPr>
          <w:rFonts w:hint="eastAsia" w:ascii="宋体" w:hAnsi="宋体"/>
          <w:color w:val="auto"/>
          <w:szCs w:val="21"/>
          <w:highlight w:val="none"/>
          <w:u w:val="single"/>
        </w:rPr>
        <w:t xml:space="preserve">                          </w:t>
      </w:r>
      <w:r>
        <w:rPr>
          <w:rFonts w:hint="eastAsia" w:ascii="宋体" w:hAnsi="宋体"/>
          <w:color w:val="auto"/>
          <w:szCs w:val="21"/>
          <w:highlight w:val="none"/>
          <w:u w:val="single"/>
          <w:lang w:val="en-US" w:eastAsia="zh-CN"/>
        </w:rPr>
        <w:t xml:space="preserve">  </w:t>
      </w:r>
      <w:r>
        <w:rPr>
          <w:rFonts w:hint="eastAsia" w:ascii="宋体" w:hAnsi="宋体"/>
          <w:color w:val="auto"/>
          <w:szCs w:val="21"/>
          <w:highlight w:val="none"/>
          <w:u w:val="single"/>
        </w:rPr>
        <w:t xml:space="preserve">  </w:t>
      </w:r>
      <w:r>
        <w:rPr>
          <w:rFonts w:ascii="宋体" w:hAnsi="宋体"/>
          <w:color w:val="auto"/>
          <w:szCs w:val="21"/>
          <w:highlight w:val="none"/>
        </w:rPr>
        <w:t>传  真：</w:t>
      </w:r>
      <w:r>
        <w:rPr>
          <w:rFonts w:hint="eastAsia" w:ascii="宋体" w:hAnsi="宋体"/>
          <w:color w:val="auto"/>
          <w:szCs w:val="21"/>
          <w:highlight w:val="none"/>
          <w:u w:val="single"/>
        </w:rPr>
        <w:t xml:space="preserve">                             </w:t>
      </w:r>
      <w:r>
        <w:rPr>
          <w:rFonts w:hint="eastAsia" w:ascii="宋体" w:hAnsi="宋体"/>
          <w:color w:val="auto"/>
          <w:szCs w:val="21"/>
          <w:highlight w:val="none"/>
          <w:u w:val="single"/>
          <w:lang w:val="en-US" w:eastAsia="zh-CN"/>
        </w:rPr>
        <w:t xml:space="preserve"> </w:t>
      </w:r>
    </w:p>
    <w:p w14:paraId="053594D2">
      <w:pPr>
        <w:spacing w:line="360" w:lineRule="auto"/>
        <w:rPr>
          <w:rFonts w:ascii="宋体" w:hAnsi="宋体"/>
          <w:color w:val="auto"/>
          <w:szCs w:val="21"/>
          <w:highlight w:val="none"/>
        </w:rPr>
      </w:pPr>
      <w:r>
        <w:rPr>
          <w:rFonts w:ascii="宋体" w:hAnsi="宋体"/>
          <w:color w:val="auto"/>
          <w:szCs w:val="21"/>
          <w:highlight w:val="none"/>
        </w:rPr>
        <w:t>开户银行：</w:t>
      </w:r>
      <w:r>
        <w:rPr>
          <w:rFonts w:hint="eastAsia" w:ascii="宋体" w:hAnsi="宋体"/>
          <w:color w:val="auto"/>
          <w:szCs w:val="21"/>
          <w:highlight w:val="none"/>
          <w:u w:val="single"/>
        </w:rPr>
        <w:t xml:space="preserve">                       </w:t>
      </w:r>
      <w:r>
        <w:rPr>
          <w:rFonts w:hint="eastAsia" w:ascii="宋体" w:hAnsi="宋体"/>
          <w:color w:val="auto"/>
          <w:szCs w:val="21"/>
          <w:highlight w:val="none"/>
          <w:u w:val="single"/>
          <w:lang w:val="en-US" w:eastAsia="zh-CN"/>
        </w:rPr>
        <w:t xml:space="preserve">  </w:t>
      </w:r>
      <w:r>
        <w:rPr>
          <w:rFonts w:hint="eastAsia" w:ascii="宋体" w:hAnsi="宋体"/>
          <w:color w:val="auto"/>
          <w:szCs w:val="21"/>
          <w:highlight w:val="none"/>
          <w:u w:val="single"/>
        </w:rPr>
        <w:t xml:space="preserve">   </w:t>
      </w:r>
      <w:r>
        <w:rPr>
          <w:rFonts w:ascii="宋体" w:hAnsi="宋体"/>
          <w:color w:val="auto"/>
          <w:szCs w:val="21"/>
          <w:highlight w:val="none"/>
        </w:rPr>
        <w:t>开户银行：</w:t>
      </w:r>
      <w:r>
        <w:rPr>
          <w:rFonts w:hint="eastAsia" w:ascii="宋体" w:hAnsi="宋体"/>
          <w:color w:val="auto"/>
          <w:szCs w:val="21"/>
          <w:highlight w:val="none"/>
          <w:u w:val="single"/>
        </w:rPr>
        <w:t xml:space="preserve">                            </w:t>
      </w:r>
    </w:p>
    <w:p w14:paraId="724FA4F6">
      <w:pPr>
        <w:tabs>
          <w:tab w:val="left" w:pos="2880"/>
          <w:tab w:val="left" w:pos="3060"/>
          <w:tab w:val="left" w:pos="4500"/>
        </w:tabs>
        <w:spacing w:line="360" w:lineRule="auto"/>
        <w:rPr>
          <w:rFonts w:ascii="宋体" w:hAnsi="宋体"/>
          <w:color w:val="auto"/>
          <w:szCs w:val="21"/>
          <w:highlight w:val="none"/>
        </w:rPr>
      </w:pPr>
      <w:r>
        <w:rPr>
          <w:rFonts w:ascii="宋体" w:hAnsi="宋体"/>
          <w:color w:val="auto"/>
          <w:szCs w:val="21"/>
          <w:highlight w:val="none"/>
        </w:rPr>
        <w:t>账  号：</w:t>
      </w:r>
      <w:r>
        <w:rPr>
          <w:rFonts w:hint="eastAsia" w:ascii="宋体" w:hAnsi="宋体"/>
          <w:color w:val="auto"/>
          <w:szCs w:val="21"/>
          <w:highlight w:val="none"/>
          <w:u w:val="single"/>
        </w:rPr>
        <w:t xml:space="preserve">                        </w:t>
      </w:r>
      <w:r>
        <w:rPr>
          <w:rFonts w:hint="eastAsia" w:ascii="宋体" w:hAnsi="宋体"/>
          <w:color w:val="auto"/>
          <w:szCs w:val="21"/>
          <w:highlight w:val="none"/>
          <w:u w:val="single"/>
          <w:lang w:val="en-US" w:eastAsia="zh-CN"/>
        </w:rPr>
        <w:t xml:space="preserve">   </w:t>
      </w:r>
      <w:r>
        <w:rPr>
          <w:rFonts w:hint="eastAsia" w:ascii="宋体" w:hAnsi="宋体"/>
          <w:color w:val="auto"/>
          <w:szCs w:val="21"/>
          <w:highlight w:val="none"/>
          <w:u w:val="single"/>
        </w:rPr>
        <w:t xml:space="preserve">   </w:t>
      </w:r>
      <w:r>
        <w:rPr>
          <w:rFonts w:ascii="宋体" w:hAnsi="宋体"/>
          <w:color w:val="auto"/>
          <w:szCs w:val="21"/>
          <w:highlight w:val="none"/>
        </w:rPr>
        <w:t>账  号：</w:t>
      </w:r>
      <w:r>
        <w:rPr>
          <w:rFonts w:hint="eastAsia" w:ascii="宋体" w:hAnsi="宋体"/>
          <w:color w:val="auto"/>
          <w:szCs w:val="21"/>
          <w:highlight w:val="none"/>
          <w:u w:val="single"/>
        </w:rPr>
        <w:t xml:space="preserve">                             </w:t>
      </w:r>
      <w:r>
        <w:rPr>
          <w:rFonts w:hint="eastAsia" w:ascii="宋体" w:hAnsi="宋体"/>
          <w:color w:val="auto"/>
          <w:szCs w:val="21"/>
          <w:highlight w:val="none"/>
          <w:u w:val="single"/>
          <w:lang w:val="en-US" w:eastAsia="zh-CN"/>
        </w:rPr>
        <w:t xml:space="preserve"> </w:t>
      </w:r>
    </w:p>
    <w:p w14:paraId="2990B37C">
      <w:pPr>
        <w:tabs>
          <w:tab w:val="left" w:pos="7200"/>
          <w:tab w:val="left" w:pos="7380"/>
          <w:tab w:val="left" w:pos="7560"/>
        </w:tabs>
        <w:spacing w:line="360" w:lineRule="auto"/>
        <w:rPr>
          <w:rFonts w:ascii="宋体" w:hAnsi="宋体"/>
          <w:color w:val="auto"/>
          <w:szCs w:val="21"/>
          <w:highlight w:val="none"/>
        </w:rPr>
      </w:pPr>
      <w:r>
        <w:rPr>
          <w:rFonts w:ascii="宋体" w:hAnsi="宋体"/>
          <w:color w:val="auto"/>
          <w:szCs w:val="21"/>
          <w:highlight w:val="none"/>
        </w:rPr>
        <w:t>邮政编码：</w:t>
      </w:r>
      <w:r>
        <w:rPr>
          <w:rFonts w:hint="eastAsia" w:ascii="宋体" w:hAnsi="宋体"/>
          <w:color w:val="auto"/>
          <w:szCs w:val="21"/>
          <w:highlight w:val="none"/>
          <w:u w:val="single"/>
        </w:rPr>
        <w:t xml:space="preserve">                       </w:t>
      </w:r>
      <w:r>
        <w:rPr>
          <w:rFonts w:hint="eastAsia" w:ascii="宋体" w:hAnsi="宋体"/>
          <w:color w:val="auto"/>
          <w:szCs w:val="21"/>
          <w:highlight w:val="none"/>
          <w:u w:val="single"/>
          <w:lang w:val="en-US" w:eastAsia="zh-CN"/>
        </w:rPr>
        <w:t xml:space="preserve">   </w:t>
      </w:r>
      <w:r>
        <w:rPr>
          <w:rFonts w:hint="eastAsia" w:ascii="宋体" w:hAnsi="宋体"/>
          <w:color w:val="auto"/>
          <w:szCs w:val="21"/>
          <w:highlight w:val="none"/>
          <w:u w:val="single"/>
        </w:rPr>
        <w:t xml:space="preserve">  </w:t>
      </w:r>
      <w:r>
        <w:rPr>
          <w:rFonts w:ascii="宋体" w:hAnsi="宋体"/>
          <w:color w:val="auto"/>
          <w:szCs w:val="21"/>
          <w:highlight w:val="none"/>
        </w:rPr>
        <w:t>邮政编码：</w:t>
      </w:r>
      <w:r>
        <w:rPr>
          <w:rFonts w:hint="eastAsia" w:ascii="宋体" w:hAnsi="宋体"/>
          <w:color w:val="auto"/>
          <w:szCs w:val="21"/>
          <w:highlight w:val="none"/>
          <w:u w:val="single"/>
        </w:rPr>
        <w:t xml:space="preserve">                            </w:t>
      </w:r>
    </w:p>
    <w:p w14:paraId="753698F8">
      <w:pPr>
        <w:spacing w:beforeLines="50" w:afterLines="50" w:line="360" w:lineRule="auto"/>
        <w:jc w:val="center"/>
        <w:rPr>
          <w:rFonts w:ascii="黑体" w:hAnsi="宋体" w:eastAsia="黑体"/>
          <w:color w:val="auto"/>
          <w:sz w:val="32"/>
          <w:szCs w:val="32"/>
          <w:highlight w:val="none"/>
        </w:rPr>
      </w:pPr>
    </w:p>
    <w:p w14:paraId="66A9F32A">
      <w:pPr>
        <w:spacing w:beforeLines="50" w:afterLines="50" w:line="360" w:lineRule="auto"/>
        <w:jc w:val="center"/>
        <w:rPr>
          <w:rFonts w:ascii="黑体" w:hAnsi="宋体" w:eastAsia="黑体"/>
          <w:color w:val="auto"/>
          <w:sz w:val="32"/>
          <w:szCs w:val="32"/>
          <w:highlight w:val="none"/>
        </w:rPr>
      </w:pPr>
    </w:p>
    <w:p w14:paraId="19388465">
      <w:pPr>
        <w:spacing w:beforeLines="50" w:afterLines="50" w:line="360" w:lineRule="auto"/>
        <w:jc w:val="center"/>
        <w:rPr>
          <w:rFonts w:ascii="黑体" w:hAnsi="宋体" w:eastAsia="黑体"/>
          <w:color w:val="auto"/>
          <w:sz w:val="32"/>
          <w:szCs w:val="32"/>
          <w:highlight w:val="none"/>
        </w:rPr>
      </w:pPr>
    </w:p>
    <w:p w14:paraId="67E3769A">
      <w:pPr>
        <w:spacing w:beforeLines="50" w:afterLines="50" w:line="360" w:lineRule="auto"/>
        <w:jc w:val="center"/>
        <w:rPr>
          <w:rFonts w:ascii="黑体" w:hAnsi="宋体" w:eastAsia="黑体"/>
          <w:color w:val="auto"/>
          <w:sz w:val="32"/>
          <w:szCs w:val="32"/>
          <w:highlight w:val="none"/>
        </w:rPr>
      </w:pPr>
    </w:p>
    <w:p w14:paraId="74829283">
      <w:pPr>
        <w:spacing w:line="360" w:lineRule="auto"/>
        <w:rPr>
          <w:rFonts w:eastAsia="黑体"/>
          <w:color w:val="auto"/>
          <w:sz w:val="30"/>
          <w:szCs w:val="30"/>
          <w:highlight w:val="none"/>
        </w:rPr>
      </w:pPr>
      <w:r>
        <w:rPr>
          <w:rFonts w:eastAsia="仿宋_GB2312" w:cs="仿宋_GB2312"/>
          <w:color w:val="auto"/>
          <w:sz w:val="30"/>
          <w:szCs w:val="30"/>
          <w:highlight w:val="none"/>
        </w:rPr>
        <w:br w:type="page"/>
      </w:r>
      <w:r>
        <w:rPr>
          <w:rFonts w:eastAsia="仿宋_GB2312"/>
          <w:color w:val="auto"/>
          <w:sz w:val="30"/>
          <w:szCs w:val="30"/>
          <w:highlight w:val="none"/>
        </w:rPr>
        <w:t>附件</w:t>
      </w:r>
      <w:r>
        <w:rPr>
          <w:rFonts w:hint="eastAsia" w:eastAsia="仿宋_GB2312"/>
          <w:color w:val="auto"/>
          <w:sz w:val="30"/>
          <w:szCs w:val="30"/>
          <w:highlight w:val="none"/>
        </w:rPr>
        <w:t>3</w:t>
      </w:r>
      <w:r>
        <w:rPr>
          <w:rFonts w:eastAsia="仿宋_GB2312"/>
          <w:color w:val="auto"/>
          <w:sz w:val="30"/>
          <w:szCs w:val="30"/>
          <w:highlight w:val="none"/>
        </w:rPr>
        <w:t>：</w:t>
      </w:r>
    </w:p>
    <w:p w14:paraId="1FDDA5D7">
      <w:pPr>
        <w:spacing w:beforeLines="50" w:afterLines="50" w:line="360" w:lineRule="auto"/>
        <w:jc w:val="center"/>
        <w:rPr>
          <w:rFonts w:eastAsia="黑体"/>
          <w:color w:val="auto"/>
          <w:sz w:val="30"/>
          <w:szCs w:val="30"/>
          <w:highlight w:val="none"/>
        </w:rPr>
      </w:pPr>
      <w:r>
        <w:rPr>
          <w:rFonts w:eastAsia="黑体"/>
          <w:color w:val="auto"/>
          <w:sz w:val="30"/>
          <w:szCs w:val="30"/>
          <w:highlight w:val="none"/>
        </w:rPr>
        <w:t>主要建设工程文件目录</w:t>
      </w:r>
    </w:p>
    <w:tbl>
      <w:tblPr>
        <w:tblStyle w:val="33"/>
        <w:tblW w:w="9039"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953"/>
        <w:gridCol w:w="1276"/>
        <w:gridCol w:w="1450"/>
        <w:gridCol w:w="1243"/>
        <w:gridCol w:w="1450"/>
        <w:gridCol w:w="1667"/>
      </w:tblGrid>
      <w:tr w14:paraId="7E196EF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953" w:type="dxa"/>
            <w:tcBorders>
              <w:top w:val="single" w:color="auto" w:sz="12" w:space="0"/>
              <w:bottom w:val="double" w:color="auto" w:sz="6" w:space="0"/>
            </w:tcBorders>
            <w:vAlign w:val="center"/>
          </w:tcPr>
          <w:p w14:paraId="3723D72F">
            <w:pPr>
              <w:keepNext/>
              <w:adjustRightInd w:val="0"/>
              <w:spacing w:line="360" w:lineRule="auto"/>
              <w:ind w:left="63" w:leftChars="30" w:right="63" w:rightChars="30"/>
              <w:jc w:val="center"/>
              <w:textAlignment w:val="baseline"/>
              <w:rPr>
                <w:rFonts w:eastAsia="仿宋_GB2312"/>
                <w:color w:val="auto"/>
                <w:sz w:val="28"/>
                <w:szCs w:val="30"/>
                <w:highlight w:val="none"/>
              </w:rPr>
            </w:pPr>
            <w:r>
              <w:rPr>
                <w:rFonts w:eastAsia="仿宋_GB2312"/>
                <w:color w:val="auto"/>
                <w:sz w:val="28"/>
                <w:szCs w:val="30"/>
                <w:highlight w:val="none"/>
              </w:rPr>
              <w:t>文件名称</w:t>
            </w:r>
          </w:p>
        </w:tc>
        <w:tc>
          <w:tcPr>
            <w:tcW w:w="1276" w:type="dxa"/>
            <w:tcBorders>
              <w:top w:val="single" w:color="auto" w:sz="12" w:space="0"/>
              <w:bottom w:val="double" w:color="auto" w:sz="6" w:space="0"/>
            </w:tcBorders>
            <w:vAlign w:val="center"/>
          </w:tcPr>
          <w:p w14:paraId="119A1972">
            <w:pPr>
              <w:keepNext/>
              <w:adjustRightInd w:val="0"/>
              <w:spacing w:line="360" w:lineRule="auto"/>
              <w:ind w:left="63" w:leftChars="30" w:right="63" w:rightChars="30"/>
              <w:jc w:val="center"/>
              <w:textAlignment w:val="baseline"/>
              <w:rPr>
                <w:rFonts w:eastAsia="仿宋_GB2312"/>
                <w:color w:val="auto"/>
                <w:sz w:val="28"/>
                <w:szCs w:val="30"/>
                <w:highlight w:val="none"/>
              </w:rPr>
            </w:pPr>
            <w:r>
              <w:rPr>
                <w:rFonts w:eastAsia="仿宋_GB2312"/>
                <w:color w:val="auto"/>
                <w:sz w:val="28"/>
                <w:szCs w:val="30"/>
                <w:highlight w:val="none"/>
              </w:rPr>
              <w:t>套数</w:t>
            </w:r>
          </w:p>
        </w:tc>
        <w:tc>
          <w:tcPr>
            <w:tcW w:w="1450" w:type="dxa"/>
            <w:tcBorders>
              <w:top w:val="single" w:color="auto" w:sz="12" w:space="0"/>
              <w:bottom w:val="double" w:color="auto" w:sz="6" w:space="0"/>
            </w:tcBorders>
            <w:vAlign w:val="center"/>
          </w:tcPr>
          <w:p w14:paraId="6456777D">
            <w:pPr>
              <w:keepNext/>
              <w:adjustRightInd w:val="0"/>
              <w:spacing w:line="360" w:lineRule="auto"/>
              <w:ind w:left="63" w:leftChars="30" w:right="63" w:rightChars="30"/>
              <w:jc w:val="center"/>
              <w:textAlignment w:val="baseline"/>
              <w:rPr>
                <w:rFonts w:eastAsia="仿宋_GB2312"/>
                <w:color w:val="auto"/>
                <w:sz w:val="28"/>
                <w:szCs w:val="30"/>
                <w:highlight w:val="none"/>
              </w:rPr>
            </w:pPr>
            <w:r>
              <w:rPr>
                <w:rFonts w:eastAsia="仿宋_GB2312"/>
                <w:color w:val="auto"/>
                <w:sz w:val="28"/>
                <w:szCs w:val="30"/>
                <w:highlight w:val="none"/>
              </w:rPr>
              <w:t>费用</w:t>
            </w:r>
            <w:r>
              <w:rPr>
                <w:rFonts w:hint="eastAsia" w:eastAsia="仿宋_GB2312"/>
                <w:color w:val="auto"/>
                <w:sz w:val="28"/>
                <w:szCs w:val="30"/>
                <w:highlight w:val="none"/>
              </w:rPr>
              <w:t>（元）</w:t>
            </w:r>
          </w:p>
        </w:tc>
        <w:tc>
          <w:tcPr>
            <w:tcW w:w="1243" w:type="dxa"/>
            <w:tcBorders>
              <w:top w:val="single" w:color="auto" w:sz="12" w:space="0"/>
              <w:bottom w:val="double" w:color="auto" w:sz="6" w:space="0"/>
            </w:tcBorders>
            <w:vAlign w:val="center"/>
          </w:tcPr>
          <w:p w14:paraId="6BC1F93C">
            <w:pPr>
              <w:keepNext/>
              <w:adjustRightInd w:val="0"/>
              <w:spacing w:line="360" w:lineRule="auto"/>
              <w:ind w:left="63" w:leftChars="30" w:right="63" w:rightChars="30"/>
              <w:jc w:val="center"/>
              <w:textAlignment w:val="baseline"/>
              <w:rPr>
                <w:rFonts w:eastAsia="仿宋_GB2312"/>
                <w:color w:val="auto"/>
                <w:sz w:val="28"/>
                <w:szCs w:val="30"/>
                <w:highlight w:val="none"/>
              </w:rPr>
            </w:pPr>
            <w:r>
              <w:rPr>
                <w:rFonts w:eastAsia="仿宋_GB2312"/>
                <w:color w:val="auto"/>
                <w:sz w:val="28"/>
                <w:szCs w:val="30"/>
                <w:highlight w:val="none"/>
              </w:rPr>
              <w:t>质量</w:t>
            </w:r>
          </w:p>
        </w:tc>
        <w:tc>
          <w:tcPr>
            <w:tcW w:w="1450" w:type="dxa"/>
            <w:tcBorders>
              <w:top w:val="single" w:color="auto" w:sz="12" w:space="0"/>
              <w:bottom w:val="double" w:color="auto" w:sz="6" w:space="0"/>
            </w:tcBorders>
          </w:tcPr>
          <w:p w14:paraId="3B6EDE26">
            <w:pPr>
              <w:spacing w:line="360" w:lineRule="auto"/>
              <w:jc w:val="center"/>
              <w:rPr>
                <w:rFonts w:eastAsia="仿宋_GB2312"/>
                <w:color w:val="auto"/>
                <w:sz w:val="28"/>
                <w:szCs w:val="30"/>
                <w:highlight w:val="none"/>
              </w:rPr>
            </w:pPr>
            <w:r>
              <w:rPr>
                <w:rFonts w:eastAsia="仿宋_GB2312"/>
                <w:color w:val="auto"/>
                <w:sz w:val="28"/>
                <w:szCs w:val="30"/>
                <w:highlight w:val="none"/>
              </w:rPr>
              <w:t>移交时间</w:t>
            </w:r>
          </w:p>
        </w:tc>
        <w:tc>
          <w:tcPr>
            <w:tcW w:w="1667" w:type="dxa"/>
            <w:tcBorders>
              <w:top w:val="single" w:color="auto" w:sz="12" w:space="0"/>
              <w:bottom w:val="double" w:color="auto" w:sz="6" w:space="0"/>
            </w:tcBorders>
          </w:tcPr>
          <w:p w14:paraId="52334A3E">
            <w:pPr>
              <w:spacing w:line="360" w:lineRule="auto"/>
              <w:jc w:val="center"/>
              <w:rPr>
                <w:rFonts w:eastAsia="仿宋_GB2312"/>
                <w:color w:val="auto"/>
                <w:sz w:val="28"/>
                <w:szCs w:val="30"/>
                <w:highlight w:val="none"/>
              </w:rPr>
            </w:pPr>
            <w:r>
              <w:rPr>
                <w:rFonts w:eastAsia="仿宋_GB2312"/>
                <w:color w:val="auto"/>
                <w:sz w:val="28"/>
                <w:szCs w:val="30"/>
                <w:highlight w:val="none"/>
              </w:rPr>
              <w:t>责任人</w:t>
            </w:r>
          </w:p>
        </w:tc>
      </w:tr>
      <w:tr w14:paraId="7B5B746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double" w:color="auto" w:sz="6" w:space="0"/>
              <w:bottom w:val="single" w:color="auto" w:sz="6" w:space="0"/>
            </w:tcBorders>
            <w:vAlign w:val="center"/>
          </w:tcPr>
          <w:p w14:paraId="67D09183">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1276" w:type="dxa"/>
            <w:tcBorders>
              <w:top w:val="double" w:color="auto" w:sz="6" w:space="0"/>
              <w:bottom w:val="single" w:color="auto" w:sz="6" w:space="0"/>
            </w:tcBorders>
            <w:vAlign w:val="center"/>
          </w:tcPr>
          <w:p w14:paraId="4CAD1D6A">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1450" w:type="dxa"/>
            <w:tcBorders>
              <w:top w:val="double" w:color="auto" w:sz="6" w:space="0"/>
              <w:bottom w:val="single" w:color="auto" w:sz="6" w:space="0"/>
            </w:tcBorders>
            <w:vAlign w:val="center"/>
          </w:tcPr>
          <w:p w14:paraId="68EFB820">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1243" w:type="dxa"/>
            <w:tcBorders>
              <w:top w:val="double" w:color="auto" w:sz="6" w:space="0"/>
              <w:bottom w:val="single" w:color="auto" w:sz="6" w:space="0"/>
            </w:tcBorders>
            <w:vAlign w:val="center"/>
          </w:tcPr>
          <w:p w14:paraId="223F1743">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1450" w:type="dxa"/>
            <w:tcBorders>
              <w:top w:val="double" w:color="auto" w:sz="6" w:space="0"/>
              <w:bottom w:val="single" w:color="auto" w:sz="6" w:space="0"/>
            </w:tcBorders>
            <w:vAlign w:val="center"/>
          </w:tcPr>
          <w:p w14:paraId="3A1C1AD2">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1667" w:type="dxa"/>
            <w:tcBorders>
              <w:top w:val="double" w:color="auto" w:sz="6" w:space="0"/>
              <w:bottom w:val="single" w:color="auto" w:sz="6" w:space="0"/>
            </w:tcBorders>
            <w:vAlign w:val="center"/>
          </w:tcPr>
          <w:p w14:paraId="5845B265">
            <w:pPr>
              <w:keepNext/>
              <w:adjustRightInd w:val="0"/>
              <w:spacing w:line="360" w:lineRule="auto"/>
              <w:ind w:left="63" w:leftChars="30" w:right="63" w:rightChars="30"/>
              <w:jc w:val="center"/>
              <w:textAlignment w:val="baseline"/>
              <w:rPr>
                <w:rFonts w:eastAsia="仿宋_GB2312"/>
                <w:color w:val="auto"/>
                <w:sz w:val="30"/>
                <w:szCs w:val="30"/>
                <w:highlight w:val="none"/>
              </w:rPr>
            </w:pPr>
          </w:p>
        </w:tc>
      </w:tr>
      <w:tr w14:paraId="16322E0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nil"/>
            </w:tcBorders>
            <w:vAlign w:val="center"/>
          </w:tcPr>
          <w:p w14:paraId="2A82F2EE">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1276" w:type="dxa"/>
            <w:tcBorders>
              <w:top w:val="nil"/>
            </w:tcBorders>
            <w:vAlign w:val="center"/>
          </w:tcPr>
          <w:p w14:paraId="28D745BB">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1450" w:type="dxa"/>
            <w:tcBorders>
              <w:top w:val="nil"/>
            </w:tcBorders>
            <w:vAlign w:val="center"/>
          </w:tcPr>
          <w:p w14:paraId="21BD2493">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1243" w:type="dxa"/>
            <w:tcBorders>
              <w:top w:val="nil"/>
            </w:tcBorders>
            <w:vAlign w:val="center"/>
          </w:tcPr>
          <w:p w14:paraId="464206A0">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1450" w:type="dxa"/>
            <w:tcBorders>
              <w:top w:val="nil"/>
            </w:tcBorders>
            <w:vAlign w:val="center"/>
          </w:tcPr>
          <w:p w14:paraId="6DC1ED4A">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1667" w:type="dxa"/>
            <w:tcBorders>
              <w:top w:val="nil"/>
            </w:tcBorders>
            <w:vAlign w:val="center"/>
          </w:tcPr>
          <w:p w14:paraId="25547D16">
            <w:pPr>
              <w:keepNext/>
              <w:adjustRightInd w:val="0"/>
              <w:spacing w:line="360" w:lineRule="auto"/>
              <w:ind w:left="63" w:leftChars="30" w:right="63" w:rightChars="30"/>
              <w:jc w:val="center"/>
              <w:textAlignment w:val="baseline"/>
              <w:rPr>
                <w:rFonts w:eastAsia="仿宋_GB2312"/>
                <w:color w:val="auto"/>
                <w:sz w:val="30"/>
                <w:szCs w:val="30"/>
                <w:highlight w:val="none"/>
              </w:rPr>
            </w:pPr>
          </w:p>
        </w:tc>
      </w:tr>
      <w:tr w14:paraId="7446669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vAlign w:val="center"/>
          </w:tcPr>
          <w:p w14:paraId="3C07E517">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1276" w:type="dxa"/>
            <w:vAlign w:val="center"/>
          </w:tcPr>
          <w:p w14:paraId="629A36EE">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1450" w:type="dxa"/>
            <w:vAlign w:val="center"/>
          </w:tcPr>
          <w:p w14:paraId="11114097">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1243" w:type="dxa"/>
            <w:vAlign w:val="center"/>
          </w:tcPr>
          <w:p w14:paraId="0013BF16">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1450" w:type="dxa"/>
            <w:vAlign w:val="center"/>
          </w:tcPr>
          <w:p w14:paraId="788F57DE">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1667" w:type="dxa"/>
            <w:vAlign w:val="center"/>
          </w:tcPr>
          <w:p w14:paraId="1553E1ED">
            <w:pPr>
              <w:keepNext/>
              <w:adjustRightInd w:val="0"/>
              <w:spacing w:line="360" w:lineRule="auto"/>
              <w:ind w:left="63" w:leftChars="30" w:right="63" w:rightChars="30"/>
              <w:jc w:val="center"/>
              <w:textAlignment w:val="baseline"/>
              <w:rPr>
                <w:rFonts w:eastAsia="仿宋_GB2312"/>
                <w:color w:val="auto"/>
                <w:sz w:val="30"/>
                <w:szCs w:val="30"/>
                <w:highlight w:val="none"/>
              </w:rPr>
            </w:pPr>
          </w:p>
        </w:tc>
      </w:tr>
      <w:tr w14:paraId="7C08827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vAlign w:val="center"/>
          </w:tcPr>
          <w:p w14:paraId="230199B6">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1276" w:type="dxa"/>
            <w:vAlign w:val="center"/>
          </w:tcPr>
          <w:p w14:paraId="0592E086">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1450" w:type="dxa"/>
            <w:vAlign w:val="center"/>
          </w:tcPr>
          <w:p w14:paraId="497BC518">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1243" w:type="dxa"/>
            <w:vAlign w:val="center"/>
          </w:tcPr>
          <w:p w14:paraId="06F79033">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1450" w:type="dxa"/>
            <w:vAlign w:val="center"/>
          </w:tcPr>
          <w:p w14:paraId="3F27F7C0">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1667" w:type="dxa"/>
            <w:vAlign w:val="center"/>
          </w:tcPr>
          <w:p w14:paraId="6C37439B">
            <w:pPr>
              <w:keepNext/>
              <w:adjustRightInd w:val="0"/>
              <w:spacing w:line="360" w:lineRule="auto"/>
              <w:ind w:left="63" w:leftChars="30" w:right="63" w:rightChars="30"/>
              <w:jc w:val="center"/>
              <w:textAlignment w:val="baseline"/>
              <w:rPr>
                <w:rFonts w:eastAsia="仿宋_GB2312"/>
                <w:color w:val="auto"/>
                <w:sz w:val="30"/>
                <w:szCs w:val="30"/>
                <w:highlight w:val="none"/>
              </w:rPr>
            </w:pPr>
          </w:p>
        </w:tc>
      </w:tr>
      <w:tr w14:paraId="36EC197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vAlign w:val="center"/>
          </w:tcPr>
          <w:p w14:paraId="6DEF6F68">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1276" w:type="dxa"/>
            <w:vAlign w:val="center"/>
          </w:tcPr>
          <w:p w14:paraId="224B8B34">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1450" w:type="dxa"/>
            <w:vAlign w:val="center"/>
          </w:tcPr>
          <w:p w14:paraId="405E7A17">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1243" w:type="dxa"/>
            <w:vAlign w:val="center"/>
          </w:tcPr>
          <w:p w14:paraId="673FB1C6">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1450" w:type="dxa"/>
            <w:vAlign w:val="center"/>
          </w:tcPr>
          <w:p w14:paraId="26664F7F">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1667" w:type="dxa"/>
            <w:vAlign w:val="center"/>
          </w:tcPr>
          <w:p w14:paraId="4A1A2CAC">
            <w:pPr>
              <w:keepNext/>
              <w:adjustRightInd w:val="0"/>
              <w:spacing w:line="360" w:lineRule="auto"/>
              <w:ind w:left="63" w:leftChars="30" w:right="63" w:rightChars="30"/>
              <w:jc w:val="center"/>
              <w:textAlignment w:val="baseline"/>
              <w:rPr>
                <w:rFonts w:eastAsia="仿宋_GB2312"/>
                <w:color w:val="auto"/>
                <w:sz w:val="30"/>
                <w:szCs w:val="30"/>
                <w:highlight w:val="none"/>
              </w:rPr>
            </w:pPr>
          </w:p>
        </w:tc>
      </w:tr>
      <w:tr w14:paraId="5FD0470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vAlign w:val="center"/>
          </w:tcPr>
          <w:p w14:paraId="462449FA">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1276" w:type="dxa"/>
            <w:vAlign w:val="center"/>
          </w:tcPr>
          <w:p w14:paraId="62C3E0AB">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1450" w:type="dxa"/>
            <w:vAlign w:val="center"/>
          </w:tcPr>
          <w:p w14:paraId="2D8AA54B">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1243" w:type="dxa"/>
            <w:vAlign w:val="center"/>
          </w:tcPr>
          <w:p w14:paraId="1C0DFC1B">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1450" w:type="dxa"/>
            <w:vAlign w:val="center"/>
          </w:tcPr>
          <w:p w14:paraId="51574387">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1667" w:type="dxa"/>
            <w:vAlign w:val="center"/>
          </w:tcPr>
          <w:p w14:paraId="0E9217B1">
            <w:pPr>
              <w:keepNext/>
              <w:adjustRightInd w:val="0"/>
              <w:spacing w:line="360" w:lineRule="auto"/>
              <w:ind w:left="63" w:leftChars="30" w:right="63" w:rightChars="30"/>
              <w:jc w:val="center"/>
              <w:textAlignment w:val="baseline"/>
              <w:rPr>
                <w:rFonts w:eastAsia="仿宋_GB2312"/>
                <w:color w:val="auto"/>
                <w:sz w:val="30"/>
                <w:szCs w:val="30"/>
                <w:highlight w:val="none"/>
              </w:rPr>
            </w:pPr>
          </w:p>
        </w:tc>
      </w:tr>
      <w:tr w14:paraId="383637A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vAlign w:val="center"/>
          </w:tcPr>
          <w:p w14:paraId="560997D9">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1276" w:type="dxa"/>
            <w:vAlign w:val="center"/>
          </w:tcPr>
          <w:p w14:paraId="7BAE0247">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1450" w:type="dxa"/>
            <w:vAlign w:val="center"/>
          </w:tcPr>
          <w:p w14:paraId="2D84EBB4">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1243" w:type="dxa"/>
            <w:vAlign w:val="center"/>
          </w:tcPr>
          <w:p w14:paraId="766D5E38">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1450" w:type="dxa"/>
            <w:vAlign w:val="center"/>
          </w:tcPr>
          <w:p w14:paraId="639D8DC3">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1667" w:type="dxa"/>
            <w:vAlign w:val="center"/>
          </w:tcPr>
          <w:p w14:paraId="6584203E">
            <w:pPr>
              <w:keepNext/>
              <w:adjustRightInd w:val="0"/>
              <w:spacing w:line="360" w:lineRule="auto"/>
              <w:ind w:left="63" w:leftChars="30" w:right="63" w:rightChars="30"/>
              <w:jc w:val="center"/>
              <w:textAlignment w:val="baseline"/>
              <w:rPr>
                <w:rFonts w:eastAsia="仿宋_GB2312"/>
                <w:color w:val="auto"/>
                <w:sz w:val="30"/>
                <w:szCs w:val="30"/>
                <w:highlight w:val="none"/>
              </w:rPr>
            </w:pPr>
          </w:p>
        </w:tc>
      </w:tr>
      <w:tr w14:paraId="18803BC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vAlign w:val="center"/>
          </w:tcPr>
          <w:p w14:paraId="7AD848CC">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1276" w:type="dxa"/>
            <w:vAlign w:val="center"/>
          </w:tcPr>
          <w:p w14:paraId="70E84514">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1450" w:type="dxa"/>
            <w:vAlign w:val="center"/>
          </w:tcPr>
          <w:p w14:paraId="49B37D71">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1243" w:type="dxa"/>
            <w:vAlign w:val="center"/>
          </w:tcPr>
          <w:p w14:paraId="4DF777E8">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1450" w:type="dxa"/>
            <w:vAlign w:val="center"/>
          </w:tcPr>
          <w:p w14:paraId="544698F8">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1667" w:type="dxa"/>
            <w:vAlign w:val="center"/>
          </w:tcPr>
          <w:p w14:paraId="1752BB34">
            <w:pPr>
              <w:keepNext/>
              <w:adjustRightInd w:val="0"/>
              <w:spacing w:line="360" w:lineRule="auto"/>
              <w:ind w:left="63" w:leftChars="30" w:right="63" w:rightChars="30"/>
              <w:jc w:val="center"/>
              <w:textAlignment w:val="baseline"/>
              <w:rPr>
                <w:rFonts w:eastAsia="仿宋_GB2312"/>
                <w:color w:val="auto"/>
                <w:sz w:val="30"/>
                <w:szCs w:val="30"/>
                <w:highlight w:val="none"/>
              </w:rPr>
            </w:pPr>
          </w:p>
        </w:tc>
      </w:tr>
      <w:tr w14:paraId="2072854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Pr>
          <w:p w14:paraId="58804A0F">
            <w:pPr>
              <w:spacing w:line="360" w:lineRule="auto"/>
              <w:rPr>
                <w:rFonts w:eastAsia="仿宋_GB2312"/>
                <w:color w:val="auto"/>
                <w:sz w:val="30"/>
                <w:szCs w:val="30"/>
                <w:highlight w:val="none"/>
              </w:rPr>
            </w:pPr>
          </w:p>
        </w:tc>
        <w:tc>
          <w:tcPr>
            <w:tcW w:w="1276" w:type="dxa"/>
          </w:tcPr>
          <w:p w14:paraId="1CE10393">
            <w:pPr>
              <w:spacing w:line="360" w:lineRule="auto"/>
              <w:rPr>
                <w:rFonts w:eastAsia="仿宋_GB2312"/>
                <w:color w:val="auto"/>
                <w:sz w:val="30"/>
                <w:szCs w:val="30"/>
                <w:highlight w:val="none"/>
              </w:rPr>
            </w:pPr>
          </w:p>
        </w:tc>
        <w:tc>
          <w:tcPr>
            <w:tcW w:w="1450" w:type="dxa"/>
          </w:tcPr>
          <w:p w14:paraId="54E5B376">
            <w:pPr>
              <w:spacing w:line="360" w:lineRule="auto"/>
              <w:rPr>
                <w:rFonts w:eastAsia="仿宋_GB2312"/>
                <w:color w:val="auto"/>
                <w:sz w:val="30"/>
                <w:szCs w:val="30"/>
                <w:highlight w:val="none"/>
              </w:rPr>
            </w:pPr>
          </w:p>
        </w:tc>
        <w:tc>
          <w:tcPr>
            <w:tcW w:w="1243" w:type="dxa"/>
          </w:tcPr>
          <w:p w14:paraId="0BB07BCF">
            <w:pPr>
              <w:spacing w:line="360" w:lineRule="auto"/>
              <w:rPr>
                <w:rFonts w:eastAsia="仿宋_GB2312"/>
                <w:color w:val="auto"/>
                <w:sz w:val="30"/>
                <w:szCs w:val="30"/>
                <w:highlight w:val="none"/>
              </w:rPr>
            </w:pPr>
          </w:p>
        </w:tc>
        <w:tc>
          <w:tcPr>
            <w:tcW w:w="1450" w:type="dxa"/>
          </w:tcPr>
          <w:p w14:paraId="3990AD52">
            <w:pPr>
              <w:spacing w:line="360" w:lineRule="auto"/>
              <w:rPr>
                <w:rFonts w:eastAsia="仿宋_GB2312"/>
                <w:color w:val="auto"/>
                <w:sz w:val="30"/>
                <w:szCs w:val="30"/>
                <w:highlight w:val="none"/>
              </w:rPr>
            </w:pPr>
          </w:p>
        </w:tc>
        <w:tc>
          <w:tcPr>
            <w:tcW w:w="1667" w:type="dxa"/>
          </w:tcPr>
          <w:p w14:paraId="65D428AF">
            <w:pPr>
              <w:spacing w:line="360" w:lineRule="auto"/>
              <w:rPr>
                <w:rFonts w:eastAsia="仿宋_GB2312"/>
                <w:color w:val="auto"/>
                <w:sz w:val="30"/>
                <w:szCs w:val="30"/>
                <w:highlight w:val="none"/>
              </w:rPr>
            </w:pPr>
          </w:p>
        </w:tc>
      </w:tr>
      <w:tr w14:paraId="0CC3945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vAlign w:val="center"/>
          </w:tcPr>
          <w:p w14:paraId="4659BB2D">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1276" w:type="dxa"/>
            <w:vAlign w:val="center"/>
          </w:tcPr>
          <w:p w14:paraId="7BCA2192">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1450" w:type="dxa"/>
            <w:vAlign w:val="center"/>
          </w:tcPr>
          <w:p w14:paraId="2796FCCC">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1243" w:type="dxa"/>
            <w:vAlign w:val="center"/>
          </w:tcPr>
          <w:p w14:paraId="111BF3FE">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1450" w:type="dxa"/>
            <w:vAlign w:val="center"/>
          </w:tcPr>
          <w:p w14:paraId="042F96F6">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1667" w:type="dxa"/>
            <w:vAlign w:val="center"/>
          </w:tcPr>
          <w:p w14:paraId="0A60AB9B">
            <w:pPr>
              <w:keepNext/>
              <w:adjustRightInd w:val="0"/>
              <w:spacing w:line="360" w:lineRule="auto"/>
              <w:ind w:left="63" w:leftChars="30" w:right="63" w:rightChars="30"/>
              <w:jc w:val="center"/>
              <w:textAlignment w:val="baseline"/>
              <w:rPr>
                <w:rFonts w:eastAsia="仿宋_GB2312"/>
                <w:color w:val="auto"/>
                <w:sz w:val="30"/>
                <w:szCs w:val="30"/>
                <w:highlight w:val="none"/>
              </w:rPr>
            </w:pPr>
          </w:p>
        </w:tc>
      </w:tr>
      <w:tr w14:paraId="7233F1E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Pr>
          <w:p w14:paraId="27BD0312">
            <w:pPr>
              <w:spacing w:line="360" w:lineRule="auto"/>
              <w:rPr>
                <w:rFonts w:eastAsia="仿宋_GB2312"/>
                <w:color w:val="auto"/>
                <w:sz w:val="30"/>
                <w:szCs w:val="30"/>
                <w:highlight w:val="none"/>
              </w:rPr>
            </w:pPr>
          </w:p>
        </w:tc>
        <w:tc>
          <w:tcPr>
            <w:tcW w:w="1276" w:type="dxa"/>
          </w:tcPr>
          <w:p w14:paraId="7EF19114">
            <w:pPr>
              <w:spacing w:line="360" w:lineRule="auto"/>
              <w:rPr>
                <w:rFonts w:eastAsia="仿宋_GB2312"/>
                <w:color w:val="auto"/>
                <w:sz w:val="30"/>
                <w:szCs w:val="30"/>
                <w:highlight w:val="none"/>
              </w:rPr>
            </w:pPr>
          </w:p>
        </w:tc>
        <w:tc>
          <w:tcPr>
            <w:tcW w:w="1450" w:type="dxa"/>
          </w:tcPr>
          <w:p w14:paraId="28125AE5">
            <w:pPr>
              <w:spacing w:line="360" w:lineRule="auto"/>
              <w:rPr>
                <w:rFonts w:eastAsia="仿宋_GB2312"/>
                <w:color w:val="auto"/>
                <w:sz w:val="30"/>
                <w:szCs w:val="30"/>
                <w:highlight w:val="none"/>
              </w:rPr>
            </w:pPr>
          </w:p>
        </w:tc>
        <w:tc>
          <w:tcPr>
            <w:tcW w:w="1243" w:type="dxa"/>
          </w:tcPr>
          <w:p w14:paraId="7FFDEB30">
            <w:pPr>
              <w:spacing w:line="360" w:lineRule="auto"/>
              <w:rPr>
                <w:rFonts w:eastAsia="仿宋_GB2312"/>
                <w:color w:val="auto"/>
                <w:sz w:val="30"/>
                <w:szCs w:val="30"/>
                <w:highlight w:val="none"/>
              </w:rPr>
            </w:pPr>
          </w:p>
        </w:tc>
        <w:tc>
          <w:tcPr>
            <w:tcW w:w="1450" w:type="dxa"/>
          </w:tcPr>
          <w:p w14:paraId="6D6BE7CC">
            <w:pPr>
              <w:spacing w:line="360" w:lineRule="auto"/>
              <w:rPr>
                <w:rFonts w:eastAsia="仿宋_GB2312"/>
                <w:color w:val="auto"/>
                <w:sz w:val="30"/>
                <w:szCs w:val="30"/>
                <w:highlight w:val="none"/>
              </w:rPr>
            </w:pPr>
          </w:p>
        </w:tc>
        <w:tc>
          <w:tcPr>
            <w:tcW w:w="1667" w:type="dxa"/>
          </w:tcPr>
          <w:p w14:paraId="496AA6A3">
            <w:pPr>
              <w:spacing w:line="360" w:lineRule="auto"/>
              <w:rPr>
                <w:rFonts w:eastAsia="仿宋_GB2312"/>
                <w:color w:val="auto"/>
                <w:sz w:val="30"/>
                <w:szCs w:val="30"/>
                <w:highlight w:val="none"/>
              </w:rPr>
            </w:pPr>
          </w:p>
        </w:tc>
      </w:tr>
      <w:tr w14:paraId="67B930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Pr>
          <w:p w14:paraId="6D65F72C">
            <w:pPr>
              <w:spacing w:line="360" w:lineRule="auto"/>
              <w:rPr>
                <w:rFonts w:eastAsia="仿宋_GB2312"/>
                <w:color w:val="auto"/>
                <w:sz w:val="30"/>
                <w:szCs w:val="30"/>
                <w:highlight w:val="none"/>
              </w:rPr>
            </w:pPr>
          </w:p>
        </w:tc>
        <w:tc>
          <w:tcPr>
            <w:tcW w:w="1276" w:type="dxa"/>
          </w:tcPr>
          <w:p w14:paraId="647234EE">
            <w:pPr>
              <w:spacing w:line="360" w:lineRule="auto"/>
              <w:rPr>
                <w:rFonts w:eastAsia="仿宋_GB2312"/>
                <w:color w:val="auto"/>
                <w:sz w:val="30"/>
                <w:szCs w:val="30"/>
                <w:highlight w:val="none"/>
              </w:rPr>
            </w:pPr>
          </w:p>
        </w:tc>
        <w:tc>
          <w:tcPr>
            <w:tcW w:w="1450" w:type="dxa"/>
          </w:tcPr>
          <w:p w14:paraId="0228C1AB">
            <w:pPr>
              <w:spacing w:line="360" w:lineRule="auto"/>
              <w:rPr>
                <w:rFonts w:eastAsia="仿宋_GB2312"/>
                <w:color w:val="auto"/>
                <w:sz w:val="30"/>
                <w:szCs w:val="30"/>
                <w:highlight w:val="none"/>
              </w:rPr>
            </w:pPr>
          </w:p>
        </w:tc>
        <w:tc>
          <w:tcPr>
            <w:tcW w:w="1243" w:type="dxa"/>
          </w:tcPr>
          <w:p w14:paraId="6E92A4E4">
            <w:pPr>
              <w:spacing w:line="360" w:lineRule="auto"/>
              <w:rPr>
                <w:rFonts w:eastAsia="仿宋_GB2312"/>
                <w:color w:val="auto"/>
                <w:sz w:val="30"/>
                <w:szCs w:val="30"/>
                <w:highlight w:val="none"/>
              </w:rPr>
            </w:pPr>
          </w:p>
        </w:tc>
        <w:tc>
          <w:tcPr>
            <w:tcW w:w="1450" w:type="dxa"/>
          </w:tcPr>
          <w:p w14:paraId="506E09B4">
            <w:pPr>
              <w:spacing w:line="360" w:lineRule="auto"/>
              <w:rPr>
                <w:rFonts w:eastAsia="仿宋_GB2312"/>
                <w:color w:val="auto"/>
                <w:sz w:val="30"/>
                <w:szCs w:val="30"/>
                <w:highlight w:val="none"/>
              </w:rPr>
            </w:pPr>
          </w:p>
        </w:tc>
        <w:tc>
          <w:tcPr>
            <w:tcW w:w="1667" w:type="dxa"/>
          </w:tcPr>
          <w:p w14:paraId="7FA64F31">
            <w:pPr>
              <w:spacing w:line="360" w:lineRule="auto"/>
              <w:rPr>
                <w:rFonts w:eastAsia="仿宋_GB2312"/>
                <w:color w:val="auto"/>
                <w:sz w:val="30"/>
                <w:szCs w:val="30"/>
                <w:highlight w:val="none"/>
              </w:rPr>
            </w:pPr>
          </w:p>
        </w:tc>
      </w:tr>
      <w:tr w14:paraId="4276CA0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Pr>
          <w:p w14:paraId="20EEFA3F">
            <w:pPr>
              <w:spacing w:line="360" w:lineRule="auto"/>
              <w:rPr>
                <w:rFonts w:eastAsia="仿宋_GB2312"/>
                <w:color w:val="auto"/>
                <w:sz w:val="30"/>
                <w:szCs w:val="30"/>
                <w:highlight w:val="none"/>
              </w:rPr>
            </w:pPr>
          </w:p>
        </w:tc>
        <w:tc>
          <w:tcPr>
            <w:tcW w:w="1276" w:type="dxa"/>
          </w:tcPr>
          <w:p w14:paraId="010DFAC9">
            <w:pPr>
              <w:spacing w:line="360" w:lineRule="auto"/>
              <w:rPr>
                <w:rFonts w:eastAsia="仿宋_GB2312"/>
                <w:color w:val="auto"/>
                <w:sz w:val="30"/>
                <w:szCs w:val="30"/>
                <w:highlight w:val="none"/>
              </w:rPr>
            </w:pPr>
          </w:p>
        </w:tc>
        <w:tc>
          <w:tcPr>
            <w:tcW w:w="1450" w:type="dxa"/>
          </w:tcPr>
          <w:p w14:paraId="07525F6C">
            <w:pPr>
              <w:spacing w:line="360" w:lineRule="auto"/>
              <w:rPr>
                <w:rFonts w:eastAsia="仿宋_GB2312"/>
                <w:color w:val="auto"/>
                <w:sz w:val="30"/>
                <w:szCs w:val="30"/>
                <w:highlight w:val="none"/>
              </w:rPr>
            </w:pPr>
          </w:p>
        </w:tc>
        <w:tc>
          <w:tcPr>
            <w:tcW w:w="1243" w:type="dxa"/>
          </w:tcPr>
          <w:p w14:paraId="1A434343">
            <w:pPr>
              <w:spacing w:line="360" w:lineRule="auto"/>
              <w:rPr>
                <w:rFonts w:eastAsia="仿宋_GB2312"/>
                <w:color w:val="auto"/>
                <w:sz w:val="30"/>
                <w:szCs w:val="30"/>
                <w:highlight w:val="none"/>
              </w:rPr>
            </w:pPr>
          </w:p>
        </w:tc>
        <w:tc>
          <w:tcPr>
            <w:tcW w:w="1450" w:type="dxa"/>
          </w:tcPr>
          <w:p w14:paraId="5BE3A19A">
            <w:pPr>
              <w:spacing w:line="360" w:lineRule="auto"/>
              <w:rPr>
                <w:rFonts w:eastAsia="仿宋_GB2312"/>
                <w:color w:val="auto"/>
                <w:sz w:val="30"/>
                <w:szCs w:val="30"/>
                <w:highlight w:val="none"/>
              </w:rPr>
            </w:pPr>
          </w:p>
        </w:tc>
        <w:tc>
          <w:tcPr>
            <w:tcW w:w="1667" w:type="dxa"/>
          </w:tcPr>
          <w:p w14:paraId="446568CA">
            <w:pPr>
              <w:spacing w:line="360" w:lineRule="auto"/>
              <w:rPr>
                <w:rFonts w:eastAsia="仿宋_GB2312"/>
                <w:color w:val="auto"/>
                <w:sz w:val="30"/>
                <w:szCs w:val="30"/>
                <w:highlight w:val="none"/>
              </w:rPr>
            </w:pPr>
          </w:p>
        </w:tc>
      </w:tr>
      <w:tr w14:paraId="7CBF2C7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Pr>
          <w:p w14:paraId="59E6BD6D">
            <w:pPr>
              <w:spacing w:line="360" w:lineRule="auto"/>
              <w:rPr>
                <w:rFonts w:eastAsia="仿宋_GB2312"/>
                <w:color w:val="auto"/>
                <w:sz w:val="30"/>
                <w:szCs w:val="30"/>
                <w:highlight w:val="none"/>
              </w:rPr>
            </w:pPr>
          </w:p>
        </w:tc>
        <w:tc>
          <w:tcPr>
            <w:tcW w:w="1276" w:type="dxa"/>
          </w:tcPr>
          <w:p w14:paraId="5D436C71">
            <w:pPr>
              <w:spacing w:line="360" w:lineRule="auto"/>
              <w:rPr>
                <w:rFonts w:eastAsia="仿宋_GB2312"/>
                <w:color w:val="auto"/>
                <w:sz w:val="30"/>
                <w:szCs w:val="30"/>
                <w:highlight w:val="none"/>
              </w:rPr>
            </w:pPr>
          </w:p>
        </w:tc>
        <w:tc>
          <w:tcPr>
            <w:tcW w:w="1450" w:type="dxa"/>
          </w:tcPr>
          <w:p w14:paraId="1621498A">
            <w:pPr>
              <w:spacing w:line="360" w:lineRule="auto"/>
              <w:rPr>
                <w:rFonts w:eastAsia="仿宋_GB2312"/>
                <w:color w:val="auto"/>
                <w:sz w:val="30"/>
                <w:szCs w:val="30"/>
                <w:highlight w:val="none"/>
              </w:rPr>
            </w:pPr>
          </w:p>
        </w:tc>
        <w:tc>
          <w:tcPr>
            <w:tcW w:w="1243" w:type="dxa"/>
          </w:tcPr>
          <w:p w14:paraId="5E3CC5EE">
            <w:pPr>
              <w:spacing w:line="360" w:lineRule="auto"/>
              <w:rPr>
                <w:rFonts w:eastAsia="仿宋_GB2312"/>
                <w:color w:val="auto"/>
                <w:sz w:val="30"/>
                <w:szCs w:val="30"/>
                <w:highlight w:val="none"/>
              </w:rPr>
            </w:pPr>
          </w:p>
        </w:tc>
        <w:tc>
          <w:tcPr>
            <w:tcW w:w="1450" w:type="dxa"/>
          </w:tcPr>
          <w:p w14:paraId="69F18D1E">
            <w:pPr>
              <w:spacing w:line="360" w:lineRule="auto"/>
              <w:rPr>
                <w:rFonts w:eastAsia="仿宋_GB2312"/>
                <w:color w:val="auto"/>
                <w:sz w:val="30"/>
                <w:szCs w:val="30"/>
                <w:highlight w:val="none"/>
              </w:rPr>
            </w:pPr>
          </w:p>
        </w:tc>
        <w:tc>
          <w:tcPr>
            <w:tcW w:w="1667" w:type="dxa"/>
          </w:tcPr>
          <w:p w14:paraId="2FA11987">
            <w:pPr>
              <w:spacing w:line="360" w:lineRule="auto"/>
              <w:rPr>
                <w:rFonts w:eastAsia="仿宋_GB2312"/>
                <w:color w:val="auto"/>
                <w:sz w:val="30"/>
                <w:szCs w:val="30"/>
                <w:highlight w:val="none"/>
              </w:rPr>
            </w:pPr>
          </w:p>
        </w:tc>
      </w:tr>
      <w:tr w14:paraId="28CEDA2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Pr>
          <w:p w14:paraId="7D4C7519">
            <w:pPr>
              <w:spacing w:line="360" w:lineRule="auto"/>
              <w:rPr>
                <w:rFonts w:eastAsia="仿宋_GB2312"/>
                <w:color w:val="auto"/>
                <w:sz w:val="30"/>
                <w:szCs w:val="30"/>
                <w:highlight w:val="none"/>
              </w:rPr>
            </w:pPr>
          </w:p>
        </w:tc>
        <w:tc>
          <w:tcPr>
            <w:tcW w:w="1276" w:type="dxa"/>
          </w:tcPr>
          <w:p w14:paraId="3130FB00">
            <w:pPr>
              <w:spacing w:line="360" w:lineRule="auto"/>
              <w:rPr>
                <w:rFonts w:eastAsia="仿宋_GB2312"/>
                <w:color w:val="auto"/>
                <w:sz w:val="30"/>
                <w:szCs w:val="30"/>
                <w:highlight w:val="none"/>
              </w:rPr>
            </w:pPr>
          </w:p>
        </w:tc>
        <w:tc>
          <w:tcPr>
            <w:tcW w:w="1450" w:type="dxa"/>
          </w:tcPr>
          <w:p w14:paraId="30F96F49">
            <w:pPr>
              <w:spacing w:line="360" w:lineRule="auto"/>
              <w:rPr>
                <w:rFonts w:eastAsia="仿宋_GB2312"/>
                <w:color w:val="auto"/>
                <w:sz w:val="30"/>
                <w:szCs w:val="30"/>
                <w:highlight w:val="none"/>
              </w:rPr>
            </w:pPr>
          </w:p>
        </w:tc>
        <w:tc>
          <w:tcPr>
            <w:tcW w:w="1243" w:type="dxa"/>
          </w:tcPr>
          <w:p w14:paraId="0D552A2B">
            <w:pPr>
              <w:spacing w:line="360" w:lineRule="auto"/>
              <w:rPr>
                <w:rFonts w:eastAsia="仿宋_GB2312"/>
                <w:color w:val="auto"/>
                <w:sz w:val="30"/>
                <w:szCs w:val="30"/>
                <w:highlight w:val="none"/>
              </w:rPr>
            </w:pPr>
          </w:p>
        </w:tc>
        <w:tc>
          <w:tcPr>
            <w:tcW w:w="1450" w:type="dxa"/>
          </w:tcPr>
          <w:p w14:paraId="1AD2858E">
            <w:pPr>
              <w:spacing w:line="360" w:lineRule="auto"/>
              <w:rPr>
                <w:rFonts w:eastAsia="仿宋_GB2312"/>
                <w:color w:val="auto"/>
                <w:sz w:val="30"/>
                <w:szCs w:val="30"/>
                <w:highlight w:val="none"/>
              </w:rPr>
            </w:pPr>
          </w:p>
        </w:tc>
        <w:tc>
          <w:tcPr>
            <w:tcW w:w="1667" w:type="dxa"/>
          </w:tcPr>
          <w:p w14:paraId="214185A7">
            <w:pPr>
              <w:spacing w:line="360" w:lineRule="auto"/>
              <w:rPr>
                <w:rFonts w:eastAsia="仿宋_GB2312"/>
                <w:color w:val="auto"/>
                <w:sz w:val="30"/>
                <w:szCs w:val="30"/>
                <w:highlight w:val="none"/>
              </w:rPr>
            </w:pPr>
          </w:p>
        </w:tc>
      </w:tr>
      <w:tr w14:paraId="4F9FF20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Pr>
          <w:p w14:paraId="0C1CDEC3">
            <w:pPr>
              <w:spacing w:line="360" w:lineRule="auto"/>
              <w:rPr>
                <w:rFonts w:eastAsia="仿宋_GB2312"/>
                <w:color w:val="auto"/>
                <w:sz w:val="30"/>
                <w:szCs w:val="30"/>
                <w:highlight w:val="none"/>
              </w:rPr>
            </w:pPr>
          </w:p>
        </w:tc>
        <w:tc>
          <w:tcPr>
            <w:tcW w:w="1276" w:type="dxa"/>
          </w:tcPr>
          <w:p w14:paraId="3F089555">
            <w:pPr>
              <w:spacing w:line="360" w:lineRule="auto"/>
              <w:rPr>
                <w:rFonts w:eastAsia="仿宋_GB2312"/>
                <w:color w:val="auto"/>
                <w:sz w:val="30"/>
                <w:szCs w:val="30"/>
                <w:highlight w:val="none"/>
              </w:rPr>
            </w:pPr>
          </w:p>
        </w:tc>
        <w:tc>
          <w:tcPr>
            <w:tcW w:w="1450" w:type="dxa"/>
          </w:tcPr>
          <w:p w14:paraId="21743ADB">
            <w:pPr>
              <w:spacing w:line="360" w:lineRule="auto"/>
              <w:rPr>
                <w:rFonts w:eastAsia="仿宋_GB2312"/>
                <w:color w:val="auto"/>
                <w:sz w:val="30"/>
                <w:szCs w:val="30"/>
                <w:highlight w:val="none"/>
              </w:rPr>
            </w:pPr>
          </w:p>
        </w:tc>
        <w:tc>
          <w:tcPr>
            <w:tcW w:w="1243" w:type="dxa"/>
          </w:tcPr>
          <w:p w14:paraId="1AD262CA">
            <w:pPr>
              <w:spacing w:line="360" w:lineRule="auto"/>
              <w:rPr>
                <w:rFonts w:eastAsia="仿宋_GB2312"/>
                <w:color w:val="auto"/>
                <w:sz w:val="30"/>
                <w:szCs w:val="30"/>
                <w:highlight w:val="none"/>
              </w:rPr>
            </w:pPr>
          </w:p>
        </w:tc>
        <w:tc>
          <w:tcPr>
            <w:tcW w:w="1450" w:type="dxa"/>
          </w:tcPr>
          <w:p w14:paraId="5A8512B6">
            <w:pPr>
              <w:spacing w:line="360" w:lineRule="auto"/>
              <w:rPr>
                <w:rFonts w:eastAsia="仿宋_GB2312"/>
                <w:color w:val="auto"/>
                <w:sz w:val="30"/>
                <w:szCs w:val="30"/>
                <w:highlight w:val="none"/>
              </w:rPr>
            </w:pPr>
          </w:p>
        </w:tc>
        <w:tc>
          <w:tcPr>
            <w:tcW w:w="1667" w:type="dxa"/>
          </w:tcPr>
          <w:p w14:paraId="2DFA7A06">
            <w:pPr>
              <w:spacing w:line="360" w:lineRule="auto"/>
              <w:rPr>
                <w:rFonts w:eastAsia="仿宋_GB2312"/>
                <w:color w:val="auto"/>
                <w:sz w:val="30"/>
                <w:szCs w:val="30"/>
                <w:highlight w:val="none"/>
              </w:rPr>
            </w:pPr>
          </w:p>
        </w:tc>
      </w:tr>
      <w:tr w14:paraId="23FE4BD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Pr>
          <w:p w14:paraId="293BA0FD">
            <w:pPr>
              <w:spacing w:line="360" w:lineRule="auto"/>
              <w:rPr>
                <w:rFonts w:eastAsia="仿宋_GB2312"/>
                <w:color w:val="auto"/>
                <w:sz w:val="30"/>
                <w:szCs w:val="30"/>
                <w:highlight w:val="none"/>
              </w:rPr>
            </w:pPr>
          </w:p>
        </w:tc>
        <w:tc>
          <w:tcPr>
            <w:tcW w:w="1276" w:type="dxa"/>
          </w:tcPr>
          <w:p w14:paraId="5D808155">
            <w:pPr>
              <w:spacing w:line="360" w:lineRule="auto"/>
              <w:rPr>
                <w:rFonts w:eastAsia="仿宋_GB2312"/>
                <w:color w:val="auto"/>
                <w:sz w:val="30"/>
                <w:szCs w:val="30"/>
                <w:highlight w:val="none"/>
              </w:rPr>
            </w:pPr>
          </w:p>
        </w:tc>
        <w:tc>
          <w:tcPr>
            <w:tcW w:w="1450" w:type="dxa"/>
          </w:tcPr>
          <w:p w14:paraId="0F840970">
            <w:pPr>
              <w:spacing w:line="360" w:lineRule="auto"/>
              <w:rPr>
                <w:rFonts w:eastAsia="仿宋_GB2312"/>
                <w:color w:val="auto"/>
                <w:sz w:val="30"/>
                <w:szCs w:val="30"/>
                <w:highlight w:val="none"/>
              </w:rPr>
            </w:pPr>
          </w:p>
        </w:tc>
        <w:tc>
          <w:tcPr>
            <w:tcW w:w="1243" w:type="dxa"/>
          </w:tcPr>
          <w:p w14:paraId="4FC250D5">
            <w:pPr>
              <w:spacing w:line="360" w:lineRule="auto"/>
              <w:rPr>
                <w:rFonts w:eastAsia="仿宋_GB2312"/>
                <w:color w:val="auto"/>
                <w:sz w:val="30"/>
                <w:szCs w:val="30"/>
                <w:highlight w:val="none"/>
              </w:rPr>
            </w:pPr>
          </w:p>
        </w:tc>
        <w:tc>
          <w:tcPr>
            <w:tcW w:w="1450" w:type="dxa"/>
          </w:tcPr>
          <w:p w14:paraId="3021E79C">
            <w:pPr>
              <w:spacing w:line="360" w:lineRule="auto"/>
              <w:rPr>
                <w:rFonts w:eastAsia="仿宋_GB2312"/>
                <w:color w:val="auto"/>
                <w:sz w:val="30"/>
                <w:szCs w:val="30"/>
                <w:highlight w:val="none"/>
              </w:rPr>
            </w:pPr>
          </w:p>
        </w:tc>
        <w:tc>
          <w:tcPr>
            <w:tcW w:w="1667" w:type="dxa"/>
          </w:tcPr>
          <w:p w14:paraId="19E16447">
            <w:pPr>
              <w:spacing w:line="360" w:lineRule="auto"/>
              <w:rPr>
                <w:rFonts w:eastAsia="仿宋_GB2312"/>
                <w:color w:val="auto"/>
                <w:sz w:val="30"/>
                <w:szCs w:val="30"/>
                <w:highlight w:val="none"/>
              </w:rPr>
            </w:pPr>
          </w:p>
        </w:tc>
      </w:tr>
      <w:tr w14:paraId="51F460D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Pr>
          <w:p w14:paraId="29EC57D3">
            <w:pPr>
              <w:spacing w:line="360" w:lineRule="auto"/>
              <w:rPr>
                <w:rFonts w:eastAsia="仿宋_GB2312"/>
                <w:color w:val="auto"/>
                <w:sz w:val="30"/>
                <w:szCs w:val="30"/>
                <w:highlight w:val="none"/>
              </w:rPr>
            </w:pPr>
          </w:p>
        </w:tc>
        <w:tc>
          <w:tcPr>
            <w:tcW w:w="1276" w:type="dxa"/>
          </w:tcPr>
          <w:p w14:paraId="54FEE5AB">
            <w:pPr>
              <w:spacing w:line="360" w:lineRule="auto"/>
              <w:rPr>
                <w:rFonts w:eastAsia="仿宋_GB2312"/>
                <w:color w:val="auto"/>
                <w:sz w:val="30"/>
                <w:szCs w:val="30"/>
                <w:highlight w:val="none"/>
              </w:rPr>
            </w:pPr>
          </w:p>
        </w:tc>
        <w:tc>
          <w:tcPr>
            <w:tcW w:w="1450" w:type="dxa"/>
          </w:tcPr>
          <w:p w14:paraId="0000E7EF">
            <w:pPr>
              <w:spacing w:line="360" w:lineRule="auto"/>
              <w:rPr>
                <w:rFonts w:eastAsia="仿宋_GB2312"/>
                <w:color w:val="auto"/>
                <w:sz w:val="30"/>
                <w:szCs w:val="30"/>
                <w:highlight w:val="none"/>
              </w:rPr>
            </w:pPr>
          </w:p>
        </w:tc>
        <w:tc>
          <w:tcPr>
            <w:tcW w:w="1243" w:type="dxa"/>
          </w:tcPr>
          <w:p w14:paraId="6CCE1E0D">
            <w:pPr>
              <w:spacing w:line="360" w:lineRule="auto"/>
              <w:rPr>
                <w:rFonts w:eastAsia="仿宋_GB2312"/>
                <w:color w:val="auto"/>
                <w:sz w:val="30"/>
                <w:szCs w:val="30"/>
                <w:highlight w:val="none"/>
              </w:rPr>
            </w:pPr>
          </w:p>
        </w:tc>
        <w:tc>
          <w:tcPr>
            <w:tcW w:w="1450" w:type="dxa"/>
          </w:tcPr>
          <w:p w14:paraId="35E6D678">
            <w:pPr>
              <w:spacing w:line="360" w:lineRule="auto"/>
              <w:rPr>
                <w:rFonts w:eastAsia="仿宋_GB2312"/>
                <w:color w:val="auto"/>
                <w:sz w:val="30"/>
                <w:szCs w:val="30"/>
                <w:highlight w:val="none"/>
              </w:rPr>
            </w:pPr>
          </w:p>
        </w:tc>
        <w:tc>
          <w:tcPr>
            <w:tcW w:w="1667" w:type="dxa"/>
          </w:tcPr>
          <w:p w14:paraId="5398D0E1">
            <w:pPr>
              <w:spacing w:line="360" w:lineRule="auto"/>
              <w:rPr>
                <w:rFonts w:eastAsia="仿宋_GB2312"/>
                <w:color w:val="auto"/>
                <w:sz w:val="30"/>
                <w:szCs w:val="30"/>
                <w:highlight w:val="none"/>
              </w:rPr>
            </w:pPr>
          </w:p>
        </w:tc>
      </w:tr>
    </w:tbl>
    <w:p w14:paraId="1B7C70F6">
      <w:pPr>
        <w:spacing w:line="360" w:lineRule="auto"/>
        <w:rPr>
          <w:rFonts w:eastAsia="黑体"/>
          <w:color w:val="auto"/>
          <w:sz w:val="30"/>
          <w:szCs w:val="30"/>
          <w:highlight w:val="none"/>
        </w:rPr>
      </w:pPr>
      <w:r>
        <w:rPr>
          <w:rFonts w:eastAsia="仿宋_GB2312"/>
          <w:color w:val="auto"/>
          <w:sz w:val="30"/>
          <w:szCs w:val="30"/>
          <w:highlight w:val="none"/>
        </w:rPr>
        <w:br w:type="page"/>
      </w:r>
      <w:r>
        <w:rPr>
          <w:rFonts w:hint="eastAsia" w:eastAsia="仿宋_GB2312" w:cs="仿宋_GB2312"/>
          <w:color w:val="auto"/>
          <w:sz w:val="30"/>
          <w:szCs w:val="30"/>
          <w:highlight w:val="none"/>
        </w:rPr>
        <w:t>附件</w:t>
      </w:r>
      <w:r>
        <w:rPr>
          <w:rFonts w:hint="eastAsia" w:eastAsia="仿宋_GB2312"/>
          <w:color w:val="auto"/>
          <w:sz w:val="30"/>
          <w:szCs w:val="30"/>
          <w:highlight w:val="none"/>
        </w:rPr>
        <w:t>4</w:t>
      </w:r>
      <w:r>
        <w:rPr>
          <w:rFonts w:hint="eastAsia" w:eastAsia="仿宋_GB2312" w:cs="仿宋_GB2312"/>
          <w:color w:val="auto"/>
          <w:sz w:val="30"/>
          <w:szCs w:val="30"/>
          <w:highlight w:val="none"/>
        </w:rPr>
        <w:t>：</w:t>
      </w:r>
    </w:p>
    <w:p w14:paraId="26B0758F">
      <w:pPr>
        <w:spacing w:beforeLines="50" w:afterLines="50" w:line="360" w:lineRule="auto"/>
        <w:jc w:val="center"/>
        <w:rPr>
          <w:rFonts w:eastAsia="黑体"/>
          <w:color w:val="auto"/>
          <w:sz w:val="30"/>
          <w:szCs w:val="30"/>
          <w:highlight w:val="none"/>
        </w:rPr>
      </w:pPr>
      <w:r>
        <w:rPr>
          <w:rFonts w:hint="eastAsia" w:eastAsia="黑体" w:cs="黑体"/>
          <w:color w:val="auto"/>
          <w:sz w:val="30"/>
          <w:szCs w:val="30"/>
          <w:highlight w:val="none"/>
        </w:rPr>
        <w:t>承包人用于本工程施工的机械设备表</w:t>
      </w:r>
    </w:p>
    <w:tbl>
      <w:tblPr>
        <w:tblStyle w:val="33"/>
        <w:tblW w:w="98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162"/>
        <w:gridCol w:w="1418"/>
        <w:gridCol w:w="850"/>
        <w:gridCol w:w="1058"/>
        <w:gridCol w:w="880"/>
        <w:gridCol w:w="1020"/>
        <w:gridCol w:w="1480"/>
        <w:gridCol w:w="1020"/>
        <w:gridCol w:w="921"/>
      </w:tblGrid>
      <w:tr w14:paraId="78ACA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162" w:type="dxa"/>
            <w:vAlign w:val="center"/>
          </w:tcPr>
          <w:p w14:paraId="0A93FD86">
            <w:pPr>
              <w:keepNext/>
              <w:adjustRightInd w:val="0"/>
              <w:spacing w:line="360" w:lineRule="auto"/>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rPr>
              <w:t>序号</w:t>
            </w:r>
          </w:p>
        </w:tc>
        <w:tc>
          <w:tcPr>
            <w:tcW w:w="1418" w:type="dxa"/>
            <w:vAlign w:val="center"/>
          </w:tcPr>
          <w:p w14:paraId="4806B21C">
            <w:pPr>
              <w:keepNext/>
              <w:adjustRightInd w:val="0"/>
              <w:spacing w:line="360" w:lineRule="auto"/>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rPr>
              <w:t>机械或设备名称</w:t>
            </w:r>
          </w:p>
        </w:tc>
        <w:tc>
          <w:tcPr>
            <w:tcW w:w="850" w:type="dxa"/>
            <w:vAlign w:val="center"/>
          </w:tcPr>
          <w:p w14:paraId="05EA04A3">
            <w:pPr>
              <w:keepNext/>
              <w:adjustRightInd w:val="0"/>
              <w:spacing w:line="360" w:lineRule="auto"/>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rPr>
              <w:t>规格型号</w:t>
            </w:r>
          </w:p>
        </w:tc>
        <w:tc>
          <w:tcPr>
            <w:tcW w:w="1058" w:type="dxa"/>
            <w:vAlign w:val="center"/>
          </w:tcPr>
          <w:p w14:paraId="0973945A">
            <w:pPr>
              <w:keepNext/>
              <w:adjustRightInd w:val="0"/>
              <w:spacing w:line="360" w:lineRule="auto"/>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rPr>
              <w:t>数量</w:t>
            </w:r>
          </w:p>
        </w:tc>
        <w:tc>
          <w:tcPr>
            <w:tcW w:w="880" w:type="dxa"/>
            <w:vAlign w:val="center"/>
          </w:tcPr>
          <w:p w14:paraId="04661A7F">
            <w:pPr>
              <w:keepNext/>
              <w:adjustRightInd w:val="0"/>
              <w:spacing w:line="360" w:lineRule="auto"/>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rPr>
              <w:t>产地</w:t>
            </w:r>
          </w:p>
        </w:tc>
        <w:tc>
          <w:tcPr>
            <w:tcW w:w="1020" w:type="dxa"/>
            <w:vAlign w:val="center"/>
          </w:tcPr>
          <w:p w14:paraId="4F10F53F">
            <w:pPr>
              <w:keepNext/>
              <w:adjustRightInd w:val="0"/>
              <w:spacing w:line="360" w:lineRule="auto"/>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rPr>
              <w:t>制造年份</w:t>
            </w:r>
          </w:p>
        </w:tc>
        <w:tc>
          <w:tcPr>
            <w:tcW w:w="1480" w:type="dxa"/>
            <w:vAlign w:val="center"/>
          </w:tcPr>
          <w:p w14:paraId="3B5EA1D2">
            <w:pPr>
              <w:keepNext/>
              <w:adjustRightInd w:val="0"/>
              <w:spacing w:line="360" w:lineRule="auto"/>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rPr>
              <w:t>额定功率（</w:t>
            </w:r>
            <w:r>
              <w:rPr>
                <w:rFonts w:eastAsia="仿宋_GB2312"/>
                <w:color w:val="auto"/>
                <w:sz w:val="28"/>
                <w:szCs w:val="28"/>
                <w:highlight w:val="none"/>
              </w:rPr>
              <w:t>kW</w:t>
            </w:r>
            <w:r>
              <w:rPr>
                <w:rFonts w:hint="eastAsia" w:eastAsia="仿宋_GB2312" w:cs="仿宋_GB2312"/>
                <w:color w:val="auto"/>
                <w:sz w:val="28"/>
                <w:szCs w:val="28"/>
                <w:highlight w:val="none"/>
              </w:rPr>
              <w:t>）</w:t>
            </w:r>
          </w:p>
        </w:tc>
        <w:tc>
          <w:tcPr>
            <w:tcW w:w="1020" w:type="dxa"/>
            <w:vAlign w:val="center"/>
          </w:tcPr>
          <w:p w14:paraId="12707820">
            <w:pPr>
              <w:keepNext/>
              <w:adjustRightInd w:val="0"/>
              <w:spacing w:line="360" w:lineRule="auto"/>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rPr>
              <w:t>生产能力</w:t>
            </w:r>
          </w:p>
        </w:tc>
        <w:tc>
          <w:tcPr>
            <w:tcW w:w="921" w:type="dxa"/>
            <w:vAlign w:val="center"/>
          </w:tcPr>
          <w:p w14:paraId="039C2F94">
            <w:pPr>
              <w:keepNext/>
              <w:adjustRightInd w:val="0"/>
              <w:spacing w:line="360" w:lineRule="auto"/>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rPr>
              <w:t>备注</w:t>
            </w:r>
          </w:p>
        </w:tc>
      </w:tr>
      <w:tr w14:paraId="6123B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vAlign w:val="center"/>
          </w:tcPr>
          <w:p w14:paraId="37BE7A58">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1418" w:type="dxa"/>
            <w:vAlign w:val="center"/>
          </w:tcPr>
          <w:p w14:paraId="5B6515BC">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850" w:type="dxa"/>
            <w:vAlign w:val="center"/>
          </w:tcPr>
          <w:p w14:paraId="16E7F0FF">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1058" w:type="dxa"/>
            <w:vAlign w:val="center"/>
          </w:tcPr>
          <w:p w14:paraId="13B70E58">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880" w:type="dxa"/>
            <w:vAlign w:val="center"/>
          </w:tcPr>
          <w:p w14:paraId="15071479">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1020" w:type="dxa"/>
            <w:vAlign w:val="center"/>
          </w:tcPr>
          <w:p w14:paraId="33311A34">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1480" w:type="dxa"/>
            <w:vAlign w:val="center"/>
          </w:tcPr>
          <w:p w14:paraId="3248961B">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1020" w:type="dxa"/>
            <w:vAlign w:val="center"/>
          </w:tcPr>
          <w:p w14:paraId="33D5EBD6">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921" w:type="dxa"/>
            <w:vAlign w:val="center"/>
          </w:tcPr>
          <w:p w14:paraId="546C10AF">
            <w:pPr>
              <w:keepNext/>
              <w:adjustRightInd w:val="0"/>
              <w:spacing w:line="360" w:lineRule="auto"/>
              <w:ind w:left="63" w:leftChars="30" w:right="63" w:rightChars="30"/>
              <w:jc w:val="center"/>
              <w:textAlignment w:val="baseline"/>
              <w:rPr>
                <w:rFonts w:eastAsia="仿宋_GB2312"/>
                <w:color w:val="auto"/>
                <w:sz w:val="30"/>
                <w:szCs w:val="30"/>
                <w:highlight w:val="none"/>
              </w:rPr>
            </w:pPr>
          </w:p>
        </w:tc>
      </w:tr>
      <w:tr w14:paraId="71DC3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vAlign w:val="center"/>
          </w:tcPr>
          <w:p w14:paraId="2C399140">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1418" w:type="dxa"/>
            <w:vAlign w:val="center"/>
          </w:tcPr>
          <w:p w14:paraId="0D5548B1">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850" w:type="dxa"/>
            <w:vAlign w:val="center"/>
          </w:tcPr>
          <w:p w14:paraId="0032DE46">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1058" w:type="dxa"/>
            <w:vAlign w:val="center"/>
          </w:tcPr>
          <w:p w14:paraId="3EA1B28D">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880" w:type="dxa"/>
            <w:vAlign w:val="center"/>
          </w:tcPr>
          <w:p w14:paraId="286C62D0">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1020" w:type="dxa"/>
            <w:vAlign w:val="center"/>
          </w:tcPr>
          <w:p w14:paraId="48F34D4B">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1480" w:type="dxa"/>
            <w:vAlign w:val="center"/>
          </w:tcPr>
          <w:p w14:paraId="5B5C3DDD">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1020" w:type="dxa"/>
            <w:vAlign w:val="center"/>
          </w:tcPr>
          <w:p w14:paraId="10D2DCAC">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921" w:type="dxa"/>
            <w:vAlign w:val="center"/>
          </w:tcPr>
          <w:p w14:paraId="3927E674">
            <w:pPr>
              <w:keepNext/>
              <w:adjustRightInd w:val="0"/>
              <w:spacing w:line="360" w:lineRule="auto"/>
              <w:ind w:left="63" w:leftChars="30" w:right="63" w:rightChars="30"/>
              <w:jc w:val="center"/>
              <w:textAlignment w:val="baseline"/>
              <w:rPr>
                <w:rFonts w:eastAsia="仿宋_GB2312"/>
                <w:color w:val="auto"/>
                <w:sz w:val="30"/>
                <w:szCs w:val="30"/>
                <w:highlight w:val="none"/>
              </w:rPr>
            </w:pPr>
          </w:p>
        </w:tc>
      </w:tr>
      <w:tr w14:paraId="7E909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vAlign w:val="center"/>
          </w:tcPr>
          <w:p w14:paraId="4B5BA6E5">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1418" w:type="dxa"/>
            <w:vAlign w:val="center"/>
          </w:tcPr>
          <w:p w14:paraId="087C0A59">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850" w:type="dxa"/>
            <w:vAlign w:val="center"/>
          </w:tcPr>
          <w:p w14:paraId="030DD01F">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1058" w:type="dxa"/>
            <w:vAlign w:val="center"/>
          </w:tcPr>
          <w:p w14:paraId="34815F06">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880" w:type="dxa"/>
            <w:vAlign w:val="center"/>
          </w:tcPr>
          <w:p w14:paraId="6E5AA354">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1020" w:type="dxa"/>
            <w:vAlign w:val="center"/>
          </w:tcPr>
          <w:p w14:paraId="1A0F702B">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1480" w:type="dxa"/>
            <w:vAlign w:val="center"/>
          </w:tcPr>
          <w:p w14:paraId="31B3BF73">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1020" w:type="dxa"/>
            <w:vAlign w:val="center"/>
          </w:tcPr>
          <w:p w14:paraId="50048786">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921" w:type="dxa"/>
            <w:vAlign w:val="center"/>
          </w:tcPr>
          <w:p w14:paraId="5826C921">
            <w:pPr>
              <w:keepNext/>
              <w:adjustRightInd w:val="0"/>
              <w:spacing w:line="360" w:lineRule="auto"/>
              <w:ind w:left="63" w:leftChars="30" w:right="63" w:rightChars="30"/>
              <w:jc w:val="center"/>
              <w:textAlignment w:val="baseline"/>
              <w:rPr>
                <w:rFonts w:eastAsia="仿宋_GB2312"/>
                <w:color w:val="auto"/>
                <w:sz w:val="30"/>
                <w:szCs w:val="30"/>
                <w:highlight w:val="none"/>
              </w:rPr>
            </w:pPr>
          </w:p>
        </w:tc>
      </w:tr>
      <w:tr w14:paraId="0E91A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vAlign w:val="center"/>
          </w:tcPr>
          <w:p w14:paraId="57B65B6E">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1418" w:type="dxa"/>
            <w:vAlign w:val="center"/>
          </w:tcPr>
          <w:p w14:paraId="0BE2F020">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850" w:type="dxa"/>
            <w:vAlign w:val="center"/>
          </w:tcPr>
          <w:p w14:paraId="02ECA82E">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1058" w:type="dxa"/>
            <w:vAlign w:val="center"/>
          </w:tcPr>
          <w:p w14:paraId="46B57289">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880" w:type="dxa"/>
            <w:vAlign w:val="center"/>
          </w:tcPr>
          <w:p w14:paraId="0E707D82">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1020" w:type="dxa"/>
            <w:vAlign w:val="center"/>
          </w:tcPr>
          <w:p w14:paraId="59853E86">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1480" w:type="dxa"/>
            <w:vAlign w:val="center"/>
          </w:tcPr>
          <w:p w14:paraId="1C369AE3">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1020" w:type="dxa"/>
            <w:vAlign w:val="center"/>
          </w:tcPr>
          <w:p w14:paraId="72EBE828">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921" w:type="dxa"/>
            <w:vAlign w:val="center"/>
          </w:tcPr>
          <w:p w14:paraId="122882E4">
            <w:pPr>
              <w:keepNext/>
              <w:adjustRightInd w:val="0"/>
              <w:spacing w:line="360" w:lineRule="auto"/>
              <w:ind w:left="63" w:leftChars="30" w:right="63" w:rightChars="30"/>
              <w:jc w:val="center"/>
              <w:textAlignment w:val="baseline"/>
              <w:rPr>
                <w:rFonts w:eastAsia="仿宋_GB2312"/>
                <w:color w:val="auto"/>
                <w:sz w:val="30"/>
                <w:szCs w:val="30"/>
                <w:highlight w:val="none"/>
              </w:rPr>
            </w:pPr>
          </w:p>
        </w:tc>
      </w:tr>
      <w:tr w14:paraId="520E9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vAlign w:val="center"/>
          </w:tcPr>
          <w:p w14:paraId="1FA3EC06">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1418" w:type="dxa"/>
            <w:vAlign w:val="center"/>
          </w:tcPr>
          <w:p w14:paraId="37F55F42">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850" w:type="dxa"/>
            <w:vAlign w:val="center"/>
          </w:tcPr>
          <w:p w14:paraId="3100674A">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1058" w:type="dxa"/>
            <w:vAlign w:val="center"/>
          </w:tcPr>
          <w:p w14:paraId="6C2B60FF">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880" w:type="dxa"/>
            <w:vAlign w:val="center"/>
          </w:tcPr>
          <w:p w14:paraId="152866C3">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1020" w:type="dxa"/>
            <w:vAlign w:val="center"/>
          </w:tcPr>
          <w:p w14:paraId="3F3BD019">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1480" w:type="dxa"/>
            <w:vAlign w:val="center"/>
          </w:tcPr>
          <w:p w14:paraId="3FB634E4">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1020" w:type="dxa"/>
            <w:vAlign w:val="center"/>
          </w:tcPr>
          <w:p w14:paraId="12D33F27">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921" w:type="dxa"/>
            <w:vAlign w:val="center"/>
          </w:tcPr>
          <w:p w14:paraId="44E132C1">
            <w:pPr>
              <w:keepNext/>
              <w:adjustRightInd w:val="0"/>
              <w:spacing w:line="360" w:lineRule="auto"/>
              <w:ind w:left="63" w:leftChars="30" w:right="63" w:rightChars="30"/>
              <w:jc w:val="center"/>
              <w:textAlignment w:val="baseline"/>
              <w:rPr>
                <w:rFonts w:eastAsia="仿宋_GB2312"/>
                <w:color w:val="auto"/>
                <w:sz w:val="30"/>
                <w:szCs w:val="30"/>
                <w:highlight w:val="none"/>
              </w:rPr>
            </w:pPr>
          </w:p>
        </w:tc>
      </w:tr>
      <w:tr w14:paraId="32B76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vAlign w:val="center"/>
          </w:tcPr>
          <w:p w14:paraId="39AAB8EB">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1418" w:type="dxa"/>
            <w:vAlign w:val="center"/>
          </w:tcPr>
          <w:p w14:paraId="37E46683">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850" w:type="dxa"/>
            <w:vAlign w:val="center"/>
          </w:tcPr>
          <w:p w14:paraId="5671EF29">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1058" w:type="dxa"/>
            <w:vAlign w:val="center"/>
          </w:tcPr>
          <w:p w14:paraId="0F3ACC60">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880" w:type="dxa"/>
            <w:vAlign w:val="center"/>
          </w:tcPr>
          <w:p w14:paraId="1AA1E10B">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1020" w:type="dxa"/>
            <w:vAlign w:val="center"/>
          </w:tcPr>
          <w:p w14:paraId="7ABBF100">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1480" w:type="dxa"/>
            <w:vAlign w:val="center"/>
          </w:tcPr>
          <w:p w14:paraId="15A73749">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1020" w:type="dxa"/>
            <w:vAlign w:val="center"/>
          </w:tcPr>
          <w:p w14:paraId="214DE778">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921" w:type="dxa"/>
            <w:vAlign w:val="center"/>
          </w:tcPr>
          <w:p w14:paraId="1DA4D9B9">
            <w:pPr>
              <w:keepNext/>
              <w:adjustRightInd w:val="0"/>
              <w:spacing w:line="360" w:lineRule="auto"/>
              <w:ind w:left="63" w:leftChars="30" w:right="63" w:rightChars="30"/>
              <w:jc w:val="center"/>
              <w:textAlignment w:val="baseline"/>
              <w:rPr>
                <w:rFonts w:eastAsia="仿宋_GB2312"/>
                <w:color w:val="auto"/>
                <w:sz w:val="30"/>
                <w:szCs w:val="30"/>
                <w:highlight w:val="none"/>
              </w:rPr>
            </w:pPr>
          </w:p>
        </w:tc>
      </w:tr>
      <w:tr w14:paraId="6C9E6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vAlign w:val="center"/>
          </w:tcPr>
          <w:p w14:paraId="7E5044D2">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1418" w:type="dxa"/>
            <w:vAlign w:val="center"/>
          </w:tcPr>
          <w:p w14:paraId="6186A885">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850" w:type="dxa"/>
            <w:vAlign w:val="center"/>
          </w:tcPr>
          <w:p w14:paraId="25D8FC30">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1058" w:type="dxa"/>
            <w:vAlign w:val="center"/>
          </w:tcPr>
          <w:p w14:paraId="2300D02E">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880" w:type="dxa"/>
            <w:vAlign w:val="center"/>
          </w:tcPr>
          <w:p w14:paraId="081972DF">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1020" w:type="dxa"/>
            <w:vAlign w:val="center"/>
          </w:tcPr>
          <w:p w14:paraId="66AA68BF">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1480" w:type="dxa"/>
            <w:vAlign w:val="center"/>
          </w:tcPr>
          <w:p w14:paraId="1D47E398">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1020" w:type="dxa"/>
            <w:vAlign w:val="center"/>
          </w:tcPr>
          <w:p w14:paraId="6408B757">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921" w:type="dxa"/>
            <w:vAlign w:val="center"/>
          </w:tcPr>
          <w:p w14:paraId="6535E096">
            <w:pPr>
              <w:keepNext/>
              <w:adjustRightInd w:val="0"/>
              <w:spacing w:line="360" w:lineRule="auto"/>
              <w:ind w:left="63" w:leftChars="30" w:right="63" w:rightChars="30"/>
              <w:jc w:val="center"/>
              <w:textAlignment w:val="baseline"/>
              <w:rPr>
                <w:rFonts w:eastAsia="仿宋_GB2312"/>
                <w:color w:val="auto"/>
                <w:sz w:val="30"/>
                <w:szCs w:val="30"/>
                <w:highlight w:val="none"/>
              </w:rPr>
            </w:pPr>
          </w:p>
        </w:tc>
      </w:tr>
      <w:tr w14:paraId="491A5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vAlign w:val="center"/>
          </w:tcPr>
          <w:p w14:paraId="4141D794">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1418" w:type="dxa"/>
            <w:vAlign w:val="center"/>
          </w:tcPr>
          <w:p w14:paraId="45B88596">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850" w:type="dxa"/>
            <w:vAlign w:val="center"/>
          </w:tcPr>
          <w:p w14:paraId="3AD6A9D3">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1058" w:type="dxa"/>
            <w:vAlign w:val="center"/>
          </w:tcPr>
          <w:p w14:paraId="4B62B967">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880" w:type="dxa"/>
            <w:vAlign w:val="center"/>
          </w:tcPr>
          <w:p w14:paraId="2FA21A7D">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1020" w:type="dxa"/>
            <w:vAlign w:val="center"/>
          </w:tcPr>
          <w:p w14:paraId="470F5CE4">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1480" w:type="dxa"/>
            <w:vAlign w:val="center"/>
          </w:tcPr>
          <w:p w14:paraId="3564CBAD">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1020" w:type="dxa"/>
            <w:vAlign w:val="center"/>
          </w:tcPr>
          <w:p w14:paraId="6DD44E8E">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921" w:type="dxa"/>
            <w:vAlign w:val="center"/>
          </w:tcPr>
          <w:p w14:paraId="3A5FFDD8">
            <w:pPr>
              <w:keepNext/>
              <w:adjustRightInd w:val="0"/>
              <w:spacing w:line="360" w:lineRule="auto"/>
              <w:ind w:left="63" w:leftChars="30" w:right="63" w:rightChars="30"/>
              <w:jc w:val="center"/>
              <w:textAlignment w:val="baseline"/>
              <w:rPr>
                <w:rFonts w:eastAsia="仿宋_GB2312"/>
                <w:color w:val="auto"/>
                <w:sz w:val="30"/>
                <w:szCs w:val="30"/>
                <w:highlight w:val="none"/>
              </w:rPr>
            </w:pPr>
          </w:p>
        </w:tc>
      </w:tr>
      <w:tr w14:paraId="1B2F7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Pr>
          <w:p w14:paraId="3CC5FEF9">
            <w:pPr>
              <w:spacing w:line="360" w:lineRule="auto"/>
              <w:rPr>
                <w:rFonts w:eastAsia="仿宋_GB2312"/>
                <w:color w:val="auto"/>
                <w:sz w:val="30"/>
                <w:szCs w:val="30"/>
                <w:highlight w:val="none"/>
              </w:rPr>
            </w:pPr>
          </w:p>
        </w:tc>
        <w:tc>
          <w:tcPr>
            <w:tcW w:w="1418" w:type="dxa"/>
          </w:tcPr>
          <w:p w14:paraId="78532AB1">
            <w:pPr>
              <w:spacing w:line="360" w:lineRule="auto"/>
              <w:rPr>
                <w:rFonts w:eastAsia="仿宋_GB2312"/>
                <w:color w:val="auto"/>
                <w:sz w:val="30"/>
                <w:szCs w:val="30"/>
                <w:highlight w:val="none"/>
              </w:rPr>
            </w:pPr>
          </w:p>
        </w:tc>
        <w:tc>
          <w:tcPr>
            <w:tcW w:w="850" w:type="dxa"/>
          </w:tcPr>
          <w:p w14:paraId="2B76241A">
            <w:pPr>
              <w:spacing w:line="360" w:lineRule="auto"/>
              <w:rPr>
                <w:rFonts w:eastAsia="仿宋_GB2312"/>
                <w:color w:val="auto"/>
                <w:sz w:val="30"/>
                <w:szCs w:val="30"/>
                <w:highlight w:val="none"/>
              </w:rPr>
            </w:pPr>
          </w:p>
        </w:tc>
        <w:tc>
          <w:tcPr>
            <w:tcW w:w="1058" w:type="dxa"/>
          </w:tcPr>
          <w:p w14:paraId="2AA0040C">
            <w:pPr>
              <w:spacing w:line="360" w:lineRule="auto"/>
              <w:rPr>
                <w:rFonts w:eastAsia="仿宋_GB2312"/>
                <w:color w:val="auto"/>
                <w:sz w:val="30"/>
                <w:szCs w:val="30"/>
                <w:highlight w:val="none"/>
              </w:rPr>
            </w:pPr>
          </w:p>
        </w:tc>
        <w:tc>
          <w:tcPr>
            <w:tcW w:w="880" w:type="dxa"/>
          </w:tcPr>
          <w:p w14:paraId="50E3E274">
            <w:pPr>
              <w:spacing w:line="360" w:lineRule="auto"/>
              <w:rPr>
                <w:rFonts w:eastAsia="仿宋_GB2312"/>
                <w:color w:val="auto"/>
                <w:sz w:val="30"/>
                <w:szCs w:val="30"/>
                <w:highlight w:val="none"/>
              </w:rPr>
            </w:pPr>
          </w:p>
        </w:tc>
        <w:tc>
          <w:tcPr>
            <w:tcW w:w="1020" w:type="dxa"/>
          </w:tcPr>
          <w:p w14:paraId="43477C03">
            <w:pPr>
              <w:spacing w:line="360" w:lineRule="auto"/>
              <w:rPr>
                <w:rFonts w:eastAsia="仿宋_GB2312"/>
                <w:color w:val="auto"/>
                <w:sz w:val="30"/>
                <w:szCs w:val="30"/>
                <w:highlight w:val="none"/>
              </w:rPr>
            </w:pPr>
          </w:p>
        </w:tc>
        <w:tc>
          <w:tcPr>
            <w:tcW w:w="1480" w:type="dxa"/>
          </w:tcPr>
          <w:p w14:paraId="7249BACF">
            <w:pPr>
              <w:spacing w:line="360" w:lineRule="auto"/>
              <w:rPr>
                <w:rFonts w:eastAsia="仿宋_GB2312"/>
                <w:color w:val="auto"/>
                <w:sz w:val="30"/>
                <w:szCs w:val="30"/>
                <w:highlight w:val="none"/>
              </w:rPr>
            </w:pPr>
          </w:p>
        </w:tc>
        <w:tc>
          <w:tcPr>
            <w:tcW w:w="1020" w:type="dxa"/>
          </w:tcPr>
          <w:p w14:paraId="49539F27">
            <w:pPr>
              <w:spacing w:line="360" w:lineRule="auto"/>
              <w:rPr>
                <w:rFonts w:eastAsia="仿宋_GB2312"/>
                <w:color w:val="auto"/>
                <w:sz w:val="30"/>
                <w:szCs w:val="30"/>
                <w:highlight w:val="none"/>
              </w:rPr>
            </w:pPr>
          </w:p>
        </w:tc>
        <w:tc>
          <w:tcPr>
            <w:tcW w:w="921" w:type="dxa"/>
          </w:tcPr>
          <w:p w14:paraId="5CB2E9D2">
            <w:pPr>
              <w:spacing w:line="360" w:lineRule="auto"/>
              <w:rPr>
                <w:rFonts w:eastAsia="仿宋_GB2312"/>
                <w:color w:val="auto"/>
                <w:sz w:val="30"/>
                <w:szCs w:val="30"/>
                <w:highlight w:val="none"/>
              </w:rPr>
            </w:pPr>
          </w:p>
        </w:tc>
      </w:tr>
      <w:tr w14:paraId="24949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vAlign w:val="center"/>
          </w:tcPr>
          <w:p w14:paraId="280D7E4D">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1418" w:type="dxa"/>
            <w:vAlign w:val="center"/>
          </w:tcPr>
          <w:p w14:paraId="6B43402B">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850" w:type="dxa"/>
            <w:vAlign w:val="center"/>
          </w:tcPr>
          <w:p w14:paraId="357C081B">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1058" w:type="dxa"/>
            <w:vAlign w:val="center"/>
          </w:tcPr>
          <w:p w14:paraId="63B3B3B6">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880" w:type="dxa"/>
            <w:vAlign w:val="center"/>
          </w:tcPr>
          <w:p w14:paraId="59B5C082">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1020" w:type="dxa"/>
            <w:vAlign w:val="center"/>
          </w:tcPr>
          <w:p w14:paraId="4AA21058">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1480" w:type="dxa"/>
            <w:vAlign w:val="center"/>
          </w:tcPr>
          <w:p w14:paraId="443140E0">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1020" w:type="dxa"/>
            <w:vAlign w:val="center"/>
          </w:tcPr>
          <w:p w14:paraId="49B63FA6">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921" w:type="dxa"/>
            <w:vAlign w:val="center"/>
          </w:tcPr>
          <w:p w14:paraId="5C0BA91B">
            <w:pPr>
              <w:keepNext/>
              <w:adjustRightInd w:val="0"/>
              <w:spacing w:line="360" w:lineRule="auto"/>
              <w:ind w:left="63" w:leftChars="30" w:right="63" w:rightChars="30"/>
              <w:jc w:val="center"/>
              <w:textAlignment w:val="baseline"/>
              <w:rPr>
                <w:rFonts w:eastAsia="仿宋_GB2312"/>
                <w:color w:val="auto"/>
                <w:sz w:val="30"/>
                <w:szCs w:val="30"/>
                <w:highlight w:val="none"/>
              </w:rPr>
            </w:pPr>
          </w:p>
        </w:tc>
      </w:tr>
      <w:tr w14:paraId="62F29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Pr>
          <w:p w14:paraId="1803DB4A">
            <w:pPr>
              <w:spacing w:line="360" w:lineRule="auto"/>
              <w:rPr>
                <w:rFonts w:eastAsia="仿宋_GB2312"/>
                <w:color w:val="auto"/>
                <w:sz w:val="30"/>
                <w:szCs w:val="30"/>
                <w:highlight w:val="none"/>
              </w:rPr>
            </w:pPr>
          </w:p>
        </w:tc>
        <w:tc>
          <w:tcPr>
            <w:tcW w:w="1418" w:type="dxa"/>
          </w:tcPr>
          <w:p w14:paraId="72339265">
            <w:pPr>
              <w:spacing w:line="360" w:lineRule="auto"/>
              <w:rPr>
                <w:rFonts w:eastAsia="仿宋_GB2312"/>
                <w:color w:val="auto"/>
                <w:sz w:val="30"/>
                <w:szCs w:val="30"/>
                <w:highlight w:val="none"/>
              </w:rPr>
            </w:pPr>
          </w:p>
        </w:tc>
        <w:tc>
          <w:tcPr>
            <w:tcW w:w="850" w:type="dxa"/>
          </w:tcPr>
          <w:p w14:paraId="394AAD50">
            <w:pPr>
              <w:spacing w:line="360" w:lineRule="auto"/>
              <w:rPr>
                <w:rFonts w:eastAsia="仿宋_GB2312"/>
                <w:color w:val="auto"/>
                <w:sz w:val="30"/>
                <w:szCs w:val="30"/>
                <w:highlight w:val="none"/>
              </w:rPr>
            </w:pPr>
          </w:p>
        </w:tc>
        <w:tc>
          <w:tcPr>
            <w:tcW w:w="1058" w:type="dxa"/>
          </w:tcPr>
          <w:p w14:paraId="7DED204E">
            <w:pPr>
              <w:spacing w:line="360" w:lineRule="auto"/>
              <w:rPr>
                <w:rFonts w:eastAsia="仿宋_GB2312"/>
                <w:color w:val="auto"/>
                <w:sz w:val="30"/>
                <w:szCs w:val="30"/>
                <w:highlight w:val="none"/>
              </w:rPr>
            </w:pPr>
          </w:p>
        </w:tc>
        <w:tc>
          <w:tcPr>
            <w:tcW w:w="880" w:type="dxa"/>
          </w:tcPr>
          <w:p w14:paraId="14C52468">
            <w:pPr>
              <w:spacing w:line="360" w:lineRule="auto"/>
              <w:rPr>
                <w:rFonts w:eastAsia="仿宋_GB2312"/>
                <w:color w:val="auto"/>
                <w:sz w:val="30"/>
                <w:szCs w:val="30"/>
                <w:highlight w:val="none"/>
              </w:rPr>
            </w:pPr>
          </w:p>
        </w:tc>
        <w:tc>
          <w:tcPr>
            <w:tcW w:w="1020" w:type="dxa"/>
          </w:tcPr>
          <w:p w14:paraId="2A18CF0A">
            <w:pPr>
              <w:spacing w:line="360" w:lineRule="auto"/>
              <w:rPr>
                <w:rFonts w:eastAsia="仿宋_GB2312"/>
                <w:color w:val="auto"/>
                <w:sz w:val="30"/>
                <w:szCs w:val="30"/>
                <w:highlight w:val="none"/>
              </w:rPr>
            </w:pPr>
          </w:p>
        </w:tc>
        <w:tc>
          <w:tcPr>
            <w:tcW w:w="1480" w:type="dxa"/>
          </w:tcPr>
          <w:p w14:paraId="580B5A67">
            <w:pPr>
              <w:spacing w:line="360" w:lineRule="auto"/>
              <w:rPr>
                <w:rFonts w:eastAsia="仿宋_GB2312"/>
                <w:color w:val="auto"/>
                <w:sz w:val="30"/>
                <w:szCs w:val="30"/>
                <w:highlight w:val="none"/>
              </w:rPr>
            </w:pPr>
          </w:p>
        </w:tc>
        <w:tc>
          <w:tcPr>
            <w:tcW w:w="1020" w:type="dxa"/>
          </w:tcPr>
          <w:p w14:paraId="1049EF4D">
            <w:pPr>
              <w:spacing w:line="360" w:lineRule="auto"/>
              <w:rPr>
                <w:rFonts w:eastAsia="仿宋_GB2312"/>
                <w:color w:val="auto"/>
                <w:sz w:val="30"/>
                <w:szCs w:val="30"/>
                <w:highlight w:val="none"/>
              </w:rPr>
            </w:pPr>
          </w:p>
        </w:tc>
        <w:tc>
          <w:tcPr>
            <w:tcW w:w="921" w:type="dxa"/>
          </w:tcPr>
          <w:p w14:paraId="1F131CB1">
            <w:pPr>
              <w:spacing w:line="360" w:lineRule="auto"/>
              <w:rPr>
                <w:rFonts w:eastAsia="仿宋_GB2312"/>
                <w:color w:val="auto"/>
                <w:sz w:val="30"/>
                <w:szCs w:val="30"/>
                <w:highlight w:val="none"/>
              </w:rPr>
            </w:pPr>
          </w:p>
        </w:tc>
      </w:tr>
      <w:tr w14:paraId="40856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Pr>
          <w:p w14:paraId="0C1DF745">
            <w:pPr>
              <w:spacing w:line="360" w:lineRule="auto"/>
              <w:rPr>
                <w:rFonts w:eastAsia="仿宋_GB2312"/>
                <w:color w:val="auto"/>
                <w:sz w:val="30"/>
                <w:szCs w:val="30"/>
                <w:highlight w:val="none"/>
              </w:rPr>
            </w:pPr>
          </w:p>
        </w:tc>
        <w:tc>
          <w:tcPr>
            <w:tcW w:w="1418" w:type="dxa"/>
          </w:tcPr>
          <w:p w14:paraId="61D76835">
            <w:pPr>
              <w:spacing w:line="360" w:lineRule="auto"/>
              <w:rPr>
                <w:rFonts w:eastAsia="仿宋_GB2312"/>
                <w:color w:val="auto"/>
                <w:sz w:val="30"/>
                <w:szCs w:val="30"/>
                <w:highlight w:val="none"/>
              </w:rPr>
            </w:pPr>
          </w:p>
        </w:tc>
        <w:tc>
          <w:tcPr>
            <w:tcW w:w="850" w:type="dxa"/>
          </w:tcPr>
          <w:p w14:paraId="7BD3326C">
            <w:pPr>
              <w:spacing w:line="360" w:lineRule="auto"/>
              <w:rPr>
                <w:rFonts w:eastAsia="仿宋_GB2312"/>
                <w:color w:val="auto"/>
                <w:sz w:val="30"/>
                <w:szCs w:val="30"/>
                <w:highlight w:val="none"/>
              </w:rPr>
            </w:pPr>
          </w:p>
        </w:tc>
        <w:tc>
          <w:tcPr>
            <w:tcW w:w="1058" w:type="dxa"/>
          </w:tcPr>
          <w:p w14:paraId="43ACD531">
            <w:pPr>
              <w:spacing w:line="360" w:lineRule="auto"/>
              <w:rPr>
                <w:rFonts w:eastAsia="仿宋_GB2312"/>
                <w:color w:val="auto"/>
                <w:sz w:val="30"/>
                <w:szCs w:val="30"/>
                <w:highlight w:val="none"/>
              </w:rPr>
            </w:pPr>
          </w:p>
        </w:tc>
        <w:tc>
          <w:tcPr>
            <w:tcW w:w="880" w:type="dxa"/>
          </w:tcPr>
          <w:p w14:paraId="2BB9E168">
            <w:pPr>
              <w:spacing w:line="360" w:lineRule="auto"/>
              <w:rPr>
                <w:rFonts w:eastAsia="仿宋_GB2312"/>
                <w:color w:val="auto"/>
                <w:sz w:val="30"/>
                <w:szCs w:val="30"/>
                <w:highlight w:val="none"/>
              </w:rPr>
            </w:pPr>
          </w:p>
        </w:tc>
        <w:tc>
          <w:tcPr>
            <w:tcW w:w="1020" w:type="dxa"/>
          </w:tcPr>
          <w:p w14:paraId="399A2F29">
            <w:pPr>
              <w:spacing w:line="360" w:lineRule="auto"/>
              <w:rPr>
                <w:rFonts w:eastAsia="仿宋_GB2312"/>
                <w:color w:val="auto"/>
                <w:sz w:val="30"/>
                <w:szCs w:val="30"/>
                <w:highlight w:val="none"/>
              </w:rPr>
            </w:pPr>
          </w:p>
        </w:tc>
        <w:tc>
          <w:tcPr>
            <w:tcW w:w="1480" w:type="dxa"/>
          </w:tcPr>
          <w:p w14:paraId="54EE8EE3">
            <w:pPr>
              <w:spacing w:line="360" w:lineRule="auto"/>
              <w:rPr>
                <w:rFonts w:eastAsia="仿宋_GB2312"/>
                <w:color w:val="auto"/>
                <w:sz w:val="30"/>
                <w:szCs w:val="30"/>
                <w:highlight w:val="none"/>
              </w:rPr>
            </w:pPr>
          </w:p>
        </w:tc>
        <w:tc>
          <w:tcPr>
            <w:tcW w:w="1020" w:type="dxa"/>
          </w:tcPr>
          <w:p w14:paraId="634422BD">
            <w:pPr>
              <w:spacing w:line="360" w:lineRule="auto"/>
              <w:rPr>
                <w:rFonts w:eastAsia="仿宋_GB2312"/>
                <w:color w:val="auto"/>
                <w:sz w:val="30"/>
                <w:szCs w:val="30"/>
                <w:highlight w:val="none"/>
              </w:rPr>
            </w:pPr>
          </w:p>
        </w:tc>
        <w:tc>
          <w:tcPr>
            <w:tcW w:w="921" w:type="dxa"/>
          </w:tcPr>
          <w:p w14:paraId="37CCDB04">
            <w:pPr>
              <w:spacing w:line="360" w:lineRule="auto"/>
              <w:rPr>
                <w:rFonts w:eastAsia="仿宋_GB2312"/>
                <w:color w:val="auto"/>
                <w:sz w:val="30"/>
                <w:szCs w:val="30"/>
                <w:highlight w:val="none"/>
              </w:rPr>
            </w:pPr>
          </w:p>
        </w:tc>
      </w:tr>
      <w:tr w14:paraId="68D59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Pr>
          <w:p w14:paraId="389E0712">
            <w:pPr>
              <w:spacing w:line="360" w:lineRule="auto"/>
              <w:rPr>
                <w:rFonts w:eastAsia="仿宋_GB2312"/>
                <w:color w:val="auto"/>
                <w:sz w:val="30"/>
                <w:szCs w:val="30"/>
                <w:highlight w:val="none"/>
              </w:rPr>
            </w:pPr>
          </w:p>
        </w:tc>
        <w:tc>
          <w:tcPr>
            <w:tcW w:w="1418" w:type="dxa"/>
          </w:tcPr>
          <w:p w14:paraId="1385AB94">
            <w:pPr>
              <w:spacing w:line="360" w:lineRule="auto"/>
              <w:rPr>
                <w:rFonts w:eastAsia="仿宋_GB2312"/>
                <w:color w:val="auto"/>
                <w:sz w:val="30"/>
                <w:szCs w:val="30"/>
                <w:highlight w:val="none"/>
              </w:rPr>
            </w:pPr>
          </w:p>
        </w:tc>
        <w:tc>
          <w:tcPr>
            <w:tcW w:w="850" w:type="dxa"/>
          </w:tcPr>
          <w:p w14:paraId="3BC2D410">
            <w:pPr>
              <w:spacing w:line="360" w:lineRule="auto"/>
              <w:rPr>
                <w:rFonts w:eastAsia="仿宋_GB2312"/>
                <w:color w:val="auto"/>
                <w:sz w:val="30"/>
                <w:szCs w:val="30"/>
                <w:highlight w:val="none"/>
              </w:rPr>
            </w:pPr>
          </w:p>
        </w:tc>
        <w:tc>
          <w:tcPr>
            <w:tcW w:w="1058" w:type="dxa"/>
          </w:tcPr>
          <w:p w14:paraId="1571D918">
            <w:pPr>
              <w:spacing w:line="360" w:lineRule="auto"/>
              <w:rPr>
                <w:rFonts w:eastAsia="仿宋_GB2312"/>
                <w:color w:val="auto"/>
                <w:sz w:val="30"/>
                <w:szCs w:val="30"/>
                <w:highlight w:val="none"/>
              </w:rPr>
            </w:pPr>
          </w:p>
        </w:tc>
        <w:tc>
          <w:tcPr>
            <w:tcW w:w="880" w:type="dxa"/>
          </w:tcPr>
          <w:p w14:paraId="24AD635B">
            <w:pPr>
              <w:spacing w:line="360" w:lineRule="auto"/>
              <w:rPr>
                <w:rFonts w:eastAsia="仿宋_GB2312"/>
                <w:color w:val="auto"/>
                <w:sz w:val="30"/>
                <w:szCs w:val="30"/>
                <w:highlight w:val="none"/>
              </w:rPr>
            </w:pPr>
          </w:p>
        </w:tc>
        <w:tc>
          <w:tcPr>
            <w:tcW w:w="1020" w:type="dxa"/>
          </w:tcPr>
          <w:p w14:paraId="6AB0E8C7">
            <w:pPr>
              <w:spacing w:line="360" w:lineRule="auto"/>
              <w:rPr>
                <w:rFonts w:eastAsia="仿宋_GB2312"/>
                <w:color w:val="auto"/>
                <w:sz w:val="30"/>
                <w:szCs w:val="30"/>
                <w:highlight w:val="none"/>
              </w:rPr>
            </w:pPr>
          </w:p>
        </w:tc>
        <w:tc>
          <w:tcPr>
            <w:tcW w:w="1480" w:type="dxa"/>
          </w:tcPr>
          <w:p w14:paraId="6C11A269">
            <w:pPr>
              <w:spacing w:line="360" w:lineRule="auto"/>
              <w:rPr>
                <w:rFonts w:eastAsia="仿宋_GB2312"/>
                <w:color w:val="auto"/>
                <w:sz w:val="30"/>
                <w:szCs w:val="30"/>
                <w:highlight w:val="none"/>
              </w:rPr>
            </w:pPr>
          </w:p>
        </w:tc>
        <w:tc>
          <w:tcPr>
            <w:tcW w:w="1020" w:type="dxa"/>
          </w:tcPr>
          <w:p w14:paraId="7355B7C3">
            <w:pPr>
              <w:spacing w:line="360" w:lineRule="auto"/>
              <w:rPr>
                <w:rFonts w:eastAsia="仿宋_GB2312"/>
                <w:color w:val="auto"/>
                <w:sz w:val="30"/>
                <w:szCs w:val="30"/>
                <w:highlight w:val="none"/>
              </w:rPr>
            </w:pPr>
          </w:p>
        </w:tc>
        <w:tc>
          <w:tcPr>
            <w:tcW w:w="921" w:type="dxa"/>
          </w:tcPr>
          <w:p w14:paraId="21D6805A">
            <w:pPr>
              <w:spacing w:line="360" w:lineRule="auto"/>
              <w:rPr>
                <w:rFonts w:eastAsia="仿宋_GB2312"/>
                <w:color w:val="auto"/>
                <w:sz w:val="30"/>
                <w:szCs w:val="30"/>
                <w:highlight w:val="none"/>
              </w:rPr>
            </w:pPr>
          </w:p>
        </w:tc>
      </w:tr>
      <w:tr w14:paraId="335F5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Pr>
          <w:p w14:paraId="1CD6EA10">
            <w:pPr>
              <w:spacing w:line="360" w:lineRule="auto"/>
              <w:rPr>
                <w:rFonts w:eastAsia="仿宋_GB2312"/>
                <w:color w:val="auto"/>
                <w:sz w:val="30"/>
                <w:szCs w:val="30"/>
                <w:highlight w:val="none"/>
              </w:rPr>
            </w:pPr>
          </w:p>
        </w:tc>
        <w:tc>
          <w:tcPr>
            <w:tcW w:w="1418" w:type="dxa"/>
          </w:tcPr>
          <w:p w14:paraId="59C7CDB1">
            <w:pPr>
              <w:spacing w:line="360" w:lineRule="auto"/>
              <w:rPr>
                <w:rFonts w:eastAsia="仿宋_GB2312"/>
                <w:color w:val="auto"/>
                <w:sz w:val="30"/>
                <w:szCs w:val="30"/>
                <w:highlight w:val="none"/>
              </w:rPr>
            </w:pPr>
          </w:p>
        </w:tc>
        <w:tc>
          <w:tcPr>
            <w:tcW w:w="850" w:type="dxa"/>
          </w:tcPr>
          <w:p w14:paraId="4C145B9C">
            <w:pPr>
              <w:spacing w:line="360" w:lineRule="auto"/>
              <w:rPr>
                <w:rFonts w:eastAsia="仿宋_GB2312"/>
                <w:color w:val="auto"/>
                <w:sz w:val="30"/>
                <w:szCs w:val="30"/>
                <w:highlight w:val="none"/>
              </w:rPr>
            </w:pPr>
          </w:p>
        </w:tc>
        <w:tc>
          <w:tcPr>
            <w:tcW w:w="1058" w:type="dxa"/>
          </w:tcPr>
          <w:p w14:paraId="79E6175D">
            <w:pPr>
              <w:spacing w:line="360" w:lineRule="auto"/>
              <w:rPr>
                <w:rFonts w:eastAsia="仿宋_GB2312"/>
                <w:color w:val="auto"/>
                <w:sz w:val="30"/>
                <w:szCs w:val="30"/>
                <w:highlight w:val="none"/>
              </w:rPr>
            </w:pPr>
          </w:p>
        </w:tc>
        <w:tc>
          <w:tcPr>
            <w:tcW w:w="880" w:type="dxa"/>
          </w:tcPr>
          <w:p w14:paraId="079126F4">
            <w:pPr>
              <w:spacing w:line="360" w:lineRule="auto"/>
              <w:rPr>
                <w:rFonts w:eastAsia="仿宋_GB2312"/>
                <w:color w:val="auto"/>
                <w:sz w:val="30"/>
                <w:szCs w:val="30"/>
                <w:highlight w:val="none"/>
              </w:rPr>
            </w:pPr>
          </w:p>
        </w:tc>
        <w:tc>
          <w:tcPr>
            <w:tcW w:w="1020" w:type="dxa"/>
          </w:tcPr>
          <w:p w14:paraId="2C3D7709">
            <w:pPr>
              <w:spacing w:line="360" w:lineRule="auto"/>
              <w:rPr>
                <w:rFonts w:eastAsia="仿宋_GB2312"/>
                <w:color w:val="auto"/>
                <w:sz w:val="30"/>
                <w:szCs w:val="30"/>
                <w:highlight w:val="none"/>
              </w:rPr>
            </w:pPr>
          </w:p>
        </w:tc>
        <w:tc>
          <w:tcPr>
            <w:tcW w:w="1480" w:type="dxa"/>
          </w:tcPr>
          <w:p w14:paraId="05836EB7">
            <w:pPr>
              <w:spacing w:line="360" w:lineRule="auto"/>
              <w:rPr>
                <w:rFonts w:eastAsia="仿宋_GB2312"/>
                <w:color w:val="auto"/>
                <w:sz w:val="30"/>
                <w:szCs w:val="30"/>
                <w:highlight w:val="none"/>
              </w:rPr>
            </w:pPr>
          </w:p>
        </w:tc>
        <w:tc>
          <w:tcPr>
            <w:tcW w:w="1020" w:type="dxa"/>
          </w:tcPr>
          <w:p w14:paraId="753CD601">
            <w:pPr>
              <w:spacing w:line="360" w:lineRule="auto"/>
              <w:rPr>
                <w:rFonts w:eastAsia="仿宋_GB2312"/>
                <w:color w:val="auto"/>
                <w:sz w:val="30"/>
                <w:szCs w:val="30"/>
                <w:highlight w:val="none"/>
              </w:rPr>
            </w:pPr>
          </w:p>
        </w:tc>
        <w:tc>
          <w:tcPr>
            <w:tcW w:w="921" w:type="dxa"/>
          </w:tcPr>
          <w:p w14:paraId="6F1D9205">
            <w:pPr>
              <w:spacing w:line="360" w:lineRule="auto"/>
              <w:rPr>
                <w:rFonts w:eastAsia="仿宋_GB2312"/>
                <w:color w:val="auto"/>
                <w:sz w:val="30"/>
                <w:szCs w:val="30"/>
                <w:highlight w:val="none"/>
              </w:rPr>
            </w:pPr>
          </w:p>
        </w:tc>
      </w:tr>
      <w:tr w14:paraId="217D7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Pr>
          <w:p w14:paraId="507BD17C">
            <w:pPr>
              <w:spacing w:line="360" w:lineRule="auto"/>
              <w:rPr>
                <w:rFonts w:eastAsia="仿宋_GB2312"/>
                <w:color w:val="auto"/>
                <w:sz w:val="30"/>
                <w:szCs w:val="30"/>
                <w:highlight w:val="none"/>
              </w:rPr>
            </w:pPr>
          </w:p>
        </w:tc>
        <w:tc>
          <w:tcPr>
            <w:tcW w:w="1418" w:type="dxa"/>
          </w:tcPr>
          <w:p w14:paraId="3E18D3A6">
            <w:pPr>
              <w:spacing w:line="360" w:lineRule="auto"/>
              <w:rPr>
                <w:rFonts w:eastAsia="仿宋_GB2312"/>
                <w:color w:val="auto"/>
                <w:sz w:val="30"/>
                <w:szCs w:val="30"/>
                <w:highlight w:val="none"/>
              </w:rPr>
            </w:pPr>
          </w:p>
        </w:tc>
        <w:tc>
          <w:tcPr>
            <w:tcW w:w="850" w:type="dxa"/>
          </w:tcPr>
          <w:p w14:paraId="1FAB170E">
            <w:pPr>
              <w:spacing w:line="360" w:lineRule="auto"/>
              <w:rPr>
                <w:rFonts w:eastAsia="仿宋_GB2312"/>
                <w:color w:val="auto"/>
                <w:sz w:val="30"/>
                <w:szCs w:val="30"/>
                <w:highlight w:val="none"/>
              </w:rPr>
            </w:pPr>
          </w:p>
        </w:tc>
        <w:tc>
          <w:tcPr>
            <w:tcW w:w="1058" w:type="dxa"/>
          </w:tcPr>
          <w:p w14:paraId="4BA989ED">
            <w:pPr>
              <w:spacing w:line="360" w:lineRule="auto"/>
              <w:rPr>
                <w:rFonts w:eastAsia="仿宋_GB2312"/>
                <w:color w:val="auto"/>
                <w:sz w:val="30"/>
                <w:szCs w:val="30"/>
                <w:highlight w:val="none"/>
              </w:rPr>
            </w:pPr>
          </w:p>
        </w:tc>
        <w:tc>
          <w:tcPr>
            <w:tcW w:w="880" w:type="dxa"/>
          </w:tcPr>
          <w:p w14:paraId="6B3BE619">
            <w:pPr>
              <w:spacing w:line="360" w:lineRule="auto"/>
              <w:rPr>
                <w:rFonts w:eastAsia="仿宋_GB2312"/>
                <w:color w:val="auto"/>
                <w:sz w:val="30"/>
                <w:szCs w:val="30"/>
                <w:highlight w:val="none"/>
              </w:rPr>
            </w:pPr>
          </w:p>
        </w:tc>
        <w:tc>
          <w:tcPr>
            <w:tcW w:w="1020" w:type="dxa"/>
          </w:tcPr>
          <w:p w14:paraId="69993526">
            <w:pPr>
              <w:spacing w:line="360" w:lineRule="auto"/>
              <w:rPr>
                <w:rFonts w:eastAsia="仿宋_GB2312"/>
                <w:color w:val="auto"/>
                <w:sz w:val="30"/>
                <w:szCs w:val="30"/>
                <w:highlight w:val="none"/>
              </w:rPr>
            </w:pPr>
          </w:p>
        </w:tc>
        <w:tc>
          <w:tcPr>
            <w:tcW w:w="1480" w:type="dxa"/>
          </w:tcPr>
          <w:p w14:paraId="0D569C30">
            <w:pPr>
              <w:spacing w:line="360" w:lineRule="auto"/>
              <w:rPr>
                <w:rFonts w:eastAsia="仿宋_GB2312"/>
                <w:color w:val="auto"/>
                <w:sz w:val="30"/>
                <w:szCs w:val="30"/>
                <w:highlight w:val="none"/>
              </w:rPr>
            </w:pPr>
          </w:p>
        </w:tc>
        <w:tc>
          <w:tcPr>
            <w:tcW w:w="1020" w:type="dxa"/>
          </w:tcPr>
          <w:p w14:paraId="3172BF6E">
            <w:pPr>
              <w:spacing w:line="360" w:lineRule="auto"/>
              <w:rPr>
                <w:rFonts w:eastAsia="仿宋_GB2312"/>
                <w:color w:val="auto"/>
                <w:sz w:val="30"/>
                <w:szCs w:val="30"/>
                <w:highlight w:val="none"/>
              </w:rPr>
            </w:pPr>
          </w:p>
        </w:tc>
        <w:tc>
          <w:tcPr>
            <w:tcW w:w="921" w:type="dxa"/>
          </w:tcPr>
          <w:p w14:paraId="5D9D950E">
            <w:pPr>
              <w:spacing w:line="360" w:lineRule="auto"/>
              <w:rPr>
                <w:rFonts w:eastAsia="仿宋_GB2312"/>
                <w:color w:val="auto"/>
                <w:sz w:val="30"/>
                <w:szCs w:val="30"/>
                <w:highlight w:val="none"/>
              </w:rPr>
            </w:pPr>
          </w:p>
        </w:tc>
      </w:tr>
      <w:tr w14:paraId="5E54E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Pr>
          <w:p w14:paraId="13F67176">
            <w:pPr>
              <w:spacing w:line="360" w:lineRule="auto"/>
              <w:rPr>
                <w:rFonts w:eastAsia="仿宋_GB2312"/>
                <w:color w:val="auto"/>
                <w:sz w:val="30"/>
                <w:szCs w:val="30"/>
                <w:highlight w:val="none"/>
              </w:rPr>
            </w:pPr>
          </w:p>
        </w:tc>
        <w:tc>
          <w:tcPr>
            <w:tcW w:w="1418" w:type="dxa"/>
          </w:tcPr>
          <w:p w14:paraId="05C843FE">
            <w:pPr>
              <w:spacing w:line="360" w:lineRule="auto"/>
              <w:rPr>
                <w:rFonts w:eastAsia="仿宋_GB2312"/>
                <w:color w:val="auto"/>
                <w:sz w:val="30"/>
                <w:szCs w:val="30"/>
                <w:highlight w:val="none"/>
              </w:rPr>
            </w:pPr>
          </w:p>
        </w:tc>
        <w:tc>
          <w:tcPr>
            <w:tcW w:w="850" w:type="dxa"/>
          </w:tcPr>
          <w:p w14:paraId="6FD6FB6F">
            <w:pPr>
              <w:spacing w:line="360" w:lineRule="auto"/>
              <w:rPr>
                <w:rFonts w:eastAsia="仿宋_GB2312"/>
                <w:color w:val="auto"/>
                <w:sz w:val="30"/>
                <w:szCs w:val="30"/>
                <w:highlight w:val="none"/>
              </w:rPr>
            </w:pPr>
          </w:p>
        </w:tc>
        <w:tc>
          <w:tcPr>
            <w:tcW w:w="1058" w:type="dxa"/>
          </w:tcPr>
          <w:p w14:paraId="3A8FC4C4">
            <w:pPr>
              <w:spacing w:line="360" w:lineRule="auto"/>
              <w:rPr>
                <w:rFonts w:eastAsia="仿宋_GB2312"/>
                <w:color w:val="auto"/>
                <w:sz w:val="30"/>
                <w:szCs w:val="30"/>
                <w:highlight w:val="none"/>
              </w:rPr>
            </w:pPr>
          </w:p>
        </w:tc>
        <w:tc>
          <w:tcPr>
            <w:tcW w:w="880" w:type="dxa"/>
          </w:tcPr>
          <w:p w14:paraId="0942564B">
            <w:pPr>
              <w:spacing w:line="360" w:lineRule="auto"/>
              <w:rPr>
                <w:rFonts w:eastAsia="仿宋_GB2312"/>
                <w:color w:val="auto"/>
                <w:sz w:val="30"/>
                <w:szCs w:val="30"/>
                <w:highlight w:val="none"/>
              </w:rPr>
            </w:pPr>
          </w:p>
        </w:tc>
        <w:tc>
          <w:tcPr>
            <w:tcW w:w="1020" w:type="dxa"/>
          </w:tcPr>
          <w:p w14:paraId="1102764E">
            <w:pPr>
              <w:spacing w:line="360" w:lineRule="auto"/>
              <w:rPr>
                <w:rFonts w:eastAsia="仿宋_GB2312"/>
                <w:color w:val="auto"/>
                <w:sz w:val="30"/>
                <w:szCs w:val="30"/>
                <w:highlight w:val="none"/>
              </w:rPr>
            </w:pPr>
          </w:p>
        </w:tc>
        <w:tc>
          <w:tcPr>
            <w:tcW w:w="1480" w:type="dxa"/>
          </w:tcPr>
          <w:p w14:paraId="77BB24F3">
            <w:pPr>
              <w:spacing w:line="360" w:lineRule="auto"/>
              <w:rPr>
                <w:rFonts w:eastAsia="仿宋_GB2312"/>
                <w:color w:val="auto"/>
                <w:sz w:val="30"/>
                <w:szCs w:val="30"/>
                <w:highlight w:val="none"/>
              </w:rPr>
            </w:pPr>
          </w:p>
        </w:tc>
        <w:tc>
          <w:tcPr>
            <w:tcW w:w="1020" w:type="dxa"/>
          </w:tcPr>
          <w:p w14:paraId="27A519EB">
            <w:pPr>
              <w:spacing w:line="360" w:lineRule="auto"/>
              <w:rPr>
                <w:rFonts w:eastAsia="仿宋_GB2312"/>
                <w:color w:val="auto"/>
                <w:sz w:val="30"/>
                <w:szCs w:val="30"/>
                <w:highlight w:val="none"/>
              </w:rPr>
            </w:pPr>
          </w:p>
        </w:tc>
        <w:tc>
          <w:tcPr>
            <w:tcW w:w="921" w:type="dxa"/>
          </w:tcPr>
          <w:p w14:paraId="63CEE463">
            <w:pPr>
              <w:spacing w:line="360" w:lineRule="auto"/>
              <w:rPr>
                <w:rFonts w:eastAsia="仿宋_GB2312"/>
                <w:color w:val="auto"/>
                <w:sz w:val="30"/>
                <w:szCs w:val="30"/>
                <w:highlight w:val="none"/>
              </w:rPr>
            </w:pPr>
          </w:p>
        </w:tc>
      </w:tr>
      <w:tr w14:paraId="5FBCF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Pr>
          <w:p w14:paraId="5C0F4AC1">
            <w:pPr>
              <w:spacing w:line="360" w:lineRule="auto"/>
              <w:rPr>
                <w:rFonts w:eastAsia="仿宋_GB2312"/>
                <w:color w:val="auto"/>
                <w:sz w:val="30"/>
                <w:szCs w:val="30"/>
                <w:highlight w:val="none"/>
              </w:rPr>
            </w:pPr>
          </w:p>
        </w:tc>
        <w:tc>
          <w:tcPr>
            <w:tcW w:w="1418" w:type="dxa"/>
          </w:tcPr>
          <w:p w14:paraId="63A67336">
            <w:pPr>
              <w:spacing w:line="360" w:lineRule="auto"/>
              <w:rPr>
                <w:rFonts w:eastAsia="仿宋_GB2312"/>
                <w:color w:val="auto"/>
                <w:sz w:val="30"/>
                <w:szCs w:val="30"/>
                <w:highlight w:val="none"/>
              </w:rPr>
            </w:pPr>
          </w:p>
        </w:tc>
        <w:tc>
          <w:tcPr>
            <w:tcW w:w="850" w:type="dxa"/>
          </w:tcPr>
          <w:p w14:paraId="00E7151D">
            <w:pPr>
              <w:spacing w:line="360" w:lineRule="auto"/>
              <w:rPr>
                <w:rFonts w:eastAsia="仿宋_GB2312"/>
                <w:color w:val="auto"/>
                <w:sz w:val="30"/>
                <w:szCs w:val="30"/>
                <w:highlight w:val="none"/>
              </w:rPr>
            </w:pPr>
          </w:p>
        </w:tc>
        <w:tc>
          <w:tcPr>
            <w:tcW w:w="1058" w:type="dxa"/>
          </w:tcPr>
          <w:p w14:paraId="08CFA5C5">
            <w:pPr>
              <w:spacing w:line="360" w:lineRule="auto"/>
              <w:rPr>
                <w:rFonts w:eastAsia="仿宋_GB2312"/>
                <w:color w:val="auto"/>
                <w:sz w:val="30"/>
                <w:szCs w:val="30"/>
                <w:highlight w:val="none"/>
              </w:rPr>
            </w:pPr>
          </w:p>
        </w:tc>
        <w:tc>
          <w:tcPr>
            <w:tcW w:w="880" w:type="dxa"/>
          </w:tcPr>
          <w:p w14:paraId="67CDEA59">
            <w:pPr>
              <w:spacing w:line="360" w:lineRule="auto"/>
              <w:rPr>
                <w:rFonts w:eastAsia="仿宋_GB2312"/>
                <w:color w:val="auto"/>
                <w:sz w:val="30"/>
                <w:szCs w:val="30"/>
                <w:highlight w:val="none"/>
              </w:rPr>
            </w:pPr>
          </w:p>
        </w:tc>
        <w:tc>
          <w:tcPr>
            <w:tcW w:w="1020" w:type="dxa"/>
          </w:tcPr>
          <w:p w14:paraId="03BB7061">
            <w:pPr>
              <w:spacing w:line="360" w:lineRule="auto"/>
              <w:rPr>
                <w:rFonts w:eastAsia="仿宋_GB2312"/>
                <w:color w:val="auto"/>
                <w:sz w:val="30"/>
                <w:szCs w:val="30"/>
                <w:highlight w:val="none"/>
              </w:rPr>
            </w:pPr>
          </w:p>
        </w:tc>
        <w:tc>
          <w:tcPr>
            <w:tcW w:w="1480" w:type="dxa"/>
          </w:tcPr>
          <w:p w14:paraId="3F3F44BA">
            <w:pPr>
              <w:spacing w:line="360" w:lineRule="auto"/>
              <w:rPr>
                <w:rFonts w:eastAsia="仿宋_GB2312"/>
                <w:color w:val="auto"/>
                <w:sz w:val="30"/>
                <w:szCs w:val="30"/>
                <w:highlight w:val="none"/>
              </w:rPr>
            </w:pPr>
          </w:p>
        </w:tc>
        <w:tc>
          <w:tcPr>
            <w:tcW w:w="1020" w:type="dxa"/>
          </w:tcPr>
          <w:p w14:paraId="5EB6B276">
            <w:pPr>
              <w:spacing w:line="360" w:lineRule="auto"/>
              <w:rPr>
                <w:rFonts w:eastAsia="仿宋_GB2312"/>
                <w:color w:val="auto"/>
                <w:sz w:val="30"/>
                <w:szCs w:val="30"/>
                <w:highlight w:val="none"/>
              </w:rPr>
            </w:pPr>
          </w:p>
        </w:tc>
        <w:tc>
          <w:tcPr>
            <w:tcW w:w="921" w:type="dxa"/>
          </w:tcPr>
          <w:p w14:paraId="0E221664">
            <w:pPr>
              <w:spacing w:line="360" w:lineRule="auto"/>
              <w:rPr>
                <w:rFonts w:eastAsia="仿宋_GB2312"/>
                <w:color w:val="auto"/>
                <w:sz w:val="30"/>
                <w:szCs w:val="30"/>
                <w:highlight w:val="none"/>
              </w:rPr>
            </w:pPr>
          </w:p>
        </w:tc>
      </w:tr>
    </w:tbl>
    <w:p w14:paraId="68A3853B">
      <w:pPr>
        <w:spacing w:line="360" w:lineRule="auto"/>
        <w:jc w:val="left"/>
        <w:rPr>
          <w:rFonts w:eastAsia="黑体"/>
          <w:color w:val="auto"/>
          <w:sz w:val="30"/>
          <w:szCs w:val="30"/>
          <w:highlight w:val="none"/>
        </w:rPr>
      </w:pPr>
      <w:r>
        <w:rPr>
          <w:rFonts w:hint="eastAsia" w:eastAsia="仿宋_GB2312" w:cs="仿宋_GB2312"/>
          <w:color w:val="auto"/>
          <w:sz w:val="30"/>
          <w:szCs w:val="30"/>
          <w:highlight w:val="none"/>
        </w:rPr>
        <w:t>附</w:t>
      </w:r>
      <w:bookmarkStart w:id="1718" w:name="_Toc296891268"/>
      <w:bookmarkStart w:id="1719" w:name="_Toc296503228"/>
      <w:bookmarkStart w:id="1720" w:name="_Toc296347227"/>
      <w:bookmarkStart w:id="1721" w:name="_Toc267261699"/>
      <w:bookmarkStart w:id="1722" w:name="_Toc296891056"/>
      <w:bookmarkStart w:id="1723" w:name="_Toc296944567"/>
      <w:bookmarkStart w:id="1724" w:name="_Toc296346729"/>
      <w:r>
        <w:rPr>
          <w:rFonts w:hint="eastAsia" w:eastAsia="仿宋_GB2312" w:cs="仿宋_GB2312"/>
          <w:color w:val="auto"/>
          <w:sz w:val="30"/>
          <w:szCs w:val="30"/>
          <w:highlight w:val="none"/>
        </w:rPr>
        <w:t>件</w:t>
      </w:r>
      <w:r>
        <w:rPr>
          <w:rFonts w:hint="eastAsia" w:eastAsia="仿宋_GB2312"/>
          <w:color w:val="auto"/>
          <w:sz w:val="30"/>
          <w:szCs w:val="30"/>
          <w:highlight w:val="none"/>
        </w:rPr>
        <w:t>5</w:t>
      </w:r>
      <w:r>
        <w:rPr>
          <w:rFonts w:hint="eastAsia" w:eastAsia="仿宋_GB2312" w:cs="仿宋_GB2312"/>
          <w:color w:val="auto"/>
          <w:sz w:val="30"/>
          <w:szCs w:val="30"/>
          <w:highlight w:val="none"/>
        </w:rPr>
        <w:t>：</w:t>
      </w:r>
    </w:p>
    <w:bookmarkEnd w:id="1718"/>
    <w:bookmarkEnd w:id="1719"/>
    <w:bookmarkEnd w:id="1720"/>
    <w:bookmarkEnd w:id="1721"/>
    <w:bookmarkEnd w:id="1722"/>
    <w:bookmarkEnd w:id="1723"/>
    <w:bookmarkEnd w:id="1724"/>
    <w:p w14:paraId="6F3D1A41">
      <w:pPr>
        <w:spacing w:beforeLines="50" w:afterLines="50" w:line="360" w:lineRule="auto"/>
        <w:jc w:val="center"/>
        <w:rPr>
          <w:rFonts w:eastAsia="黑体"/>
          <w:color w:val="auto"/>
          <w:sz w:val="30"/>
          <w:szCs w:val="30"/>
          <w:highlight w:val="none"/>
        </w:rPr>
      </w:pPr>
      <w:r>
        <w:rPr>
          <w:rFonts w:hint="eastAsia" w:eastAsia="黑体" w:cs="黑体"/>
          <w:color w:val="auto"/>
          <w:sz w:val="30"/>
          <w:szCs w:val="30"/>
          <w:highlight w:val="none"/>
        </w:rPr>
        <w:t>承包人主要施工管理人员表</w:t>
      </w:r>
    </w:p>
    <w:tbl>
      <w:tblPr>
        <w:tblStyle w:val="33"/>
        <w:tblW w:w="98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871"/>
        <w:gridCol w:w="1418"/>
        <w:gridCol w:w="1134"/>
        <w:gridCol w:w="1134"/>
        <w:gridCol w:w="4252"/>
      </w:tblGrid>
      <w:tr w14:paraId="041A4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0" w:hRule="exact"/>
          <w:jc w:val="center"/>
        </w:trPr>
        <w:tc>
          <w:tcPr>
            <w:tcW w:w="1871" w:type="dxa"/>
            <w:vAlign w:val="center"/>
          </w:tcPr>
          <w:p w14:paraId="3F710CF0">
            <w:pPr>
              <w:keepNext/>
              <w:adjustRightInd w:val="0"/>
              <w:spacing w:line="360" w:lineRule="auto"/>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rPr>
              <w:t>名</w:t>
            </w:r>
            <w:r>
              <w:rPr>
                <w:rFonts w:eastAsia="仿宋_GB2312"/>
                <w:color w:val="auto"/>
                <w:sz w:val="28"/>
                <w:szCs w:val="28"/>
                <w:highlight w:val="none"/>
              </w:rPr>
              <w:t xml:space="preserve">    </w:t>
            </w:r>
            <w:r>
              <w:rPr>
                <w:rFonts w:hint="eastAsia" w:eastAsia="仿宋_GB2312" w:cs="仿宋_GB2312"/>
                <w:color w:val="auto"/>
                <w:sz w:val="28"/>
                <w:szCs w:val="28"/>
                <w:highlight w:val="none"/>
              </w:rPr>
              <w:t>称</w:t>
            </w:r>
          </w:p>
        </w:tc>
        <w:tc>
          <w:tcPr>
            <w:tcW w:w="1418" w:type="dxa"/>
            <w:vAlign w:val="center"/>
          </w:tcPr>
          <w:p w14:paraId="5A373787">
            <w:pPr>
              <w:keepNext/>
              <w:adjustRightInd w:val="0"/>
              <w:spacing w:line="360" w:lineRule="auto"/>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rPr>
              <w:t>姓名</w:t>
            </w:r>
          </w:p>
        </w:tc>
        <w:tc>
          <w:tcPr>
            <w:tcW w:w="1134" w:type="dxa"/>
            <w:vAlign w:val="center"/>
          </w:tcPr>
          <w:p w14:paraId="318BA9EA">
            <w:pPr>
              <w:keepNext/>
              <w:adjustRightInd w:val="0"/>
              <w:spacing w:line="360" w:lineRule="auto"/>
              <w:ind w:left="63" w:leftChars="30" w:right="63" w:rightChars="30"/>
              <w:jc w:val="center"/>
              <w:textAlignment w:val="baseline"/>
              <w:rPr>
                <w:rFonts w:eastAsia="仿宋_GB2312"/>
                <w:color w:val="auto"/>
                <w:sz w:val="30"/>
                <w:szCs w:val="30"/>
                <w:highlight w:val="none"/>
              </w:rPr>
            </w:pPr>
            <w:r>
              <w:rPr>
                <w:rFonts w:hint="eastAsia" w:eastAsia="仿宋_GB2312" w:cs="仿宋_GB2312"/>
                <w:color w:val="auto"/>
                <w:sz w:val="30"/>
                <w:szCs w:val="30"/>
                <w:highlight w:val="none"/>
              </w:rPr>
              <w:t>职务</w:t>
            </w:r>
          </w:p>
        </w:tc>
        <w:tc>
          <w:tcPr>
            <w:tcW w:w="1134" w:type="dxa"/>
            <w:vAlign w:val="center"/>
          </w:tcPr>
          <w:p w14:paraId="74211A46">
            <w:pPr>
              <w:keepNext/>
              <w:adjustRightInd w:val="0"/>
              <w:spacing w:line="360" w:lineRule="auto"/>
              <w:ind w:left="63" w:leftChars="30" w:right="63" w:rightChars="30"/>
              <w:jc w:val="center"/>
              <w:textAlignment w:val="baseline"/>
              <w:rPr>
                <w:rFonts w:eastAsia="仿宋_GB2312"/>
                <w:color w:val="auto"/>
                <w:sz w:val="30"/>
                <w:szCs w:val="30"/>
                <w:highlight w:val="none"/>
              </w:rPr>
            </w:pPr>
            <w:r>
              <w:rPr>
                <w:rFonts w:hint="eastAsia" w:eastAsia="仿宋_GB2312" w:cs="仿宋_GB2312"/>
                <w:color w:val="auto"/>
                <w:sz w:val="30"/>
                <w:szCs w:val="30"/>
                <w:highlight w:val="none"/>
              </w:rPr>
              <w:t>职称</w:t>
            </w:r>
          </w:p>
        </w:tc>
        <w:tc>
          <w:tcPr>
            <w:tcW w:w="4252" w:type="dxa"/>
            <w:vAlign w:val="center"/>
          </w:tcPr>
          <w:p w14:paraId="30780D0E">
            <w:pPr>
              <w:keepNext/>
              <w:adjustRightInd w:val="0"/>
              <w:spacing w:line="360" w:lineRule="auto"/>
              <w:ind w:right="63" w:rightChars="30"/>
              <w:jc w:val="center"/>
              <w:textAlignment w:val="baseline"/>
              <w:rPr>
                <w:rFonts w:eastAsia="仿宋_GB2312"/>
                <w:color w:val="auto"/>
                <w:sz w:val="30"/>
                <w:szCs w:val="30"/>
                <w:highlight w:val="none"/>
              </w:rPr>
            </w:pPr>
            <w:r>
              <w:rPr>
                <w:rFonts w:hint="eastAsia" w:eastAsia="仿宋_GB2312" w:cs="仿宋_GB2312"/>
                <w:color w:val="auto"/>
                <w:sz w:val="30"/>
                <w:szCs w:val="30"/>
                <w:highlight w:val="none"/>
              </w:rPr>
              <w:t>计划进场时间</w:t>
            </w:r>
          </w:p>
        </w:tc>
      </w:tr>
      <w:tr w14:paraId="1E845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0" w:hRule="exact"/>
          <w:jc w:val="center"/>
        </w:trPr>
        <w:tc>
          <w:tcPr>
            <w:tcW w:w="9809" w:type="dxa"/>
            <w:gridSpan w:val="5"/>
            <w:vAlign w:val="center"/>
          </w:tcPr>
          <w:p w14:paraId="708DFBDB">
            <w:pPr>
              <w:keepNext/>
              <w:adjustRightInd w:val="0"/>
              <w:spacing w:line="360" w:lineRule="auto"/>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rPr>
              <w:t>一、总部人员</w:t>
            </w:r>
          </w:p>
        </w:tc>
      </w:tr>
      <w:tr w14:paraId="3AFA0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0" w:hRule="exact"/>
          <w:jc w:val="center"/>
        </w:trPr>
        <w:tc>
          <w:tcPr>
            <w:tcW w:w="1871" w:type="dxa"/>
            <w:vAlign w:val="center"/>
          </w:tcPr>
          <w:p w14:paraId="3F691963">
            <w:pPr>
              <w:keepNext/>
              <w:adjustRightInd w:val="0"/>
              <w:spacing w:line="360" w:lineRule="auto"/>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rPr>
              <w:t>项目主管</w:t>
            </w:r>
          </w:p>
        </w:tc>
        <w:tc>
          <w:tcPr>
            <w:tcW w:w="1418" w:type="dxa"/>
            <w:vAlign w:val="center"/>
          </w:tcPr>
          <w:p w14:paraId="296D1906">
            <w:pPr>
              <w:keepNext/>
              <w:adjustRightInd w:val="0"/>
              <w:spacing w:line="360" w:lineRule="auto"/>
              <w:ind w:left="63" w:leftChars="30" w:right="63" w:rightChars="30"/>
              <w:jc w:val="center"/>
              <w:textAlignment w:val="baseline"/>
              <w:rPr>
                <w:rFonts w:eastAsia="仿宋_GB2312"/>
                <w:color w:val="auto"/>
                <w:sz w:val="28"/>
                <w:szCs w:val="28"/>
                <w:highlight w:val="none"/>
              </w:rPr>
            </w:pPr>
          </w:p>
        </w:tc>
        <w:tc>
          <w:tcPr>
            <w:tcW w:w="1134" w:type="dxa"/>
            <w:vAlign w:val="center"/>
          </w:tcPr>
          <w:p w14:paraId="7D749660">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1134" w:type="dxa"/>
            <w:vAlign w:val="center"/>
          </w:tcPr>
          <w:p w14:paraId="1EA6DA5F">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4252" w:type="dxa"/>
            <w:vAlign w:val="center"/>
          </w:tcPr>
          <w:p w14:paraId="6007190C">
            <w:pPr>
              <w:keepNext/>
              <w:adjustRightInd w:val="0"/>
              <w:spacing w:line="360" w:lineRule="auto"/>
              <w:ind w:left="63" w:leftChars="30" w:right="63" w:rightChars="30"/>
              <w:jc w:val="center"/>
              <w:textAlignment w:val="baseline"/>
              <w:rPr>
                <w:rFonts w:eastAsia="仿宋_GB2312"/>
                <w:color w:val="auto"/>
                <w:sz w:val="30"/>
                <w:szCs w:val="30"/>
                <w:highlight w:val="none"/>
              </w:rPr>
            </w:pPr>
          </w:p>
        </w:tc>
      </w:tr>
      <w:tr w14:paraId="5E15D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0" w:hRule="exact"/>
          <w:jc w:val="center"/>
        </w:trPr>
        <w:tc>
          <w:tcPr>
            <w:tcW w:w="1871" w:type="dxa"/>
            <w:vMerge w:val="restart"/>
            <w:vAlign w:val="center"/>
          </w:tcPr>
          <w:p w14:paraId="758D1C14">
            <w:pPr>
              <w:keepNext/>
              <w:adjustRightInd w:val="0"/>
              <w:spacing w:after="60" w:line="360" w:lineRule="auto"/>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rPr>
              <w:t>其他人员</w:t>
            </w:r>
          </w:p>
        </w:tc>
        <w:tc>
          <w:tcPr>
            <w:tcW w:w="1418" w:type="dxa"/>
            <w:vAlign w:val="center"/>
          </w:tcPr>
          <w:p w14:paraId="2193E9D0">
            <w:pPr>
              <w:keepNext/>
              <w:adjustRightInd w:val="0"/>
              <w:spacing w:line="360" w:lineRule="auto"/>
              <w:ind w:left="63" w:leftChars="30" w:right="63" w:rightChars="30"/>
              <w:jc w:val="center"/>
              <w:textAlignment w:val="baseline"/>
              <w:rPr>
                <w:rFonts w:eastAsia="仿宋_GB2312"/>
                <w:color w:val="auto"/>
                <w:sz w:val="28"/>
                <w:szCs w:val="28"/>
                <w:highlight w:val="none"/>
              </w:rPr>
            </w:pPr>
          </w:p>
        </w:tc>
        <w:tc>
          <w:tcPr>
            <w:tcW w:w="1134" w:type="dxa"/>
            <w:vAlign w:val="center"/>
          </w:tcPr>
          <w:p w14:paraId="56ECDED9">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1134" w:type="dxa"/>
            <w:vAlign w:val="center"/>
          </w:tcPr>
          <w:p w14:paraId="72048039">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4252" w:type="dxa"/>
            <w:vAlign w:val="center"/>
          </w:tcPr>
          <w:p w14:paraId="6C9462CE">
            <w:pPr>
              <w:keepNext/>
              <w:adjustRightInd w:val="0"/>
              <w:spacing w:line="360" w:lineRule="auto"/>
              <w:ind w:left="63" w:leftChars="30" w:right="63" w:rightChars="30"/>
              <w:jc w:val="center"/>
              <w:textAlignment w:val="baseline"/>
              <w:rPr>
                <w:rFonts w:eastAsia="仿宋_GB2312"/>
                <w:color w:val="auto"/>
                <w:sz w:val="30"/>
                <w:szCs w:val="30"/>
                <w:highlight w:val="none"/>
              </w:rPr>
            </w:pPr>
          </w:p>
        </w:tc>
      </w:tr>
      <w:tr w14:paraId="2EA8F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0" w:hRule="exact"/>
          <w:jc w:val="center"/>
        </w:trPr>
        <w:tc>
          <w:tcPr>
            <w:tcW w:w="1871" w:type="dxa"/>
            <w:vMerge w:val="continue"/>
            <w:vAlign w:val="center"/>
          </w:tcPr>
          <w:p w14:paraId="0BC72035">
            <w:pPr>
              <w:keepNext/>
              <w:adjustRightInd w:val="0"/>
              <w:spacing w:line="360" w:lineRule="auto"/>
              <w:ind w:left="63" w:leftChars="30" w:right="63" w:rightChars="30"/>
              <w:jc w:val="center"/>
              <w:textAlignment w:val="baseline"/>
              <w:rPr>
                <w:rFonts w:eastAsia="仿宋_GB2312"/>
                <w:color w:val="auto"/>
                <w:sz w:val="28"/>
                <w:szCs w:val="28"/>
                <w:highlight w:val="none"/>
              </w:rPr>
            </w:pPr>
          </w:p>
        </w:tc>
        <w:tc>
          <w:tcPr>
            <w:tcW w:w="1418" w:type="dxa"/>
            <w:vAlign w:val="center"/>
          </w:tcPr>
          <w:p w14:paraId="216557AE">
            <w:pPr>
              <w:keepNext/>
              <w:adjustRightInd w:val="0"/>
              <w:spacing w:line="360" w:lineRule="auto"/>
              <w:ind w:left="63" w:leftChars="30" w:right="63" w:rightChars="30"/>
              <w:jc w:val="center"/>
              <w:textAlignment w:val="baseline"/>
              <w:rPr>
                <w:rFonts w:eastAsia="仿宋_GB2312"/>
                <w:color w:val="auto"/>
                <w:sz w:val="28"/>
                <w:szCs w:val="28"/>
                <w:highlight w:val="none"/>
              </w:rPr>
            </w:pPr>
          </w:p>
        </w:tc>
        <w:tc>
          <w:tcPr>
            <w:tcW w:w="1134" w:type="dxa"/>
            <w:vAlign w:val="center"/>
          </w:tcPr>
          <w:p w14:paraId="1703DE75">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1134" w:type="dxa"/>
            <w:vAlign w:val="center"/>
          </w:tcPr>
          <w:p w14:paraId="7F0E3F95">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4252" w:type="dxa"/>
            <w:vAlign w:val="center"/>
          </w:tcPr>
          <w:p w14:paraId="57EFB5D6">
            <w:pPr>
              <w:keepNext/>
              <w:adjustRightInd w:val="0"/>
              <w:spacing w:line="360" w:lineRule="auto"/>
              <w:ind w:left="63" w:leftChars="30" w:right="63" w:rightChars="30"/>
              <w:jc w:val="center"/>
              <w:textAlignment w:val="baseline"/>
              <w:rPr>
                <w:rFonts w:eastAsia="仿宋_GB2312"/>
                <w:color w:val="auto"/>
                <w:sz w:val="30"/>
                <w:szCs w:val="30"/>
                <w:highlight w:val="none"/>
              </w:rPr>
            </w:pPr>
          </w:p>
        </w:tc>
      </w:tr>
      <w:tr w14:paraId="09978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0" w:hRule="exact"/>
          <w:jc w:val="center"/>
        </w:trPr>
        <w:tc>
          <w:tcPr>
            <w:tcW w:w="1871" w:type="dxa"/>
            <w:vMerge w:val="continue"/>
            <w:vAlign w:val="center"/>
          </w:tcPr>
          <w:p w14:paraId="629F7DD2">
            <w:pPr>
              <w:keepNext/>
              <w:adjustRightInd w:val="0"/>
              <w:spacing w:line="360" w:lineRule="auto"/>
              <w:ind w:left="63" w:leftChars="30" w:right="63" w:rightChars="30"/>
              <w:jc w:val="center"/>
              <w:textAlignment w:val="baseline"/>
              <w:rPr>
                <w:rFonts w:eastAsia="仿宋_GB2312"/>
                <w:color w:val="auto"/>
                <w:sz w:val="28"/>
                <w:szCs w:val="28"/>
                <w:highlight w:val="none"/>
              </w:rPr>
            </w:pPr>
          </w:p>
        </w:tc>
        <w:tc>
          <w:tcPr>
            <w:tcW w:w="1418" w:type="dxa"/>
            <w:vAlign w:val="center"/>
          </w:tcPr>
          <w:p w14:paraId="2E665A48">
            <w:pPr>
              <w:keepNext/>
              <w:adjustRightInd w:val="0"/>
              <w:spacing w:line="360" w:lineRule="auto"/>
              <w:ind w:left="63" w:leftChars="30" w:right="63" w:rightChars="30"/>
              <w:jc w:val="center"/>
              <w:textAlignment w:val="baseline"/>
              <w:rPr>
                <w:rFonts w:eastAsia="仿宋_GB2312"/>
                <w:color w:val="auto"/>
                <w:sz w:val="28"/>
                <w:szCs w:val="28"/>
                <w:highlight w:val="none"/>
              </w:rPr>
            </w:pPr>
          </w:p>
        </w:tc>
        <w:tc>
          <w:tcPr>
            <w:tcW w:w="1134" w:type="dxa"/>
            <w:vAlign w:val="center"/>
          </w:tcPr>
          <w:p w14:paraId="5AC96B33">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1134" w:type="dxa"/>
            <w:vAlign w:val="center"/>
          </w:tcPr>
          <w:p w14:paraId="0B94E337">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4252" w:type="dxa"/>
            <w:vAlign w:val="center"/>
          </w:tcPr>
          <w:p w14:paraId="431AF030">
            <w:pPr>
              <w:keepNext/>
              <w:adjustRightInd w:val="0"/>
              <w:spacing w:line="360" w:lineRule="auto"/>
              <w:ind w:left="63" w:leftChars="30" w:right="63" w:rightChars="30"/>
              <w:jc w:val="center"/>
              <w:textAlignment w:val="baseline"/>
              <w:rPr>
                <w:rFonts w:eastAsia="仿宋_GB2312"/>
                <w:color w:val="auto"/>
                <w:sz w:val="30"/>
                <w:szCs w:val="30"/>
                <w:highlight w:val="none"/>
              </w:rPr>
            </w:pPr>
          </w:p>
        </w:tc>
      </w:tr>
      <w:tr w14:paraId="1B56C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0" w:hRule="exact"/>
          <w:jc w:val="center"/>
        </w:trPr>
        <w:tc>
          <w:tcPr>
            <w:tcW w:w="9809" w:type="dxa"/>
            <w:gridSpan w:val="5"/>
            <w:vAlign w:val="center"/>
          </w:tcPr>
          <w:p w14:paraId="41BABAFA">
            <w:pPr>
              <w:keepNext/>
              <w:adjustRightInd w:val="0"/>
              <w:spacing w:line="360" w:lineRule="auto"/>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rPr>
              <w:t>二、现场人员</w:t>
            </w:r>
          </w:p>
        </w:tc>
      </w:tr>
      <w:tr w14:paraId="46CBF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0" w:hRule="exact"/>
          <w:jc w:val="center"/>
        </w:trPr>
        <w:tc>
          <w:tcPr>
            <w:tcW w:w="1871" w:type="dxa"/>
            <w:vAlign w:val="center"/>
          </w:tcPr>
          <w:p w14:paraId="2915AA50">
            <w:pPr>
              <w:keepNext/>
              <w:adjustRightInd w:val="0"/>
              <w:spacing w:line="360" w:lineRule="auto"/>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rPr>
              <w:t>项目经理</w:t>
            </w:r>
          </w:p>
        </w:tc>
        <w:tc>
          <w:tcPr>
            <w:tcW w:w="1418" w:type="dxa"/>
            <w:vAlign w:val="center"/>
          </w:tcPr>
          <w:p w14:paraId="5FD17EB2">
            <w:pPr>
              <w:keepNext/>
              <w:adjustRightInd w:val="0"/>
              <w:spacing w:line="360" w:lineRule="auto"/>
              <w:ind w:left="63" w:leftChars="30" w:right="63" w:rightChars="30"/>
              <w:jc w:val="center"/>
              <w:textAlignment w:val="baseline"/>
              <w:rPr>
                <w:rFonts w:eastAsia="仿宋_GB2312"/>
                <w:color w:val="auto"/>
                <w:sz w:val="28"/>
                <w:szCs w:val="28"/>
                <w:highlight w:val="none"/>
              </w:rPr>
            </w:pPr>
          </w:p>
        </w:tc>
        <w:tc>
          <w:tcPr>
            <w:tcW w:w="1134" w:type="dxa"/>
            <w:vAlign w:val="center"/>
          </w:tcPr>
          <w:p w14:paraId="4B47E12C">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1134" w:type="dxa"/>
            <w:vAlign w:val="center"/>
          </w:tcPr>
          <w:p w14:paraId="78A600FE">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4252" w:type="dxa"/>
            <w:vAlign w:val="center"/>
          </w:tcPr>
          <w:p w14:paraId="0E60AB26">
            <w:pPr>
              <w:keepNext/>
              <w:adjustRightInd w:val="0"/>
              <w:spacing w:line="360" w:lineRule="auto"/>
              <w:ind w:left="63" w:leftChars="30" w:right="63" w:rightChars="30"/>
              <w:jc w:val="center"/>
              <w:textAlignment w:val="baseline"/>
              <w:rPr>
                <w:rFonts w:eastAsia="仿宋_GB2312"/>
                <w:color w:val="auto"/>
                <w:sz w:val="30"/>
                <w:szCs w:val="30"/>
                <w:highlight w:val="none"/>
              </w:rPr>
            </w:pPr>
          </w:p>
        </w:tc>
      </w:tr>
      <w:tr w14:paraId="4DCAD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0" w:hRule="exact"/>
          <w:jc w:val="center"/>
        </w:trPr>
        <w:tc>
          <w:tcPr>
            <w:tcW w:w="1871" w:type="dxa"/>
            <w:vAlign w:val="center"/>
          </w:tcPr>
          <w:p w14:paraId="46091F8D">
            <w:pPr>
              <w:keepNext/>
              <w:adjustRightInd w:val="0"/>
              <w:spacing w:line="360" w:lineRule="auto"/>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rPr>
              <w:t>项目副经理</w:t>
            </w:r>
          </w:p>
        </w:tc>
        <w:tc>
          <w:tcPr>
            <w:tcW w:w="1418" w:type="dxa"/>
            <w:vAlign w:val="center"/>
          </w:tcPr>
          <w:p w14:paraId="64515995">
            <w:pPr>
              <w:keepNext/>
              <w:adjustRightInd w:val="0"/>
              <w:spacing w:line="360" w:lineRule="auto"/>
              <w:ind w:left="63" w:leftChars="30" w:right="63" w:rightChars="30"/>
              <w:jc w:val="center"/>
              <w:textAlignment w:val="baseline"/>
              <w:rPr>
                <w:rFonts w:eastAsia="仿宋_GB2312"/>
                <w:color w:val="auto"/>
                <w:sz w:val="28"/>
                <w:szCs w:val="28"/>
                <w:highlight w:val="none"/>
              </w:rPr>
            </w:pPr>
          </w:p>
        </w:tc>
        <w:tc>
          <w:tcPr>
            <w:tcW w:w="1134" w:type="dxa"/>
            <w:vAlign w:val="center"/>
          </w:tcPr>
          <w:p w14:paraId="0A976FF4">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1134" w:type="dxa"/>
            <w:vAlign w:val="center"/>
          </w:tcPr>
          <w:p w14:paraId="188951D1">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4252" w:type="dxa"/>
            <w:vAlign w:val="center"/>
          </w:tcPr>
          <w:p w14:paraId="16CB7FF9">
            <w:pPr>
              <w:keepNext/>
              <w:adjustRightInd w:val="0"/>
              <w:spacing w:line="360" w:lineRule="auto"/>
              <w:ind w:left="63" w:leftChars="30" w:right="63" w:rightChars="30"/>
              <w:jc w:val="center"/>
              <w:textAlignment w:val="baseline"/>
              <w:rPr>
                <w:rFonts w:eastAsia="仿宋_GB2312"/>
                <w:color w:val="auto"/>
                <w:sz w:val="30"/>
                <w:szCs w:val="30"/>
                <w:highlight w:val="none"/>
              </w:rPr>
            </w:pPr>
          </w:p>
        </w:tc>
      </w:tr>
      <w:tr w14:paraId="63E37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0" w:hRule="exact"/>
          <w:jc w:val="center"/>
        </w:trPr>
        <w:tc>
          <w:tcPr>
            <w:tcW w:w="1871" w:type="dxa"/>
            <w:vAlign w:val="center"/>
          </w:tcPr>
          <w:p w14:paraId="0C2AAF7B">
            <w:pPr>
              <w:keepNext/>
              <w:adjustRightInd w:val="0"/>
              <w:spacing w:line="360" w:lineRule="auto"/>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rPr>
              <w:t>技术负责人</w:t>
            </w:r>
          </w:p>
        </w:tc>
        <w:tc>
          <w:tcPr>
            <w:tcW w:w="1418" w:type="dxa"/>
            <w:vAlign w:val="center"/>
          </w:tcPr>
          <w:p w14:paraId="5D31ACDB">
            <w:pPr>
              <w:keepNext/>
              <w:adjustRightInd w:val="0"/>
              <w:spacing w:line="360" w:lineRule="auto"/>
              <w:ind w:left="63" w:leftChars="30" w:right="63" w:rightChars="30"/>
              <w:jc w:val="center"/>
              <w:textAlignment w:val="baseline"/>
              <w:rPr>
                <w:rFonts w:eastAsia="仿宋_GB2312"/>
                <w:color w:val="auto"/>
                <w:sz w:val="28"/>
                <w:szCs w:val="28"/>
                <w:highlight w:val="none"/>
              </w:rPr>
            </w:pPr>
          </w:p>
        </w:tc>
        <w:tc>
          <w:tcPr>
            <w:tcW w:w="1134" w:type="dxa"/>
            <w:vAlign w:val="center"/>
          </w:tcPr>
          <w:p w14:paraId="5A2C02E5">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1134" w:type="dxa"/>
            <w:vAlign w:val="center"/>
          </w:tcPr>
          <w:p w14:paraId="0184E90F">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4252" w:type="dxa"/>
            <w:vAlign w:val="center"/>
          </w:tcPr>
          <w:p w14:paraId="4115FD55">
            <w:pPr>
              <w:keepNext/>
              <w:adjustRightInd w:val="0"/>
              <w:spacing w:line="360" w:lineRule="auto"/>
              <w:ind w:left="63" w:leftChars="30" w:right="63" w:rightChars="30"/>
              <w:jc w:val="center"/>
              <w:textAlignment w:val="baseline"/>
              <w:rPr>
                <w:rFonts w:eastAsia="仿宋_GB2312"/>
                <w:color w:val="auto"/>
                <w:sz w:val="30"/>
                <w:szCs w:val="30"/>
                <w:highlight w:val="none"/>
              </w:rPr>
            </w:pPr>
          </w:p>
        </w:tc>
      </w:tr>
      <w:tr w14:paraId="4C6BF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0" w:hRule="exact"/>
          <w:jc w:val="center"/>
        </w:trPr>
        <w:tc>
          <w:tcPr>
            <w:tcW w:w="1871" w:type="dxa"/>
            <w:vAlign w:val="center"/>
          </w:tcPr>
          <w:p w14:paraId="3A6C8C64">
            <w:pPr>
              <w:keepNext/>
              <w:adjustRightInd w:val="0"/>
              <w:spacing w:line="360" w:lineRule="auto"/>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rPr>
              <w:t>造价管理</w:t>
            </w:r>
          </w:p>
        </w:tc>
        <w:tc>
          <w:tcPr>
            <w:tcW w:w="1418" w:type="dxa"/>
            <w:vAlign w:val="center"/>
          </w:tcPr>
          <w:p w14:paraId="6FD7566B">
            <w:pPr>
              <w:keepNext/>
              <w:adjustRightInd w:val="0"/>
              <w:spacing w:line="360" w:lineRule="auto"/>
              <w:ind w:left="63" w:leftChars="30" w:right="63" w:rightChars="30"/>
              <w:jc w:val="center"/>
              <w:textAlignment w:val="baseline"/>
              <w:rPr>
                <w:rFonts w:eastAsia="仿宋_GB2312"/>
                <w:color w:val="auto"/>
                <w:sz w:val="28"/>
                <w:szCs w:val="28"/>
                <w:highlight w:val="none"/>
              </w:rPr>
            </w:pPr>
          </w:p>
        </w:tc>
        <w:tc>
          <w:tcPr>
            <w:tcW w:w="1134" w:type="dxa"/>
            <w:vAlign w:val="center"/>
          </w:tcPr>
          <w:p w14:paraId="23B4F5E1">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1134" w:type="dxa"/>
            <w:vAlign w:val="center"/>
          </w:tcPr>
          <w:p w14:paraId="1F49311E">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4252" w:type="dxa"/>
            <w:vAlign w:val="center"/>
          </w:tcPr>
          <w:p w14:paraId="4AEC8F9D">
            <w:pPr>
              <w:keepNext/>
              <w:adjustRightInd w:val="0"/>
              <w:spacing w:line="360" w:lineRule="auto"/>
              <w:ind w:left="63" w:leftChars="30" w:right="63" w:rightChars="30"/>
              <w:jc w:val="center"/>
              <w:textAlignment w:val="baseline"/>
              <w:rPr>
                <w:rFonts w:eastAsia="仿宋_GB2312"/>
                <w:color w:val="auto"/>
                <w:sz w:val="30"/>
                <w:szCs w:val="30"/>
                <w:highlight w:val="none"/>
              </w:rPr>
            </w:pPr>
          </w:p>
        </w:tc>
      </w:tr>
      <w:tr w14:paraId="45370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0" w:hRule="exact"/>
          <w:jc w:val="center"/>
        </w:trPr>
        <w:tc>
          <w:tcPr>
            <w:tcW w:w="1871" w:type="dxa"/>
            <w:vMerge w:val="restart"/>
            <w:vAlign w:val="center"/>
          </w:tcPr>
          <w:p w14:paraId="433107E2">
            <w:pPr>
              <w:keepNext/>
              <w:adjustRightInd w:val="0"/>
              <w:spacing w:after="60" w:line="360" w:lineRule="auto"/>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rPr>
              <w:t>质量管理</w:t>
            </w:r>
          </w:p>
        </w:tc>
        <w:tc>
          <w:tcPr>
            <w:tcW w:w="1418" w:type="dxa"/>
            <w:vAlign w:val="center"/>
          </w:tcPr>
          <w:p w14:paraId="76C08B99">
            <w:pPr>
              <w:keepNext/>
              <w:adjustRightInd w:val="0"/>
              <w:spacing w:line="360" w:lineRule="auto"/>
              <w:ind w:left="63" w:leftChars="30" w:right="63" w:rightChars="30"/>
              <w:jc w:val="center"/>
              <w:textAlignment w:val="baseline"/>
              <w:rPr>
                <w:rFonts w:eastAsia="仿宋_GB2312"/>
                <w:color w:val="auto"/>
                <w:sz w:val="28"/>
                <w:szCs w:val="28"/>
                <w:highlight w:val="none"/>
              </w:rPr>
            </w:pPr>
          </w:p>
        </w:tc>
        <w:tc>
          <w:tcPr>
            <w:tcW w:w="1134" w:type="dxa"/>
            <w:vAlign w:val="center"/>
          </w:tcPr>
          <w:p w14:paraId="3BB1BBB5">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1134" w:type="dxa"/>
            <w:vAlign w:val="center"/>
          </w:tcPr>
          <w:p w14:paraId="47EB33FA">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4252" w:type="dxa"/>
            <w:vAlign w:val="center"/>
          </w:tcPr>
          <w:p w14:paraId="470049EF">
            <w:pPr>
              <w:keepNext/>
              <w:adjustRightInd w:val="0"/>
              <w:spacing w:line="360" w:lineRule="auto"/>
              <w:ind w:left="63" w:leftChars="30" w:right="63" w:rightChars="30"/>
              <w:jc w:val="center"/>
              <w:textAlignment w:val="baseline"/>
              <w:rPr>
                <w:rFonts w:eastAsia="仿宋_GB2312"/>
                <w:color w:val="auto"/>
                <w:sz w:val="30"/>
                <w:szCs w:val="30"/>
                <w:highlight w:val="none"/>
              </w:rPr>
            </w:pPr>
          </w:p>
        </w:tc>
      </w:tr>
      <w:tr w14:paraId="438D4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0" w:hRule="exact"/>
          <w:jc w:val="center"/>
        </w:trPr>
        <w:tc>
          <w:tcPr>
            <w:tcW w:w="1871" w:type="dxa"/>
            <w:vMerge w:val="continue"/>
            <w:vAlign w:val="center"/>
          </w:tcPr>
          <w:p w14:paraId="7ADBB3CE">
            <w:pPr>
              <w:keepNext/>
              <w:adjustRightInd w:val="0"/>
              <w:spacing w:after="60" w:line="360" w:lineRule="auto"/>
              <w:ind w:left="63" w:leftChars="30" w:right="63" w:rightChars="30"/>
              <w:jc w:val="center"/>
              <w:textAlignment w:val="baseline"/>
              <w:rPr>
                <w:rFonts w:eastAsia="仿宋_GB2312"/>
                <w:color w:val="auto"/>
                <w:sz w:val="28"/>
                <w:szCs w:val="28"/>
                <w:highlight w:val="none"/>
              </w:rPr>
            </w:pPr>
          </w:p>
        </w:tc>
        <w:tc>
          <w:tcPr>
            <w:tcW w:w="1418" w:type="dxa"/>
            <w:vAlign w:val="center"/>
          </w:tcPr>
          <w:p w14:paraId="03B32177">
            <w:pPr>
              <w:keepNext/>
              <w:adjustRightInd w:val="0"/>
              <w:spacing w:line="360" w:lineRule="auto"/>
              <w:ind w:left="63" w:leftChars="30" w:right="63" w:rightChars="30"/>
              <w:jc w:val="center"/>
              <w:textAlignment w:val="baseline"/>
              <w:rPr>
                <w:rFonts w:eastAsia="仿宋_GB2312"/>
                <w:color w:val="auto"/>
                <w:sz w:val="28"/>
                <w:szCs w:val="28"/>
                <w:highlight w:val="none"/>
              </w:rPr>
            </w:pPr>
          </w:p>
        </w:tc>
        <w:tc>
          <w:tcPr>
            <w:tcW w:w="1134" w:type="dxa"/>
            <w:vAlign w:val="center"/>
          </w:tcPr>
          <w:p w14:paraId="641590DC">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1134" w:type="dxa"/>
            <w:vAlign w:val="center"/>
          </w:tcPr>
          <w:p w14:paraId="3A326BBF">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4252" w:type="dxa"/>
            <w:vAlign w:val="center"/>
          </w:tcPr>
          <w:p w14:paraId="1879A4E1">
            <w:pPr>
              <w:keepNext/>
              <w:adjustRightInd w:val="0"/>
              <w:spacing w:line="360" w:lineRule="auto"/>
              <w:ind w:left="63" w:leftChars="30" w:right="63" w:rightChars="30"/>
              <w:jc w:val="center"/>
              <w:textAlignment w:val="baseline"/>
              <w:rPr>
                <w:rFonts w:eastAsia="仿宋_GB2312"/>
                <w:color w:val="auto"/>
                <w:sz w:val="30"/>
                <w:szCs w:val="30"/>
                <w:highlight w:val="none"/>
              </w:rPr>
            </w:pPr>
          </w:p>
        </w:tc>
      </w:tr>
      <w:tr w14:paraId="64427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0" w:hRule="exact"/>
          <w:jc w:val="center"/>
        </w:trPr>
        <w:tc>
          <w:tcPr>
            <w:tcW w:w="1871" w:type="dxa"/>
            <w:vMerge w:val="continue"/>
            <w:vAlign w:val="center"/>
          </w:tcPr>
          <w:p w14:paraId="26665F17">
            <w:pPr>
              <w:keepNext/>
              <w:adjustRightInd w:val="0"/>
              <w:spacing w:line="360" w:lineRule="auto"/>
              <w:ind w:left="63" w:leftChars="30" w:right="63" w:rightChars="30"/>
              <w:jc w:val="center"/>
              <w:textAlignment w:val="baseline"/>
              <w:rPr>
                <w:rFonts w:eastAsia="仿宋_GB2312"/>
                <w:color w:val="auto"/>
                <w:sz w:val="28"/>
                <w:szCs w:val="28"/>
                <w:highlight w:val="none"/>
              </w:rPr>
            </w:pPr>
          </w:p>
        </w:tc>
        <w:tc>
          <w:tcPr>
            <w:tcW w:w="1418" w:type="dxa"/>
            <w:vAlign w:val="center"/>
          </w:tcPr>
          <w:p w14:paraId="7029BDA1">
            <w:pPr>
              <w:keepNext/>
              <w:adjustRightInd w:val="0"/>
              <w:spacing w:line="360" w:lineRule="auto"/>
              <w:ind w:left="63" w:leftChars="30" w:right="63" w:rightChars="30"/>
              <w:jc w:val="center"/>
              <w:textAlignment w:val="baseline"/>
              <w:rPr>
                <w:rFonts w:eastAsia="仿宋_GB2312"/>
                <w:color w:val="auto"/>
                <w:sz w:val="28"/>
                <w:szCs w:val="28"/>
                <w:highlight w:val="none"/>
              </w:rPr>
            </w:pPr>
          </w:p>
        </w:tc>
        <w:tc>
          <w:tcPr>
            <w:tcW w:w="1134" w:type="dxa"/>
            <w:vAlign w:val="center"/>
          </w:tcPr>
          <w:p w14:paraId="371443B9">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1134" w:type="dxa"/>
            <w:vAlign w:val="center"/>
          </w:tcPr>
          <w:p w14:paraId="23152325">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4252" w:type="dxa"/>
            <w:vAlign w:val="center"/>
          </w:tcPr>
          <w:p w14:paraId="2AC5D466">
            <w:pPr>
              <w:keepNext/>
              <w:adjustRightInd w:val="0"/>
              <w:spacing w:line="360" w:lineRule="auto"/>
              <w:ind w:left="63" w:leftChars="30" w:right="63" w:rightChars="30"/>
              <w:jc w:val="center"/>
              <w:textAlignment w:val="baseline"/>
              <w:rPr>
                <w:rFonts w:eastAsia="仿宋_GB2312"/>
                <w:color w:val="auto"/>
                <w:sz w:val="30"/>
                <w:szCs w:val="30"/>
                <w:highlight w:val="none"/>
              </w:rPr>
            </w:pPr>
          </w:p>
        </w:tc>
      </w:tr>
      <w:tr w14:paraId="598FE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0" w:hRule="exact"/>
          <w:jc w:val="center"/>
        </w:trPr>
        <w:tc>
          <w:tcPr>
            <w:tcW w:w="1871" w:type="dxa"/>
            <w:vAlign w:val="center"/>
          </w:tcPr>
          <w:p w14:paraId="74D3AB67">
            <w:pPr>
              <w:keepNext/>
              <w:adjustRightInd w:val="0"/>
              <w:spacing w:line="360" w:lineRule="auto"/>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rPr>
              <w:t>材料管理</w:t>
            </w:r>
          </w:p>
        </w:tc>
        <w:tc>
          <w:tcPr>
            <w:tcW w:w="1418" w:type="dxa"/>
            <w:vAlign w:val="center"/>
          </w:tcPr>
          <w:p w14:paraId="448EB260">
            <w:pPr>
              <w:keepNext/>
              <w:adjustRightInd w:val="0"/>
              <w:spacing w:line="360" w:lineRule="auto"/>
              <w:ind w:left="63" w:leftChars="30" w:right="63" w:rightChars="30"/>
              <w:jc w:val="center"/>
              <w:textAlignment w:val="baseline"/>
              <w:rPr>
                <w:rFonts w:eastAsia="仿宋_GB2312"/>
                <w:color w:val="auto"/>
                <w:sz w:val="28"/>
                <w:szCs w:val="28"/>
                <w:highlight w:val="none"/>
              </w:rPr>
            </w:pPr>
          </w:p>
        </w:tc>
        <w:tc>
          <w:tcPr>
            <w:tcW w:w="1134" w:type="dxa"/>
            <w:vAlign w:val="center"/>
          </w:tcPr>
          <w:p w14:paraId="55325176">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1134" w:type="dxa"/>
            <w:vAlign w:val="center"/>
          </w:tcPr>
          <w:p w14:paraId="3AE1EE8B">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4252" w:type="dxa"/>
            <w:vAlign w:val="center"/>
          </w:tcPr>
          <w:p w14:paraId="7D2E2DDB">
            <w:pPr>
              <w:keepNext/>
              <w:adjustRightInd w:val="0"/>
              <w:spacing w:line="360" w:lineRule="auto"/>
              <w:ind w:left="63" w:leftChars="30" w:right="63" w:rightChars="30"/>
              <w:jc w:val="center"/>
              <w:textAlignment w:val="baseline"/>
              <w:rPr>
                <w:rFonts w:eastAsia="仿宋_GB2312"/>
                <w:color w:val="auto"/>
                <w:sz w:val="30"/>
                <w:szCs w:val="30"/>
                <w:highlight w:val="none"/>
              </w:rPr>
            </w:pPr>
          </w:p>
        </w:tc>
      </w:tr>
      <w:tr w14:paraId="3F7AF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0" w:hRule="exact"/>
          <w:jc w:val="center"/>
        </w:trPr>
        <w:tc>
          <w:tcPr>
            <w:tcW w:w="1871" w:type="dxa"/>
            <w:vAlign w:val="center"/>
          </w:tcPr>
          <w:p w14:paraId="19F1C00A">
            <w:pPr>
              <w:keepNext/>
              <w:adjustRightInd w:val="0"/>
              <w:spacing w:line="360" w:lineRule="auto"/>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rPr>
              <w:t>计划管理</w:t>
            </w:r>
          </w:p>
        </w:tc>
        <w:tc>
          <w:tcPr>
            <w:tcW w:w="1418" w:type="dxa"/>
            <w:vAlign w:val="center"/>
          </w:tcPr>
          <w:p w14:paraId="0ED59711">
            <w:pPr>
              <w:keepNext/>
              <w:adjustRightInd w:val="0"/>
              <w:spacing w:line="360" w:lineRule="auto"/>
              <w:ind w:left="63" w:leftChars="30" w:right="63" w:rightChars="30"/>
              <w:jc w:val="center"/>
              <w:textAlignment w:val="baseline"/>
              <w:rPr>
                <w:rFonts w:eastAsia="仿宋_GB2312"/>
                <w:color w:val="auto"/>
                <w:sz w:val="28"/>
                <w:szCs w:val="28"/>
                <w:highlight w:val="none"/>
              </w:rPr>
            </w:pPr>
          </w:p>
        </w:tc>
        <w:tc>
          <w:tcPr>
            <w:tcW w:w="1134" w:type="dxa"/>
            <w:vAlign w:val="center"/>
          </w:tcPr>
          <w:p w14:paraId="0D9A16D6">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1134" w:type="dxa"/>
            <w:vAlign w:val="center"/>
          </w:tcPr>
          <w:p w14:paraId="30744CB0">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4252" w:type="dxa"/>
            <w:vAlign w:val="center"/>
          </w:tcPr>
          <w:p w14:paraId="234C2C02">
            <w:pPr>
              <w:keepNext/>
              <w:adjustRightInd w:val="0"/>
              <w:spacing w:line="360" w:lineRule="auto"/>
              <w:ind w:left="63" w:leftChars="30" w:right="63" w:rightChars="30"/>
              <w:jc w:val="center"/>
              <w:textAlignment w:val="baseline"/>
              <w:rPr>
                <w:rFonts w:eastAsia="仿宋_GB2312"/>
                <w:color w:val="auto"/>
                <w:sz w:val="30"/>
                <w:szCs w:val="30"/>
                <w:highlight w:val="none"/>
              </w:rPr>
            </w:pPr>
          </w:p>
        </w:tc>
      </w:tr>
      <w:tr w14:paraId="2CC99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0" w:hRule="exact"/>
          <w:jc w:val="center"/>
        </w:trPr>
        <w:tc>
          <w:tcPr>
            <w:tcW w:w="1871" w:type="dxa"/>
            <w:vMerge w:val="restart"/>
            <w:vAlign w:val="center"/>
          </w:tcPr>
          <w:p w14:paraId="46040836">
            <w:pPr>
              <w:keepNext/>
              <w:adjustRightInd w:val="0"/>
              <w:spacing w:after="60" w:line="360" w:lineRule="auto"/>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rPr>
              <w:t>安全管理</w:t>
            </w:r>
          </w:p>
        </w:tc>
        <w:tc>
          <w:tcPr>
            <w:tcW w:w="1418" w:type="dxa"/>
            <w:vAlign w:val="center"/>
          </w:tcPr>
          <w:p w14:paraId="3BA5EAB5">
            <w:pPr>
              <w:keepNext/>
              <w:adjustRightInd w:val="0"/>
              <w:spacing w:line="360" w:lineRule="auto"/>
              <w:ind w:left="63" w:leftChars="30" w:right="63" w:rightChars="30"/>
              <w:jc w:val="center"/>
              <w:textAlignment w:val="baseline"/>
              <w:rPr>
                <w:rFonts w:eastAsia="仿宋_GB2312"/>
                <w:color w:val="auto"/>
                <w:sz w:val="28"/>
                <w:szCs w:val="28"/>
                <w:highlight w:val="none"/>
              </w:rPr>
            </w:pPr>
          </w:p>
        </w:tc>
        <w:tc>
          <w:tcPr>
            <w:tcW w:w="1134" w:type="dxa"/>
            <w:vAlign w:val="center"/>
          </w:tcPr>
          <w:p w14:paraId="2645D019">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1134" w:type="dxa"/>
            <w:vAlign w:val="center"/>
          </w:tcPr>
          <w:p w14:paraId="1C0E0AE0">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4252" w:type="dxa"/>
            <w:vAlign w:val="center"/>
          </w:tcPr>
          <w:p w14:paraId="61869ECB">
            <w:pPr>
              <w:keepNext/>
              <w:adjustRightInd w:val="0"/>
              <w:spacing w:line="360" w:lineRule="auto"/>
              <w:ind w:left="63" w:leftChars="30" w:right="63" w:rightChars="30"/>
              <w:jc w:val="center"/>
              <w:textAlignment w:val="baseline"/>
              <w:rPr>
                <w:rFonts w:eastAsia="仿宋_GB2312"/>
                <w:color w:val="auto"/>
                <w:sz w:val="30"/>
                <w:szCs w:val="30"/>
                <w:highlight w:val="none"/>
              </w:rPr>
            </w:pPr>
          </w:p>
        </w:tc>
      </w:tr>
      <w:tr w14:paraId="61F1F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0" w:hRule="exact"/>
          <w:jc w:val="center"/>
        </w:trPr>
        <w:tc>
          <w:tcPr>
            <w:tcW w:w="1871" w:type="dxa"/>
            <w:vMerge w:val="continue"/>
            <w:vAlign w:val="center"/>
          </w:tcPr>
          <w:p w14:paraId="1418A008">
            <w:pPr>
              <w:keepNext/>
              <w:adjustRightInd w:val="0"/>
              <w:spacing w:after="60" w:line="360" w:lineRule="auto"/>
              <w:ind w:left="63" w:leftChars="30" w:right="63" w:rightChars="30"/>
              <w:jc w:val="center"/>
              <w:textAlignment w:val="baseline"/>
              <w:rPr>
                <w:rFonts w:eastAsia="仿宋_GB2312"/>
                <w:color w:val="auto"/>
                <w:sz w:val="28"/>
                <w:szCs w:val="28"/>
                <w:highlight w:val="none"/>
              </w:rPr>
            </w:pPr>
          </w:p>
        </w:tc>
        <w:tc>
          <w:tcPr>
            <w:tcW w:w="1418" w:type="dxa"/>
            <w:vAlign w:val="center"/>
          </w:tcPr>
          <w:p w14:paraId="59B9CE11">
            <w:pPr>
              <w:keepNext/>
              <w:adjustRightInd w:val="0"/>
              <w:spacing w:line="360" w:lineRule="auto"/>
              <w:ind w:left="63" w:leftChars="30" w:right="63" w:rightChars="30"/>
              <w:jc w:val="center"/>
              <w:textAlignment w:val="baseline"/>
              <w:rPr>
                <w:rFonts w:eastAsia="仿宋_GB2312"/>
                <w:color w:val="auto"/>
                <w:sz w:val="28"/>
                <w:szCs w:val="28"/>
                <w:highlight w:val="none"/>
              </w:rPr>
            </w:pPr>
          </w:p>
        </w:tc>
        <w:tc>
          <w:tcPr>
            <w:tcW w:w="1134" w:type="dxa"/>
            <w:vAlign w:val="center"/>
          </w:tcPr>
          <w:p w14:paraId="189D82C7">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1134" w:type="dxa"/>
            <w:vAlign w:val="center"/>
          </w:tcPr>
          <w:p w14:paraId="351FC444">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4252" w:type="dxa"/>
            <w:vAlign w:val="center"/>
          </w:tcPr>
          <w:p w14:paraId="39499CC5">
            <w:pPr>
              <w:keepNext/>
              <w:adjustRightInd w:val="0"/>
              <w:spacing w:line="360" w:lineRule="auto"/>
              <w:ind w:left="63" w:leftChars="30" w:right="63" w:rightChars="30"/>
              <w:jc w:val="center"/>
              <w:textAlignment w:val="baseline"/>
              <w:rPr>
                <w:rFonts w:eastAsia="仿宋_GB2312"/>
                <w:color w:val="auto"/>
                <w:sz w:val="30"/>
                <w:szCs w:val="30"/>
                <w:highlight w:val="none"/>
              </w:rPr>
            </w:pPr>
          </w:p>
        </w:tc>
      </w:tr>
      <w:tr w14:paraId="2E4F5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0" w:hRule="exact"/>
          <w:jc w:val="center"/>
        </w:trPr>
        <w:tc>
          <w:tcPr>
            <w:tcW w:w="1871" w:type="dxa"/>
            <w:vMerge w:val="continue"/>
            <w:vAlign w:val="center"/>
          </w:tcPr>
          <w:p w14:paraId="1C87AC78">
            <w:pPr>
              <w:keepNext/>
              <w:adjustRightInd w:val="0"/>
              <w:spacing w:line="360" w:lineRule="auto"/>
              <w:ind w:left="63" w:leftChars="30" w:right="63" w:rightChars="30"/>
              <w:jc w:val="center"/>
              <w:textAlignment w:val="baseline"/>
              <w:rPr>
                <w:rFonts w:eastAsia="仿宋_GB2312"/>
                <w:color w:val="auto"/>
                <w:sz w:val="28"/>
                <w:szCs w:val="28"/>
                <w:highlight w:val="none"/>
              </w:rPr>
            </w:pPr>
          </w:p>
        </w:tc>
        <w:tc>
          <w:tcPr>
            <w:tcW w:w="1418" w:type="dxa"/>
            <w:vAlign w:val="center"/>
          </w:tcPr>
          <w:p w14:paraId="04F54DB4">
            <w:pPr>
              <w:keepNext/>
              <w:adjustRightInd w:val="0"/>
              <w:spacing w:line="360" w:lineRule="auto"/>
              <w:ind w:left="63" w:leftChars="30" w:right="63" w:rightChars="30"/>
              <w:jc w:val="center"/>
              <w:textAlignment w:val="baseline"/>
              <w:rPr>
                <w:rFonts w:eastAsia="仿宋_GB2312"/>
                <w:color w:val="auto"/>
                <w:sz w:val="28"/>
                <w:szCs w:val="28"/>
                <w:highlight w:val="none"/>
              </w:rPr>
            </w:pPr>
          </w:p>
        </w:tc>
        <w:tc>
          <w:tcPr>
            <w:tcW w:w="1134" w:type="dxa"/>
            <w:vAlign w:val="center"/>
          </w:tcPr>
          <w:p w14:paraId="028DF51B">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1134" w:type="dxa"/>
            <w:vAlign w:val="center"/>
          </w:tcPr>
          <w:p w14:paraId="181436ED">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4252" w:type="dxa"/>
            <w:vAlign w:val="center"/>
          </w:tcPr>
          <w:p w14:paraId="4F7B8D2A">
            <w:pPr>
              <w:keepNext/>
              <w:adjustRightInd w:val="0"/>
              <w:spacing w:line="360" w:lineRule="auto"/>
              <w:ind w:left="63" w:leftChars="30" w:right="63" w:rightChars="30"/>
              <w:jc w:val="center"/>
              <w:textAlignment w:val="baseline"/>
              <w:rPr>
                <w:rFonts w:eastAsia="仿宋_GB2312"/>
                <w:color w:val="auto"/>
                <w:sz w:val="30"/>
                <w:szCs w:val="30"/>
                <w:highlight w:val="none"/>
              </w:rPr>
            </w:pPr>
          </w:p>
        </w:tc>
      </w:tr>
      <w:tr w14:paraId="1A60D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0" w:hRule="exact"/>
          <w:jc w:val="center"/>
        </w:trPr>
        <w:tc>
          <w:tcPr>
            <w:tcW w:w="1871" w:type="dxa"/>
            <w:vMerge w:val="restart"/>
            <w:vAlign w:val="center"/>
          </w:tcPr>
          <w:p w14:paraId="6CC7F677">
            <w:pPr>
              <w:keepNext/>
              <w:adjustRightInd w:val="0"/>
              <w:spacing w:line="360" w:lineRule="auto"/>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rPr>
              <w:t>其他人员</w:t>
            </w:r>
          </w:p>
        </w:tc>
        <w:tc>
          <w:tcPr>
            <w:tcW w:w="1418" w:type="dxa"/>
            <w:vAlign w:val="center"/>
          </w:tcPr>
          <w:p w14:paraId="2FCDE9B4">
            <w:pPr>
              <w:keepNext/>
              <w:adjustRightInd w:val="0"/>
              <w:spacing w:line="360" w:lineRule="auto"/>
              <w:ind w:left="63" w:leftChars="30" w:right="63" w:rightChars="30"/>
              <w:jc w:val="center"/>
              <w:textAlignment w:val="baseline"/>
              <w:rPr>
                <w:rFonts w:eastAsia="仿宋_GB2312"/>
                <w:color w:val="auto"/>
                <w:sz w:val="28"/>
                <w:szCs w:val="28"/>
                <w:highlight w:val="none"/>
              </w:rPr>
            </w:pPr>
          </w:p>
        </w:tc>
        <w:tc>
          <w:tcPr>
            <w:tcW w:w="1134" w:type="dxa"/>
            <w:vAlign w:val="center"/>
          </w:tcPr>
          <w:p w14:paraId="40550FC8">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1134" w:type="dxa"/>
            <w:vAlign w:val="center"/>
          </w:tcPr>
          <w:p w14:paraId="14D5E720">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4252" w:type="dxa"/>
            <w:vAlign w:val="center"/>
          </w:tcPr>
          <w:p w14:paraId="7A5182CC">
            <w:pPr>
              <w:keepNext/>
              <w:adjustRightInd w:val="0"/>
              <w:spacing w:line="360" w:lineRule="auto"/>
              <w:ind w:left="63" w:leftChars="30" w:right="63" w:rightChars="30"/>
              <w:jc w:val="center"/>
              <w:textAlignment w:val="baseline"/>
              <w:rPr>
                <w:rFonts w:eastAsia="仿宋_GB2312"/>
                <w:color w:val="auto"/>
                <w:sz w:val="30"/>
                <w:szCs w:val="30"/>
                <w:highlight w:val="none"/>
              </w:rPr>
            </w:pPr>
          </w:p>
        </w:tc>
      </w:tr>
      <w:tr w14:paraId="686D7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0" w:hRule="exact"/>
          <w:jc w:val="center"/>
        </w:trPr>
        <w:tc>
          <w:tcPr>
            <w:tcW w:w="1871" w:type="dxa"/>
            <w:vMerge w:val="continue"/>
            <w:vAlign w:val="center"/>
          </w:tcPr>
          <w:p w14:paraId="2E641284">
            <w:pPr>
              <w:keepNext/>
              <w:adjustRightInd w:val="0"/>
              <w:spacing w:line="360" w:lineRule="auto"/>
              <w:ind w:left="63" w:leftChars="30" w:right="63" w:rightChars="30"/>
              <w:jc w:val="center"/>
              <w:textAlignment w:val="baseline"/>
              <w:rPr>
                <w:rFonts w:eastAsia="仿宋_GB2312"/>
                <w:color w:val="auto"/>
                <w:sz w:val="28"/>
                <w:szCs w:val="28"/>
                <w:highlight w:val="none"/>
              </w:rPr>
            </w:pPr>
          </w:p>
        </w:tc>
        <w:tc>
          <w:tcPr>
            <w:tcW w:w="1418" w:type="dxa"/>
            <w:vAlign w:val="center"/>
          </w:tcPr>
          <w:p w14:paraId="47EF064D">
            <w:pPr>
              <w:keepNext/>
              <w:adjustRightInd w:val="0"/>
              <w:spacing w:line="360" w:lineRule="auto"/>
              <w:ind w:left="63" w:leftChars="30" w:right="63" w:rightChars="30"/>
              <w:jc w:val="center"/>
              <w:textAlignment w:val="baseline"/>
              <w:rPr>
                <w:rFonts w:eastAsia="仿宋_GB2312"/>
                <w:color w:val="auto"/>
                <w:sz w:val="28"/>
                <w:szCs w:val="28"/>
                <w:highlight w:val="none"/>
              </w:rPr>
            </w:pPr>
          </w:p>
        </w:tc>
        <w:tc>
          <w:tcPr>
            <w:tcW w:w="1134" w:type="dxa"/>
            <w:vAlign w:val="center"/>
          </w:tcPr>
          <w:p w14:paraId="40ACDE14">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1134" w:type="dxa"/>
            <w:vAlign w:val="center"/>
          </w:tcPr>
          <w:p w14:paraId="2392FB62">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4252" w:type="dxa"/>
            <w:vAlign w:val="center"/>
          </w:tcPr>
          <w:p w14:paraId="4621E3D4">
            <w:pPr>
              <w:keepNext/>
              <w:adjustRightInd w:val="0"/>
              <w:spacing w:line="360" w:lineRule="auto"/>
              <w:ind w:left="63" w:leftChars="30" w:right="63" w:rightChars="30"/>
              <w:jc w:val="center"/>
              <w:textAlignment w:val="baseline"/>
              <w:rPr>
                <w:rFonts w:eastAsia="仿宋_GB2312"/>
                <w:color w:val="auto"/>
                <w:sz w:val="30"/>
                <w:szCs w:val="30"/>
                <w:highlight w:val="none"/>
              </w:rPr>
            </w:pPr>
          </w:p>
        </w:tc>
      </w:tr>
      <w:tr w14:paraId="38167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0" w:hRule="exact"/>
          <w:jc w:val="center"/>
        </w:trPr>
        <w:tc>
          <w:tcPr>
            <w:tcW w:w="1871" w:type="dxa"/>
            <w:vMerge w:val="continue"/>
            <w:vAlign w:val="center"/>
          </w:tcPr>
          <w:p w14:paraId="17AC4DA1">
            <w:pPr>
              <w:keepNext/>
              <w:adjustRightInd w:val="0"/>
              <w:spacing w:line="360" w:lineRule="auto"/>
              <w:ind w:left="63" w:leftChars="30" w:right="63" w:rightChars="30"/>
              <w:jc w:val="center"/>
              <w:textAlignment w:val="baseline"/>
              <w:rPr>
                <w:rFonts w:eastAsia="仿宋_GB2312"/>
                <w:color w:val="auto"/>
                <w:sz w:val="28"/>
                <w:szCs w:val="28"/>
                <w:highlight w:val="none"/>
              </w:rPr>
            </w:pPr>
          </w:p>
        </w:tc>
        <w:tc>
          <w:tcPr>
            <w:tcW w:w="1418" w:type="dxa"/>
            <w:vAlign w:val="center"/>
          </w:tcPr>
          <w:p w14:paraId="104672D1">
            <w:pPr>
              <w:keepNext/>
              <w:adjustRightInd w:val="0"/>
              <w:spacing w:line="360" w:lineRule="auto"/>
              <w:ind w:left="63" w:leftChars="30" w:right="63" w:rightChars="30"/>
              <w:jc w:val="center"/>
              <w:textAlignment w:val="baseline"/>
              <w:rPr>
                <w:rFonts w:eastAsia="仿宋_GB2312"/>
                <w:color w:val="auto"/>
                <w:sz w:val="28"/>
                <w:szCs w:val="28"/>
                <w:highlight w:val="none"/>
              </w:rPr>
            </w:pPr>
          </w:p>
        </w:tc>
        <w:tc>
          <w:tcPr>
            <w:tcW w:w="1134" w:type="dxa"/>
            <w:vAlign w:val="center"/>
          </w:tcPr>
          <w:p w14:paraId="127E5E4B">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1134" w:type="dxa"/>
            <w:vAlign w:val="center"/>
          </w:tcPr>
          <w:p w14:paraId="255A7937">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4252" w:type="dxa"/>
            <w:vAlign w:val="center"/>
          </w:tcPr>
          <w:p w14:paraId="624A0769">
            <w:pPr>
              <w:keepNext/>
              <w:adjustRightInd w:val="0"/>
              <w:spacing w:line="360" w:lineRule="auto"/>
              <w:ind w:left="63" w:leftChars="30" w:right="63" w:rightChars="30"/>
              <w:jc w:val="center"/>
              <w:textAlignment w:val="baseline"/>
              <w:rPr>
                <w:rFonts w:eastAsia="仿宋_GB2312"/>
                <w:color w:val="auto"/>
                <w:sz w:val="30"/>
                <w:szCs w:val="30"/>
                <w:highlight w:val="none"/>
              </w:rPr>
            </w:pPr>
          </w:p>
        </w:tc>
      </w:tr>
    </w:tbl>
    <w:p w14:paraId="4EF4DDE0">
      <w:pPr>
        <w:spacing w:line="360" w:lineRule="auto"/>
        <w:rPr>
          <w:rFonts w:eastAsia="黑体"/>
          <w:color w:val="auto"/>
          <w:sz w:val="30"/>
          <w:szCs w:val="30"/>
          <w:highlight w:val="none"/>
        </w:rPr>
      </w:pPr>
      <w:r>
        <w:rPr>
          <w:rFonts w:eastAsia="仿宋_GB2312"/>
          <w:color w:val="auto"/>
          <w:sz w:val="30"/>
          <w:szCs w:val="30"/>
          <w:highlight w:val="none"/>
        </w:rPr>
        <w:br w:type="page"/>
      </w:r>
      <w:r>
        <w:rPr>
          <w:rFonts w:hint="eastAsia" w:eastAsia="仿宋_GB2312" w:cs="仿宋_GB2312"/>
          <w:color w:val="auto"/>
          <w:sz w:val="30"/>
          <w:szCs w:val="30"/>
          <w:highlight w:val="none"/>
        </w:rPr>
        <w:t>附</w:t>
      </w:r>
      <w:bookmarkStart w:id="1725" w:name="_Toc296503229"/>
      <w:bookmarkStart w:id="1726" w:name="_Toc296347228"/>
      <w:bookmarkStart w:id="1727" w:name="_Toc296891057"/>
      <w:bookmarkStart w:id="1728" w:name="_Toc296891269"/>
      <w:bookmarkStart w:id="1729" w:name="_Toc296346730"/>
      <w:bookmarkStart w:id="1730" w:name="_Toc296944568"/>
      <w:r>
        <w:rPr>
          <w:rFonts w:hint="eastAsia" w:eastAsia="仿宋_GB2312" w:cs="仿宋_GB2312"/>
          <w:color w:val="auto"/>
          <w:sz w:val="30"/>
          <w:szCs w:val="30"/>
          <w:highlight w:val="none"/>
        </w:rPr>
        <w:t>件</w:t>
      </w:r>
      <w:r>
        <w:rPr>
          <w:rFonts w:hint="eastAsia" w:eastAsia="仿宋_GB2312"/>
          <w:color w:val="auto"/>
          <w:sz w:val="30"/>
          <w:szCs w:val="30"/>
          <w:highlight w:val="none"/>
        </w:rPr>
        <w:t>6</w:t>
      </w:r>
      <w:r>
        <w:rPr>
          <w:rFonts w:hint="eastAsia" w:eastAsia="仿宋_GB2312" w:cs="仿宋_GB2312"/>
          <w:color w:val="auto"/>
          <w:sz w:val="30"/>
          <w:szCs w:val="30"/>
          <w:highlight w:val="none"/>
        </w:rPr>
        <w:t>：</w:t>
      </w:r>
    </w:p>
    <w:bookmarkEnd w:id="1725"/>
    <w:bookmarkEnd w:id="1726"/>
    <w:bookmarkEnd w:id="1727"/>
    <w:bookmarkEnd w:id="1728"/>
    <w:bookmarkEnd w:id="1729"/>
    <w:bookmarkEnd w:id="1730"/>
    <w:p w14:paraId="72B6819F">
      <w:pPr>
        <w:spacing w:beforeLines="50" w:afterLines="50" w:line="360" w:lineRule="auto"/>
        <w:jc w:val="center"/>
        <w:rPr>
          <w:rFonts w:eastAsia="黑体"/>
          <w:color w:val="auto"/>
          <w:sz w:val="30"/>
          <w:szCs w:val="30"/>
          <w:highlight w:val="none"/>
        </w:rPr>
      </w:pPr>
      <w:r>
        <w:rPr>
          <w:rFonts w:hint="eastAsia" w:eastAsia="黑体" w:cs="黑体"/>
          <w:color w:val="auto"/>
          <w:sz w:val="30"/>
          <w:szCs w:val="30"/>
          <w:highlight w:val="none"/>
        </w:rPr>
        <w:t>分包人主要施工管理人员表</w:t>
      </w:r>
    </w:p>
    <w:tbl>
      <w:tblPr>
        <w:tblStyle w:val="33"/>
        <w:tblW w:w="98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871"/>
        <w:gridCol w:w="1418"/>
        <w:gridCol w:w="1134"/>
        <w:gridCol w:w="1134"/>
        <w:gridCol w:w="4252"/>
      </w:tblGrid>
      <w:tr w14:paraId="1248E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0" w:hRule="exact"/>
          <w:jc w:val="center"/>
        </w:trPr>
        <w:tc>
          <w:tcPr>
            <w:tcW w:w="1871" w:type="dxa"/>
            <w:vAlign w:val="center"/>
          </w:tcPr>
          <w:p w14:paraId="30E45569">
            <w:pPr>
              <w:keepNext/>
              <w:adjustRightInd w:val="0"/>
              <w:spacing w:line="360" w:lineRule="auto"/>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rPr>
              <w:t>名</w:t>
            </w:r>
            <w:r>
              <w:rPr>
                <w:rFonts w:eastAsia="仿宋_GB2312"/>
                <w:color w:val="auto"/>
                <w:sz w:val="28"/>
                <w:szCs w:val="28"/>
                <w:highlight w:val="none"/>
              </w:rPr>
              <w:t xml:space="preserve">    </w:t>
            </w:r>
            <w:r>
              <w:rPr>
                <w:rFonts w:hint="eastAsia" w:eastAsia="仿宋_GB2312" w:cs="仿宋_GB2312"/>
                <w:color w:val="auto"/>
                <w:sz w:val="28"/>
                <w:szCs w:val="28"/>
                <w:highlight w:val="none"/>
              </w:rPr>
              <w:t>称</w:t>
            </w:r>
          </w:p>
        </w:tc>
        <w:tc>
          <w:tcPr>
            <w:tcW w:w="1418" w:type="dxa"/>
            <w:vAlign w:val="center"/>
          </w:tcPr>
          <w:p w14:paraId="2344D607">
            <w:pPr>
              <w:keepNext/>
              <w:adjustRightInd w:val="0"/>
              <w:spacing w:line="360" w:lineRule="auto"/>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rPr>
              <w:t>姓名</w:t>
            </w:r>
          </w:p>
        </w:tc>
        <w:tc>
          <w:tcPr>
            <w:tcW w:w="1134" w:type="dxa"/>
            <w:vAlign w:val="center"/>
          </w:tcPr>
          <w:p w14:paraId="73CA753E">
            <w:pPr>
              <w:keepNext/>
              <w:adjustRightInd w:val="0"/>
              <w:spacing w:line="360" w:lineRule="auto"/>
              <w:ind w:left="63" w:leftChars="30" w:right="63" w:rightChars="30"/>
              <w:jc w:val="center"/>
              <w:textAlignment w:val="baseline"/>
              <w:rPr>
                <w:rFonts w:eastAsia="仿宋_GB2312"/>
                <w:color w:val="auto"/>
                <w:sz w:val="30"/>
                <w:szCs w:val="30"/>
                <w:highlight w:val="none"/>
              </w:rPr>
            </w:pPr>
            <w:r>
              <w:rPr>
                <w:rFonts w:hint="eastAsia" w:eastAsia="仿宋_GB2312" w:cs="仿宋_GB2312"/>
                <w:color w:val="auto"/>
                <w:sz w:val="30"/>
                <w:szCs w:val="30"/>
                <w:highlight w:val="none"/>
              </w:rPr>
              <w:t>职务</w:t>
            </w:r>
          </w:p>
        </w:tc>
        <w:tc>
          <w:tcPr>
            <w:tcW w:w="1134" w:type="dxa"/>
            <w:vAlign w:val="center"/>
          </w:tcPr>
          <w:p w14:paraId="1516C3E9">
            <w:pPr>
              <w:keepNext/>
              <w:adjustRightInd w:val="0"/>
              <w:spacing w:line="360" w:lineRule="auto"/>
              <w:ind w:left="63" w:leftChars="30" w:right="63" w:rightChars="30"/>
              <w:jc w:val="center"/>
              <w:textAlignment w:val="baseline"/>
              <w:rPr>
                <w:rFonts w:eastAsia="仿宋_GB2312"/>
                <w:color w:val="auto"/>
                <w:sz w:val="30"/>
                <w:szCs w:val="30"/>
                <w:highlight w:val="none"/>
              </w:rPr>
            </w:pPr>
            <w:r>
              <w:rPr>
                <w:rFonts w:hint="eastAsia" w:eastAsia="仿宋_GB2312" w:cs="仿宋_GB2312"/>
                <w:color w:val="auto"/>
                <w:sz w:val="30"/>
                <w:szCs w:val="30"/>
                <w:highlight w:val="none"/>
              </w:rPr>
              <w:t>职称</w:t>
            </w:r>
          </w:p>
        </w:tc>
        <w:tc>
          <w:tcPr>
            <w:tcW w:w="4252" w:type="dxa"/>
            <w:vAlign w:val="center"/>
          </w:tcPr>
          <w:p w14:paraId="67DCD81A">
            <w:pPr>
              <w:keepNext/>
              <w:adjustRightInd w:val="0"/>
              <w:spacing w:line="360" w:lineRule="auto"/>
              <w:ind w:left="63" w:leftChars="30" w:right="63" w:rightChars="30"/>
              <w:jc w:val="center"/>
              <w:textAlignment w:val="baseline"/>
              <w:rPr>
                <w:rFonts w:eastAsia="仿宋_GB2312"/>
                <w:color w:val="auto"/>
                <w:sz w:val="30"/>
                <w:szCs w:val="30"/>
                <w:highlight w:val="none"/>
              </w:rPr>
            </w:pPr>
            <w:r>
              <w:rPr>
                <w:rFonts w:hint="eastAsia" w:eastAsia="仿宋_GB2312" w:cs="仿宋_GB2312"/>
                <w:color w:val="auto"/>
                <w:sz w:val="30"/>
                <w:szCs w:val="30"/>
                <w:highlight w:val="none"/>
              </w:rPr>
              <w:t>主要资历、经验及承担过的项目</w:t>
            </w:r>
          </w:p>
        </w:tc>
      </w:tr>
      <w:tr w14:paraId="27131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0" w:hRule="exact"/>
          <w:jc w:val="center"/>
        </w:trPr>
        <w:tc>
          <w:tcPr>
            <w:tcW w:w="9809" w:type="dxa"/>
            <w:gridSpan w:val="5"/>
            <w:vAlign w:val="center"/>
          </w:tcPr>
          <w:p w14:paraId="01E221A9">
            <w:pPr>
              <w:keepNext/>
              <w:adjustRightInd w:val="0"/>
              <w:spacing w:line="360" w:lineRule="auto"/>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rPr>
              <w:t>一、总部人员</w:t>
            </w:r>
          </w:p>
        </w:tc>
      </w:tr>
      <w:tr w14:paraId="1DB69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0" w:hRule="exact"/>
          <w:jc w:val="center"/>
        </w:trPr>
        <w:tc>
          <w:tcPr>
            <w:tcW w:w="1871" w:type="dxa"/>
            <w:vAlign w:val="center"/>
          </w:tcPr>
          <w:p w14:paraId="13C6FB6D">
            <w:pPr>
              <w:keepNext/>
              <w:adjustRightInd w:val="0"/>
              <w:spacing w:line="360" w:lineRule="auto"/>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rPr>
              <w:t>项目主管</w:t>
            </w:r>
          </w:p>
        </w:tc>
        <w:tc>
          <w:tcPr>
            <w:tcW w:w="1418" w:type="dxa"/>
            <w:vAlign w:val="center"/>
          </w:tcPr>
          <w:p w14:paraId="6EBCF243">
            <w:pPr>
              <w:keepNext/>
              <w:adjustRightInd w:val="0"/>
              <w:spacing w:line="360" w:lineRule="auto"/>
              <w:ind w:left="63" w:leftChars="30" w:right="63" w:rightChars="30"/>
              <w:jc w:val="center"/>
              <w:textAlignment w:val="baseline"/>
              <w:rPr>
                <w:rFonts w:eastAsia="仿宋_GB2312"/>
                <w:color w:val="auto"/>
                <w:sz w:val="28"/>
                <w:szCs w:val="28"/>
                <w:highlight w:val="none"/>
              </w:rPr>
            </w:pPr>
          </w:p>
        </w:tc>
        <w:tc>
          <w:tcPr>
            <w:tcW w:w="1134" w:type="dxa"/>
            <w:vAlign w:val="center"/>
          </w:tcPr>
          <w:p w14:paraId="3D4E6832">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1134" w:type="dxa"/>
            <w:vAlign w:val="center"/>
          </w:tcPr>
          <w:p w14:paraId="2ADECEFE">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4252" w:type="dxa"/>
            <w:vAlign w:val="center"/>
          </w:tcPr>
          <w:p w14:paraId="5E2261E2">
            <w:pPr>
              <w:keepNext/>
              <w:adjustRightInd w:val="0"/>
              <w:spacing w:line="360" w:lineRule="auto"/>
              <w:ind w:left="63" w:leftChars="30" w:right="63" w:rightChars="30"/>
              <w:jc w:val="center"/>
              <w:textAlignment w:val="baseline"/>
              <w:rPr>
                <w:rFonts w:eastAsia="仿宋_GB2312"/>
                <w:color w:val="auto"/>
                <w:sz w:val="30"/>
                <w:szCs w:val="30"/>
                <w:highlight w:val="none"/>
              </w:rPr>
            </w:pPr>
          </w:p>
        </w:tc>
      </w:tr>
      <w:tr w14:paraId="49971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0" w:hRule="exact"/>
          <w:jc w:val="center"/>
        </w:trPr>
        <w:tc>
          <w:tcPr>
            <w:tcW w:w="1871" w:type="dxa"/>
            <w:vMerge w:val="restart"/>
            <w:vAlign w:val="center"/>
          </w:tcPr>
          <w:p w14:paraId="72828030">
            <w:pPr>
              <w:keepNext/>
              <w:adjustRightInd w:val="0"/>
              <w:spacing w:after="60" w:line="360" w:lineRule="auto"/>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rPr>
              <w:t>其他人员</w:t>
            </w:r>
          </w:p>
        </w:tc>
        <w:tc>
          <w:tcPr>
            <w:tcW w:w="1418" w:type="dxa"/>
            <w:vAlign w:val="center"/>
          </w:tcPr>
          <w:p w14:paraId="08D60351">
            <w:pPr>
              <w:keepNext/>
              <w:adjustRightInd w:val="0"/>
              <w:spacing w:line="360" w:lineRule="auto"/>
              <w:ind w:left="63" w:leftChars="30" w:right="63" w:rightChars="30"/>
              <w:jc w:val="center"/>
              <w:textAlignment w:val="baseline"/>
              <w:rPr>
                <w:rFonts w:eastAsia="仿宋_GB2312"/>
                <w:color w:val="auto"/>
                <w:sz w:val="28"/>
                <w:szCs w:val="28"/>
                <w:highlight w:val="none"/>
              </w:rPr>
            </w:pPr>
          </w:p>
        </w:tc>
        <w:tc>
          <w:tcPr>
            <w:tcW w:w="1134" w:type="dxa"/>
            <w:vAlign w:val="center"/>
          </w:tcPr>
          <w:p w14:paraId="53CC2591">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1134" w:type="dxa"/>
            <w:vAlign w:val="center"/>
          </w:tcPr>
          <w:p w14:paraId="06B47BAA">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4252" w:type="dxa"/>
            <w:vAlign w:val="center"/>
          </w:tcPr>
          <w:p w14:paraId="210BEA86">
            <w:pPr>
              <w:keepNext/>
              <w:adjustRightInd w:val="0"/>
              <w:spacing w:line="360" w:lineRule="auto"/>
              <w:ind w:left="63" w:leftChars="30" w:right="63" w:rightChars="30"/>
              <w:jc w:val="center"/>
              <w:textAlignment w:val="baseline"/>
              <w:rPr>
                <w:rFonts w:eastAsia="仿宋_GB2312"/>
                <w:color w:val="auto"/>
                <w:sz w:val="30"/>
                <w:szCs w:val="30"/>
                <w:highlight w:val="none"/>
              </w:rPr>
            </w:pPr>
          </w:p>
        </w:tc>
      </w:tr>
      <w:tr w14:paraId="0E06C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0" w:hRule="exact"/>
          <w:jc w:val="center"/>
        </w:trPr>
        <w:tc>
          <w:tcPr>
            <w:tcW w:w="1871" w:type="dxa"/>
            <w:vMerge w:val="continue"/>
            <w:vAlign w:val="center"/>
          </w:tcPr>
          <w:p w14:paraId="4FE9C726">
            <w:pPr>
              <w:keepNext/>
              <w:adjustRightInd w:val="0"/>
              <w:spacing w:line="360" w:lineRule="auto"/>
              <w:ind w:left="63" w:leftChars="30" w:right="63" w:rightChars="30"/>
              <w:jc w:val="center"/>
              <w:textAlignment w:val="baseline"/>
              <w:rPr>
                <w:rFonts w:eastAsia="仿宋_GB2312"/>
                <w:color w:val="auto"/>
                <w:sz w:val="28"/>
                <w:szCs w:val="28"/>
                <w:highlight w:val="none"/>
              </w:rPr>
            </w:pPr>
          </w:p>
        </w:tc>
        <w:tc>
          <w:tcPr>
            <w:tcW w:w="1418" w:type="dxa"/>
            <w:vAlign w:val="center"/>
          </w:tcPr>
          <w:p w14:paraId="068585EB">
            <w:pPr>
              <w:keepNext/>
              <w:adjustRightInd w:val="0"/>
              <w:spacing w:line="360" w:lineRule="auto"/>
              <w:ind w:left="63" w:leftChars="30" w:right="63" w:rightChars="30"/>
              <w:jc w:val="center"/>
              <w:textAlignment w:val="baseline"/>
              <w:rPr>
                <w:rFonts w:eastAsia="仿宋_GB2312"/>
                <w:color w:val="auto"/>
                <w:sz w:val="28"/>
                <w:szCs w:val="28"/>
                <w:highlight w:val="none"/>
              </w:rPr>
            </w:pPr>
          </w:p>
        </w:tc>
        <w:tc>
          <w:tcPr>
            <w:tcW w:w="1134" w:type="dxa"/>
            <w:vAlign w:val="center"/>
          </w:tcPr>
          <w:p w14:paraId="3BA12B25">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1134" w:type="dxa"/>
            <w:vAlign w:val="center"/>
          </w:tcPr>
          <w:p w14:paraId="0ADAAF62">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4252" w:type="dxa"/>
            <w:vAlign w:val="center"/>
          </w:tcPr>
          <w:p w14:paraId="583326A2">
            <w:pPr>
              <w:keepNext/>
              <w:adjustRightInd w:val="0"/>
              <w:spacing w:line="360" w:lineRule="auto"/>
              <w:ind w:left="63" w:leftChars="30" w:right="63" w:rightChars="30"/>
              <w:jc w:val="center"/>
              <w:textAlignment w:val="baseline"/>
              <w:rPr>
                <w:rFonts w:eastAsia="仿宋_GB2312"/>
                <w:color w:val="auto"/>
                <w:sz w:val="30"/>
                <w:szCs w:val="30"/>
                <w:highlight w:val="none"/>
              </w:rPr>
            </w:pPr>
          </w:p>
        </w:tc>
      </w:tr>
      <w:tr w14:paraId="4B93C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0" w:hRule="exact"/>
          <w:jc w:val="center"/>
        </w:trPr>
        <w:tc>
          <w:tcPr>
            <w:tcW w:w="1871" w:type="dxa"/>
            <w:vMerge w:val="continue"/>
            <w:vAlign w:val="center"/>
          </w:tcPr>
          <w:p w14:paraId="5BFF0CE5">
            <w:pPr>
              <w:keepNext/>
              <w:adjustRightInd w:val="0"/>
              <w:spacing w:line="360" w:lineRule="auto"/>
              <w:ind w:left="63" w:leftChars="30" w:right="63" w:rightChars="30"/>
              <w:jc w:val="center"/>
              <w:textAlignment w:val="baseline"/>
              <w:rPr>
                <w:rFonts w:eastAsia="仿宋_GB2312"/>
                <w:color w:val="auto"/>
                <w:sz w:val="28"/>
                <w:szCs w:val="28"/>
                <w:highlight w:val="none"/>
              </w:rPr>
            </w:pPr>
          </w:p>
        </w:tc>
        <w:tc>
          <w:tcPr>
            <w:tcW w:w="1418" w:type="dxa"/>
            <w:vAlign w:val="center"/>
          </w:tcPr>
          <w:p w14:paraId="15222B4F">
            <w:pPr>
              <w:keepNext/>
              <w:adjustRightInd w:val="0"/>
              <w:spacing w:line="360" w:lineRule="auto"/>
              <w:ind w:left="63" w:leftChars="30" w:right="63" w:rightChars="30"/>
              <w:jc w:val="center"/>
              <w:textAlignment w:val="baseline"/>
              <w:rPr>
                <w:rFonts w:eastAsia="仿宋_GB2312"/>
                <w:color w:val="auto"/>
                <w:sz w:val="28"/>
                <w:szCs w:val="28"/>
                <w:highlight w:val="none"/>
              </w:rPr>
            </w:pPr>
          </w:p>
        </w:tc>
        <w:tc>
          <w:tcPr>
            <w:tcW w:w="1134" w:type="dxa"/>
            <w:vAlign w:val="center"/>
          </w:tcPr>
          <w:p w14:paraId="49604EB9">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1134" w:type="dxa"/>
            <w:vAlign w:val="center"/>
          </w:tcPr>
          <w:p w14:paraId="1EFC9D56">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4252" w:type="dxa"/>
            <w:vAlign w:val="center"/>
          </w:tcPr>
          <w:p w14:paraId="47C83E96">
            <w:pPr>
              <w:keepNext/>
              <w:adjustRightInd w:val="0"/>
              <w:spacing w:line="360" w:lineRule="auto"/>
              <w:ind w:left="63" w:leftChars="30" w:right="63" w:rightChars="30"/>
              <w:jc w:val="center"/>
              <w:textAlignment w:val="baseline"/>
              <w:rPr>
                <w:rFonts w:eastAsia="仿宋_GB2312"/>
                <w:color w:val="auto"/>
                <w:sz w:val="30"/>
                <w:szCs w:val="30"/>
                <w:highlight w:val="none"/>
              </w:rPr>
            </w:pPr>
          </w:p>
        </w:tc>
      </w:tr>
      <w:tr w14:paraId="72B3E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0" w:hRule="exact"/>
          <w:jc w:val="center"/>
        </w:trPr>
        <w:tc>
          <w:tcPr>
            <w:tcW w:w="9809" w:type="dxa"/>
            <w:gridSpan w:val="5"/>
            <w:vAlign w:val="center"/>
          </w:tcPr>
          <w:p w14:paraId="0E1DEC9D">
            <w:pPr>
              <w:keepNext/>
              <w:adjustRightInd w:val="0"/>
              <w:spacing w:line="360" w:lineRule="auto"/>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rPr>
              <w:t>二、现场人员</w:t>
            </w:r>
          </w:p>
        </w:tc>
      </w:tr>
      <w:tr w14:paraId="77272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0" w:hRule="exact"/>
          <w:jc w:val="center"/>
        </w:trPr>
        <w:tc>
          <w:tcPr>
            <w:tcW w:w="1871" w:type="dxa"/>
            <w:vAlign w:val="center"/>
          </w:tcPr>
          <w:p w14:paraId="6D0313A6">
            <w:pPr>
              <w:keepNext/>
              <w:adjustRightInd w:val="0"/>
              <w:spacing w:line="360" w:lineRule="auto"/>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rPr>
              <w:t>项目经理</w:t>
            </w:r>
          </w:p>
        </w:tc>
        <w:tc>
          <w:tcPr>
            <w:tcW w:w="1418" w:type="dxa"/>
            <w:vAlign w:val="center"/>
          </w:tcPr>
          <w:p w14:paraId="3D6A2E36">
            <w:pPr>
              <w:keepNext/>
              <w:adjustRightInd w:val="0"/>
              <w:spacing w:line="360" w:lineRule="auto"/>
              <w:ind w:left="63" w:leftChars="30" w:right="63" w:rightChars="30"/>
              <w:jc w:val="center"/>
              <w:textAlignment w:val="baseline"/>
              <w:rPr>
                <w:rFonts w:eastAsia="仿宋_GB2312"/>
                <w:color w:val="auto"/>
                <w:sz w:val="28"/>
                <w:szCs w:val="28"/>
                <w:highlight w:val="none"/>
              </w:rPr>
            </w:pPr>
          </w:p>
        </w:tc>
        <w:tc>
          <w:tcPr>
            <w:tcW w:w="1134" w:type="dxa"/>
            <w:vAlign w:val="center"/>
          </w:tcPr>
          <w:p w14:paraId="4A5F815C">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1134" w:type="dxa"/>
            <w:vAlign w:val="center"/>
          </w:tcPr>
          <w:p w14:paraId="52B62663">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4252" w:type="dxa"/>
            <w:vAlign w:val="center"/>
          </w:tcPr>
          <w:p w14:paraId="4C55B25B">
            <w:pPr>
              <w:keepNext/>
              <w:adjustRightInd w:val="0"/>
              <w:spacing w:line="360" w:lineRule="auto"/>
              <w:ind w:left="63" w:leftChars="30" w:right="63" w:rightChars="30"/>
              <w:jc w:val="center"/>
              <w:textAlignment w:val="baseline"/>
              <w:rPr>
                <w:rFonts w:eastAsia="仿宋_GB2312"/>
                <w:color w:val="auto"/>
                <w:sz w:val="30"/>
                <w:szCs w:val="30"/>
                <w:highlight w:val="none"/>
              </w:rPr>
            </w:pPr>
          </w:p>
        </w:tc>
      </w:tr>
      <w:tr w14:paraId="7030E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0" w:hRule="exact"/>
          <w:jc w:val="center"/>
        </w:trPr>
        <w:tc>
          <w:tcPr>
            <w:tcW w:w="1871" w:type="dxa"/>
            <w:vAlign w:val="center"/>
          </w:tcPr>
          <w:p w14:paraId="495A87BE">
            <w:pPr>
              <w:keepNext/>
              <w:adjustRightInd w:val="0"/>
              <w:spacing w:line="360" w:lineRule="auto"/>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rPr>
              <w:t>项目副经理</w:t>
            </w:r>
          </w:p>
        </w:tc>
        <w:tc>
          <w:tcPr>
            <w:tcW w:w="1418" w:type="dxa"/>
            <w:vAlign w:val="center"/>
          </w:tcPr>
          <w:p w14:paraId="0EFC3661">
            <w:pPr>
              <w:keepNext/>
              <w:adjustRightInd w:val="0"/>
              <w:spacing w:line="360" w:lineRule="auto"/>
              <w:ind w:left="63" w:leftChars="30" w:right="63" w:rightChars="30"/>
              <w:jc w:val="center"/>
              <w:textAlignment w:val="baseline"/>
              <w:rPr>
                <w:rFonts w:eastAsia="仿宋_GB2312"/>
                <w:color w:val="auto"/>
                <w:sz w:val="28"/>
                <w:szCs w:val="28"/>
                <w:highlight w:val="none"/>
              </w:rPr>
            </w:pPr>
          </w:p>
        </w:tc>
        <w:tc>
          <w:tcPr>
            <w:tcW w:w="1134" w:type="dxa"/>
            <w:vAlign w:val="center"/>
          </w:tcPr>
          <w:p w14:paraId="77B755E6">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1134" w:type="dxa"/>
            <w:vAlign w:val="center"/>
          </w:tcPr>
          <w:p w14:paraId="2AE6FF2E">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4252" w:type="dxa"/>
            <w:vAlign w:val="center"/>
          </w:tcPr>
          <w:p w14:paraId="09942CDE">
            <w:pPr>
              <w:keepNext/>
              <w:adjustRightInd w:val="0"/>
              <w:spacing w:line="360" w:lineRule="auto"/>
              <w:ind w:left="63" w:leftChars="30" w:right="63" w:rightChars="30"/>
              <w:jc w:val="center"/>
              <w:textAlignment w:val="baseline"/>
              <w:rPr>
                <w:rFonts w:eastAsia="仿宋_GB2312"/>
                <w:color w:val="auto"/>
                <w:sz w:val="30"/>
                <w:szCs w:val="30"/>
                <w:highlight w:val="none"/>
              </w:rPr>
            </w:pPr>
          </w:p>
        </w:tc>
      </w:tr>
      <w:tr w14:paraId="63E58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0" w:hRule="exact"/>
          <w:jc w:val="center"/>
        </w:trPr>
        <w:tc>
          <w:tcPr>
            <w:tcW w:w="1871" w:type="dxa"/>
            <w:vAlign w:val="center"/>
          </w:tcPr>
          <w:p w14:paraId="4E7A3171">
            <w:pPr>
              <w:keepNext/>
              <w:adjustRightInd w:val="0"/>
              <w:spacing w:line="360" w:lineRule="auto"/>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rPr>
              <w:t>技术负责人</w:t>
            </w:r>
          </w:p>
        </w:tc>
        <w:tc>
          <w:tcPr>
            <w:tcW w:w="1418" w:type="dxa"/>
            <w:vAlign w:val="center"/>
          </w:tcPr>
          <w:p w14:paraId="1A7E04CD">
            <w:pPr>
              <w:keepNext/>
              <w:adjustRightInd w:val="0"/>
              <w:spacing w:line="360" w:lineRule="auto"/>
              <w:ind w:left="63" w:leftChars="30" w:right="63" w:rightChars="30"/>
              <w:jc w:val="center"/>
              <w:textAlignment w:val="baseline"/>
              <w:rPr>
                <w:rFonts w:eastAsia="仿宋_GB2312"/>
                <w:color w:val="auto"/>
                <w:sz w:val="28"/>
                <w:szCs w:val="28"/>
                <w:highlight w:val="none"/>
              </w:rPr>
            </w:pPr>
          </w:p>
        </w:tc>
        <w:tc>
          <w:tcPr>
            <w:tcW w:w="1134" w:type="dxa"/>
            <w:vAlign w:val="center"/>
          </w:tcPr>
          <w:p w14:paraId="718A0717">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1134" w:type="dxa"/>
            <w:vAlign w:val="center"/>
          </w:tcPr>
          <w:p w14:paraId="6B0EA452">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4252" w:type="dxa"/>
            <w:vAlign w:val="center"/>
          </w:tcPr>
          <w:p w14:paraId="1C3B3C83">
            <w:pPr>
              <w:keepNext/>
              <w:adjustRightInd w:val="0"/>
              <w:spacing w:line="360" w:lineRule="auto"/>
              <w:ind w:left="63" w:leftChars="30" w:right="63" w:rightChars="30"/>
              <w:jc w:val="center"/>
              <w:textAlignment w:val="baseline"/>
              <w:rPr>
                <w:rFonts w:eastAsia="仿宋_GB2312"/>
                <w:color w:val="auto"/>
                <w:sz w:val="30"/>
                <w:szCs w:val="30"/>
                <w:highlight w:val="none"/>
              </w:rPr>
            </w:pPr>
          </w:p>
        </w:tc>
      </w:tr>
      <w:tr w14:paraId="48BFA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0" w:hRule="exact"/>
          <w:jc w:val="center"/>
        </w:trPr>
        <w:tc>
          <w:tcPr>
            <w:tcW w:w="1871" w:type="dxa"/>
            <w:vAlign w:val="center"/>
          </w:tcPr>
          <w:p w14:paraId="14D4D4E2">
            <w:pPr>
              <w:keepNext/>
              <w:adjustRightInd w:val="0"/>
              <w:spacing w:line="360" w:lineRule="auto"/>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rPr>
              <w:t>造价管理</w:t>
            </w:r>
          </w:p>
        </w:tc>
        <w:tc>
          <w:tcPr>
            <w:tcW w:w="1418" w:type="dxa"/>
            <w:vAlign w:val="center"/>
          </w:tcPr>
          <w:p w14:paraId="22BA1106">
            <w:pPr>
              <w:keepNext/>
              <w:adjustRightInd w:val="0"/>
              <w:spacing w:line="360" w:lineRule="auto"/>
              <w:ind w:left="63" w:leftChars="30" w:right="63" w:rightChars="30"/>
              <w:jc w:val="center"/>
              <w:textAlignment w:val="baseline"/>
              <w:rPr>
                <w:rFonts w:eastAsia="仿宋_GB2312"/>
                <w:color w:val="auto"/>
                <w:sz w:val="28"/>
                <w:szCs w:val="28"/>
                <w:highlight w:val="none"/>
              </w:rPr>
            </w:pPr>
          </w:p>
        </w:tc>
        <w:tc>
          <w:tcPr>
            <w:tcW w:w="1134" w:type="dxa"/>
            <w:vAlign w:val="center"/>
          </w:tcPr>
          <w:p w14:paraId="73BD0E7C">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1134" w:type="dxa"/>
            <w:vAlign w:val="center"/>
          </w:tcPr>
          <w:p w14:paraId="56036384">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4252" w:type="dxa"/>
            <w:vAlign w:val="center"/>
          </w:tcPr>
          <w:p w14:paraId="4C1564D4">
            <w:pPr>
              <w:keepNext/>
              <w:adjustRightInd w:val="0"/>
              <w:spacing w:line="360" w:lineRule="auto"/>
              <w:ind w:left="63" w:leftChars="30" w:right="63" w:rightChars="30"/>
              <w:jc w:val="center"/>
              <w:textAlignment w:val="baseline"/>
              <w:rPr>
                <w:rFonts w:eastAsia="仿宋_GB2312"/>
                <w:color w:val="auto"/>
                <w:sz w:val="30"/>
                <w:szCs w:val="30"/>
                <w:highlight w:val="none"/>
              </w:rPr>
            </w:pPr>
          </w:p>
        </w:tc>
      </w:tr>
      <w:tr w14:paraId="3E894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0" w:hRule="exact"/>
          <w:jc w:val="center"/>
        </w:trPr>
        <w:tc>
          <w:tcPr>
            <w:tcW w:w="1871" w:type="dxa"/>
            <w:vAlign w:val="center"/>
          </w:tcPr>
          <w:p w14:paraId="21974185">
            <w:pPr>
              <w:keepNext/>
              <w:adjustRightInd w:val="0"/>
              <w:spacing w:line="360" w:lineRule="auto"/>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rPr>
              <w:t>质量管理</w:t>
            </w:r>
          </w:p>
        </w:tc>
        <w:tc>
          <w:tcPr>
            <w:tcW w:w="1418" w:type="dxa"/>
            <w:vAlign w:val="center"/>
          </w:tcPr>
          <w:p w14:paraId="7E5C43F4">
            <w:pPr>
              <w:keepNext/>
              <w:adjustRightInd w:val="0"/>
              <w:spacing w:line="360" w:lineRule="auto"/>
              <w:ind w:left="63" w:leftChars="30" w:right="63" w:rightChars="30"/>
              <w:jc w:val="center"/>
              <w:textAlignment w:val="baseline"/>
              <w:rPr>
                <w:rFonts w:eastAsia="仿宋_GB2312"/>
                <w:color w:val="auto"/>
                <w:sz w:val="28"/>
                <w:szCs w:val="28"/>
                <w:highlight w:val="none"/>
              </w:rPr>
            </w:pPr>
          </w:p>
        </w:tc>
        <w:tc>
          <w:tcPr>
            <w:tcW w:w="1134" w:type="dxa"/>
            <w:vAlign w:val="center"/>
          </w:tcPr>
          <w:p w14:paraId="1B1B3ED7">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1134" w:type="dxa"/>
            <w:vAlign w:val="center"/>
          </w:tcPr>
          <w:p w14:paraId="4B30594E">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4252" w:type="dxa"/>
            <w:vAlign w:val="center"/>
          </w:tcPr>
          <w:p w14:paraId="603DFFB5">
            <w:pPr>
              <w:keepNext/>
              <w:adjustRightInd w:val="0"/>
              <w:spacing w:line="360" w:lineRule="auto"/>
              <w:ind w:left="63" w:leftChars="30" w:right="63" w:rightChars="30"/>
              <w:jc w:val="center"/>
              <w:textAlignment w:val="baseline"/>
              <w:rPr>
                <w:rFonts w:eastAsia="仿宋_GB2312"/>
                <w:color w:val="auto"/>
                <w:sz w:val="30"/>
                <w:szCs w:val="30"/>
                <w:highlight w:val="none"/>
              </w:rPr>
            </w:pPr>
          </w:p>
        </w:tc>
      </w:tr>
      <w:tr w14:paraId="0AC06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0" w:hRule="exact"/>
          <w:jc w:val="center"/>
        </w:trPr>
        <w:tc>
          <w:tcPr>
            <w:tcW w:w="1871" w:type="dxa"/>
            <w:vAlign w:val="center"/>
          </w:tcPr>
          <w:p w14:paraId="3F75B028">
            <w:pPr>
              <w:keepNext/>
              <w:adjustRightInd w:val="0"/>
              <w:spacing w:line="360" w:lineRule="auto"/>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rPr>
              <w:t>材料管理</w:t>
            </w:r>
          </w:p>
        </w:tc>
        <w:tc>
          <w:tcPr>
            <w:tcW w:w="1418" w:type="dxa"/>
            <w:vAlign w:val="center"/>
          </w:tcPr>
          <w:p w14:paraId="629EA96E">
            <w:pPr>
              <w:keepNext/>
              <w:adjustRightInd w:val="0"/>
              <w:spacing w:line="360" w:lineRule="auto"/>
              <w:ind w:left="63" w:leftChars="30" w:right="63" w:rightChars="30"/>
              <w:jc w:val="center"/>
              <w:textAlignment w:val="baseline"/>
              <w:rPr>
                <w:rFonts w:eastAsia="仿宋_GB2312"/>
                <w:color w:val="auto"/>
                <w:sz w:val="28"/>
                <w:szCs w:val="28"/>
                <w:highlight w:val="none"/>
              </w:rPr>
            </w:pPr>
          </w:p>
        </w:tc>
        <w:tc>
          <w:tcPr>
            <w:tcW w:w="1134" w:type="dxa"/>
            <w:vAlign w:val="center"/>
          </w:tcPr>
          <w:p w14:paraId="3EFE9497">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1134" w:type="dxa"/>
            <w:vAlign w:val="center"/>
          </w:tcPr>
          <w:p w14:paraId="22A8FAEA">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4252" w:type="dxa"/>
            <w:vAlign w:val="center"/>
          </w:tcPr>
          <w:p w14:paraId="6FBDD511">
            <w:pPr>
              <w:keepNext/>
              <w:adjustRightInd w:val="0"/>
              <w:spacing w:line="360" w:lineRule="auto"/>
              <w:ind w:left="63" w:leftChars="30" w:right="63" w:rightChars="30"/>
              <w:jc w:val="center"/>
              <w:textAlignment w:val="baseline"/>
              <w:rPr>
                <w:rFonts w:eastAsia="仿宋_GB2312"/>
                <w:color w:val="auto"/>
                <w:sz w:val="30"/>
                <w:szCs w:val="30"/>
                <w:highlight w:val="none"/>
              </w:rPr>
            </w:pPr>
          </w:p>
        </w:tc>
      </w:tr>
      <w:tr w14:paraId="76A54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0" w:hRule="exact"/>
          <w:jc w:val="center"/>
        </w:trPr>
        <w:tc>
          <w:tcPr>
            <w:tcW w:w="1871" w:type="dxa"/>
            <w:vAlign w:val="center"/>
          </w:tcPr>
          <w:p w14:paraId="47926A69">
            <w:pPr>
              <w:keepNext/>
              <w:adjustRightInd w:val="0"/>
              <w:spacing w:line="360" w:lineRule="auto"/>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rPr>
              <w:t>计划管理</w:t>
            </w:r>
          </w:p>
        </w:tc>
        <w:tc>
          <w:tcPr>
            <w:tcW w:w="1418" w:type="dxa"/>
            <w:vAlign w:val="center"/>
          </w:tcPr>
          <w:p w14:paraId="6F84A6D0">
            <w:pPr>
              <w:keepNext/>
              <w:adjustRightInd w:val="0"/>
              <w:spacing w:line="360" w:lineRule="auto"/>
              <w:ind w:left="63" w:leftChars="30" w:right="63" w:rightChars="30"/>
              <w:jc w:val="center"/>
              <w:textAlignment w:val="baseline"/>
              <w:rPr>
                <w:rFonts w:eastAsia="仿宋_GB2312"/>
                <w:color w:val="auto"/>
                <w:sz w:val="28"/>
                <w:szCs w:val="28"/>
                <w:highlight w:val="none"/>
              </w:rPr>
            </w:pPr>
          </w:p>
        </w:tc>
        <w:tc>
          <w:tcPr>
            <w:tcW w:w="1134" w:type="dxa"/>
            <w:vAlign w:val="center"/>
          </w:tcPr>
          <w:p w14:paraId="71FA6290">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1134" w:type="dxa"/>
            <w:vAlign w:val="center"/>
          </w:tcPr>
          <w:p w14:paraId="3C4431F6">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4252" w:type="dxa"/>
            <w:vAlign w:val="center"/>
          </w:tcPr>
          <w:p w14:paraId="01972F08">
            <w:pPr>
              <w:keepNext/>
              <w:adjustRightInd w:val="0"/>
              <w:spacing w:line="360" w:lineRule="auto"/>
              <w:ind w:left="63" w:leftChars="30" w:right="63" w:rightChars="30"/>
              <w:jc w:val="center"/>
              <w:textAlignment w:val="baseline"/>
              <w:rPr>
                <w:rFonts w:eastAsia="仿宋_GB2312"/>
                <w:color w:val="auto"/>
                <w:sz w:val="30"/>
                <w:szCs w:val="30"/>
                <w:highlight w:val="none"/>
              </w:rPr>
            </w:pPr>
          </w:p>
        </w:tc>
      </w:tr>
      <w:tr w14:paraId="52514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0" w:hRule="exact"/>
          <w:jc w:val="center"/>
        </w:trPr>
        <w:tc>
          <w:tcPr>
            <w:tcW w:w="1871" w:type="dxa"/>
            <w:vAlign w:val="center"/>
          </w:tcPr>
          <w:p w14:paraId="77486CC8">
            <w:pPr>
              <w:keepNext/>
              <w:adjustRightInd w:val="0"/>
              <w:spacing w:line="360" w:lineRule="auto"/>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rPr>
              <w:t>安全管理</w:t>
            </w:r>
          </w:p>
        </w:tc>
        <w:tc>
          <w:tcPr>
            <w:tcW w:w="1418" w:type="dxa"/>
            <w:vAlign w:val="center"/>
          </w:tcPr>
          <w:p w14:paraId="6C721A32">
            <w:pPr>
              <w:keepNext/>
              <w:adjustRightInd w:val="0"/>
              <w:spacing w:line="360" w:lineRule="auto"/>
              <w:ind w:left="63" w:leftChars="30" w:right="63" w:rightChars="30"/>
              <w:jc w:val="center"/>
              <w:textAlignment w:val="baseline"/>
              <w:rPr>
                <w:rFonts w:eastAsia="仿宋_GB2312"/>
                <w:color w:val="auto"/>
                <w:sz w:val="28"/>
                <w:szCs w:val="28"/>
                <w:highlight w:val="none"/>
              </w:rPr>
            </w:pPr>
          </w:p>
        </w:tc>
        <w:tc>
          <w:tcPr>
            <w:tcW w:w="1134" w:type="dxa"/>
            <w:vAlign w:val="center"/>
          </w:tcPr>
          <w:p w14:paraId="4DC12313">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1134" w:type="dxa"/>
            <w:vAlign w:val="center"/>
          </w:tcPr>
          <w:p w14:paraId="41BA0B10">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4252" w:type="dxa"/>
            <w:vAlign w:val="center"/>
          </w:tcPr>
          <w:p w14:paraId="638009FD">
            <w:pPr>
              <w:keepNext/>
              <w:adjustRightInd w:val="0"/>
              <w:spacing w:line="360" w:lineRule="auto"/>
              <w:ind w:left="63" w:leftChars="30" w:right="63" w:rightChars="30"/>
              <w:jc w:val="center"/>
              <w:textAlignment w:val="baseline"/>
              <w:rPr>
                <w:rFonts w:eastAsia="仿宋_GB2312"/>
                <w:color w:val="auto"/>
                <w:sz w:val="30"/>
                <w:szCs w:val="30"/>
                <w:highlight w:val="none"/>
              </w:rPr>
            </w:pPr>
          </w:p>
        </w:tc>
      </w:tr>
      <w:tr w14:paraId="39684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0" w:hRule="exact"/>
          <w:jc w:val="center"/>
        </w:trPr>
        <w:tc>
          <w:tcPr>
            <w:tcW w:w="1871" w:type="dxa"/>
            <w:vMerge w:val="restart"/>
            <w:vAlign w:val="center"/>
          </w:tcPr>
          <w:p w14:paraId="2B1F00D2">
            <w:pPr>
              <w:keepNext/>
              <w:adjustRightInd w:val="0"/>
              <w:spacing w:line="360" w:lineRule="auto"/>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rPr>
              <w:t>其他人员</w:t>
            </w:r>
          </w:p>
        </w:tc>
        <w:tc>
          <w:tcPr>
            <w:tcW w:w="1418" w:type="dxa"/>
            <w:vAlign w:val="center"/>
          </w:tcPr>
          <w:p w14:paraId="11A5EDFD">
            <w:pPr>
              <w:keepNext/>
              <w:adjustRightInd w:val="0"/>
              <w:spacing w:line="360" w:lineRule="auto"/>
              <w:ind w:left="63" w:leftChars="30" w:right="63" w:rightChars="30"/>
              <w:jc w:val="center"/>
              <w:textAlignment w:val="baseline"/>
              <w:rPr>
                <w:rFonts w:eastAsia="仿宋_GB2312"/>
                <w:color w:val="auto"/>
                <w:sz w:val="28"/>
                <w:szCs w:val="28"/>
                <w:highlight w:val="none"/>
              </w:rPr>
            </w:pPr>
          </w:p>
        </w:tc>
        <w:tc>
          <w:tcPr>
            <w:tcW w:w="1134" w:type="dxa"/>
            <w:vAlign w:val="center"/>
          </w:tcPr>
          <w:p w14:paraId="7E9F47E1">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1134" w:type="dxa"/>
            <w:vAlign w:val="center"/>
          </w:tcPr>
          <w:p w14:paraId="6D1F6A3E">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4252" w:type="dxa"/>
            <w:vAlign w:val="center"/>
          </w:tcPr>
          <w:p w14:paraId="51DDB2C6">
            <w:pPr>
              <w:keepNext/>
              <w:adjustRightInd w:val="0"/>
              <w:spacing w:line="360" w:lineRule="auto"/>
              <w:ind w:left="63" w:leftChars="30" w:right="63" w:rightChars="30"/>
              <w:jc w:val="center"/>
              <w:textAlignment w:val="baseline"/>
              <w:rPr>
                <w:rFonts w:eastAsia="仿宋_GB2312"/>
                <w:color w:val="auto"/>
                <w:sz w:val="30"/>
                <w:szCs w:val="30"/>
                <w:highlight w:val="none"/>
              </w:rPr>
            </w:pPr>
          </w:p>
        </w:tc>
      </w:tr>
      <w:tr w14:paraId="6C9FA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0" w:hRule="exact"/>
          <w:jc w:val="center"/>
        </w:trPr>
        <w:tc>
          <w:tcPr>
            <w:tcW w:w="1871" w:type="dxa"/>
            <w:vMerge w:val="continue"/>
            <w:vAlign w:val="center"/>
          </w:tcPr>
          <w:p w14:paraId="705CBC16">
            <w:pPr>
              <w:keepNext/>
              <w:adjustRightInd w:val="0"/>
              <w:spacing w:line="360" w:lineRule="auto"/>
              <w:ind w:left="63" w:leftChars="30" w:right="63" w:rightChars="30"/>
              <w:jc w:val="center"/>
              <w:textAlignment w:val="baseline"/>
              <w:rPr>
                <w:rFonts w:eastAsia="仿宋_GB2312"/>
                <w:color w:val="auto"/>
                <w:sz w:val="28"/>
                <w:szCs w:val="28"/>
                <w:highlight w:val="none"/>
              </w:rPr>
            </w:pPr>
          </w:p>
        </w:tc>
        <w:tc>
          <w:tcPr>
            <w:tcW w:w="1418" w:type="dxa"/>
            <w:vAlign w:val="center"/>
          </w:tcPr>
          <w:p w14:paraId="7087A689">
            <w:pPr>
              <w:keepNext/>
              <w:adjustRightInd w:val="0"/>
              <w:spacing w:line="360" w:lineRule="auto"/>
              <w:ind w:left="63" w:leftChars="30" w:right="63" w:rightChars="30"/>
              <w:jc w:val="center"/>
              <w:textAlignment w:val="baseline"/>
              <w:rPr>
                <w:rFonts w:eastAsia="仿宋_GB2312"/>
                <w:color w:val="auto"/>
                <w:sz w:val="28"/>
                <w:szCs w:val="28"/>
                <w:highlight w:val="none"/>
              </w:rPr>
            </w:pPr>
          </w:p>
        </w:tc>
        <w:tc>
          <w:tcPr>
            <w:tcW w:w="1134" w:type="dxa"/>
            <w:vAlign w:val="center"/>
          </w:tcPr>
          <w:p w14:paraId="57A91122">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1134" w:type="dxa"/>
            <w:vAlign w:val="center"/>
          </w:tcPr>
          <w:p w14:paraId="738EC15F">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4252" w:type="dxa"/>
            <w:vAlign w:val="center"/>
          </w:tcPr>
          <w:p w14:paraId="6725F916">
            <w:pPr>
              <w:keepNext/>
              <w:adjustRightInd w:val="0"/>
              <w:spacing w:line="360" w:lineRule="auto"/>
              <w:ind w:left="63" w:leftChars="30" w:right="63" w:rightChars="30"/>
              <w:jc w:val="center"/>
              <w:textAlignment w:val="baseline"/>
              <w:rPr>
                <w:rFonts w:eastAsia="仿宋_GB2312"/>
                <w:color w:val="auto"/>
                <w:sz w:val="30"/>
                <w:szCs w:val="30"/>
                <w:highlight w:val="none"/>
              </w:rPr>
            </w:pPr>
          </w:p>
        </w:tc>
      </w:tr>
      <w:tr w14:paraId="77501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0" w:hRule="exact"/>
          <w:jc w:val="center"/>
        </w:trPr>
        <w:tc>
          <w:tcPr>
            <w:tcW w:w="1871" w:type="dxa"/>
            <w:vMerge w:val="continue"/>
            <w:vAlign w:val="center"/>
          </w:tcPr>
          <w:p w14:paraId="0BC21E03">
            <w:pPr>
              <w:keepNext/>
              <w:adjustRightInd w:val="0"/>
              <w:spacing w:line="360" w:lineRule="auto"/>
              <w:ind w:left="63" w:leftChars="30" w:right="63" w:rightChars="30"/>
              <w:jc w:val="center"/>
              <w:textAlignment w:val="baseline"/>
              <w:rPr>
                <w:rFonts w:eastAsia="仿宋_GB2312"/>
                <w:color w:val="auto"/>
                <w:sz w:val="28"/>
                <w:szCs w:val="28"/>
                <w:highlight w:val="none"/>
              </w:rPr>
            </w:pPr>
          </w:p>
        </w:tc>
        <w:tc>
          <w:tcPr>
            <w:tcW w:w="1418" w:type="dxa"/>
            <w:vAlign w:val="center"/>
          </w:tcPr>
          <w:p w14:paraId="44162064">
            <w:pPr>
              <w:keepNext/>
              <w:adjustRightInd w:val="0"/>
              <w:spacing w:line="360" w:lineRule="auto"/>
              <w:ind w:left="63" w:leftChars="30" w:right="63" w:rightChars="30"/>
              <w:jc w:val="center"/>
              <w:textAlignment w:val="baseline"/>
              <w:rPr>
                <w:rFonts w:eastAsia="仿宋_GB2312"/>
                <w:color w:val="auto"/>
                <w:sz w:val="28"/>
                <w:szCs w:val="28"/>
                <w:highlight w:val="none"/>
              </w:rPr>
            </w:pPr>
          </w:p>
        </w:tc>
        <w:tc>
          <w:tcPr>
            <w:tcW w:w="1134" w:type="dxa"/>
            <w:vAlign w:val="center"/>
          </w:tcPr>
          <w:p w14:paraId="19F44230">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1134" w:type="dxa"/>
            <w:vAlign w:val="center"/>
          </w:tcPr>
          <w:p w14:paraId="0A8A8AD3">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4252" w:type="dxa"/>
            <w:vAlign w:val="center"/>
          </w:tcPr>
          <w:p w14:paraId="55D72F7E">
            <w:pPr>
              <w:keepNext/>
              <w:adjustRightInd w:val="0"/>
              <w:spacing w:line="360" w:lineRule="auto"/>
              <w:ind w:left="63" w:leftChars="30" w:right="63" w:rightChars="30"/>
              <w:jc w:val="center"/>
              <w:textAlignment w:val="baseline"/>
              <w:rPr>
                <w:rFonts w:eastAsia="仿宋_GB2312"/>
                <w:color w:val="auto"/>
                <w:sz w:val="30"/>
                <w:szCs w:val="30"/>
                <w:highlight w:val="none"/>
              </w:rPr>
            </w:pPr>
          </w:p>
        </w:tc>
      </w:tr>
      <w:tr w14:paraId="7C6FF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0" w:hRule="exact"/>
          <w:jc w:val="center"/>
        </w:trPr>
        <w:tc>
          <w:tcPr>
            <w:tcW w:w="1871" w:type="dxa"/>
            <w:vMerge w:val="continue"/>
            <w:vAlign w:val="center"/>
          </w:tcPr>
          <w:p w14:paraId="3BD1D937">
            <w:pPr>
              <w:keepNext/>
              <w:adjustRightInd w:val="0"/>
              <w:spacing w:line="360" w:lineRule="auto"/>
              <w:ind w:left="63" w:leftChars="30" w:right="63" w:rightChars="30"/>
              <w:jc w:val="center"/>
              <w:textAlignment w:val="baseline"/>
              <w:rPr>
                <w:rFonts w:eastAsia="仿宋_GB2312"/>
                <w:color w:val="auto"/>
                <w:sz w:val="28"/>
                <w:szCs w:val="28"/>
                <w:highlight w:val="none"/>
              </w:rPr>
            </w:pPr>
          </w:p>
        </w:tc>
        <w:tc>
          <w:tcPr>
            <w:tcW w:w="1418" w:type="dxa"/>
            <w:vAlign w:val="center"/>
          </w:tcPr>
          <w:p w14:paraId="1014E548">
            <w:pPr>
              <w:keepNext/>
              <w:adjustRightInd w:val="0"/>
              <w:spacing w:line="360" w:lineRule="auto"/>
              <w:ind w:left="63" w:leftChars="30" w:right="63" w:rightChars="30"/>
              <w:jc w:val="center"/>
              <w:textAlignment w:val="baseline"/>
              <w:rPr>
                <w:rFonts w:eastAsia="仿宋_GB2312"/>
                <w:color w:val="auto"/>
                <w:sz w:val="28"/>
                <w:szCs w:val="28"/>
                <w:highlight w:val="none"/>
              </w:rPr>
            </w:pPr>
          </w:p>
        </w:tc>
        <w:tc>
          <w:tcPr>
            <w:tcW w:w="1134" w:type="dxa"/>
            <w:vAlign w:val="center"/>
          </w:tcPr>
          <w:p w14:paraId="694AF5D3">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1134" w:type="dxa"/>
            <w:vAlign w:val="center"/>
          </w:tcPr>
          <w:p w14:paraId="608A256C">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4252" w:type="dxa"/>
            <w:vAlign w:val="center"/>
          </w:tcPr>
          <w:p w14:paraId="1A7567C6">
            <w:pPr>
              <w:keepNext/>
              <w:adjustRightInd w:val="0"/>
              <w:spacing w:line="360" w:lineRule="auto"/>
              <w:ind w:left="63" w:leftChars="30" w:right="63" w:rightChars="30"/>
              <w:jc w:val="center"/>
              <w:textAlignment w:val="baseline"/>
              <w:rPr>
                <w:rFonts w:eastAsia="仿宋_GB2312"/>
                <w:color w:val="auto"/>
                <w:sz w:val="30"/>
                <w:szCs w:val="30"/>
                <w:highlight w:val="none"/>
              </w:rPr>
            </w:pPr>
          </w:p>
        </w:tc>
      </w:tr>
      <w:tr w14:paraId="1F4DC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0" w:hRule="exact"/>
          <w:jc w:val="center"/>
        </w:trPr>
        <w:tc>
          <w:tcPr>
            <w:tcW w:w="1871" w:type="dxa"/>
            <w:vMerge w:val="continue"/>
            <w:vAlign w:val="center"/>
          </w:tcPr>
          <w:p w14:paraId="24778F66">
            <w:pPr>
              <w:keepNext/>
              <w:adjustRightInd w:val="0"/>
              <w:spacing w:line="360" w:lineRule="auto"/>
              <w:ind w:left="63" w:leftChars="30" w:right="63" w:rightChars="30"/>
              <w:jc w:val="center"/>
              <w:textAlignment w:val="baseline"/>
              <w:rPr>
                <w:rFonts w:eastAsia="仿宋_GB2312"/>
                <w:color w:val="auto"/>
                <w:sz w:val="28"/>
                <w:szCs w:val="28"/>
                <w:highlight w:val="none"/>
              </w:rPr>
            </w:pPr>
          </w:p>
        </w:tc>
        <w:tc>
          <w:tcPr>
            <w:tcW w:w="1418" w:type="dxa"/>
            <w:vAlign w:val="center"/>
          </w:tcPr>
          <w:p w14:paraId="321D576E">
            <w:pPr>
              <w:keepNext/>
              <w:adjustRightInd w:val="0"/>
              <w:spacing w:line="360" w:lineRule="auto"/>
              <w:ind w:left="63" w:leftChars="30" w:right="63" w:rightChars="30"/>
              <w:jc w:val="center"/>
              <w:textAlignment w:val="baseline"/>
              <w:rPr>
                <w:rFonts w:eastAsia="仿宋_GB2312"/>
                <w:color w:val="auto"/>
                <w:sz w:val="28"/>
                <w:szCs w:val="28"/>
                <w:highlight w:val="none"/>
              </w:rPr>
            </w:pPr>
          </w:p>
        </w:tc>
        <w:tc>
          <w:tcPr>
            <w:tcW w:w="1134" w:type="dxa"/>
            <w:vAlign w:val="center"/>
          </w:tcPr>
          <w:p w14:paraId="4E6F49C1">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1134" w:type="dxa"/>
            <w:vAlign w:val="center"/>
          </w:tcPr>
          <w:p w14:paraId="6CEF4DCB">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4252" w:type="dxa"/>
            <w:vAlign w:val="center"/>
          </w:tcPr>
          <w:p w14:paraId="5EFBB9F2">
            <w:pPr>
              <w:keepNext/>
              <w:adjustRightInd w:val="0"/>
              <w:spacing w:line="360" w:lineRule="auto"/>
              <w:ind w:left="63" w:leftChars="30" w:right="63" w:rightChars="30"/>
              <w:jc w:val="center"/>
              <w:textAlignment w:val="baseline"/>
              <w:rPr>
                <w:rFonts w:eastAsia="仿宋_GB2312"/>
                <w:color w:val="auto"/>
                <w:sz w:val="30"/>
                <w:szCs w:val="30"/>
                <w:highlight w:val="none"/>
              </w:rPr>
            </w:pPr>
          </w:p>
        </w:tc>
      </w:tr>
      <w:tr w14:paraId="1720E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0" w:hRule="exact"/>
          <w:jc w:val="center"/>
        </w:trPr>
        <w:tc>
          <w:tcPr>
            <w:tcW w:w="1871" w:type="dxa"/>
            <w:vMerge w:val="continue"/>
            <w:vAlign w:val="center"/>
          </w:tcPr>
          <w:p w14:paraId="485B1C15">
            <w:pPr>
              <w:keepNext/>
              <w:adjustRightInd w:val="0"/>
              <w:spacing w:line="360" w:lineRule="auto"/>
              <w:ind w:left="63" w:leftChars="30" w:right="63" w:rightChars="30"/>
              <w:jc w:val="center"/>
              <w:textAlignment w:val="baseline"/>
              <w:rPr>
                <w:rFonts w:eastAsia="仿宋_GB2312"/>
                <w:color w:val="auto"/>
                <w:sz w:val="28"/>
                <w:szCs w:val="28"/>
                <w:highlight w:val="none"/>
              </w:rPr>
            </w:pPr>
          </w:p>
        </w:tc>
        <w:tc>
          <w:tcPr>
            <w:tcW w:w="1418" w:type="dxa"/>
            <w:vAlign w:val="center"/>
          </w:tcPr>
          <w:p w14:paraId="2C26E528">
            <w:pPr>
              <w:keepNext/>
              <w:adjustRightInd w:val="0"/>
              <w:spacing w:line="360" w:lineRule="auto"/>
              <w:ind w:left="63" w:leftChars="30" w:right="63" w:rightChars="30"/>
              <w:jc w:val="center"/>
              <w:textAlignment w:val="baseline"/>
              <w:rPr>
                <w:rFonts w:eastAsia="仿宋_GB2312"/>
                <w:color w:val="auto"/>
                <w:sz w:val="28"/>
                <w:szCs w:val="28"/>
                <w:highlight w:val="none"/>
              </w:rPr>
            </w:pPr>
          </w:p>
        </w:tc>
        <w:tc>
          <w:tcPr>
            <w:tcW w:w="1134" w:type="dxa"/>
            <w:vAlign w:val="center"/>
          </w:tcPr>
          <w:p w14:paraId="223B3560">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1134" w:type="dxa"/>
            <w:vAlign w:val="center"/>
          </w:tcPr>
          <w:p w14:paraId="0B317E84">
            <w:pPr>
              <w:keepNext/>
              <w:adjustRightInd w:val="0"/>
              <w:spacing w:line="360" w:lineRule="auto"/>
              <w:ind w:left="63" w:leftChars="30" w:right="63" w:rightChars="30"/>
              <w:jc w:val="center"/>
              <w:textAlignment w:val="baseline"/>
              <w:rPr>
                <w:rFonts w:eastAsia="仿宋_GB2312"/>
                <w:color w:val="auto"/>
                <w:sz w:val="30"/>
                <w:szCs w:val="30"/>
                <w:highlight w:val="none"/>
              </w:rPr>
            </w:pPr>
          </w:p>
        </w:tc>
        <w:tc>
          <w:tcPr>
            <w:tcW w:w="4252" w:type="dxa"/>
            <w:vAlign w:val="center"/>
          </w:tcPr>
          <w:p w14:paraId="6F0098CA">
            <w:pPr>
              <w:keepNext/>
              <w:adjustRightInd w:val="0"/>
              <w:spacing w:line="360" w:lineRule="auto"/>
              <w:ind w:left="63" w:leftChars="30" w:right="63" w:rightChars="30"/>
              <w:jc w:val="center"/>
              <w:textAlignment w:val="baseline"/>
              <w:rPr>
                <w:rFonts w:eastAsia="仿宋_GB2312"/>
                <w:color w:val="auto"/>
                <w:sz w:val="30"/>
                <w:szCs w:val="30"/>
                <w:highlight w:val="none"/>
              </w:rPr>
            </w:pPr>
          </w:p>
        </w:tc>
      </w:tr>
    </w:tbl>
    <w:p w14:paraId="535ACDE1">
      <w:pPr>
        <w:spacing w:line="360" w:lineRule="auto"/>
        <w:rPr>
          <w:rFonts w:eastAsia="黑体"/>
          <w:color w:val="auto"/>
          <w:sz w:val="30"/>
          <w:szCs w:val="30"/>
          <w:highlight w:val="none"/>
        </w:rPr>
      </w:pPr>
      <w:r>
        <w:rPr>
          <w:rFonts w:eastAsia="仿宋_GB2312"/>
          <w:color w:val="auto"/>
          <w:sz w:val="30"/>
          <w:szCs w:val="30"/>
          <w:highlight w:val="none"/>
        </w:rPr>
        <w:br w:type="page"/>
      </w:r>
      <w:bookmarkStart w:id="1731" w:name="_Toc267261701"/>
      <w:r>
        <w:rPr>
          <w:rFonts w:hint="eastAsia" w:eastAsia="仿宋_GB2312" w:cs="仿宋_GB2312"/>
          <w:color w:val="auto"/>
          <w:sz w:val="30"/>
          <w:szCs w:val="30"/>
          <w:highlight w:val="none"/>
        </w:rPr>
        <w:t>附</w:t>
      </w:r>
      <w:bookmarkStart w:id="1732" w:name="_Toc296891271"/>
      <w:bookmarkStart w:id="1733" w:name="_Toc296944570"/>
      <w:bookmarkStart w:id="1734" w:name="_Toc296503231"/>
      <w:bookmarkStart w:id="1735" w:name="_Toc296346732"/>
      <w:bookmarkStart w:id="1736" w:name="_Toc296891059"/>
      <w:bookmarkStart w:id="1737" w:name="_Toc296347230"/>
      <w:r>
        <w:rPr>
          <w:rFonts w:hint="eastAsia" w:eastAsia="仿宋_GB2312" w:cs="仿宋_GB2312"/>
          <w:color w:val="auto"/>
          <w:sz w:val="30"/>
          <w:szCs w:val="30"/>
          <w:highlight w:val="none"/>
        </w:rPr>
        <w:t>件</w:t>
      </w:r>
      <w:r>
        <w:rPr>
          <w:rFonts w:hint="eastAsia" w:eastAsia="仿宋_GB2312"/>
          <w:color w:val="auto"/>
          <w:sz w:val="30"/>
          <w:szCs w:val="30"/>
          <w:highlight w:val="none"/>
        </w:rPr>
        <w:t>7</w:t>
      </w:r>
      <w:r>
        <w:rPr>
          <w:rFonts w:hint="eastAsia" w:eastAsia="仿宋_GB2312" w:cs="仿宋_GB2312"/>
          <w:color w:val="auto"/>
          <w:sz w:val="30"/>
          <w:szCs w:val="30"/>
          <w:highlight w:val="none"/>
        </w:rPr>
        <w:t>：</w:t>
      </w:r>
    </w:p>
    <w:bookmarkEnd w:id="1731"/>
    <w:bookmarkEnd w:id="1732"/>
    <w:bookmarkEnd w:id="1733"/>
    <w:bookmarkEnd w:id="1734"/>
    <w:bookmarkEnd w:id="1735"/>
    <w:bookmarkEnd w:id="1736"/>
    <w:bookmarkEnd w:id="1737"/>
    <w:p w14:paraId="776BE5CC">
      <w:pPr>
        <w:spacing w:beforeLines="50" w:afterLines="50" w:line="360" w:lineRule="auto"/>
        <w:jc w:val="center"/>
        <w:rPr>
          <w:rFonts w:eastAsia="黑体"/>
          <w:color w:val="auto"/>
          <w:sz w:val="30"/>
          <w:szCs w:val="30"/>
          <w:highlight w:val="none"/>
        </w:rPr>
      </w:pPr>
      <w:r>
        <w:rPr>
          <w:rFonts w:hint="eastAsia" w:eastAsia="黑体" w:cs="黑体"/>
          <w:color w:val="auto"/>
          <w:sz w:val="30"/>
          <w:szCs w:val="30"/>
          <w:highlight w:val="none"/>
        </w:rPr>
        <w:t>履约担保</w:t>
      </w:r>
    </w:p>
    <w:p w14:paraId="3CDD4581">
      <w:pPr>
        <w:spacing w:line="360" w:lineRule="auto"/>
        <w:rPr>
          <w:color w:val="auto"/>
          <w:szCs w:val="21"/>
          <w:highlight w:val="none"/>
          <w:u w:val="single"/>
        </w:rPr>
      </w:pPr>
    </w:p>
    <w:p w14:paraId="662F42D2">
      <w:pPr>
        <w:spacing w:line="360" w:lineRule="auto"/>
        <w:rPr>
          <w:color w:val="auto"/>
          <w:szCs w:val="21"/>
          <w:highlight w:val="none"/>
        </w:rPr>
      </w:pPr>
      <w:r>
        <w:rPr>
          <w:color w:val="auto"/>
          <w:szCs w:val="21"/>
          <w:highlight w:val="none"/>
          <w:u w:val="single"/>
        </w:rPr>
        <w:t xml:space="preserve">                          </w:t>
      </w:r>
      <w:r>
        <w:rPr>
          <w:rFonts w:hint="eastAsia" w:hAnsi="宋体" w:cs="宋体"/>
          <w:color w:val="auto"/>
          <w:szCs w:val="21"/>
          <w:highlight w:val="none"/>
        </w:rPr>
        <w:t>（发包人名称）：</w:t>
      </w:r>
    </w:p>
    <w:p w14:paraId="0C095CB9">
      <w:pPr>
        <w:spacing w:line="360" w:lineRule="auto"/>
        <w:ind w:firstLine="420" w:firstLineChars="200"/>
        <w:rPr>
          <w:color w:val="auto"/>
          <w:szCs w:val="21"/>
          <w:highlight w:val="none"/>
        </w:rPr>
      </w:pPr>
      <w:r>
        <w:rPr>
          <w:rFonts w:hint="eastAsia" w:hAnsi="宋体" w:cs="宋体"/>
          <w:color w:val="auto"/>
          <w:szCs w:val="21"/>
          <w:highlight w:val="none"/>
        </w:rPr>
        <w:t>鉴于</w:t>
      </w:r>
      <w:r>
        <w:rPr>
          <w:color w:val="auto"/>
          <w:szCs w:val="21"/>
          <w:highlight w:val="none"/>
          <w:u w:val="single"/>
        </w:rPr>
        <w:t xml:space="preserve">                                        </w:t>
      </w:r>
      <w:r>
        <w:rPr>
          <w:rFonts w:hint="eastAsia" w:hAnsi="宋体" w:cs="宋体"/>
          <w:color w:val="auto"/>
          <w:szCs w:val="21"/>
          <w:highlight w:val="none"/>
        </w:rPr>
        <w:t>（发包人名称，以下简称</w:t>
      </w:r>
      <w:r>
        <w:rPr>
          <w:color w:val="auto"/>
          <w:szCs w:val="21"/>
          <w:highlight w:val="none"/>
        </w:rPr>
        <w:t>“</w:t>
      </w:r>
      <w:r>
        <w:rPr>
          <w:rFonts w:hint="eastAsia" w:hAnsi="宋体" w:cs="宋体"/>
          <w:color w:val="auto"/>
          <w:szCs w:val="21"/>
          <w:highlight w:val="none"/>
        </w:rPr>
        <w:t>发包人</w:t>
      </w:r>
      <w:r>
        <w:rPr>
          <w:color w:val="auto"/>
          <w:szCs w:val="21"/>
          <w:highlight w:val="none"/>
        </w:rPr>
        <w:t>”</w:t>
      </w:r>
      <w:r>
        <w:rPr>
          <w:rFonts w:hint="eastAsia" w:hAnsi="宋体" w:cs="宋体"/>
          <w:color w:val="auto"/>
          <w:szCs w:val="21"/>
          <w:highlight w:val="none"/>
        </w:rPr>
        <w:t>）</w:t>
      </w:r>
      <w:r>
        <w:rPr>
          <w:rFonts w:hAnsi="宋体"/>
          <w:color w:val="auto"/>
          <w:szCs w:val="21"/>
          <w:highlight w:val="none"/>
        </w:rPr>
        <w:t xml:space="preserve"> </w:t>
      </w:r>
      <w:r>
        <w:rPr>
          <w:rFonts w:hint="eastAsia" w:hAnsi="宋体" w:cs="宋体"/>
          <w:color w:val="auto"/>
          <w:szCs w:val="21"/>
          <w:highlight w:val="none"/>
        </w:rPr>
        <w:t>已于</w:t>
      </w:r>
      <w:r>
        <w:rPr>
          <w:color w:val="auto"/>
          <w:szCs w:val="21"/>
          <w:highlight w:val="none"/>
          <w:u w:val="single"/>
        </w:rPr>
        <w:t xml:space="preserve">           </w:t>
      </w:r>
      <w:r>
        <w:rPr>
          <w:rFonts w:hint="eastAsia" w:hAnsi="宋体" w:cs="宋体"/>
          <w:color w:val="auto"/>
          <w:szCs w:val="21"/>
          <w:highlight w:val="none"/>
        </w:rPr>
        <w:t>年</w:t>
      </w:r>
      <w:r>
        <w:rPr>
          <w:color w:val="auto"/>
          <w:szCs w:val="21"/>
          <w:highlight w:val="none"/>
          <w:u w:val="single"/>
        </w:rPr>
        <w:t xml:space="preserve">      </w:t>
      </w:r>
      <w:r>
        <w:rPr>
          <w:rFonts w:hint="eastAsia" w:hAnsi="宋体" w:cs="宋体"/>
          <w:color w:val="auto"/>
          <w:szCs w:val="21"/>
          <w:highlight w:val="none"/>
        </w:rPr>
        <w:t>月</w:t>
      </w:r>
      <w:r>
        <w:rPr>
          <w:color w:val="auto"/>
          <w:szCs w:val="21"/>
          <w:highlight w:val="none"/>
          <w:u w:val="single"/>
        </w:rPr>
        <w:t xml:space="preserve">      </w:t>
      </w:r>
      <w:r>
        <w:rPr>
          <w:rFonts w:hint="eastAsia" w:hAnsi="宋体" w:cs="宋体"/>
          <w:color w:val="auto"/>
          <w:szCs w:val="21"/>
          <w:highlight w:val="none"/>
        </w:rPr>
        <w:t>日发放</w:t>
      </w:r>
      <w:r>
        <w:rPr>
          <w:rFonts w:hint="eastAsia" w:hAnsi="宋体" w:cs="宋体"/>
          <w:color w:val="auto"/>
          <w:szCs w:val="21"/>
          <w:highlight w:val="none"/>
          <w:lang w:val="en-US" w:eastAsia="zh-CN"/>
        </w:rPr>
        <w:t>成交通知书</w:t>
      </w:r>
      <w:r>
        <w:rPr>
          <w:rFonts w:hint="eastAsia" w:hAnsi="宋体" w:cs="宋体"/>
          <w:color w:val="auto"/>
          <w:szCs w:val="21"/>
          <w:highlight w:val="none"/>
        </w:rPr>
        <w:t>，明确</w:t>
      </w:r>
      <w:r>
        <w:rPr>
          <w:color w:val="auto"/>
          <w:szCs w:val="21"/>
          <w:highlight w:val="none"/>
          <w:u w:val="single"/>
        </w:rPr>
        <w:t xml:space="preserve">                           </w:t>
      </w:r>
      <w:r>
        <w:rPr>
          <w:rFonts w:hint="eastAsia" w:hAnsi="宋体" w:cs="宋体"/>
          <w:color w:val="auto"/>
          <w:szCs w:val="21"/>
          <w:highlight w:val="none"/>
        </w:rPr>
        <w:t>（承包人名称）（以下称</w:t>
      </w:r>
      <w:r>
        <w:rPr>
          <w:color w:val="auto"/>
          <w:szCs w:val="21"/>
          <w:highlight w:val="none"/>
        </w:rPr>
        <w:t>“</w:t>
      </w:r>
      <w:r>
        <w:rPr>
          <w:rFonts w:hint="eastAsia" w:hAnsi="宋体" w:cs="宋体"/>
          <w:color w:val="auto"/>
          <w:szCs w:val="21"/>
          <w:highlight w:val="none"/>
        </w:rPr>
        <w:t>承包人</w:t>
      </w:r>
      <w:r>
        <w:rPr>
          <w:color w:val="auto"/>
          <w:szCs w:val="21"/>
          <w:highlight w:val="none"/>
        </w:rPr>
        <w:t>”</w:t>
      </w:r>
      <w:r>
        <w:rPr>
          <w:rFonts w:hint="eastAsia" w:hAnsi="宋体" w:cs="宋体"/>
          <w:color w:val="auto"/>
          <w:szCs w:val="21"/>
          <w:highlight w:val="none"/>
        </w:rPr>
        <w:t>）于</w:t>
      </w:r>
      <w:r>
        <w:rPr>
          <w:color w:val="auto"/>
          <w:szCs w:val="21"/>
          <w:highlight w:val="none"/>
          <w:u w:val="single"/>
        </w:rPr>
        <w:t xml:space="preserve">           </w:t>
      </w:r>
      <w:r>
        <w:rPr>
          <w:rFonts w:hint="eastAsia" w:hAnsi="宋体" w:cs="宋体"/>
          <w:color w:val="auto"/>
          <w:szCs w:val="21"/>
          <w:highlight w:val="none"/>
        </w:rPr>
        <w:t>年</w:t>
      </w:r>
      <w:r>
        <w:rPr>
          <w:color w:val="auto"/>
          <w:szCs w:val="21"/>
          <w:highlight w:val="none"/>
          <w:u w:val="single"/>
        </w:rPr>
        <w:t xml:space="preserve">      </w:t>
      </w:r>
      <w:r>
        <w:rPr>
          <w:rFonts w:hint="eastAsia" w:hAnsi="宋体" w:cs="宋体"/>
          <w:color w:val="auto"/>
          <w:szCs w:val="21"/>
          <w:highlight w:val="none"/>
        </w:rPr>
        <w:t>月</w:t>
      </w:r>
      <w:r>
        <w:rPr>
          <w:color w:val="auto"/>
          <w:szCs w:val="21"/>
          <w:highlight w:val="none"/>
          <w:u w:val="single"/>
        </w:rPr>
        <w:t xml:space="preserve">      </w:t>
      </w:r>
      <w:r>
        <w:rPr>
          <w:rFonts w:hint="eastAsia" w:hAnsi="宋体" w:cs="宋体"/>
          <w:color w:val="auto"/>
          <w:szCs w:val="21"/>
          <w:highlight w:val="none"/>
        </w:rPr>
        <w:t>日为</w:t>
      </w:r>
      <w:r>
        <w:rPr>
          <w:color w:val="auto"/>
          <w:szCs w:val="21"/>
          <w:highlight w:val="none"/>
          <w:u w:val="single"/>
        </w:rPr>
        <w:t xml:space="preserve">                       </w:t>
      </w:r>
      <w:r>
        <w:rPr>
          <w:rFonts w:hint="eastAsia" w:hAnsi="宋体" w:cs="宋体"/>
          <w:color w:val="auto"/>
          <w:szCs w:val="21"/>
          <w:highlight w:val="none"/>
        </w:rPr>
        <w:t>（工程名称）的中标人。我方愿意无条件地、不可撤销地就承包人履行与你方签订的合同，向你方提供连带责任担保。</w:t>
      </w:r>
      <w:r>
        <w:rPr>
          <w:color w:val="auto"/>
          <w:szCs w:val="21"/>
          <w:highlight w:val="none"/>
        </w:rPr>
        <w:t xml:space="preserve"> </w:t>
      </w:r>
    </w:p>
    <w:p w14:paraId="5C0FA1C1">
      <w:pPr>
        <w:spacing w:line="360" w:lineRule="auto"/>
        <w:ind w:firstLine="420" w:firstLineChars="200"/>
        <w:rPr>
          <w:color w:val="auto"/>
          <w:szCs w:val="21"/>
          <w:highlight w:val="none"/>
        </w:rPr>
      </w:pPr>
      <w:r>
        <w:rPr>
          <w:color w:val="auto"/>
          <w:szCs w:val="21"/>
          <w:highlight w:val="none"/>
        </w:rPr>
        <w:t xml:space="preserve">1. </w:t>
      </w:r>
      <w:r>
        <w:rPr>
          <w:rFonts w:hint="eastAsia" w:hAnsi="宋体" w:cs="宋体"/>
          <w:color w:val="auto"/>
          <w:szCs w:val="21"/>
          <w:highlight w:val="none"/>
        </w:rPr>
        <w:t>担保金额人民币（大写）</w:t>
      </w:r>
      <w:r>
        <w:rPr>
          <w:color w:val="auto"/>
          <w:szCs w:val="21"/>
          <w:highlight w:val="none"/>
          <w:u w:val="single"/>
        </w:rPr>
        <w:t xml:space="preserve">                 </w:t>
      </w:r>
      <w:r>
        <w:rPr>
          <w:rFonts w:hint="eastAsia" w:hAnsi="宋体" w:cs="宋体"/>
          <w:color w:val="auto"/>
          <w:szCs w:val="21"/>
          <w:highlight w:val="none"/>
        </w:rPr>
        <w:t>元（</w:t>
      </w:r>
      <w:r>
        <w:rPr>
          <w:color w:val="auto"/>
          <w:szCs w:val="21"/>
          <w:highlight w:val="none"/>
        </w:rPr>
        <w:t>¥</w:t>
      </w:r>
      <w:r>
        <w:rPr>
          <w:color w:val="auto"/>
          <w:szCs w:val="21"/>
          <w:highlight w:val="none"/>
          <w:u w:val="single"/>
        </w:rPr>
        <w:t xml:space="preserve">             </w:t>
      </w:r>
      <w:r>
        <w:rPr>
          <w:rFonts w:hint="eastAsia" w:hAnsi="宋体" w:cs="宋体"/>
          <w:color w:val="auto"/>
          <w:szCs w:val="21"/>
          <w:highlight w:val="none"/>
        </w:rPr>
        <w:t>）。</w:t>
      </w:r>
    </w:p>
    <w:p w14:paraId="6655CDA1">
      <w:pPr>
        <w:spacing w:line="360" w:lineRule="auto"/>
        <w:ind w:firstLine="420" w:firstLineChars="200"/>
        <w:rPr>
          <w:color w:val="auto"/>
          <w:szCs w:val="21"/>
          <w:highlight w:val="none"/>
        </w:rPr>
      </w:pPr>
      <w:r>
        <w:rPr>
          <w:color w:val="auto"/>
          <w:szCs w:val="21"/>
          <w:highlight w:val="none"/>
        </w:rPr>
        <w:t xml:space="preserve">2. </w:t>
      </w:r>
      <w:r>
        <w:rPr>
          <w:rFonts w:hint="eastAsia" w:hAnsi="宋体" w:cs="宋体"/>
          <w:color w:val="auto"/>
          <w:szCs w:val="21"/>
          <w:highlight w:val="none"/>
        </w:rPr>
        <w:t>担保有效期自你方与承包人签订的合同生效之日起至你方签发或应签发工程接收证书之日止。</w:t>
      </w:r>
    </w:p>
    <w:p w14:paraId="29927246">
      <w:pPr>
        <w:spacing w:line="360" w:lineRule="auto"/>
        <w:ind w:firstLine="420" w:firstLineChars="200"/>
        <w:rPr>
          <w:color w:val="auto"/>
          <w:szCs w:val="21"/>
          <w:highlight w:val="none"/>
        </w:rPr>
      </w:pPr>
      <w:r>
        <w:rPr>
          <w:color w:val="auto"/>
          <w:szCs w:val="21"/>
          <w:highlight w:val="none"/>
        </w:rPr>
        <w:t xml:space="preserve">3. </w:t>
      </w:r>
      <w:r>
        <w:rPr>
          <w:rFonts w:hint="eastAsia" w:hAnsi="宋体" w:cs="宋体"/>
          <w:color w:val="auto"/>
          <w:szCs w:val="21"/>
          <w:highlight w:val="none"/>
        </w:rPr>
        <w:t>在本担保有效期内，因承包人违反合同约定的义务给你方造成经济损失时，我方在收到你方以书面形式提出的在担保金额内的赔偿要求后，在</w:t>
      </w:r>
      <w:r>
        <w:rPr>
          <w:color w:val="auto"/>
          <w:szCs w:val="21"/>
          <w:highlight w:val="none"/>
        </w:rPr>
        <w:t>7</w:t>
      </w:r>
      <w:r>
        <w:rPr>
          <w:rFonts w:hint="eastAsia" w:hAnsi="宋体" w:cs="宋体"/>
          <w:color w:val="auto"/>
          <w:szCs w:val="21"/>
          <w:highlight w:val="none"/>
        </w:rPr>
        <w:t>天内无条件支付。</w:t>
      </w:r>
    </w:p>
    <w:p w14:paraId="6E770CD4">
      <w:pPr>
        <w:spacing w:line="360" w:lineRule="auto"/>
        <w:ind w:firstLine="420" w:firstLineChars="200"/>
        <w:rPr>
          <w:color w:val="auto"/>
          <w:szCs w:val="21"/>
          <w:highlight w:val="none"/>
        </w:rPr>
      </w:pPr>
      <w:r>
        <w:rPr>
          <w:color w:val="auto"/>
          <w:szCs w:val="21"/>
          <w:highlight w:val="none"/>
        </w:rPr>
        <w:t xml:space="preserve">4. </w:t>
      </w:r>
      <w:r>
        <w:rPr>
          <w:rFonts w:hint="eastAsia" w:hAnsi="宋体" w:cs="宋体"/>
          <w:color w:val="auto"/>
          <w:szCs w:val="21"/>
          <w:highlight w:val="none"/>
        </w:rPr>
        <w:t>你方和承包人按合同约定变更合同时，我方承担本担保规定的义务不变。</w:t>
      </w:r>
    </w:p>
    <w:p w14:paraId="16C8068C">
      <w:pPr>
        <w:spacing w:line="360" w:lineRule="auto"/>
        <w:ind w:firstLine="420" w:firstLineChars="200"/>
        <w:rPr>
          <w:color w:val="auto"/>
          <w:szCs w:val="21"/>
          <w:highlight w:val="none"/>
        </w:rPr>
      </w:pPr>
      <w:r>
        <w:rPr>
          <w:color w:val="auto"/>
          <w:szCs w:val="21"/>
          <w:highlight w:val="none"/>
        </w:rPr>
        <w:t xml:space="preserve">5. </w:t>
      </w:r>
      <w:r>
        <w:rPr>
          <w:rFonts w:hint="eastAsia" w:hAnsi="宋体" w:cs="宋体"/>
          <w:color w:val="auto"/>
          <w:szCs w:val="21"/>
          <w:highlight w:val="none"/>
        </w:rPr>
        <w:t>因本保函发生的纠纷，可由双方协商解决，协商不成的，任何一方均可提请</w:t>
      </w:r>
      <w:r>
        <w:rPr>
          <w:color w:val="auto"/>
          <w:szCs w:val="21"/>
          <w:highlight w:val="none"/>
          <w:u w:val="single"/>
        </w:rPr>
        <w:t xml:space="preserve">      </w:t>
      </w:r>
      <w:r>
        <w:rPr>
          <w:rFonts w:hint="eastAsia" w:hAnsi="宋体" w:cs="宋体"/>
          <w:color w:val="auto"/>
          <w:szCs w:val="21"/>
          <w:highlight w:val="none"/>
        </w:rPr>
        <w:t>仲裁委员会仲裁。</w:t>
      </w:r>
    </w:p>
    <w:p w14:paraId="7E656677">
      <w:pPr>
        <w:spacing w:line="360" w:lineRule="auto"/>
        <w:ind w:firstLine="420" w:firstLineChars="200"/>
        <w:rPr>
          <w:color w:val="auto"/>
          <w:szCs w:val="21"/>
          <w:highlight w:val="none"/>
        </w:rPr>
      </w:pPr>
      <w:r>
        <w:rPr>
          <w:color w:val="auto"/>
          <w:szCs w:val="21"/>
          <w:highlight w:val="none"/>
        </w:rPr>
        <w:t xml:space="preserve">6. </w:t>
      </w:r>
      <w:r>
        <w:rPr>
          <w:rFonts w:hint="eastAsia" w:hAnsi="宋体" w:cs="宋体"/>
          <w:color w:val="auto"/>
          <w:szCs w:val="21"/>
          <w:highlight w:val="none"/>
        </w:rPr>
        <w:t>本保函自我方法定代表人（或其授权代理人）签字并加盖公章之日起生效。</w:t>
      </w:r>
    </w:p>
    <w:p w14:paraId="4EAB504F">
      <w:pPr>
        <w:spacing w:line="360" w:lineRule="auto"/>
        <w:rPr>
          <w:color w:val="auto"/>
          <w:szCs w:val="21"/>
          <w:highlight w:val="none"/>
        </w:rPr>
      </w:pPr>
    </w:p>
    <w:p w14:paraId="5EF11C91">
      <w:pPr>
        <w:spacing w:line="360" w:lineRule="auto"/>
        <w:rPr>
          <w:color w:val="auto"/>
          <w:szCs w:val="21"/>
          <w:highlight w:val="none"/>
        </w:rPr>
      </w:pPr>
      <w:r>
        <w:rPr>
          <w:rFonts w:hint="eastAsia" w:hAnsi="宋体" w:cs="宋体"/>
          <w:color w:val="auto"/>
          <w:szCs w:val="21"/>
          <w:highlight w:val="none"/>
        </w:rPr>
        <w:t>担</w:t>
      </w:r>
      <w:r>
        <w:rPr>
          <w:color w:val="auto"/>
          <w:szCs w:val="21"/>
          <w:highlight w:val="none"/>
        </w:rPr>
        <w:t xml:space="preserve"> </w:t>
      </w:r>
      <w:r>
        <w:rPr>
          <w:rFonts w:hint="eastAsia" w:hAnsi="宋体" w:cs="宋体"/>
          <w:color w:val="auto"/>
          <w:szCs w:val="21"/>
          <w:highlight w:val="none"/>
        </w:rPr>
        <w:t>保</w:t>
      </w:r>
      <w:r>
        <w:rPr>
          <w:color w:val="auto"/>
          <w:szCs w:val="21"/>
          <w:highlight w:val="none"/>
        </w:rPr>
        <w:t xml:space="preserve"> </w:t>
      </w:r>
      <w:r>
        <w:rPr>
          <w:rFonts w:hint="eastAsia" w:hAnsi="宋体" w:cs="宋体"/>
          <w:color w:val="auto"/>
          <w:szCs w:val="21"/>
          <w:highlight w:val="none"/>
        </w:rPr>
        <w:t>人：</w:t>
      </w:r>
      <w:r>
        <w:rPr>
          <w:color w:val="auto"/>
          <w:szCs w:val="21"/>
          <w:highlight w:val="none"/>
          <w:u w:val="single"/>
        </w:rPr>
        <w:t xml:space="preserve">                           </w:t>
      </w:r>
      <w:r>
        <w:rPr>
          <w:rFonts w:hint="eastAsia" w:hAnsi="宋体" w:cs="宋体"/>
          <w:color w:val="auto"/>
          <w:szCs w:val="21"/>
          <w:highlight w:val="none"/>
        </w:rPr>
        <w:t>（盖单位章）</w:t>
      </w:r>
    </w:p>
    <w:p w14:paraId="3499D7E3">
      <w:pPr>
        <w:spacing w:line="360" w:lineRule="auto"/>
        <w:rPr>
          <w:color w:val="auto"/>
          <w:szCs w:val="21"/>
          <w:highlight w:val="none"/>
        </w:rPr>
      </w:pPr>
      <w:r>
        <w:rPr>
          <w:rFonts w:hint="eastAsia" w:hAnsi="宋体" w:cs="宋体"/>
          <w:color w:val="auto"/>
          <w:szCs w:val="21"/>
          <w:highlight w:val="none"/>
        </w:rPr>
        <w:t>法定代表人或其委托代理人：</w:t>
      </w:r>
      <w:r>
        <w:rPr>
          <w:color w:val="auto"/>
          <w:szCs w:val="21"/>
          <w:highlight w:val="none"/>
          <w:u w:val="single"/>
        </w:rPr>
        <w:t xml:space="preserve">               </w:t>
      </w:r>
      <w:r>
        <w:rPr>
          <w:rFonts w:hint="eastAsia" w:hAnsi="宋体" w:cs="宋体"/>
          <w:color w:val="auto"/>
          <w:szCs w:val="21"/>
          <w:highlight w:val="none"/>
        </w:rPr>
        <w:t>（签字）</w:t>
      </w:r>
    </w:p>
    <w:p w14:paraId="6B8362AE">
      <w:pPr>
        <w:spacing w:line="360" w:lineRule="auto"/>
        <w:rPr>
          <w:color w:val="auto"/>
          <w:szCs w:val="21"/>
          <w:highlight w:val="none"/>
        </w:rPr>
      </w:pPr>
      <w:r>
        <w:rPr>
          <w:rFonts w:hint="eastAsia" w:hAnsi="宋体" w:cs="宋体"/>
          <w:color w:val="auto"/>
          <w:szCs w:val="21"/>
          <w:highlight w:val="none"/>
        </w:rPr>
        <w:t>地</w:t>
      </w:r>
      <w:r>
        <w:rPr>
          <w:color w:val="auto"/>
          <w:szCs w:val="21"/>
          <w:highlight w:val="none"/>
        </w:rPr>
        <w:t xml:space="preserve">    </w:t>
      </w:r>
      <w:r>
        <w:rPr>
          <w:rFonts w:hint="eastAsia" w:hAnsi="宋体" w:cs="宋体"/>
          <w:color w:val="auto"/>
          <w:szCs w:val="21"/>
          <w:highlight w:val="none"/>
        </w:rPr>
        <w:t>址：</w:t>
      </w:r>
      <w:r>
        <w:rPr>
          <w:color w:val="auto"/>
          <w:szCs w:val="21"/>
          <w:highlight w:val="none"/>
          <w:u w:val="single"/>
        </w:rPr>
        <w:t xml:space="preserve">                                      </w:t>
      </w:r>
    </w:p>
    <w:p w14:paraId="0B1F8EBC">
      <w:pPr>
        <w:spacing w:line="360" w:lineRule="auto"/>
        <w:rPr>
          <w:color w:val="auto"/>
          <w:szCs w:val="21"/>
          <w:highlight w:val="none"/>
        </w:rPr>
      </w:pPr>
      <w:r>
        <w:rPr>
          <w:rFonts w:hint="eastAsia" w:hAnsi="宋体" w:cs="宋体"/>
          <w:color w:val="auto"/>
          <w:szCs w:val="21"/>
          <w:highlight w:val="none"/>
        </w:rPr>
        <w:t>邮政编码：</w:t>
      </w:r>
      <w:r>
        <w:rPr>
          <w:color w:val="auto"/>
          <w:szCs w:val="21"/>
          <w:highlight w:val="none"/>
          <w:u w:val="single"/>
        </w:rPr>
        <w:t xml:space="preserve">                                      </w:t>
      </w:r>
    </w:p>
    <w:p w14:paraId="482C66C2">
      <w:pPr>
        <w:spacing w:line="360" w:lineRule="auto"/>
        <w:rPr>
          <w:color w:val="auto"/>
          <w:szCs w:val="21"/>
          <w:highlight w:val="none"/>
          <w:u w:val="single"/>
        </w:rPr>
      </w:pPr>
      <w:r>
        <w:rPr>
          <w:rFonts w:hint="eastAsia" w:hAnsi="宋体" w:cs="宋体"/>
          <w:color w:val="auto"/>
          <w:szCs w:val="21"/>
          <w:highlight w:val="none"/>
        </w:rPr>
        <w:t>电</w:t>
      </w:r>
      <w:r>
        <w:rPr>
          <w:color w:val="auto"/>
          <w:szCs w:val="21"/>
          <w:highlight w:val="none"/>
        </w:rPr>
        <w:t xml:space="preserve">    </w:t>
      </w:r>
      <w:r>
        <w:rPr>
          <w:rFonts w:hint="eastAsia" w:hAnsi="宋体" w:cs="宋体"/>
          <w:color w:val="auto"/>
          <w:szCs w:val="21"/>
          <w:highlight w:val="none"/>
        </w:rPr>
        <w:t>话：</w:t>
      </w:r>
      <w:r>
        <w:rPr>
          <w:color w:val="auto"/>
          <w:szCs w:val="21"/>
          <w:highlight w:val="none"/>
          <w:u w:val="single"/>
        </w:rPr>
        <w:t xml:space="preserve">                                      </w:t>
      </w:r>
    </w:p>
    <w:p w14:paraId="21AB7813">
      <w:pPr>
        <w:spacing w:line="360" w:lineRule="auto"/>
        <w:rPr>
          <w:color w:val="auto"/>
          <w:szCs w:val="21"/>
          <w:highlight w:val="none"/>
        </w:rPr>
      </w:pPr>
      <w:r>
        <w:rPr>
          <w:rFonts w:hint="eastAsia" w:hAnsi="宋体" w:cs="宋体"/>
          <w:color w:val="auto"/>
          <w:szCs w:val="21"/>
          <w:highlight w:val="none"/>
        </w:rPr>
        <w:t>传</w:t>
      </w:r>
      <w:r>
        <w:rPr>
          <w:color w:val="auto"/>
          <w:szCs w:val="21"/>
          <w:highlight w:val="none"/>
        </w:rPr>
        <w:t xml:space="preserve">    </w:t>
      </w:r>
      <w:r>
        <w:rPr>
          <w:rFonts w:hint="eastAsia" w:hAnsi="宋体" w:cs="宋体"/>
          <w:color w:val="auto"/>
          <w:szCs w:val="21"/>
          <w:highlight w:val="none"/>
        </w:rPr>
        <w:t>真：</w:t>
      </w:r>
      <w:r>
        <w:rPr>
          <w:color w:val="auto"/>
          <w:szCs w:val="21"/>
          <w:highlight w:val="none"/>
          <w:u w:val="single"/>
        </w:rPr>
        <w:t xml:space="preserve">                                      </w:t>
      </w:r>
    </w:p>
    <w:p w14:paraId="692AD999">
      <w:pPr>
        <w:spacing w:line="360" w:lineRule="auto"/>
        <w:jc w:val="left"/>
        <w:rPr>
          <w:color w:val="auto"/>
          <w:szCs w:val="21"/>
          <w:highlight w:val="none"/>
          <w:u w:val="single"/>
        </w:rPr>
      </w:pPr>
    </w:p>
    <w:p w14:paraId="6826359B">
      <w:pPr>
        <w:spacing w:line="360" w:lineRule="auto"/>
        <w:ind w:left="1329" w:hanging="1329" w:hangingChars="633"/>
        <w:rPr>
          <w:color w:val="auto"/>
          <w:szCs w:val="21"/>
          <w:highlight w:val="none"/>
        </w:rPr>
      </w:pPr>
      <w:r>
        <w:rPr>
          <w:color w:val="auto"/>
          <w:szCs w:val="21"/>
          <w:highlight w:val="none"/>
        </w:rPr>
        <w:t xml:space="preserve">               </w:t>
      </w:r>
      <w:r>
        <w:rPr>
          <w:color w:val="auto"/>
          <w:szCs w:val="21"/>
          <w:highlight w:val="none"/>
          <w:u w:val="single"/>
        </w:rPr>
        <w:t xml:space="preserve">           </w:t>
      </w:r>
      <w:r>
        <w:rPr>
          <w:rFonts w:hint="eastAsia" w:hAnsi="宋体" w:cs="宋体"/>
          <w:color w:val="auto"/>
          <w:szCs w:val="21"/>
          <w:highlight w:val="none"/>
        </w:rPr>
        <w:t>年</w:t>
      </w:r>
      <w:r>
        <w:rPr>
          <w:color w:val="auto"/>
          <w:szCs w:val="21"/>
          <w:highlight w:val="none"/>
          <w:u w:val="single"/>
        </w:rPr>
        <w:t xml:space="preserve">        </w:t>
      </w:r>
      <w:r>
        <w:rPr>
          <w:rFonts w:hint="eastAsia" w:hAnsi="宋体" w:cs="宋体"/>
          <w:color w:val="auto"/>
          <w:szCs w:val="21"/>
          <w:highlight w:val="none"/>
        </w:rPr>
        <w:t>月</w:t>
      </w:r>
      <w:r>
        <w:rPr>
          <w:color w:val="auto"/>
          <w:szCs w:val="21"/>
          <w:highlight w:val="none"/>
          <w:u w:val="single"/>
        </w:rPr>
        <w:t xml:space="preserve">        </w:t>
      </w:r>
      <w:r>
        <w:rPr>
          <w:rFonts w:hint="eastAsia" w:hAnsi="宋体" w:cs="宋体"/>
          <w:color w:val="auto"/>
          <w:szCs w:val="21"/>
          <w:highlight w:val="none"/>
        </w:rPr>
        <w:t>日</w:t>
      </w:r>
    </w:p>
    <w:p w14:paraId="2479E13D">
      <w:pPr>
        <w:spacing w:line="360" w:lineRule="auto"/>
        <w:ind w:left="1329" w:hanging="1329" w:hangingChars="633"/>
        <w:rPr>
          <w:color w:val="auto"/>
          <w:szCs w:val="21"/>
          <w:highlight w:val="none"/>
        </w:rPr>
      </w:pPr>
    </w:p>
    <w:p w14:paraId="711AD5ED">
      <w:pPr>
        <w:spacing w:line="360" w:lineRule="auto"/>
        <w:ind w:right="150" w:firstLine="420" w:firstLineChars="200"/>
        <w:jc w:val="left"/>
        <w:rPr>
          <w:color w:val="auto"/>
          <w:szCs w:val="21"/>
          <w:highlight w:val="none"/>
        </w:rPr>
      </w:pPr>
      <w:r>
        <w:rPr>
          <w:rFonts w:hint="eastAsia" w:hAnsi="宋体" w:cs="宋体"/>
          <w:color w:val="auto"/>
          <w:szCs w:val="21"/>
          <w:highlight w:val="none"/>
        </w:rPr>
        <w:t>（备注</w:t>
      </w:r>
      <w:r>
        <w:rPr>
          <w:rFonts w:hAnsi="宋体" w:cs="宋体"/>
          <w:color w:val="auto"/>
          <w:szCs w:val="21"/>
          <w:highlight w:val="none"/>
        </w:rPr>
        <w:t>：</w:t>
      </w:r>
      <w:r>
        <w:rPr>
          <w:rFonts w:hint="eastAsia" w:hAnsi="宋体" w:cs="宋体"/>
          <w:color w:val="auto"/>
          <w:szCs w:val="21"/>
          <w:highlight w:val="none"/>
        </w:rPr>
        <w:t>银行、保险公司和担保公司出具的</w:t>
      </w:r>
      <w:r>
        <w:rPr>
          <w:rFonts w:hint="eastAsia" w:ascii="仿宋_GB2312" w:hAnsi="宋体" w:cs="宋体"/>
          <w:color w:val="auto"/>
          <w:szCs w:val="21"/>
          <w:highlight w:val="none"/>
        </w:rPr>
        <w:t>保函格式和文本可</w:t>
      </w:r>
      <w:r>
        <w:rPr>
          <w:rFonts w:ascii="仿宋_GB2312" w:hAnsi="宋体" w:cs="宋体"/>
          <w:color w:val="auto"/>
          <w:szCs w:val="21"/>
          <w:highlight w:val="none"/>
        </w:rPr>
        <w:t>以自拟，</w:t>
      </w:r>
      <w:r>
        <w:rPr>
          <w:rFonts w:hint="eastAsia" w:ascii="仿宋_GB2312" w:hAnsi="宋体" w:cs="宋体"/>
          <w:color w:val="auto"/>
          <w:szCs w:val="21"/>
          <w:highlight w:val="none"/>
        </w:rPr>
        <w:t>但是必须包含以上条款所列全部内容</w:t>
      </w:r>
      <w:r>
        <w:rPr>
          <w:rFonts w:ascii="仿宋_GB2312" w:hAnsi="宋体" w:cs="宋体"/>
          <w:color w:val="auto"/>
          <w:szCs w:val="21"/>
          <w:highlight w:val="none"/>
        </w:rPr>
        <w:t>）</w:t>
      </w:r>
    </w:p>
    <w:p w14:paraId="6509FF32">
      <w:pPr>
        <w:widowControl/>
        <w:spacing w:line="360" w:lineRule="auto"/>
        <w:jc w:val="left"/>
        <w:rPr>
          <w:rFonts w:eastAsia="仿宋_GB2312" w:cs="仿宋_GB2312"/>
          <w:color w:val="auto"/>
          <w:sz w:val="30"/>
          <w:szCs w:val="30"/>
          <w:highlight w:val="none"/>
        </w:rPr>
      </w:pPr>
      <w:r>
        <w:rPr>
          <w:rFonts w:eastAsia="仿宋_GB2312" w:cs="仿宋_GB2312"/>
          <w:color w:val="auto"/>
          <w:sz w:val="30"/>
          <w:szCs w:val="30"/>
          <w:highlight w:val="none"/>
        </w:rPr>
        <w:br w:type="page"/>
      </w:r>
    </w:p>
    <w:p w14:paraId="445B129A">
      <w:pPr>
        <w:spacing w:line="360" w:lineRule="auto"/>
        <w:rPr>
          <w:rFonts w:eastAsia="黑体"/>
          <w:color w:val="auto"/>
          <w:sz w:val="30"/>
          <w:szCs w:val="30"/>
          <w:highlight w:val="none"/>
        </w:rPr>
      </w:pPr>
      <w:r>
        <w:rPr>
          <w:rFonts w:hint="eastAsia" w:eastAsia="仿宋_GB2312" w:cs="仿宋_GB2312"/>
          <w:color w:val="auto"/>
          <w:sz w:val="30"/>
          <w:szCs w:val="30"/>
          <w:highlight w:val="none"/>
        </w:rPr>
        <w:t>附件</w:t>
      </w:r>
      <w:r>
        <w:rPr>
          <w:rFonts w:hint="eastAsia" w:eastAsia="仿宋_GB2312"/>
          <w:color w:val="auto"/>
          <w:sz w:val="30"/>
          <w:szCs w:val="30"/>
          <w:highlight w:val="none"/>
        </w:rPr>
        <w:t>8</w:t>
      </w:r>
      <w:r>
        <w:rPr>
          <w:rFonts w:hint="eastAsia" w:eastAsia="仿宋_GB2312" w:cs="仿宋_GB2312"/>
          <w:color w:val="auto"/>
          <w:sz w:val="30"/>
          <w:szCs w:val="30"/>
          <w:highlight w:val="none"/>
        </w:rPr>
        <w:t>：</w:t>
      </w:r>
    </w:p>
    <w:p w14:paraId="27FD106C">
      <w:pPr>
        <w:spacing w:beforeLines="50" w:afterLines="50" w:line="360" w:lineRule="auto"/>
        <w:jc w:val="center"/>
        <w:rPr>
          <w:rFonts w:eastAsia="黑体"/>
          <w:color w:val="auto"/>
          <w:sz w:val="30"/>
          <w:szCs w:val="30"/>
          <w:highlight w:val="none"/>
        </w:rPr>
      </w:pPr>
      <w:r>
        <w:rPr>
          <w:rFonts w:hint="eastAsia" w:eastAsia="黑体" w:cs="黑体"/>
          <w:color w:val="auto"/>
          <w:sz w:val="30"/>
          <w:szCs w:val="30"/>
          <w:highlight w:val="none"/>
        </w:rPr>
        <w:t>预付款担保</w:t>
      </w:r>
    </w:p>
    <w:p w14:paraId="08761BFA">
      <w:pPr>
        <w:spacing w:line="360" w:lineRule="auto"/>
        <w:rPr>
          <w:color w:val="auto"/>
          <w:szCs w:val="21"/>
          <w:highlight w:val="none"/>
        </w:rPr>
      </w:pPr>
      <w:r>
        <w:rPr>
          <w:color w:val="auto"/>
          <w:szCs w:val="21"/>
          <w:highlight w:val="none"/>
          <w:u w:val="single"/>
        </w:rPr>
        <w:t xml:space="preserve">                    </w:t>
      </w:r>
      <w:r>
        <w:rPr>
          <w:color w:val="auto"/>
          <w:szCs w:val="21"/>
          <w:highlight w:val="none"/>
        </w:rPr>
        <w:t xml:space="preserve"> </w:t>
      </w:r>
      <w:r>
        <w:rPr>
          <w:rFonts w:hint="eastAsia" w:hAnsi="宋体" w:cs="宋体"/>
          <w:color w:val="auto"/>
          <w:szCs w:val="21"/>
          <w:highlight w:val="none"/>
        </w:rPr>
        <w:t>（发包人名称）：</w:t>
      </w:r>
    </w:p>
    <w:p w14:paraId="7A007270">
      <w:pPr>
        <w:spacing w:line="360" w:lineRule="auto"/>
        <w:ind w:firstLine="420" w:firstLineChars="200"/>
        <w:rPr>
          <w:color w:val="auto"/>
          <w:szCs w:val="21"/>
          <w:highlight w:val="none"/>
        </w:rPr>
      </w:pPr>
      <w:r>
        <w:rPr>
          <w:rFonts w:hint="eastAsia" w:hAnsi="宋体" w:cs="宋体"/>
          <w:color w:val="auto"/>
          <w:szCs w:val="21"/>
          <w:highlight w:val="none"/>
        </w:rPr>
        <w:t>根据</w:t>
      </w:r>
      <w:r>
        <w:rPr>
          <w:color w:val="auto"/>
          <w:szCs w:val="21"/>
          <w:highlight w:val="none"/>
          <w:u w:val="single"/>
        </w:rPr>
        <w:t xml:space="preserve">                 </w:t>
      </w:r>
      <w:r>
        <w:rPr>
          <w:rFonts w:hint="eastAsia" w:hAnsi="宋体" w:cs="宋体"/>
          <w:color w:val="auto"/>
          <w:szCs w:val="21"/>
          <w:highlight w:val="none"/>
        </w:rPr>
        <w:t>（承包人名称）（以下称</w:t>
      </w:r>
      <w:r>
        <w:rPr>
          <w:color w:val="auto"/>
          <w:szCs w:val="21"/>
          <w:highlight w:val="none"/>
        </w:rPr>
        <w:t>“</w:t>
      </w:r>
      <w:r>
        <w:rPr>
          <w:rFonts w:hint="eastAsia" w:hAnsi="宋体" w:cs="宋体"/>
          <w:color w:val="auto"/>
          <w:szCs w:val="21"/>
          <w:highlight w:val="none"/>
        </w:rPr>
        <w:t>承包人</w:t>
      </w:r>
      <w:r>
        <w:rPr>
          <w:color w:val="auto"/>
          <w:szCs w:val="21"/>
          <w:highlight w:val="none"/>
        </w:rPr>
        <w:t>”</w:t>
      </w:r>
      <w:r>
        <w:rPr>
          <w:rFonts w:hint="eastAsia" w:hAnsi="宋体" w:cs="宋体"/>
          <w:color w:val="auto"/>
          <w:szCs w:val="21"/>
          <w:highlight w:val="none"/>
        </w:rPr>
        <w:t>）与</w:t>
      </w:r>
      <w:r>
        <w:rPr>
          <w:color w:val="auto"/>
          <w:szCs w:val="21"/>
          <w:highlight w:val="none"/>
          <w:u w:val="single"/>
        </w:rPr>
        <w:t xml:space="preserve">                        </w:t>
      </w:r>
      <w:r>
        <w:rPr>
          <w:rFonts w:hint="eastAsia" w:hAnsi="宋体" w:cs="宋体"/>
          <w:color w:val="auto"/>
          <w:szCs w:val="21"/>
          <w:highlight w:val="none"/>
        </w:rPr>
        <w:t>（发包人名称）（以下简称</w:t>
      </w:r>
      <w:r>
        <w:rPr>
          <w:color w:val="auto"/>
          <w:szCs w:val="21"/>
          <w:highlight w:val="none"/>
        </w:rPr>
        <w:t>“</w:t>
      </w:r>
      <w:r>
        <w:rPr>
          <w:rFonts w:hint="eastAsia" w:hAnsi="宋体" w:cs="宋体"/>
          <w:color w:val="auto"/>
          <w:szCs w:val="21"/>
          <w:highlight w:val="none"/>
        </w:rPr>
        <w:t>发包人</w:t>
      </w:r>
      <w:r>
        <w:rPr>
          <w:color w:val="auto"/>
          <w:szCs w:val="21"/>
          <w:highlight w:val="none"/>
        </w:rPr>
        <w:t>”</w:t>
      </w:r>
      <w:r>
        <w:rPr>
          <w:rFonts w:hint="eastAsia" w:hAnsi="宋体" w:cs="宋体"/>
          <w:color w:val="auto"/>
          <w:szCs w:val="21"/>
          <w:highlight w:val="none"/>
        </w:rPr>
        <w:t>）于</w:t>
      </w:r>
      <w:r>
        <w:rPr>
          <w:color w:val="auto"/>
          <w:szCs w:val="21"/>
          <w:highlight w:val="none"/>
          <w:u w:val="single"/>
        </w:rPr>
        <w:t xml:space="preserve">           </w:t>
      </w:r>
      <w:r>
        <w:rPr>
          <w:rFonts w:hint="eastAsia" w:hAnsi="宋体" w:cs="宋体"/>
          <w:color w:val="auto"/>
          <w:szCs w:val="21"/>
          <w:highlight w:val="none"/>
        </w:rPr>
        <w:t>年</w:t>
      </w:r>
      <w:r>
        <w:rPr>
          <w:color w:val="auto"/>
          <w:szCs w:val="21"/>
          <w:highlight w:val="none"/>
          <w:u w:val="single"/>
        </w:rPr>
        <w:t xml:space="preserve">    </w:t>
      </w:r>
      <w:r>
        <w:rPr>
          <w:rFonts w:hint="eastAsia" w:hAnsi="宋体" w:cs="宋体"/>
          <w:color w:val="auto"/>
          <w:szCs w:val="21"/>
          <w:highlight w:val="none"/>
        </w:rPr>
        <w:t>月</w:t>
      </w:r>
      <w:r>
        <w:rPr>
          <w:color w:val="auto"/>
          <w:szCs w:val="21"/>
          <w:highlight w:val="none"/>
          <w:u w:val="single"/>
        </w:rPr>
        <w:t xml:space="preserve">    </w:t>
      </w:r>
      <w:r>
        <w:rPr>
          <w:rFonts w:hint="eastAsia" w:hAnsi="宋体" w:cs="宋体"/>
          <w:color w:val="auto"/>
          <w:szCs w:val="21"/>
          <w:highlight w:val="none"/>
        </w:rPr>
        <w:t>日签订的</w:t>
      </w:r>
      <w:r>
        <w:rPr>
          <w:color w:val="auto"/>
          <w:szCs w:val="21"/>
          <w:highlight w:val="none"/>
          <w:u w:val="single"/>
        </w:rPr>
        <w:t xml:space="preserve">                   </w:t>
      </w:r>
      <w:r>
        <w:rPr>
          <w:rFonts w:hint="eastAsia" w:hAnsi="宋体" w:cs="宋体"/>
          <w:color w:val="auto"/>
          <w:szCs w:val="21"/>
          <w:highlight w:val="none"/>
        </w:rPr>
        <w:t>（工程名称）《建设工程施工合同》，承包人按约定的金额向你方提交一份预付款担保，即有权得到你方支付相等金额的预付款。我方愿意就你方提供给承包人的预付款为承包人提供连带责任担保。</w:t>
      </w:r>
    </w:p>
    <w:p w14:paraId="254CFA83">
      <w:pPr>
        <w:spacing w:line="360" w:lineRule="auto"/>
        <w:ind w:firstLine="420" w:firstLineChars="200"/>
        <w:rPr>
          <w:color w:val="auto"/>
          <w:szCs w:val="21"/>
          <w:highlight w:val="none"/>
        </w:rPr>
      </w:pPr>
      <w:r>
        <w:rPr>
          <w:color w:val="auto"/>
          <w:szCs w:val="21"/>
          <w:highlight w:val="none"/>
        </w:rPr>
        <w:t xml:space="preserve">1. </w:t>
      </w:r>
      <w:r>
        <w:rPr>
          <w:rFonts w:hint="eastAsia" w:hAnsi="宋体" w:cs="宋体"/>
          <w:color w:val="auto"/>
          <w:szCs w:val="21"/>
          <w:highlight w:val="none"/>
        </w:rPr>
        <w:t>担保金额人民币（大写）</w:t>
      </w:r>
      <w:r>
        <w:rPr>
          <w:color w:val="auto"/>
          <w:szCs w:val="21"/>
          <w:highlight w:val="none"/>
          <w:u w:val="single"/>
        </w:rPr>
        <w:t xml:space="preserve">                </w:t>
      </w:r>
      <w:r>
        <w:rPr>
          <w:rFonts w:hint="eastAsia" w:hAnsi="宋体" w:cs="宋体"/>
          <w:color w:val="auto"/>
          <w:szCs w:val="21"/>
          <w:highlight w:val="none"/>
        </w:rPr>
        <w:t>元（</w:t>
      </w:r>
      <w:r>
        <w:rPr>
          <w:color w:val="auto"/>
          <w:szCs w:val="21"/>
          <w:highlight w:val="none"/>
        </w:rPr>
        <w:t>¥</w:t>
      </w:r>
      <w:r>
        <w:rPr>
          <w:color w:val="auto"/>
          <w:szCs w:val="21"/>
          <w:highlight w:val="none"/>
          <w:u w:val="single"/>
        </w:rPr>
        <w:t xml:space="preserve">             </w:t>
      </w:r>
      <w:r>
        <w:rPr>
          <w:rFonts w:hint="eastAsia" w:hAnsi="宋体" w:cs="宋体"/>
          <w:color w:val="auto"/>
          <w:szCs w:val="21"/>
          <w:highlight w:val="none"/>
        </w:rPr>
        <w:t>）。</w:t>
      </w:r>
    </w:p>
    <w:p w14:paraId="4A6A0609">
      <w:pPr>
        <w:spacing w:line="360" w:lineRule="auto"/>
        <w:ind w:firstLine="420" w:firstLineChars="200"/>
        <w:rPr>
          <w:color w:val="auto"/>
          <w:szCs w:val="21"/>
          <w:highlight w:val="none"/>
        </w:rPr>
      </w:pPr>
      <w:r>
        <w:rPr>
          <w:color w:val="auto"/>
          <w:szCs w:val="21"/>
          <w:highlight w:val="none"/>
        </w:rPr>
        <w:t xml:space="preserve">2. </w:t>
      </w:r>
      <w:r>
        <w:rPr>
          <w:rFonts w:hint="eastAsia" w:hAnsi="宋体" w:cs="宋体"/>
          <w:color w:val="auto"/>
          <w:szCs w:val="21"/>
          <w:highlight w:val="none"/>
        </w:rPr>
        <w:t>担保有效期自预付款支付给承包人起生效，至你方签发的进度款支付证书说明已完全扣清止。</w:t>
      </w:r>
    </w:p>
    <w:p w14:paraId="6758AEF3">
      <w:pPr>
        <w:spacing w:line="360" w:lineRule="auto"/>
        <w:ind w:firstLine="420" w:firstLineChars="200"/>
        <w:rPr>
          <w:color w:val="auto"/>
          <w:szCs w:val="21"/>
          <w:highlight w:val="none"/>
        </w:rPr>
      </w:pPr>
      <w:r>
        <w:rPr>
          <w:color w:val="auto"/>
          <w:szCs w:val="21"/>
          <w:highlight w:val="none"/>
        </w:rPr>
        <w:t xml:space="preserve">3. </w:t>
      </w:r>
      <w:r>
        <w:rPr>
          <w:rFonts w:hint="eastAsia" w:hAnsi="宋体" w:cs="宋体"/>
          <w:color w:val="auto"/>
          <w:szCs w:val="21"/>
          <w:highlight w:val="none"/>
        </w:rPr>
        <w:t>在本保函有效期内，因承包人违反合同约定的义务而要求收回预付款时，我方在收到你方的书面通知后，在７天内无条件支付。但本保函的担保金额，在任何时候不应超过预付款金额减去你方按合同约定在向承包人签发的进度款支付证书中扣除的金额。</w:t>
      </w:r>
    </w:p>
    <w:p w14:paraId="4A44A5AE">
      <w:pPr>
        <w:spacing w:line="360" w:lineRule="auto"/>
        <w:ind w:firstLine="420" w:firstLineChars="200"/>
        <w:rPr>
          <w:color w:val="auto"/>
          <w:szCs w:val="21"/>
          <w:highlight w:val="none"/>
        </w:rPr>
      </w:pPr>
      <w:r>
        <w:rPr>
          <w:color w:val="auto"/>
          <w:szCs w:val="21"/>
          <w:highlight w:val="none"/>
        </w:rPr>
        <w:t xml:space="preserve">4. </w:t>
      </w:r>
      <w:r>
        <w:rPr>
          <w:rFonts w:hint="eastAsia" w:hAnsi="宋体" w:cs="宋体"/>
          <w:color w:val="auto"/>
          <w:szCs w:val="21"/>
          <w:highlight w:val="none"/>
        </w:rPr>
        <w:t>你方和承包人按合同约定变更合同时，我方承担本保函规定的义务不变。</w:t>
      </w:r>
    </w:p>
    <w:p w14:paraId="47D0F9DA">
      <w:pPr>
        <w:spacing w:line="360" w:lineRule="auto"/>
        <w:ind w:firstLine="420" w:firstLineChars="200"/>
        <w:rPr>
          <w:color w:val="auto"/>
          <w:szCs w:val="21"/>
          <w:highlight w:val="none"/>
        </w:rPr>
      </w:pPr>
      <w:r>
        <w:rPr>
          <w:color w:val="auto"/>
          <w:szCs w:val="21"/>
          <w:highlight w:val="none"/>
        </w:rPr>
        <w:t xml:space="preserve">5. </w:t>
      </w:r>
      <w:r>
        <w:rPr>
          <w:rFonts w:hint="eastAsia" w:hAnsi="宋体" w:cs="宋体"/>
          <w:color w:val="auto"/>
          <w:szCs w:val="21"/>
          <w:highlight w:val="none"/>
        </w:rPr>
        <w:t>因本保函发生的纠纷，可由双方协商解决，协商不成的，任何一方均可提请</w:t>
      </w:r>
      <w:r>
        <w:rPr>
          <w:color w:val="auto"/>
          <w:szCs w:val="21"/>
          <w:highlight w:val="none"/>
          <w:u w:val="single"/>
        </w:rPr>
        <w:t xml:space="preserve">      </w:t>
      </w:r>
      <w:r>
        <w:rPr>
          <w:rFonts w:hint="eastAsia" w:hAnsi="宋体" w:cs="宋体"/>
          <w:color w:val="auto"/>
          <w:szCs w:val="21"/>
          <w:highlight w:val="none"/>
        </w:rPr>
        <w:t>仲裁委员会仲裁。</w:t>
      </w:r>
    </w:p>
    <w:p w14:paraId="4DF1E645">
      <w:pPr>
        <w:spacing w:line="360" w:lineRule="auto"/>
        <w:ind w:firstLine="420" w:firstLineChars="200"/>
        <w:jc w:val="left"/>
        <w:rPr>
          <w:color w:val="auto"/>
          <w:szCs w:val="21"/>
          <w:highlight w:val="none"/>
        </w:rPr>
      </w:pPr>
      <w:r>
        <w:rPr>
          <w:color w:val="auto"/>
          <w:szCs w:val="21"/>
          <w:highlight w:val="none"/>
        </w:rPr>
        <w:t xml:space="preserve">6. </w:t>
      </w:r>
      <w:r>
        <w:rPr>
          <w:rFonts w:hint="eastAsia" w:hAnsi="宋体" w:cs="宋体"/>
          <w:color w:val="auto"/>
          <w:szCs w:val="21"/>
          <w:highlight w:val="none"/>
        </w:rPr>
        <w:t>本保函自我方法定代表人（或其授权代理人）签字并加盖公章之日起生效。</w:t>
      </w:r>
    </w:p>
    <w:p w14:paraId="0823A780">
      <w:pPr>
        <w:spacing w:line="360" w:lineRule="auto"/>
        <w:rPr>
          <w:color w:val="auto"/>
          <w:szCs w:val="21"/>
          <w:highlight w:val="none"/>
        </w:rPr>
      </w:pPr>
    </w:p>
    <w:p w14:paraId="51359213">
      <w:pPr>
        <w:spacing w:line="360" w:lineRule="auto"/>
        <w:rPr>
          <w:color w:val="auto"/>
          <w:szCs w:val="21"/>
          <w:highlight w:val="none"/>
        </w:rPr>
      </w:pPr>
      <w:r>
        <w:rPr>
          <w:rFonts w:hint="eastAsia" w:hAnsi="宋体" w:cs="宋体"/>
          <w:color w:val="auto"/>
          <w:szCs w:val="21"/>
          <w:highlight w:val="none"/>
        </w:rPr>
        <w:t>担保人：</w:t>
      </w:r>
      <w:r>
        <w:rPr>
          <w:color w:val="auto"/>
          <w:szCs w:val="21"/>
          <w:highlight w:val="none"/>
          <w:u w:val="single"/>
        </w:rPr>
        <w:t xml:space="preserve">                          </w:t>
      </w:r>
      <w:r>
        <w:rPr>
          <w:rFonts w:hint="eastAsia" w:hAnsi="宋体" w:cs="宋体"/>
          <w:color w:val="auto"/>
          <w:szCs w:val="21"/>
          <w:highlight w:val="none"/>
        </w:rPr>
        <w:t>（盖单位章）</w:t>
      </w:r>
    </w:p>
    <w:p w14:paraId="3F4FC92D">
      <w:pPr>
        <w:spacing w:line="360" w:lineRule="auto"/>
        <w:rPr>
          <w:color w:val="auto"/>
          <w:szCs w:val="21"/>
          <w:highlight w:val="none"/>
        </w:rPr>
      </w:pPr>
      <w:r>
        <w:rPr>
          <w:rFonts w:hint="eastAsia" w:hAnsi="宋体" w:cs="宋体"/>
          <w:color w:val="auto"/>
          <w:szCs w:val="21"/>
          <w:highlight w:val="none"/>
        </w:rPr>
        <w:t>法定代表人或其委托代理人：</w:t>
      </w:r>
      <w:r>
        <w:rPr>
          <w:color w:val="auto"/>
          <w:szCs w:val="21"/>
          <w:highlight w:val="none"/>
          <w:u w:val="single"/>
        </w:rPr>
        <w:t xml:space="preserve">            </w:t>
      </w:r>
      <w:r>
        <w:rPr>
          <w:rFonts w:hint="eastAsia" w:hAnsi="宋体" w:cs="宋体"/>
          <w:color w:val="auto"/>
          <w:szCs w:val="21"/>
          <w:highlight w:val="none"/>
        </w:rPr>
        <w:t>（签字）</w:t>
      </w:r>
    </w:p>
    <w:p w14:paraId="77433CFC">
      <w:pPr>
        <w:spacing w:line="360" w:lineRule="auto"/>
        <w:rPr>
          <w:color w:val="auto"/>
          <w:szCs w:val="21"/>
          <w:highlight w:val="none"/>
        </w:rPr>
      </w:pPr>
      <w:r>
        <w:rPr>
          <w:rFonts w:hint="eastAsia" w:hAnsi="宋体" w:cs="宋体"/>
          <w:color w:val="auto"/>
          <w:szCs w:val="21"/>
          <w:highlight w:val="none"/>
        </w:rPr>
        <w:t>地</w:t>
      </w:r>
      <w:r>
        <w:rPr>
          <w:color w:val="auto"/>
          <w:szCs w:val="21"/>
          <w:highlight w:val="none"/>
        </w:rPr>
        <w:t xml:space="preserve">    </w:t>
      </w:r>
      <w:r>
        <w:rPr>
          <w:rFonts w:hint="eastAsia" w:hAnsi="宋体" w:cs="宋体"/>
          <w:color w:val="auto"/>
          <w:szCs w:val="21"/>
          <w:highlight w:val="none"/>
        </w:rPr>
        <w:t>址：</w:t>
      </w:r>
      <w:r>
        <w:rPr>
          <w:color w:val="auto"/>
          <w:szCs w:val="21"/>
          <w:highlight w:val="none"/>
          <w:u w:val="single"/>
        </w:rPr>
        <w:t xml:space="preserve">                            </w:t>
      </w:r>
    </w:p>
    <w:p w14:paraId="7B43276E">
      <w:pPr>
        <w:spacing w:line="360" w:lineRule="auto"/>
        <w:rPr>
          <w:color w:val="auto"/>
          <w:szCs w:val="21"/>
          <w:highlight w:val="none"/>
          <w:u w:val="single"/>
        </w:rPr>
      </w:pPr>
      <w:r>
        <w:rPr>
          <w:rFonts w:hint="eastAsia" w:hAnsi="宋体" w:cs="宋体"/>
          <w:color w:val="auto"/>
          <w:szCs w:val="21"/>
          <w:highlight w:val="none"/>
        </w:rPr>
        <w:t>邮政编码：</w:t>
      </w:r>
      <w:r>
        <w:rPr>
          <w:color w:val="auto"/>
          <w:szCs w:val="21"/>
          <w:highlight w:val="none"/>
          <w:u w:val="single"/>
        </w:rPr>
        <w:t xml:space="preserve">                            </w:t>
      </w:r>
    </w:p>
    <w:p w14:paraId="390D050D">
      <w:pPr>
        <w:spacing w:line="360" w:lineRule="auto"/>
        <w:rPr>
          <w:color w:val="auto"/>
          <w:szCs w:val="21"/>
          <w:highlight w:val="none"/>
          <w:u w:val="single"/>
        </w:rPr>
      </w:pPr>
      <w:r>
        <w:rPr>
          <w:rFonts w:hint="eastAsia" w:hAnsi="宋体" w:cs="宋体"/>
          <w:color w:val="auto"/>
          <w:szCs w:val="21"/>
          <w:highlight w:val="none"/>
        </w:rPr>
        <w:t>电</w:t>
      </w:r>
      <w:r>
        <w:rPr>
          <w:color w:val="auto"/>
          <w:szCs w:val="21"/>
          <w:highlight w:val="none"/>
        </w:rPr>
        <w:t xml:space="preserve">    </w:t>
      </w:r>
      <w:r>
        <w:rPr>
          <w:rFonts w:hint="eastAsia" w:hAnsi="宋体" w:cs="宋体"/>
          <w:color w:val="auto"/>
          <w:szCs w:val="21"/>
          <w:highlight w:val="none"/>
        </w:rPr>
        <w:t>话：</w:t>
      </w:r>
      <w:r>
        <w:rPr>
          <w:color w:val="auto"/>
          <w:szCs w:val="21"/>
          <w:highlight w:val="none"/>
          <w:u w:val="single"/>
        </w:rPr>
        <w:t xml:space="preserve">                            </w:t>
      </w:r>
    </w:p>
    <w:p w14:paraId="7942ECC9">
      <w:pPr>
        <w:spacing w:line="360" w:lineRule="auto"/>
        <w:rPr>
          <w:color w:val="auto"/>
          <w:szCs w:val="21"/>
          <w:highlight w:val="none"/>
          <w:u w:val="single"/>
        </w:rPr>
      </w:pPr>
      <w:r>
        <w:rPr>
          <w:rFonts w:hint="eastAsia" w:hAnsi="宋体" w:cs="宋体"/>
          <w:color w:val="auto"/>
          <w:szCs w:val="21"/>
          <w:highlight w:val="none"/>
        </w:rPr>
        <w:t>传</w:t>
      </w:r>
      <w:r>
        <w:rPr>
          <w:color w:val="auto"/>
          <w:szCs w:val="21"/>
          <w:highlight w:val="none"/>
        </w:rPr>
        <w:t xml:space="preserve">    </w:t>
      </w:r>
      <w:r>
        <w:rPr>
          <w:rFonts w:hint="eastAsia" w:hAnsi="宋体" w:cs="宋体"/>
          <w:color w:val="auto"/>
          <w:szCs w:val="21"/>
          <w:highlight w:val="none"/>
        </w:rPr>
        <w:t>真：</w:t>
      </w:r>
      <w:r>
        <w:rPr>
          <w:color w:val="auto"/>
          <w:szCs w:val="21"/>
          <w:highlight w:val="none"/>
          <w:u w:val="single"/>
        </w:rPr>
        <w:t xml:space="preserve">                            </w:t>
      </w:r>
    </w:p>
    <w:p w14:paraId="3EFDCD43">
      <w:pPr>
        <w:spacing w:line="360" w:lineRule="auto"/>
        <w:rPr>
          <w:color w:val="auto"/>
          <w:szCs w:val="21"/>
          <w:highlight w:val="none"/>
          <w:u w:val="single"/>
        </w:rPr>
      </w:pPr>
    </w:p>
    <w:p w14:paraId="36AF33E6">
      <w:pPr>
        <w:spacing w:line="360" w:lineRule="auto"/>
        <w:rPr>
          <w:color w:val="auto"/>
          <w:szCs w:val="21"/>
          <w:highlight w:val="none"/>
        </w:rPr>
      </w:pPr>
      <w:r>
        <w:rPr>
          <w:color w:val="auto"/>
          <w:szCs w:val="21"/>
          <w:highlight w:val="none"/>
        </w:rPr>
        <w:t xml:space="preserve">            </w:t>
      </w:r>
      <w:r>
        <w:rPr>
          <w:color w:val="auto"/>
          <w:szCs w:val="21"/>
          <w:highlight w:val="none"/>
          <w:u w:val="single"/>
        </w:rPr>
        <w:t xml:space="preserve">               </w:t>
      </w:r>
      <w:r>
        <w:rPr>
          <w:rFonts w:hint="eastAsia" w:hAnsi="宋体" w:cs="宋体"/>
          <w:color w:val="auto"/>
          <w:szCs w:val="21"/>
          <w:highlight w:val="none"/>
        </w:rPr>
        <w:t>年</w:t>
      </w:r>
      <w:r>
        <w:rPr>
          <w:color w:val="auto"/>
          <w:szCs w:val="21"/>
          <w:highlight w:val="none"/>
          <w:u w:val="single"/>
        </w:rPr>
        <w:t xml:space="preserve">      </w:t>
      </w:r>
      <w:r>
        <w:rPr>
          <w:rFonts w:hint="eastAsia" w:hAnsi="宋体" w:cs="宋体"/>
          <w:color w:val="auto"/>
          <w:szCs w:val="21"/>
          <w:highlight w:val="none"/>
        </w:rPr>
        <w:t>月</w:t>
      </w:r>
      <w:r>
        <w:rPr>
          <w:color w:val="auto"/>
          <w:szCs w:val="21"/>
          <w:highlight w:val="none"/>
          <w:u w:val="single"/>
        </w:rPr>
        <w:t xml:space="preserve">      </w:t>
      </w:r>
      <w:r>
        <w:rPr>
          <w:rFonts w:hint="eastAsia" w:hAnsi="宋体" w:cs="宋体"/>
          <w:color w:val="auto"/>
          <w:szCs w:val="21"/>
          <w:highlight w:val="none"/>
        </w:rPr>
        <w:t>日</w:t>
      </w:r>
    </w:p>
    <w:p w14:paraId="4787257B">
      <w:pPr>
        <w:spacing w:line="360" w:lineRule="auto"/>
        <w:rPr>
          <w:rFonts w:hAnsi="宋体"/>
          <w:color w:val="auto"/>
          <w:szCs w:val="21"/>
          <w:highlight w:val="none"/>
        </w:rPr>
      </w:pPr>
    </w:p>
    <w:p w14:paraId="72A86407">
      <w:pPr>
        <w:spacing w:line="360" w:lineRule="auto"/>
        <w:ind w:right="150" w:firstLine="420" w:firstLineChars="200"/>
        <w:jc w:val="left"/>
        <w:rPr>
          <w:color w:val="auto"/>
          <w:szCs w:val="21"/>
          <w:highlight w:val="none"/>
        </w:rPr>
      </w:pPr>
      <w:r>
        <w:rPr>
          <w:rFonts w:hint="eastAsia" w:hAnsi="宋体" w:cs="宋体"/>
          <w:color w:val="auto"/>
          <w:szCs w:val="21"/>
          <w:highlight w:val="none"/>
        </w:rPr>
        <w:t>（备注</w:t>
      </w:r>
      <w:r>
        <w:rPr>
          <w:rFonts w:hAnsi="宋体" w:cs="宋体"/>
          <w:color w:val="auto"/>
          <w:szCs w:val="21"/>
          <w:highlight w:val="none"/>
        </w:rPr>
        <w:t>：</w:t>
      </w:r>
      <w:r>
        <w:rPr>
          <w:rFonts w:hint="eastAsia" w:hAnsi="宋体" w:cs="宋体"/>
          <w:color w:val="auto"/>
          <w:szCs w:val="21"/>
          <w:highlight w:val="none"/>
        </w:rPr>
        <w:t>银行、保险公司和担保公司出具的</w:t>
      </w:r>
      <w:r>
        <w:rPr>
          <w:rFonts w:hint="eastAsia" w:ascii="仿宋_GB2312" w:hAnsi="宋体" w:cs="宋体"/>
          <w:color w:val="auto"/>
          <w:szCs w:val="21"/>
          <w:highlight w:val="none"/>
        </w:rPr>
        <w:t>保函格式和文本可</w:t>
      </w:r>
      <w:r>
        <w:rPr>
          <w:rFonts w:ascii="仿宋_GB2312" w:hAnsi="宋体" w:cs="宋体"/>
          <w:color w:val="auto"/>
          <w:szCs w:val="21"/>
          <w:highlight w:val="none"/>
        </w:rPr>
        <w:t>以自拟，</w:t>
      </w:r>
      <w:r>
        <w:rPr>
          <w:rFonts w:hint="eastAsia" w:ascii="仿宋_GB2312" w:hAnsi="宋体" w:cs="宋体"/>
          <w:color w:val="auto"/>
          <w:szCs w:val="21"/>
          <w:highlight w:val="none"/>
        </w:rPr>
        <w:t>但是必须包含以上条款所列全部内容</w:t>
      </w:r>
      <w:r>
        <w:rPr>
          <w:rFonts w:ascii="仿宋_GB2312" w:hAnsi="宋体" w:cs="宋体"/>
          <w:color w:val="auto"/>
          <w:szCs w:val="21"/>
          <w:highlight w:val="none"/>
        </w:rPr>
        <w:t>）</w:t>
      </w:r>
    </w:p>
    <w:p w14:paraId="7D20650A">
      <w:pPr>
        <w:widowControl/>
        <w:spacing w:line="360" w:lineRule="auto"/>
        <w:jc w:val="left"/>
        <w:rPr>
          <w:rFonts w:eastAsia="仿宋_GB2312" w:cs="仿宋_GB2312"/>
          <w:color w:val="auto"/>
          <w:sz w:val="30"/>
          <w:szCs w:val="30"/>
          <w:highlight w:val="none"/>
        </w:rPr>
      </w:pPr>
      <w:r>
        <w:rPr>
          <w:rFonts w:eastAsia="仿宋_GB2312" w:cs="仿宋_GB2312"/>
          <w:color w:val="auto"/>
          <w:sz w:val="30"/>
          <w:szCs w:val="30"/>
          <w:highlight w:val="none"/>
        </w:rPr>
        <w:br w:type="page"/>
      </w:r>
    </w:p>
    <w:p w14:paraId="1FE719C0">
      <w:pPr>
        <w:spacing w:line="360" w:lineRule="auto"/>
        <w:jc w:val="left"/>
        <w:rPr>
          <w:rFonts w:eastAsia="黑体"/>
          <w:color w:val="auto"/>
          <w:sz w:val="30"/>
          <w:szCs w:val="30"/>
          <w:highlight w:val="none"/>
        </w:rPr>
      </w:pPr>
      <w:r>
        <w:rPr>
          <w:rFonts w:hint="eastAsia" w:eastAsia="仿宋_GB2312" w:cs="仿宋_GB2312"/>
          <w:color w:val="auto"/>
          <w:sz w:val="30"/>
          <w:szCs w:val="30"/>
          <w:highlight w:val="none"/>
        </w:rPr>
        <w:t>附件</w:t>
      </w:r>
      <w:r>
        <w:rPr>
          <w:rFonts w:hint="eastAsia" w:eastAsia="仿宋_GB2312"/>
          <w:color w:val="auto"/>
          <w:sz w:val="30"/>
          <w:szCs w:val="30"/>
          <w:highlight w:val="none"/>
        </w:rPr>
        <w:t>9</w:t>
      </w:r>
      <w:r>
        <w:rPr>
          <w:rFonts w:hint="eastAsia" w:eastAsia="仿宋_GB2312" w:cs="仿宋_GB2312"/>
          <w:color w:val="auto"/>
          <w:sz w:val="30"/>
          <w:szCs w:val="30"/>
          <w:highlight w:val="none"/>
        </w:rPr>
        <w:t>：</w:t>
      </w:r>
    </w:p>
    <w:p w14:paraId="3741CB9C">
      <w:pPr>
        <w:spacing w:beforeLines="50" w:afterLines="50" w:line="360" w:lineRule="auto"/>
        <w:jc w:val="center"/>
        <w:rPr>
          <w:rFonts w:eastAsia="黑体"/>
          <w:color w:val="auto"/>
          <w:sz w:val="30"/>
          <w:szCs w:val="30"/>
          <w:highlight w:val="none"/>
        </w:rPr>
      </w:pPr>
      <w:r>
        <w:rPr>
          <w:rFonts w:hint="eastAsia" w:eastAsia="黑体" w:cs="黑体"/>
          <w:color w:val="auto"/>
          <w:sz w:val="30"/>
          <w:szCs w:val="30"/>
          <w:highlight w:val="none"/>
        </w:rPr>
        <w:t>支付担保</w:t>
      </w:r>
    </w:p>
    <w:p w14:paraId="0E384EB3">
      <w:pPr>
        <w:spacing w:line="360" w:lineRule="auto"/>
        <w:jc w:val="left"/>
        <w:rPr>
          <w:color w:val="auto"/>
          <w:szCs w:val="21"/>
          <w:highlight w:val="none"/>
        </w:rPr>
      </w:pPr>
      <w:r>
        <w:rPr>
          <w:color w:val="auto"/>
          <w:szCs w:val="21"/>
          <w:highlight w:val="none"/>
          <w:u w:val="single"/>
        </w:rPr>
        <w:t xml:space="preserve">                     </w:t>
      </w:r>
      <w:r>
        <w:rPr>
          <w:rFonts w:hint="eastAsia" w:hAnsi="宋体" w:cs="宋体"/>
          <w:color w:val="auto"/>
          <w:szCs w:val="21"/>
          <w:highlight w:val="none"/>
        </w:rPr>
        <w:t>（承包人）：</w:t>
      </w:r>
    </w:p>
    <w:p w14:paraId="1A951B58">
      <w:pPr>
        <w:spacing w:line="360" w:lineRule="auto"/>
        <w:jc w:val="left"/>
        <w:rPr>
          <w:color w:val="auto"/>
          <w:szCs w:val="21"/>
          <w:highlight w:val="none"/>
        </w:rPr>
      </w:pPr>
    </w:p>
    <w:p w14:paraId="1DEFE116">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outlineLvl w:val="9"/>
        <w:rPr>
          <w:rFonts w:hAnsi="宋体"/>
          <w:color w:val="auto"/>
          <w:szCs w:val="21"/>
          <w:highlight w:val="none"/>
        </w:rPr>
      </w:pPr>
      <w:r>
        <w:rPr>
          <w:rFonts w:hint="eastAsia" w:hAnsi="宋体" w:cs="宋体"/>
          <w:color w:val="auto"/>
          <w:szCs w:val="21"/>
          <w:highlight w:val="none"/>
        </w:rPr>
        <w:t>鉴于你方作为承包人已经与</w:t>
      </w:r>
      <w:r>
        <w:rPr>
          <w:color w:val="auto"/>
          <w:szCs w:val="21"/>
          <w:highlight w:val="none"/>
          <w:u w:val="single"/>
        </w:rPr>
        <w:t xml:space="preserve">           </w:t>
      </w:r>
      <w:r>
        <w:rPr>
          <w:rFonts w:hint="eastAsia" w:hAnsi="宋体" w:cs="宋体"/>
          <w:color w:val="auto"/>
          <w:szCs w:val="21"/>
          <w:highlight w:val="none"/>
        </w:rPr>
        <w:t>（发包人名称）（以下称</w:t>
      </w:r>
      <w:r>
        <w:rPr>
          <w:color w:val="auto"/>
          <w:szCs w:val="21"/>
          <w:highlight w:val="none"/>
        </w:rPr>
        <w:t>“</w:t>
      </w:r>
      <w:r>
        <w:rPr>
          <w:rFonts w:hint="eastAsia" w:hAnsi="宋体" w:cs="宋体"/>
          <w:color w:val="auto"/>
          <w:szCs w:val="21"/>
          <w:highlight w:val="none"/>
        </w:rPr>
        <w:t>发包人</w:t>
      </w:r>
      <w:r>
        <w:rPr>
          <w:color w:val="auto"/>
          <w:szCs w:val="21"/>
          <w:highlight w:val="none"/>
        </w:rPr>
        <w:t>”</w:t>
      </w:r>
      <w:r>
        <w:rPr>
          <w:rFonts w:hint="eastAsia" w:hAnsi="宋体" w:cs="宋体"/>
          <w:color w:val="auto"/>
          <w:szCs w:val="21"/>
          <w:highlight w:val="none"/>
        </w:rPr>
        <w:t>）于</w:t>
      </w:r>
      <w:r>
        <w:rPr>
          <w:color w:val="auto"/>
          <w:szCs w:val="21"/>
          <w:highlight w:val="none"/>
          <w:u w:val="single"/>
        </w:rPr>
        <w:t xml:space="preserve">      </w:t>
      </w:r>
      <w:r>
        <w:rPr>
          <w:rFonts w:hint="eastAsia" w:hAnsi="宋体" w:cs="宋体"/>
          <w:color w:val="auto"/>
          <w:szCs w:val="21"/>
          <w:highlight w:val="none"/>
        </w:rPr>
        <w:t>年</w:t>
      </w:r>
      <w:r>
        <w:rPr>
          <w:color w:val="auto"/>
          <w:szCs w:val="21"/>
          <w:highlight w:val="none"/>
          <w:u w:val="single"/>
        </w:rPr>
        <w:t xml:space="preserve">   </w:t>
      </w:r>
      <w:r>
        <w:rPr>
          <w:rFonts w:hint="eastAsia" w:hAnsi="宋体" w:cs="宋体"/>
          <w:color w:val="auto"/>
          <w:szCs w:val="21"/>
          <w:highlight w:val="none"/>
        </w:rPr>
        <w:t>月</w:t>
      </w:r>
      <w:r>
        <w:rPr>
          <w:color w:val="auto"/>
          <w:szCs w:val="21"/>
          <w:highlight w:val="none"/>
          <w:u w:val="single"/>
        </w:rPr>
        <w:t xml:space="preserve">    </w:t>
      </w:r>
      <w:r>
        <w:rPr>
          <w:rFonts w:hint="eastAsia" w:hAnsi="宋体" w:cs="宋体"/>
          <w:color w:val="auto"/>
          <w:szCs w:val="21"/>
          <w:highlight w:val="none"/>
        </w:rPr>
        <w:t>日签订了</w:t>
      </w:r>
      <w:r>
        <w:rPr>
          <w:color w:val="auto"/>
          <w:szCs w:val="21"/>
          <w:highlight w:val="none"/>
          <w:u w:val="single"/>
        </w:rPr>
        <w:t xml:space="preserve">                          </w:t>
      </w:r>
      <w:r>
        <w:rPr>
          <w:rFonts w:hint="eastAsia" w:hAnsi="宋体" w:cs="宋体"/>
          <w:color w:val="auto"/>
          <w:szCs w:val="21"/>
          <w:highlight w:val="none"/>
        </w:rPr>
        <w:t>（工程名称）《建设工程施工合同》（以下称</w:t>
      </w:r>
      <w:r>
        <w:rPr>
          <w:color w:val="auto"/>
          <w:szCs w:val="21"/>
          <w:highlight w:val="none"/>
        </w:rPr>
        <w:t>“</w:t>
      </w:r>
      <w:r>
        <w:rPr>
          <w:rFonts w:hint="eastAsia" w:hAnsi="宋体" w:cs="宋体"/>
          <w:color w:val="auto"/>
          <w:szCs w:val="21"/>
          <w:highlight w:val="none"/>
        </w:rPr>
        <w:t>主合同</w:t>
      </w:r>
      <w:r>
        <w:rPr>
          <w:color w:val="auto"/>
          <w:szCs w:val="21"/>
          <w:highlight w:val="none"/>
        </w:rPr>
        <w:t>”</w:t>
      </w:r>
      <w:r>
        <w:rPr>
          <w:rFonts w:hint="eastAsia" w:hAnsi="宋体" w:cs="宋体"/>
          <w:color w:val="auto"/>
          <w:szCs w:val="21"/>
          <w:highlight w:val="none"/>
        </w:rPr>
        <w:t>），应发包人的申请，我方愿就发包人履行主合同约定的工程款支付义务以保证的方式向你方提供如下担保：</w:t>
      </w:r>
    </w:p>
    <w:p w14:paraId="25F6EA5F">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outlineLvl w:val="9"/>
        <w:rPr>
          <w:rFonts w:ascii="黑体" w:eastAsia="黑体"/>
          <w:color w:val="auto"/>
          <w:szCs w:val="21"/>
          <w:highlight w:val="none"/>
        </w:rPr>
      </w:pPr>
      <w:r>
        <w:rPr>
          <w:rFonts w:hint="eastAsia" w:ascii="黑体" w:hAnsi="宋体" w:eastAsia="黑体" w:cs="黑体"/>
          <w:color w:val="auto"/>
          <w:szCs w:val="21"/>
          <w:highlight w:val="none"/>
        </w:rPr>
        <w:t>一、保证的范围及保证金额</w:t>
      </w:r>
    </w:p>
    <w:p w14:paraId="6EB87D0A">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outlineLvl w:val="9"/>
        <w:rPr>
          <w:color w:val="auto"/>
          <w:szCs w:val="21"/>
          <w:highlight w:val="none"/>
        </w:rPr>
      </w:pPr>
      <w:r>
        <w:rPr>
          <w:color w:val="auto"/>
          <w:szCs w:val="21"/>
          <w:highlight w:val="none"/>
        </w:rPr>
        <w:t xml:space="preserve">1. </w:t>
      </w:r>
      <w:r>
        <w:rPr>
          <w:rFonts w:hint="eastAsia" w:hAnsi="宋体" w:cs="宋体"/>
          <w:color w:val="auto"/>
          <w:szCs w:val="21"/>
          <w:highlight w:val="none"/>
        </w:rPr>
        <w:t>我方的保证范围是主合同约定的工程款。</w:t>
      </w:r>
    </w:p>
    <w:p w14:paraId="20206AA5">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outlineLvl w:val="9"/>
        <w:rPr>
          <w:color w:val="auto"/>
          <w:szCs w:val="21"/>
          <w:highlight w:val="none"/>
        </w:rPr>
      </w:pPr>
      <w:r>
        <w:rPr>
          <w:color w:val="auto"/>
          <w:szCs w:val="21"/>
          <w:highlight w:val="none"/>
        </w:rPr>
        <w:t xml:space="preserve">2. </w:t>
      </w:r>
      <w:r>
        <w:rPr>
          <w:rFonts w:hint="eastAsia" w:hAnsi="宋体" w:cs="宋体"/>
          <w:color w:val="auto"/>
          <w:szCs w:val="21"/>
          <w:highlight w:val="none"/>
        </w:rPr>
        <w:t>本保函所称主合同约定的工程款是指主合同约定的除工程质量保证金以外的合同价款。</w:t>
      </w:r>
    </w:p>
    <w:p w14:paraId="79ABC421">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outlineLvl w:val="9"/>
        <w:rPr>
          <w:color w:val="auto"/>
          <w:szCs w:val="21"/>
          <w:highlight w:val="none"/>
        </w:rPr>
      </w:pPr>
      <w:r>
        <w:rPr>
          <w:color w:val="auto"/>
          <w:szCs w:val="21"/>
          <w:highlight w:val="none"/>
        </w:rPr>
        <w:t xml:space="preserve">3. </w:t>
      </w:r>
      <w:r>
        <w:rPr>
          <w:rFonts w:hint="eastAsia" w:hAnsi="宋体" w:cs="宋体"/>
          <w:color w:val="auto"/>
          <w:szCs w:val="21"/>
          <w:highlight w:val="none"/>
        </w:rPr>
        <w:t>我方保证的金额是主合同约定的工程款的</w:t>
      </w:r>
      <w:r>
        <w:rPr>
          <w:color w:val="auto"/>
          <w:szCs w:val="21"/>
          <w:highlight w:val="none"/>
          <w:u w:val="single"/>
        </w:rPr>
        <w:t xml:space="preserve">      </w:t>
      </w:r>
      <w:r>
        <w:rPr>
          <w:color w:val="auto"/>
          <w:szCs w:val="21"/>
          <w:highlight w:val="none"/>
        </w:rPr>
        <w:t>%</w:t>
      </w:r>
      <w:r>
        <w:rPr>
          <w:rFonts w:hint="eastAsia" w:hAnsi="宋体" w:cs="宋体"/>
          <w:color w:val="auto"/>
          <w:szCs w:val="21"/>
          <w:highlight w:val="none"/>
        </w:rPr>
        <w:t>，数额最高不超过人民币元（大写：</w:t>
      </w:r>
      <w:r>
        <w:rPr>
          <w:color w:val="auto"/>
          <w:szCs w:val="21"/>
          <w:highlight w:val="none"/>
          <w:u w:val="single"/>
        </w:rPr>
        <w:t xml:space="preserve">        </w:t>
      </w:r>
      <w:r>
        <w:rPr>
          <w:rFonts w:hint="eastAsia" w:hAnsi="宋体" w:cs="宋体"/>
          <w:color w:val="auto"/>
          <w:szCs w:val="21"/>
          <w:highlight w:val="none"/>
        </w:rPr>
        <w:t>）。</w:t>
      </w:r>
    </w:p>
    <w:p w14:paraId="0DA9496E">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outlineLvl w:val="9"/>
        <w:rPr>
          <w:rFonts w:ascii="黑体" w:eastAsia="黑体"/>
          <w:color w:val="auto"/>
          <w:szCs w:val="21"/>
          <w:highlight w:val="none"/>
        </w:rPr>
      </w:pPr>
      <w:r>
        <w:rPr>
          <w:rFonts w:hint="eastAsia" w:ascii="黑体" w:hAnsi="宋体" w:eastAsia="黑体" w:cs="黑体"/>
          <w:color w:val="auto"/>
          <w:szCs w:val="21"/>
          <w:highlight w:val="none"/>
        </w:rPr>
        <w:t>二、保证的方式及保证期间</w:t>
      </w:r>
    </w:p>
    <w:p w14:paraId="616A141C">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outlineLvl w:val="9"/>
        <w:rPr>
          <w:color w:val="auto"/>
          <w:szCs w:val="21"/>
          <w:highlight w:val="none"/>
        </w:rPr>
      </w:pPr>
      <w:r>
        <w:rPr>
          <w:color w:val="auto"/>
          <w:szCs w:val="21"/>
          <w:highlight w:val="none"/>
        </w:rPr>
        <w:t xml:space="preserve">1. </w:t>
      </w:r>
      <w:r>
        <w:rPr>
          <w:rFonts w:hint="eastAsia" w:hAnsi="宋体" w:cs="宋体"/>
          <w:color w:val="auto"/>
          <w:szCs w:val="21"/>
          <w:highlight w:val="none"/>
        </w:rPr>
        <w:t>我方保证的方式为：连带责任保证。</w:t>
      </w:r>
    </w:p>
    <w:p w14:paraId="6C7CB9B8">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outlineLvl w:val="9"/>
        <w:rPr>
          <w:color w:val="auto"/>
          <w:szCs w:val="21"/>
          <w:highlight w:val="none"/>
        </w:rPr>
      </w:pPr>
      <w:r>
        <w:rPr>
          <w:color w:val="auto"/>
          <w:szCs w:val="21"/>
          <w:highlight w:val="none"/>
        </w:rPr>
        <w:t xml:space="preserve">2. </w:t>
      </w:r>
      <w:r>
        <w:rPr>
          <w:rFonts w:hint="eastAsia" w:hAnsi="宋体" w:cs="宋体"/>
          <w:color w:val="auto"/>
          <w:szCs w:val="21"/>
          <w:highlight w:val="none"/>
        </w:rPr>
        <w:t>我方保证的期间为：自本合同生效之日起至主合同约定的工程款支付完毕之日后</w:t>
      </w:r>
      <w:r>
        <w:rPr>
          <w:color w:val="auto"/>
          <w:szCs w:val="21"/>
          <w:highlight w:val="none"/>
          <w:u w:val="single"/>
        </w:rPr>
        <w:t xml:space="preserve">    </w:t>
      </w:r>
      <w:r>
        <w:rPr>
          <w:rFonts w:hint="eastAsia" w:hAnsi="宋体" w:cs="宋体"/>
          <w:color w:val="auto"/>
          <w:szCs w:val="21"/>
          <w:highlight w:val="none"/>
        </w:rPr>
        <w:t>日内。</w:t>
      </w:r>
    </w:p>
    <w:p w14:paraId="5FB591E9">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outlineLvl w:val="9"/>
        <w:rPr>
          <w:color w:val="auto"/>
          <w:szCs w:val="21"/>
          <w:highlight w:val="none"/>
        </w:rPr>
      </w:pPr>
      <w:r>
        <w:rPr>
          <w:color w:val="auto"/>
          <w:szCs w:val="21"/>
          <w:highlight w:val="none"/>
        </w:rPr>
        <w:t xml:space="preserve">3. </w:t>
      </w:r>
      <w:r>
        <w:rPr>
          <w:rFonts w:hint="eastAsia" w:hAnsi="宋体" w:cs="宋体"/>
          <w:color w:val="auto"/>
          <w:szCs w:val="21"/>
          <w:highlight w:val="none"/>
        </w:rPr>
        <w:t>你方与发包人协议变更工程款支付日期的，经我方书面同意后，保证期间按照变更后的支付日期做相应调整。</w:t>
      </w:r>
    </w:p>
    <w:p w14:paraId="18185DD0">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outlineLvl w:val="9"/>
        <w:rPr>
          <w:rFonts w:ascii="黑体" w:eastAsia="黑体"/>
          <w:color w:val="auto"/>
          <w:szCs w:val="21"/>
          <w:highlight w:val="none"/>
        </w:rPr>
      </w:pPr>
      <w:r>
        <w:rPr>
          <w:rFonts w:hint="eastAsia" w:ascii="黑体" w:hAnsi="宋体" w:eastAsia="黑体" w:cs="黑体"/>
          <w:color w:val="auto"/>
          <w:szCs w:val="21"/>
          <w:highlight w:val="none"/>
        </w:rPr>
        <w:t>三、承担保证责任的形式</w:t>
      </w:r>
    </w:p>
    <w:p w14:paraId="7D197BAE">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outlineLvl w:val="9"/>
        <w:rPr>
          <w:color w:val="auto"/>
          <w:szCs w:val="21"/>
          <w:highlight w:val="none"/>
        </w:rPr>
      </w:pPr>
      <w:r>
        <w:rPr>
          <w:rFonts w:hint="eastAsia" w:hAnsi="宋体" w:cs="宋体"/>
          <w:color w:val="auto"/>
          <w:szCs w:val="21"/>
          <w:highlight w:val="none"/>
        </w:rPr>
        <w:t>我方承担保证责任的形式是代为支付。发包人未按主合同约定向你方支付工程款的，由我方在保证金额内代为支付。</w:t>
      </w:r>
    </w:p>
    <w:p w14:paraId="70B24922">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outlineLvl w:val="9"/>
        <w:rPr>
          <w:rFonts w:ascii="黑体" w:eastAsia="黑体"/>
          <w:color w:val="auto"/>
          <w:szCs w:val="21"/>
          <w:highlight w:val="none"/>
        </w:rPr>
      </w:pPr>
      <w:r>
        <w:rPr>
          <w:rFonts w:hint="eastAsia" w:ascii="黑体" w:hAnsi="宋体" w:eastAsia="黑体" w:cs="黑体"/>
          <w:color w:val="auto"/>
          <w:szCs w:val="21"/>
          <w:highlight w:val="none"/>
        </w:rPr>
        <w:t>四、代偿的安排</w:t>
      </w:r>
    </w:p>
    <w:p w14:paraId="2679C80F">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outlineLvl w:val="9"/>
        <w:rPr>
          <w:color w:val="auto"/>
          <w:szCs w:val="21"/>
          <w:highlight w:val="none"/>
        </w:rPr>
      </w:pPr>
      <w:r>
        <w:rPr>
          <w:color w:val="auto"/>
          <w:szCs w:val="21"/>
          <w:highlight w:val="none"/>
        </w:rPr>
        <w:t xml:space="preserve">1. </w:t>
      </w:r>
      <w:r>
        <w:rPr>
          <w:rFonts w:hint="eastAsia" w:hAnsi="宋体" w:cs="宋体"/>
          <w:color w:val="auto"/>
          <w:szCs w:val="21"/>
          <w:highlight w:val="none"/>
        </w:rPr>
        <w:t>你方要求我方承担保证责任的，应向我方发出书面索赔通知及发包人未支付主合同约定工程款的证明材料。索赔通知应写明要求索赔的金额，支付款项应到达的账号。</w:t>
      </w:r>
    </w:p>
    <w:p w14:paraId="06370C21">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outlineLvl w:val="9"/>
        <w:rPr>
          <w:color w:val="auto"/>
          <w:szCs w:val="21"/>
          <w:highlight w:val="none"/>
        </w:rPr>
      </w:pPr>
      <w:r>
        <w:rPr>
          <w:color w:val="auto"/>
          <w:szCs w:val="21"/>
          <w:highlight w:val="none"/>
        </w:rPr>
        <w:t xml:space="preserve">2. </w:t>
      </w:r>
      <w:r>
        <w:rPr>
          <w:rFonts w:hint="eastAsia" w:hAnsi="宋体" w:cs="宋体"/>
          <w:color w:val="auto"/>
          <w:szCs w:val="21"/>
          <w:highlight w:val="none"/>
        </w:rPr>
        <w:t>在出现你方与发包人因工程质量发生争议，发包人拒绝向你方支付工程款的情形时，你方要求我方履行保证责任代为支付的，需提供符合相应条件要求的工程质量检测机构出具的质量说明材料。</w:t>
      </w:r>
    </w:p>
    <w:p w14:paraId="77B89690">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outlineLvl w:val="9"/>
        <w:rPr>
          <w:color w:val="auto"/>
          <w:szCs w:val="21"/>
          <w:highlight w:val="none"/>
        </w:rPr>
      </w:pPr>
      <w:r>
        <w:rPr>
          <w:color w:val="auto"/>
          <w:szCs w:val="21"/>
          <w:highlight w:val="none"/>
        </w:rPr>
        <w:t xml:space="preserve">3. </w:t>
      </w:r>
      <w:r>
        <w:rPr>
          <w:rFonts w:hint="eastAsia" w:hAnsi="宋体" w:cs="宋体"/>
          <w:color w:val="auto"/>
          <w:szCs w:val="21"/>
          <w:highlight w:val="none"/>
        </w:rPr>
        <w:t>我方收到你方的书面索赔通知及相应的证明材料后７天内无条件支付。</w:t>
      </w:r>
    </w:p>
    <w:p w14:paraId="175CCD0F">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outlineLvl w:val="9"/>
        <w:rPr>
          <w:rFonts w:ascii="黑体" w:eastAsia="黑体"/>
          <w:color w:val="auto"/>
          <w:szCs w:val="21"/>
          <w:highlight w:val="none"/>
        </w:rPr>
      </w:pPr>
      <w:r>
        <w:rPr>
          <w:rFonts w:hint="eastAsia" w:ascii="黑体" w:hAnsi="宋体" w:eastAsia="黑体" w:cs="黑体"/>
          <w:color w:val="auto"/>
          <w:szCs w:val="21"/>
          <w:highlight w:val="none"/>
        </w:rPr>
        <w:t>五、保证责任的解除</w:t>
      </w:r>
    </w:p>
    <w:p w14:paraId="2325C0B0">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outlineLvl w:val="9"/>
        <w:rPr>
          <w:color w:val="auto"/>
          <w:szCs w:val="21"/>
          <w:highlight w:val="none"/>
        </w:rPr>
      </w:pPr>
      <w:r>
        <w:rPr>
          <w:color w:val="auto"/>
          <w:szCs w:val="21"/>
          <w:highlight w:val="none"/>
        </w:rPr>
        <w:t xml:space="preserve">1. </w:t>
      </w:r>
      <w:r>
        <w:rPr>
          <w:rFonts w:hint="eastAsia" w:hAnsi="宋体" w:cs="宋体"/>
          <w:color w:val="auto"/>
          <w:szCs w:val="21"/>
          <w:highlight w:val="none"/>
        </w:rPr>
        <w:t>在本保函承诺的保证期间内，你方未书面向我方主张保证责任的，自保证期间届满次日起，我方保证责任解除。</w:t>
      </w:r>
    </w:p>
    <w:p w14:paraId="67BED69D">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outlineLvl w:val="9"/>
        <w:rPr>
          <w:color w:val="auto"/>
          <w:szCs w:val="21"/>
          <w:highlight w:val="none"/>
        </w:rPr>
      </w:pPr>
      <w:r>
        <w:rPr>
          <w:color w:val="auto"/>
          <w:szCs w:val="21"/>
          <w:highlight w:val="none"/>
        </w:rPr>
        <w:t xml:space="preserve">2. </w:t>
      </w:r>
      <w:r>
        <w:rPr>
          <w:rFonts w:hint="eastAsia" w:hAnsi="宋体" w:cs="宋体"/>
          <w:color w:val="auto"/>
          <w:szCs w:val="21"/>
          <w:highlight w:val="none"/>
        </w:rPr>
        <w:t>发包人按主合同约定履行了工程款的全部支付义务的，自本保函承诺的保证期间届满次日起，我方保证责任解除。</w:t>
      </w:r>
    </w:p>
    <w:p w14:paraId="6A1CC8B1">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outlineLvl w:val="9"/>
        <w:rPr>
          <w:color w:val="auto"/>
          <w:szCs w:val="21"/>
          <w:highlight w:val="none"/>
        </w:rPr>
      </w:pPr>
      <w:r>
        <w:rPr>
          <w:color w:val="auto"/>
          <w:szCs w:val="21"/>
          <w:highlight w:val="none"/>
        </w:rPr>
        <w:t xml:space="preserve">3. </w:t>
      </w:r>
      <w:r>
        <w:rPr>
          <w:rFonts w:hint="eastAsia" w:hAnsi="宋体" w:cs="宋体"/>
          <w:color w:val="auto"/>
          <w:szCs w:val="21"/>
          <w:highlight w:val="none"/>
        </w:rPr>
        <w:t>我方按照本保函向你方履行保证责任所支付金额达到本保函保证金额时，自我方向你方支付（支付款项从我方账户划出）之日起，保证责任即解除。</w:t>
      </w:r>
    </w:p>
    <w:p w14:paraId="26092133">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outlineLvl w:val="9"/>
        <w:rPr>
          <w:color w:val="auto"/>
          <w:szCs w:val="21"/>
          <w:highlight w:val="none"/>
        </w:rPr>
      </w:pPr>
      <w:r>
        <w:rPr>
          <w:color w:val="auto"/>
          <w:szCs w:val="21"/>
          <w:highlight w:val="none"/>
        </w:rPr>
        <w:t xml:space="preserve">4. </w:t>
      </w:r>
      <w:r>
        <w:rPr>
          <w:rFonts w:hint="eastAsia" w:hAnsi="宋体" w:cs="宋体"/>
          <w:color w:val="auto"/>
          <w:szCs w:val="21"/>
          <w:highlight w:val="none"/>
        </w:rPr>
        <w:t>按照法律法规的规定或出现应解除我方保证责任的其他情形的，我方在本保函项下的保证责任亦解除。</w:t>
      </w:r>
    </w:p>
    <w:p w14:paraId="0E72D04F">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outlineLvl w:val="9"/>
        <w:rPr>
          <w:color w:val="auto"/>
          <w:szCs w:val="21"/>
          <w:highlight w:val="none"/>
        </w:rPr>
      </w:pPr>
      <w:r>
        <w:rPr>
          <w:color w:val="auto"/>
          <w:szCs w:val="21"/>
          <w:highlight w:val="none"/>
        </w:rPr>
        <w:t xml:space="preserve">5. </w:t>
      </w:r>
      <w:r>
        <w:rPr>
          <w:rFonts w:hint="eastAsia" w:hAnsi="宋体" w:cs="宋体"/>
          <w:color w:val="auto"/>
          <w:szCs w:val="21"/>
          <w:highlight w:val="none"/>
        </w:rPr>
        <w:t>我方解除保证责任后，你方应自我方保证责任解除之日起</w:t>
      </w:r>
      <w:r>
        <w:rPr>
          <w:color w:val="auto"/>
          <w:szCs w:val="21"/>
          <w:highlight w:val="none"/>
          <w:u w:val="single"/>
        </w:rPr>
        <w:t xml:space="preserve">  </w:t>
      </w:r>
      <w:r>
        <w:rPr>
          <w:rFonts w:hint="eastAsia" w:hAnsi="宋体" w:cs="宋体"/>
          <w:color w:val="auto"/>
          <w:szCs w:val="21"/>
          <w:highlight w:val="none"/>
        </w:rPr>
        <w:t>个工作日内，将本保函原件返还我方。</w:t>
      </w:r>
    </w:p>
    <w:p w14:paraId="7753A424">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outlineLvl w:val="9"/>
        <w:rPr>
          <w:rFonts w:ascii="黑体" w:eastAsia="黑体"/>
          <w:color w:val="auto"/>
          <w:szCs w:val="21"/>
          <w:highlight w:val="none"/>
        </w:rPr>
      </w:pPr>
      <w:r>
        <w:rPr>
          <w:rFonts w:hint="eastAsia" w:ascii="黑体" w:hAnsi="宋体" w:eastAsia="黑体" w:cs="黑体"/>
          <w:color w:val="auto"/>
          <w:szCs w:val="21"/>
          <w:highlight w:val="none"/>
        </w:rPr>
        <w:t>六、免责条款</w:t>
      </w:r>
    </w:p>
    <w:p w14:paraId="797386EF">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outlineLvl w:val="9"/>
        <w:rPr>
          <w:color w:val="auto"/>
          <w:szCs w:val="21"/>
          <w:highlight w:val="none"/>
        </w:rPr>
      </w:pPr>
      <w:r>
        <w:rPr>
          <w:color w:val="auto"/>
          <w:szCs w:val="21"/>
          <w:highlight w:val="none"/>
        </w:rPr>
        <w:t xml:space="preserve">1. </w:t>
      </w:r>
      <w:r>
        <w:rPr>
          <w:rFonts w:hint="eastAsia" w:hAnsi="宋体" w:cs="宋体"/>
          <w:color w:val="auto"/>
          <w:szCs w:val="21"/>
          <w:highlight w:val="none"/>
        </w:rPr>
        <w:t>因你方违约致使发包人不能履行义务的，我方不承担保证责任。</w:t>
      </w:r>
    </w:p>
    <w:p w14:paraId="30B62A60">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outlineLvl w:val="9"/>
        <w:rPr>
          <w:color w:val="auto"/>
          <w:szCs w:val="21"/>
          <w:highlight w:val="none"/>
        </w:rPr>
      </w:pPr>
      <w:r>
        <w:rPr>
          <w:color w:val="auto"/>
          <w:szCs w:val="21"/>
          <w:highlight w:val="none"/>
        </w:rPr>
        <w:t xml:space="preserve">2. </w:t>
      </w:r>
      <w:r>
        <w:rPr>
          <w:rFonts w:hint="eastAsia" w:hAnsi="宋体" w:cs="宋体"/>
          <w:color w:val="auto"/>
          <w:szCs w:val="21"/>
          <w:highlight w:val="none"/>
        </w:rPr>
        <w:t>依照法律法规的规定或你方与发包人的另行约定，免除发包人部分或全部义务的，我方亦免除其相应的保证责任。</w:t>
      </w:r>
    </w:p>
    <w:p w14:paraId="306FE07B">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outlineLvl w:val="9"/>
        <w:rPr>
          <w:color w:val="auto"/>
          <w:szCs w:val="21"/>
          <w:highlight w:val="none"/>
        </w:rPr>
      </w:pPr>
      <w:r>
        <w:rPr>
          <w:color w:val="auto"/>
          <w:szCs w:val="21"/>
          <w:highlight w:val="none"/>
        </w:rPr>
        <w:t xml:space="preserve">3. </w:t>
      </w:r>
      <w:r>
        <w:rPr>
          <w:rFonts w:hint="eastAsia" w:hAnsi="宋体" w:cs="宋体"/>
          <w:color w:val="auto"/>
          <w:szCs w:val="21"/>
          <w:highlight w:val="none"/>
        </w:rPr>
        <w:t>你方与发包人协议变更主合同的，如加重发包人责任致使我方保证责任加重的，需征得我方书面同意，否则我方不再承担因此而加重部分的保证责任，但主合同第</w:t>
      </w:r>
      <w:r>
        <w:rPr>
          <w:color w:val="auto"/>
          <w:szCs w:val="21"/>
          <w:highlight w:val="none"/>
        </w:rPr>
        <w:t>10</w:t>
      </w:r>
      <w:r>
        <w:rPr>
          <w:rFonts w:hint="eastAsia" w:hAnsi="宋体" w:cs="宋体"/>
          <w:color w:val="auto"/>
          <w:szCs w:val="21"/>
          <w:highlight w:val="none"/>
        </w:rPr>
        <w:t>条〔变更〕约定的变更不受本款限制。</w:t>
      </w:r>
    </w:p>
    <w:p w14:paraId="14CD0AEB">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outlineLvl w:val="9"/>
        <w:rPr>
          <w:color w:val="auto"/>
          <w:szCs w:val="21"/>
          <w:highlight w:val="none"/>
        </w:rPr>
      </w:pPr>
      <w:r>
        <w:rPr>
          <w:color w:val="auto"/>
          <w:szCs w:val="21"/>
          <w:highlight w:val="none"/>
        </w:rPr>
        <w:t xml:space="preserve">4. </w:t>
      </w:r>
      <w:r>
        <w:rPr>
          <w:rFonts w:hint="eastAsia" w:hAnsi="宋体" w:cs="宋体"/>
          <w:color w:val="auto"/>
          <w:szCs w:val="21"/>
          <w:highlight w:val="none"/>
        </w:rPr>
        <w:t>因不可抗力造成发包人不能履行义务的，我方不承担保证责任。</w:t>
      </w:r>
    </w:p>
    <w:p w14:paraId="7F537706">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outlineLvl w:val="9"/>
        <w:rPr>
          <w:rFonts w:ascii="黑体" w:eastAsia="黑体"/>
          <w:color w:val="auto"/>
          <w:szCs w:val="21"/>
          <w:highlight w:val="none"/>
        </w:rPr>
      </w:pPr>
      <w:r>
        <w:rPr>
          <w:rFonts w:hint="eastAsia" w:ascii="黑体" w:hAnsi="宋体" w:eastAsia="黑体" w:cs="黑体"/>
          <w:color w:val="auto"/>
          <w:szCs w:val="21"/>
          <w:highlight w:val="none"/>
        </w:rPr>
        <w:t>七、争议解决</w:t>
      </w:r>
    </w:p>
    <w:p w14:paraId="54A4DE9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color w:val="auto"/>
          <w:szCs w:val="21"/>
          <w:highlight w:val="none"/>
        </w:rPr>
      </w:pPr>
      <w:r>
        <w:rPr>
          <w:rFonts w:hint="eastAsia" w:hAnsi="宋体" w:cs="宋体"/>
          <w:color w:val="auto"/>
          <w:szCs w:val="21"/>
          <w:highlight w:val="none"/>
        </w:rPr>
        <w:t>因本保函或本保函相关事项发生的纠纷，可由双方协商解决，协商不成的，按下列第</w:t>
      </w:r>
      <w:r>
        <w:rPr>
          <w:color w:val="auto"/>
          <w:szCs w:val="21"/>
          <w:highlight w:val="none"/>
          <w:u w:val="single"/>
        </w:rPr>
        <w:t xml:space="preserve">     </w:t>
      </w:r>
      <w:r>
        <w:rPr>
          <w:rFonts w:hint="eastAsia" w:hAnsi="宋体" w:cs="宋体"/>
          <w:color w:val="auto"/>
          <w:szCs w:val="21"/>
          <w:highlight w:val="none"/>
        </w:rPr>
        <w:t>种方式解决：</w:t>
      </w:r>
    </w:p>
    <w:p w14:paraId="71B4FD3F">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outlineLvl w:val="9"/>
        <w:rPr>
          <w:color w:val="auto"/>
          <w:szCs w:val="21"/>
          <w:highlight w:val="none"/>
        </w:rPr>
      </w:pPr>
      <w:r>
        <w:rPr>
          <w:rFonts w:hint="eastAsia" w:hAnsi="宋体" w:cs="宋体"/>
          <w:color w:val="auto"/>
          <w:szCs w:val="21"/>
          <w:highlight w:val="none"/>
        </w:rPr>
        <w:t>（</w:t>
      </w:r>
      <w:r>
        <w:rPr>
          <w:color w:val="auto"/>
          <w:szCs w:val="21"/>
          <w:highlight w:val="none"/>
        </w:rPr>
        <w:t>1</w:t>
      </w:r>
      <w:r>
        <w:rPr>
          <w:rFonts w:hint="eastAsia" w:hAnsi="宋体" w:cs="宋体"/>
          <w:color w:val="auto"/>
          <w:szCs w:val="21"/>
          <w:highlight w:val="none"/>
        </w:rPr>
        <w:t>）向</w:t>
      </w:r>
      <w:r>
        <w:rPr>
          <w:color w:val="auto"/>
          <w:szCs w:val="21"/>
          <w:highlight w:val="none"/>
          <w:u w:val="single"/>
        </w:rPr>
        <w:t xml:space="preserve">                     </w:t>
      </w:r>
      <w:r>
        <w:rPr>
          <w:rFonts w:hint="eastAsia" w:hAnsi="宋体" w:cs="宋体"/>
          <w:color w:val="auto"/>
          <w:szCs w:val="21"/>
          <w:highlight w:val="none"/>
        </w:rPr>
        <w:t>仲裁委员会申请仲裁；</w:t>
      </w:r>
    </w:p>
    <w:p w14:paraId="0C7CD195">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outlineLvl w:val="9"/>
        <w:rPr>
          <w:color w:val="auto"/>
          <w:szCs w:val="21"/>
          <w:highlight w:val="none"/>
        </w:rPr>
      </w:pPr>
      <w:r>
        <w:rPr>
          <w:rFonts w:hint="eastAsia" w:hAnsi="宋体" w:cs="宋体"/>
          <w:color w:val="auto"/>
          <w:szCs w:val="21"/>
          <w:highlight w:val="none"/>
        </w:rPr>
        <w:t>（</w:t>
      </w:r>
      <w:r>
        <w:rPr>
          <w:color w:val="auto"/>
          <w:szCs w:val="21"/>
          <w:highlight w:val="none"/>
        </w:rPr>
        <w:t>2</w:t>
      </w:r>
      <w:r>
        <w:rPr>
          <w:rFonts w:hint="eastAsia" w:hAnsi="宋体" w:cs="宋体"/>
          <w:color w:val="auto"/>
          <w:szCs w:val="21"/>
          <w:highlight w:val="none"/>
        </w:rPr>
        <w:t>）向</w:t>
      </w:r>
      <w:r>
        <w:rPr>
          <w:color w:val="auto"/>
          <w:szCs w:val="21"/>
          <w:highlight w:val="none"/>
          <w:u w:val="single"/>
        </w:rPr>
        <w:t xml:space="preserve">                     </w:t>
      </w:r>
      <w:r>
        <w:rPr>
          <w:rFonts w:hint="eastAsia" w:hAnsi="宋体" w:cs="宋体"/>
          <w:color w:val="auto"/>
          <w:szCs w:val="21"/>
          <w:highlight w:val="none"/>
        </w:rPr>
        <w:t>人民法院起诉。</w:t>
      </w:r>
    </w:p>
    <w:p w14:paraId="1164DAEF">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outlineLvl w:val="9"/>
        <w:rPr>
          <w:rFonts w:ascii="黑体" w:eastAsia="黑体"/>
          <w:color w:val="auto"/>
          <w:szCs w:val="21"/>
          <w:highlight w:val="none"/>
        </w:rPr>
      </w:pPr>
      <w:r>
        <w:rPr>
          <w:rFonts w:hint="eastAsia" w:ascii="黑体" w:hAnsi="宋体" w:eastAsia="黑体" w:cs="黑体"/>
          <w:color w:val="auto"/>
          <w:szCs w:val="21"/>
          <w:highlight w:val="none"/>
        </w:rPr>
        <w:t>八、保函的生效</w:t>
      </w:r>
    </w:p>
    <w:p w14:paraId="766AB871">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outlineLvl w:val="9"/>
        <w:rPr>
          <w:color w:val="auto"/>
          <w:szCs w:val="21"/>
          <w:highlight w:val="none"/>
        </w:rPr>
      </w:pPr>
      <w:r>
        <w:rPr>
          <w:rFonts w:hint="eastAsia" w:hAnsi="宋体" w:cs="宋体"/>
          <w:color w:val="auto"/>
          <w:szCs w:val="21"/>
          <w:highlight w:val="none"/>
        </w:rPr>
        <w:t>本保函自我方法定代表人（或其授权代理人）签字并加盖公章之日起生效。</w:t>
      </w:r>
    </w:p>
    <w:p w14:paraId="3BC69F34">
      <w:pPr>
        <w:spacing w:line="360" w:lineRule="auto"/>
        <w:ind w:right="600"/>
        <w:jc w:val="left"/>
        <w:rPr>
          <w:color w:val="auto"/>
          <w:szCs w:val="21"/>
          <w:highlight w:val="none"/>
        </w:rPr>
      </w:pPr>
    </w:p>
    <w:p w14:paraId="1BA2336A">
      <w:pPr>
        <w:spacing w:line="360" w:lineRule="auto"/>
        <w:ind w:right="600"/>
        <w:jc w:val="left"/>
        <w:rPr>
          <w:color w:val="auto"/>
          <w:szCs w:val="21"/>
          <w:highlight w:val="none"/>
        </w:rPr>
      </w:pPr>
      <w:r>
        <w:rPr>
          <w:rFonts w:hint="eastAsia" w:hAnsi="宋体" w:cs="宋体"/>
          <w:color w:val="auto"/>
          <w:szCs w:val="21"/>
          <w:highlight w:val="none"/>
        </w:rPr>
        <w:t>担保人：</w:t>
      </w:r>
      <w:r>
        <w:rPr>
          <w:color w:val="auto"/>
          <w:szCs w:val="21"/>
          <w:highlight w:val="none"/>
          <w:u w:val="single"/>
        </w:rPr>
        <w:t xml:space="preserve">                                   </w:t>
      </w:r>
      <w:r>
        <w:rPr>
          <w:rFonts w:hint="eastAsia" w:hAnsi="宋体" w:cs="宋体"/>
          <w:color w:val="auto"/>
          <w:szCs w:val="21"/>
          <w:highlight w:val="none"/>
        </w:rPr>
        <w:t>（盖章）</w:t>
      </w:r>
    </w:p>
    <w:p w14:paraId="0A5B14B2">
      <w:pPr>
        <w:spacing w:line="360" w:lineRule="auto"/>
        <w:ind w:right="1200"/>
        <w:rPr>
          <w:color w:val="auto"/>
          <w:szCs w:val="21"/>
          <w:highlight w:val="none"/>
        </w:rPr>
      </w:pPr>
      <w:r>
        <w:rPr>
          <w:rFonts w:hint="eastAsia" w:hAnsi="宋体" w:cs="宋体"/>
          <w:color w:val="auto"/>
          <w:szCs w:val="21"/>
          <w:highlight w:val="none"/>
        </w:rPr>
        <w:t>法定代表人或委托代理人：</w:t>
      </w:r>
      <w:r>
        <w:rPr>
          <w:color w:val="auto"/>
          <w:szCs w:val="21"/>
          <w:highlight w:val="none"/>
          <w:u w:val="single"/>
        </w:rPr>
        <w:t xml:space="preserve">                   </w:t>
      </w:r>
      <w:r>
        <w:rPr>
          <w:rFonts w:hint="eastAsia" w:hAnsi="宋体" w:cs="宋体"/>
          <w:color w:val="auto"/>
          <w:szCs w:val="21"/>
          <w:highlight w:val="none"/>
        </w:rPr>
        <w:t>（签字）</w:t>
      </w:r>
    </w:p>
    <w:p w14:paraId="4DD0488D">
      <w:pPr>
        <w:spacing w:line="360" w:lineRule="auto"/>
        <w:jc w:val="left"/>
        <w:rPr>
          <w:color w:val="auto"/>
          <w:szCs w:val="21"/>
          <w:highlight w:val="none"/>
        </w:rPr>
      </w:pPr>
      <w:r>
        <w:rPr>
          <w:rFonts w:hint="eastAsia" w:hAnsi="宋体" w:cs="宋体"/>
          <w:color w:val="auto"/>
          <w:szCs w:val="21"/>
          <w:highlight w:val="none"/>
        </w:rPr>
        <w:t>地</w:t>
      </w:r>
      <w:r>
        <w:rPr>
          <w:color w:val="auto"/>
          <w:szCs w:val="21"/>
          <w:highlight w:val="none"/>
        </w:rPr>
        <w:t xml:space="preserve">    </w:t>
      </w:r>
      <w:r>
        <w:rPr>
          <w:rFonts w:hint="eastAsia" w:hAnsi="宋体" w:cs="宋体"/>
          <w:color w:val="auto"/>
          <w:szCs w:val="21"/>
          <w:highlight w:val="none"/>
        </w:rPr>
        <w:t>址：</w:t>
      </w:r>
      <w:r>
        <w:rPr>
          <w:color w:val="auto"/>
          <w:szCs w:val="21"/>
          <w:highlight w:val="none"/>
          <w:u w:val="single"/>
        </w:rPr>
        <w:t xml:space="preserve">                                        </w:t>
      </w:r>
    </w:p>
    <w:p w14:paraId="4376C159">
      <w:pPr>
        <w:spacing w:line="360" w:lineRule="auto"/>
        <w:jc w:val="left"/>
        <w:rPr>
          <w:color w:val="auto"/>
          <w:szCs w:val="21"/>
          <w:highlight w:val="none"/>
        </w:rPr>
      </w:pPr>
      <w:r>
        <w:rPr>
          <w:rFonts w:hint="eastAsia" w:hAnsi="宋体" w:cs="宋体"/>
          <w:color w:val="auto"/>
          <w:szCs w:val="21"/>
          <w:highlight w:val="none"/>
        </w:rPr>
        <w:t>邮政编码：</w:t>
      </w:r>
      <w:r>
        <w:rPr>
          <w:color w:val="auto"/>
          <w:szCs w:val="21"/>
          <w:highlight w:val="none"/>
          <w:u w:val="single"/>
        </w:rPr>
        <w:t xml:space="preserve">                                        </w:t>
      </w:r>
    </w:p>
    <w:p w14:paraId="223FE40F">
      <w:pPr>
        <w:spacing w:line="360" w:lineRule="auto"/>
        <w:jc w:val="left"/>
        <w:rPr>
          <w:color w:val="auto"/>
          <w:szCs w:val="21"/>
          <w:highlight w:val="none"/>
        </w:rPr>
      </w:pPr>
      <w:r>
        <w:rPr>
          <w:rFonts w:hint="eastAsia" w:hAnsi="宋体" w:cs="宋体"/>
          <w:color w:val="auto"/>
          <w:szCs w:val="21"/>
          <w:highlight w:val="none"/>
        </w:rPr>
        <w:t>传</w:t>
      </w:r>
      <w:r>
        <w:rPr>
          <w:color w:val="auto"/>
          <w:szCs w:val="21"/>
          <w:highlight w:val="none"/>
        </w:rPr>
        <w:t xml:space="preserve">    </w:t>
      </w:r>
      <w:r>
        <w:rPr>
          <w:rFonts w:hint="eastAsia" w:hAnsi="宋体" w:cs="宋体"/>
          <w:color w:val="auto"/>
          <w:szCs w:val="21"/>
          <w:highlight w:val="none"/>
        </w:rPr>
        <w:t>真：</w:t>
      </w:r>
      <w:r>
        <w:rPr>
          <w:color w:val="auto"/>
          <w:szCs w:val="21"/>
          <w:highlight w:val="none"/>
          <w:u w:val="single"/>
        </w:rPr>
        <w:t xml:space="preserve">                                        </w:t>
      </w:r>
    </w:p>
    <w:p w14:paraId="58434F36">
      <w:pPr>
        <w:spacing w:line="360" w:lineRule="auto"/>
        <w:ind w:right="150" w:firstLine="420" w:firstLineChars="200"/>
        <w:jc w:val="left"/>
        <w:rPr>
          <w:color w:val="auto"/>
          <w:szCs w:val="21"/>
          <w:highlight w:val="none"/>
          <w:u w:val="single"/>
        </w:rPr>
      </w:pPr>
    </w:p>
    <w:p w14:paraId="31275101">
      <w:pPr>
        <w:spacing w:line="360" w:lineRule="auto"/>
        <w:ind w:right="150" w:firstLine="420" w:firstLineChars="200"/>
        <w:jc w:val="left"/>
        <w:rPr>
          <w:rFonts w:hAnsi="宋体" w:cs="宋体"/>
          <w:color w:val="auto"/>
          <w:szCs w:val="21"/>
          <w:highlight w:val="none"/>
        </w:rPr>
      </w:pPr>
      <w:r>
        <w:rPr>
          <w:color w:val="auto"/>
          <w:szCs w:val="21"/>
          <w:highlight w:val="none"/>
        </w:rPr>
        <w:t xml:space="preserve">             </w:t>
      </w:r>
      <w:r>
        <w:rPr>
          <w:color w:val="auto"/>
          <w:szCs w:val="21"/>
          <w:highlight w:val="none"/>
          <w:u w:val="single"/>
        </w:rPr>
        <w:t xml:space="preserve">               </w:t>
      </w:r>
      <w:r>
        <w:rPr>
          <w:rFonts w:hint="eastAsia" w:hAnsi="宋体" w:cs="宋体"/>
          <w:color w:val="auto"/>
          <w:szCs w:val="21"/>
          <w:highlight w:val="none"/>
        </w:rPr>
        <w:t>年</w:t>
      </w:r>
      <w:r>
        <w:rPr>
          <w:color w:val="auto"/>
          <w:szCs w:val="21"/>
          <w:highlight w:val="none"/>
          <w:u w:val="single"/>
        </w:rPr>
        <w:t xml:space="preserve">      </w:t>
      </w:r>
      <w:r>
        <w:rPr>
          <w:rFonts w:hint="eastAsia" w:hAnsi="宋体" w:cs="宋体"/>
          <w:color w:val="auto"/>
          <w:szCs w:val="21"/>
          <w:highlight w:val="none"/>
        </w:rPr>
        <w:t>月</w:t>
      </w:r>
      <w:r>
        <w:rPr>
          <w:color w:val="auto"/>
          <w:szCs w:val="21"/>
          <w:highlight w:val="none"/>
          <w:u w:val="single"/>
        </w:rPr>
        <w:t xml:space="preserve">      </w:t>
      </w:r>
      <w:r>
        <w:rPr>
          <w:rFonts w:hint="eastAsia" w:hAnsi="宋体" w:cs="宋体"/>
          <w:color w:val="auto"/>
          <w:szCs w:val="21"/>
          <w:highlight w:val="none"/>
        </w:rPr>
        <w:t>日</w:t>
      </w:r>
    </w:p>
    <w:p w14:paraId="356F46D8">
      <w:pPr>
        <w:spacing w:line="360" w:lineRule="auto"/>
        <w:ind w:right="150" w:firstLine="420" w:firstLineChars="200"/>
        <w:jc w:val="left"/>
        <w:rPr>
          <w:color w:val="auto"/>
          <w:szCs w:val="21"/>
          <w:highlight w:val="none"/>
        </w:rPr>
      </w:pPr>
      <w:r>
        <w:rPr>
          <w:rFonts w:hint="eastAsia" w:hAnsi="宋体" w:cs="宋体"/>
          <w:color w:val="auto"/>
          <w:szCs w:val="21"/>
          <w:highlight w:val="none"/>
        </w:rPr>
        <w:t>（备注</w:t>
      </w:r>
      <w:r>
        <w:rPr>
          <w:rFonts w:hAnsi="宋体" w:cs="宋体"/>
          <w:color w:val="auto"/>
          <w:szCs w:val="21"/>
          <w:highlight w:val="none"/>
        </w:rPr>
        <w:t>：</w:t>
      </w:r>
      <w:r>
        <w:rPr>
          <w:rFonts w:hint="eastAsia" w:hAnsi="宋体" w:cs="宋体"/>
          <w:color w:val="auto"/>
          <w:szCs w:val="21"/>
          <w:highlight w:val="none"/>
        </w:rPr>
        <w:t>银行、保险公司和担保公司出具的</w:t>
      </w:r>
      <w:r>
        <w:rPr>
          <w:rFonts w:hint="eastAsia" w:ascii="仿宋_GB2312" w:hAnsi="宋体" w:cs="宋体"/>
          <w:color w:val="auto"/>
          <w:szCs w:val="21"/>
          <w:highlight w:val="none"/>
        </w:rPr>
        <w:t>保函格式和文本可</w:t>
      </w:r>
      <w:r>
        <w:rPr>
          <w:rFonts w:ascii="仿宋_GB2312" w:hAnsi="宋体" w:cs="宋体"/>
          <w:color w:val="auto"/>
          <w:szCs w:val="21"/>
          <w:highlight w:val="none"/>
        </w:rPr>
        <w:t>以自拟，</w:t>
      </w:r>
      <w:r>
        <w:rPr>
          <w:rFonts w:hint="eastAsia" w:ascii="仿宋_GB2312" w:hAnsi="宋体" w:cs="宋体"/>
          <w:color w:val="auto"/>
          <w:szCs w:val="21"/>
          <w:highlight w:val="none"/>
        </w:rPr>
        <w:t>但是必须包含以上条款所列全部内容</w:t>
      </w:r>
      <w:r>
        <w:rPr>
          <w:rFonts w:ascii="仿宋_GB2312" w:hAnsi="宋体" w:cs="宋体"/>
          <w:color w:val="auto"/>
          <w:szCs w:val="21"/>
          <w:highlight w:val="none"/>
        </w:rPr>
        <w:t>）</w:t>
      </w:r>
    </w:p>
    <w:p w14:paraId="34B81F36">
      <w:pPr>
        <w:spacing w:line="360" w:lineRule="auto"/>
        <w:jc w:val="left"/>
        <w:rPr>
          <w:rFonts w:hAnsi="宋体" w:cs="宋体"/>
          <w:color w:val="auto"/>
          <w:sz w:val="30"/>
          <w:szCs w:val="30"/>
          <w:highlight w:val="none"/>
        </w:rPr>
      </w:pPr>
      <w:r>
        <w:rPr>
          <w:rFonts w:eastAsia="仿宋_GB2312"/>
          <w:color w:val="auto"/>
          <w:sz w:val="30"/>
          <w:szCs w:val="30"/>
          <w:highlight w:val="none"/>
        </w:rPr>
        <w:t xml:space="preserve"> </w:t>
      </w:r>
      <w:r>
        <w:rPr>
          <w:rFonts w:hint="eastAsia" w:hAnsi="宋体" w:cs="宋体"/>
          <w:color w:val="auto"/>
          <w:sz w:val="30"/>
          <w:szCs w:val="30"/>
          <w:highlight w:val="none"/>
        </w:rPr>
        <w:t>附件10：</w:t>
      </w:r>
    </w:p>
    <w:p w14:paraId="6E664CC6">
      <w:pPr>
        <w:spacing w:line="360" w:lineRule="auto"/>
        <w:jc w:val="center"/>
        <w:rPr>
          <w:b/>
          <w:color w:val="auto"/>
          <w:sz w:val="36"/>
          <w:szCs w:val="36"/>
          <w:highlight w:val="none"/>
        </w:rPr>
      </w:pPr>
      <w:r>
        <w:rPr>
          <w:rFonts w:hint="eastAsia"/>
          <w:b/>
          <w:color w:val="auto"/>
          <w:sz w:val="36"/>
          <w:szCs w:val="36"/>
          <w:highlight w:val="none"/>
        </w:rPr>
        <w:t>预付款支付申请（核准）表</w:t>
      </w:r>
    </w:p>
    <w:p w14:paraId="0E67FA90">
      <w:pPr>
        <w:spacing w:line="360" w:lineRule="auto"/>
        <w:rPr>
          <w:color w:val="auto"/>
          <w:sz w:val="24"/>
          <w:highlight w:val="none"/>
        </w:rPr>
      </w:pPr>
      <w:r>
        <w:rPr>
          <w:rFonts w:hint="eastAsia"/>
          <w:color w:val="auto"/>
          <w:sz w:val="24"/>
          <w:highlight w:val="none"/>
        </w:rPr>
        <w:t>工程名称：                                             编号：</w:t>
      </w:r>
    </w:p>
    <w:tbl>
      <w:tblPr>
        <w:tblStyle w:val="33"/>
        <w:tblW w:w="91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88"/>
        <w:gridCol w:w="4697"/>
      </w:tblGrid>
      <w:tr w14:paraId="526BE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8" w:hRule="atLeast"/>
          <w:jc w:val="center"/>
        </w:trPr>
        <w:tc>
          <w:tcPr>
            <w:tcW w:w="9185" w:type="dxa"/>
            <w:gridSpan w:val="2"/>
          </w:tcPr>
          <w:p w14:paraId="0458F4C4">
            <w:pPr>
              <w:spacing w:line="360" w:lineRule="auto"/>
              <w:ind w:left="525" w:leftChars="149" w:hanging="212" w:hangingChars="101"/>
              <w:rPr>
                <w:color w:val="auto"/>
                <w:szCs w:val="21"/>
                <w:highlight w:val="none"/>
                <w:u w:val="single"/>
              </w:rPr>
            </w:pPr>
            <w:r>
              <w:rPr>
                <w:rFonts w:hint="eastAsia"/>
                <w:color w:val="auto"/>
                <w:szCs w:val="21"/>
                <w:highlight w:val="none"/>
              </w:rPr>
              <w:t>致：</w:t>
            </w:r>
            <w:r>
              <w:rPr>
                <w:rFonts w:hint="eastAsia"/>
                <w:color w:val="auto"/>
                <w:szCs w:val="21"/>
                <w:highlight w:val="none"/>
                <w:u w:val="single"/>
              </w:rPr>
              <w:t xml:space="preserve">                                   （发包人全称）</w:t>
            </w:r>
          </w:p>
          <w:p w14:paraId="665EF8ED">
            <w:pPr>
              <w:spacing w:line="360" w:lineRule="auto"/>
              <w:ind w:left="-4" w:leftChars="-2" w:firstLine="315" w:firstLineChars="150"/>
              <w:rPr>
                <w:color w:val="auto"/>
                <w:szCs w:val="21"/>
                <w:highlight w:val="none"/>
              </w:rPr>
            </w:pPr>
            <w:r>
              <w:rPr>
                <w:rFonts w:hint="eastAsia"/>
                <w:color w:val="auto"/>
                <w:szCs w:val="21"/>
                <w:highlight w:val="none"/>
              </w:rPr>
              <w:t>我方根据施工合同的约定，现申请支付工程预付款额为(大写)</w:t>
            </w:r>
            <w:r>
              <w:rPr>
                <w:rFonts w:hint="eastAsia"/>
                <w:color w:val="auto"/>
                <w:szCs w:val="21"/>
                <w:highlight w:val="none"/>
                <w:u w:val="single"/>
              </w:rPr>
              <w:t xml:space="preserve">            </w:t>
            </w:r>
            <w:r>
              <w:rPr>
                <w:rFonts w:hint="eastAsia"/>
                <w:color w:val="auto"/>
                <w:szCs w:val="21"/>
                <w:highlight w:val="none"/>
              </w:rPr>
              <w:t>元，(小写)</w:t>
            </w:r>
          </w:p>
          <w:p w14:paraId="49614584">
            <w:pPr>
              <w:spacing w:line="360" w:lineRule="auto"/>
              <w:rPr>
                <w:color w:val="auto"/>
                <w:szCs w:val="21"/>
                <w:highlight w:val="none"/>
              </w:rPr>
            </w:pPr>
            <w:r>
              <w:rPr>
                <w:rFonts w:hint="eastAsia"/>
                <w:color w:val="auto"/>
                <w:szCs w:val="21"/>
                <w:highlight w:val="none"/>
                <w:u w:val="single"/>
              </w:rPr>
              <w:t xml:space="preserve">         </w:t>
            </w:r>
            <w:r>
              <w:rPr>
                <w:rFonts w:hint="eastAsia"/>
                <w:color w:val="auto"/>
                <w:szCs w:val="21"/>
                <w:highlight w:val="none"/>
              </w:rPr>
              <w:t>元，请予核准。</w:t>
            </w:r>
          </w:p>
          <w:tbl>
            <w:tblPr>
              <w:tblStyle w:val="33"/>
              <w:tblpPr w:leftFromText="180" w:rightFromText="180" w:vertAnchor="page" w:horzAnchor="margin" w:tblpY="1309"/>
              <w:tblOverlap w:val="never"/>
              <w:tblW w:w="89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5"/>
              <w:gridCol w:w="3340"/>
              <w:gridCol w:w="1764"/>
              <w:gridCol w:w="2240"/>
              <w:gridCol w:w="1080"/>
            </w:tblGrid>
            <w:tr w14:paraId="4403A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535" w:type="dxa"/>
                  <w:vAlign w:val="center"/>
                </w:tcPr>
                <w:p w14:paraId="37C57F8B">
                  <w:pPr>
                    <w:spacing w:line="360" w:lineRule="auto"/>
                    <w:jc w:val="center"/>
                    <w:rPr>
                      <w:color w:val="auto"/>
                      <w:szCs w:val="21"/>
                      <w:highlight w:val="none"/>
                    </w:rPr>
                  </w:pPr>
                  <w:r>
                    <w:rPr>
                      <w:rFonts w:hint="eastAsia"/>
                      <w:color w:val="auto"/>
                      <w:szCs w:val="21"/>
                      <w:highlight w:val="none"/>
                    </w:rPr>
                    <w:t>序号</w:t>
                  </w:r>
                </w:p>
              </w:tc>
              <w:tc>
                <w:tcPr>
                  <w:tcW w:w="3340" w:type="dxa"/>
                  <w:vAlign w:val="center"/>
                </w:tcPr>
                <w:p w14:paraId="24D1C350">
                  <w:pPr>
                    <w:spacing w:line="360" w:lineRule="auto"/>
                    <w:jc w:val="center"/>
                    <w:rPr>
                      <w:color w:val="auto"/>
                      <w:szCs w:val="21"/>
                      <w:highlight w:val="none"/>
                    </w:rPr>
                  </w:pPr>
                  <w:r>
                    <w:rPr>
                      <w:rFonts w:hint="eastAsia"/>
                      <w:color w:val="auto"/>
                      <w:szCs w:val="21"/>
                      <w:highlight w:val="none"/>
                    </w:rPr>
                    <w:t>名      称</w:t>
                  </w:r>
                </w:p>
              </w:tc>
              <w:tc>
                <w:tcPr>
                  <w:tcW w:w="1764" w:type="dxa"/>
                  <w:vAlign w:val="center"/>
                </w:tcPr>
                <w:p w14:paraId="76723C3F">
                  <w:pPr>
                    <w:spacing w:line="360" w:lineRule="auto"/>
                    <w:jc w:val="center"/>
                    <w:rPr>
                      <w:color w:val="auto"/>
                      <w:szCs w:val="21"/>
                      <w:highlight w:val="none"/>
                    </w:rPr>
                  </w:pPr>
                  <w:r>
                    <w:rPr>
                      <w:rFonts w:hint="eastAsia"/>
                      <w:color w:val="auto"/>
                      <w:szCs w:val="21"/>
                      <w:highlight w:val="none"/>
                    </w:rPr>
                    <w:t>申请金额（元）</w:t>
                  </w:r>
                </w:p>
              </w:tc>
              <w:tc>
                <w:tcPr>
                  <w:tcW w:w="2240" w:type="dxa"/>
                  <w:vAlign w:val="center"/>
                </w:tcPr>
                <w:p w14:paraId="649FF64C">
                  <w:pPr>
                    <w:spacing w:line="360" w:lineRule="auto"/>
                    <w:jc w:val="center"/>
                    <w:rPr>
                      <w:color w:val="auto"/>
                      <w:szCs w:val="21"/>
                      <w:highlight w:val="none"/>
                    </w:rPr>
                  </w:pPr>
                  <w:r>
                    <w:rPr>
                      <w:rFonts w:hint="eastAsia"/>
                      <w:color w:val="auto"/>
                      <w:szCs w:val="21"/>
                      <w:highlight w:val="none"/>
                    </w:rPr>
                    <w:t>复核金额（元）</w:t>
                  </w:r>
                </w:p>
              </w:tc>
              <w:tc>
                <w:tcPr>
                  <w:tcW w:w="1080" w:type="dxa"/>
                  <w:vAlign w:val="center"/>
                </w:tcPr>
                <w:p w14:paraId="5555CCB7">
                  <w:pPr>
                    <w:spacing w:line="360" w:lineRule="auto"/>
                    <w:jc w:val="center"/>
                    <w:rPr>
                      <w:color w:val="auto"/>
                      <w:szCs w:val="21"/>
                      <w:highlight w:val="none"/>
                    </w:rPr>
                  </w:pPr>
                  <w:r>
                    <w:rPr>
                      <w:rFonts w:hint="eastAsia"/>
                      <w:color w:val="auto"/>
                      <w:szCs w:val="21"/>
                      <w:highlight w:val="none"/>
                    </w:rPr>
                    <w:t>备注</w:t>
                  </w:r>
                </w:p>
              </w:tc>
            </w:tr>
            <w:tr w14:paraId="5FF95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14:paraId="02610232">
                  <w:pPr>
                    <w:spacing w:line="360" w:lineRule="auto"/>
                    <w:jc w:val="center"/>
                    <w:rPr>
                      <w:color w:val="auto"/>
                      <w:szCs w:val="21"/>
                      <w:highlight w:val="none"/>
                    </w:rPr>
                  </w:pPr>
                  <w:r>
                    <w:rPr>
                      <w:rFonts w:hint="eastAsia"/>
                      <w:color w:val="auto"/>
                      <w:szCs w:val="21"/>
                      <w:highlight w:val="none"/>
                    </w:rPr>
                    <w:t>1</w:t>
                  </w:r>
                </w:p>
              </w:tc>
              <w:tc>
                <w:tcPr>
                  <w:tcW w:w="3340" w:type="dxa"/>
                </w:tcPr>
                <w:p w14:paraId="18EE18CA">
                  <w:pPr>
                    <w:spacing w:line="360" w:lineRule="auto"/>
                    <w:rPr>
                      <w:color w:val="auto"/>
                      <w:szCs w:val="21"/>
                      <w:highlight w:val="none"/>
                    </w:rPr>
                  </w:pPr>
                  <w:r>
                    <w:rPr>
                      <w:rFonts w:hint="eastAsia"/>
                      <w:color w:val="auto"/>
                      <w:szCs w:val="21"/>
                      <w:highlight w:val="none"/>
                    </w:rPr>
                    <w:t>已签约合同价款金额</w:t>
                  </w:r>
                </w:p>
              </w:tc>
              <w:tc>
                <w:tcPr>
                  <w:tcW w:w="1764" w:type="dxa"/>
                </w:tcPr>
                <w:p w14:paraId="5EE881BF">
                  <w:pPr>
                    <w:spacing w:line="360" w:lineRule="auto"/>
                    <w:rPr>
                      <w:color w:val="auto"/>
                      <w:szCs w:val="21"/>
                      <w:highlight w:val="none"/>
                    </w:rPr>
                  </w:pPr>
                </w:p>
              </w:tc>
              <w:tc>
                <w:tcPr>
                  <w:tcW w:w="2240" w:type="dxa"/>
                </w:tcPr>
                <w:p w14:paraId="04A2798B">
                  <w:pPr>
                    <w:spacing w:line="360" w:lineRule="auto"/>
                    <w:rPr>
                      <w:color w:val="auto"/>
                      <w:szCs w:val="21"/>
                      <w:highlight w:val="none"/>
                    </w:rPr>
                  </w:pPr>
                </w:p>
              </w:tc>
              <w:tc>
                <w:tcPr>
                  <w:tcW w:w="1080" w:type="dxa"/>
                </w:tcPr>
                <w:p w14:paraId="5748A44B">
                  <w:pPr>
                    <w:spacing w:line="360" w:lineRule="auto"/>
                    <w:rPr>
                      <w:color w:val="auto"/>
                      <w:szCs w:val="21"/>
                      <w:highlight w:val="none"/>
                    </w:rPr>
                  </w:pPr>
                </w:p>
              </w:tc>
            </w:tr>
            <w:tr w14:paraId="3D3C5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14:paraId="74A32856">
                  <w:pPr>
                    <w:spacing w:line="360" w:lineRule="auto"/>
                    <w:jc w:val="center"/>
                    <w:rPr>
                      <w:color w:val="auto"/>
                      <w:szCs w:val="21"/>
                      <w:highlight w:val="none"/>
                    </w:rPr>
                  </w:pPr>
                  <w:r>
                    <w:rPr>
                      <w:rFonts w:hint="eastAsia"/>
                      <w:color w:val="auto"/>
                      <w:szCs w:val="21"/>
                      <w:highlight w:val="none"/>
                    </w:rPr>
                    <w:t>2</w:t>
                  </w:r>
                </w:p>
              </w:tc>
              <w:tc>
                <w:tcPr>
                  <w:tcW w:w="3340" w:type="dxa"/>
                </w:tcPr>
                <w:p w14:paraId="5EC97476">
                  <w:pPr>
                    <w:spacing w:line="360" w:lineRule="auto"/>
                    <w:rPr>
                      <w:color w:val="auto"/>
                      <w:szCs w:val="21"/>
                      <w:highlight w:val="none"/>
                    </w:rPr>
                  </w:pPr>
                  <w:r>
                    <w:rPr>
                      <w:rFonts w:hint="eastAsia"/>
                      <w:color w:val="auto"/>
                      <w:szCs w:val="21"/>
                      <w:highlight w:val="none"/>
                    </w:rPr>
                    <w:t>其中：安全文明施工费</w:t>
                  </w:r>
                </w:p>
              </w:tc>
              <w:tc>
                <w:tcPr>
                  <w:tcW w:w="1764" w:type="dxa"/>
                </w:tcPr>
                <w:p w14:paraId="65EDE059">
                  <w:pPr>
                    <w:spacing w:line="360" w:lineRule="auto"/>
                    <w:rPr>
                      <w:color w:val="auto"/>
                      <w:szCs w:val="21"/>
                      <w:highlight w:val="none"/>
                    </w:rPr>
                  </w:pPr>
                </w:p>
              </w:tc>
              <w:tc>
                <w:tcPr>
                  <w:tcW w:w="2240" w:type="dxa"/>
                </w:tcPr>
                <w:p w14:paraId="63F61B53">
                  <w:pPr>
                    <w:spacing w:line="360" w:lineRule="auto"/>
                    <w:rPr>
                      <w:color w:val="auto"/>
                      <w:szCs w:val="21"/>
                      <w:highlight w:val="none"/>
                    </w:rPr>
                  </w:pPr>
                </w:p>
              </w:tc>
              <w:tc>
                <w:tcPr>
                  <w:tcW w:w="1080" w:type="dxa"/>
                </w:tcPr>
                <w:p w14:paraId="1D58163F">
                  <w:pPr>
                    <w:spacing w:line="360" w:lineRule="auto"/>
                    <w:rPr>
                      <w:color w:val="auto"/>
                      <w:szCs w:val="21"/>
                      <w:highlight w:val="none"/>
                    </w:rPr>
                  </w:pPr>
                </w:p>
              </w:tc>
            </w:tr>
            <w:tr w14:paraId="71F15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14:paraId="3B4F73C6">
                  <w:pPr>
                    <w:spacing w:line="360" w:lineRule="auto"/>
                    <w:jc w:val="center"/>
                    <w:rPr>
                      <w:color w:val="auto"/>
                      <w:szCs w:val="21"/>
                      <w:highlight w:val="none"/>
                    </w:rPr>
                  </w:pPr>
                  <w:r>
                    <w:rPr>
                      <w:rFonts w:hint="eastAsia"/>
                      <w:color w:val="auto"/>
                      <w:szCs w:val="21"/>
                      <w:highlight w:val="none"/>
                    </w:rPr>
                    <w:t>3</w:t>
                  </w:r>
                </w:p>
              </w:tc>
              <w:tc>
                <w:tcPr>
                  <w:tcW w:w="3340" w:type="dxa"/>
                </w:tcPr>
                <w:p w14:paraId="21077E35">
                  <w:pPr>
                    <w:spacing w:line="360" w:lineRule="auto"/>
                    <w:rPr>
                      <w:color w:val="auto"/>
                      <w:szCs w:val="21"/>
                      <w:highlight w:val="none"/>
                    </w:rPr>
                  </w:pPr>
                  <w:r>
                    <w:rPr>
                      <w:rFonts w:hint="eastAsia"/>
                      <w:color w:val="auto"/>
                      <w:szCs w:val="21"/>
                      <w:highlight w:val="none"/>
                    </w:rPr>
                    <w:t>应支付的预付款</w:t>
                  </w:r>
                </w:p>
              </w:tc>
              <w:tc>
                <w:tcPr>
                  <w:tcW w:w="1764" w:type="dxa"/>
                </w:tcPr>
                <w:p w14:paraId="10DB60C4">
                  <w:pPr>
                    <w:spacing w:line="360" w:lineRule="auto"/>
                    <w:rPr>
                      <w:color w:val="auto"/>
                      <w:szCs w:val="21"/>
                      <w:highlight w:val="none"/>
                    </w:rPr>
                  </w:pPr>
                </w:p>
              </w:tc>
              <w:tc>
                <w:tcPr>
                  <w:tcW w:w="2240" w:type="dxa"/>
                </w:tcPr>
                <w:p w14:paraId="1443E776">
                  <w:pPr>
                    <w:spacing w:line="360" w:lineRule="auto"/>
                    <w:rPr>
                      <w:color w:val="auto"/>
                      <w:szCs w:val="21"/>
                      <w:highlight w:val="none"/>
                    </w:rPr>
                  </w:pPr>
                </w:p>
              </w:tc>
              <w:tc>
                <w:tcPr>
                  <w:tcW w:w="1080" w:type="dxa"/>
                </w:tcPr>
                <w:p w14:paraId="6EC0EC57">
                  <w:pPr>
                    <w:spacing w:line="360" w:lineRule="auto"/>
                    <w:rPr>
                      <w:color w:val="auto"/>
                      <w:szCs w:val="21"/>
                      <w:highlight w:val="none"/>
                    </w:rPr>
                  </w:pPr>
                </w:p>
              </w:tc>
            </w:tr>
            <w:tr w14:paraId="5A63A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14:paraId="76ADBEF8">
                  <w:pPr>
                    <w:spacing w:line="360" w:lineRule="auto"/>
                    <w:jc w:val="center"/>
                    <w:rPr>
                      <w:color w:val="auto"/>
                      <w:szCs w:val="21"/>
                      <w:highlight w:val="none"/>
                    </w:rPr>
                  </w:pPr>
                  <w:r>
                    <w:rPr>
                      <w:rFonts w:hint="eastAsia"/>
                      <w:color w:val="auto"/>
                      <w:szCs w:val="21"/>
                      <w:highlight w:val="none"/>
                    </w:rPr>
                    <w:t>4</w:t>
                  </w:r>
                </w:p>
              </w:tc>
              <w:tc>
                <w:tcPr>
                  <w:tcW w:w="3340" w:type="dxa"/>
                </w:tcPr>
                <w:p w14:paraId="77E14E98">
                  <w:pPr>
                    <w:spacing w:line="360" w:lineRule="auto"/>
                    <w:rPr>
                      <w:color w:val="auto"/>
                      <w:szCs w:val="21"/>
                      <w:highlight w:val="none"/>
                    </w:rPr>
                  </w:pPr>
                  <w:r>
                    <w:rPr>
                      <w:rFonts w:hint="eastAsia"/>
                      <w:color w:val="auto"/>
                      <w:szCs w:val="21"/>
                      <w:highlight w:val="none"/>
                    </w:rPr>
                    <w:t>应支付的安全文明施工费预付款</w:t>
                  </w:r>
                </w:p>
              </w:tc>
              <w:tc>
                <w:tcPr>
                  <w:tcW w:w="1764" w:type="dxa"/>
                </w:tcPr>
                <w:p w14:paraId="77668455">
                  <w:pPr>
                    <w:spacing w:line="360" w:lineRule="auto"/>
                    <w:rPr>
                      <w:color w:val="auto"/>
                      <w:szCs w:val="21"/>
                      <w:highlight w:val="none"/>
                    </w:rPr>
                  </w:pPr>
                </w:p>
              </w:tc>
              <w:tc>
                <w:tcPr>
                  <w:tcW w:w="2240" w:type="dxa"/>
                </w:tcPr>
                <w:p w14:paraId="12DD73E5">
                  <w:pPr>
                    <w:spacing w:line="360" w:lineRule="auto"/>
                    <w:rPr>
                      <w:color w:val="auto"/>
                      <w:szCs w:val="21"/>
                      <w:highlight w:val="none"/>
                    </w:rPr>
                  </w:pPr>
                </w:p>
              </w:tc>
              <w:tc>
                <w:tcPr>
                  <w:tcW w:w="1080" w:type="dxa"/>
                </w:tcPr>
                <w:p w14:paraId="1075D535">
                  <w:pPr>
                    <w:spacing w:line="360" w:lineRule="auto"/>
                    <w:rPr>
                      <w:color w:val="auto"/>
                      <w:szCs w:val="21"/>
                      <w:highlight w:val="none"/>
                    </w:rPr>
                  </w:pPr>
                </w:p>
              </w:tc>
            </w:tr>
            <w:tr w14:paraId="0A147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14:paraId="541CD4E5">
                  <w:pPr>
                    <w:spacing w:line="360" w:lineRule="auto"/>
                    <w:jc w:val="center"/>
                    <w:rPr>
                      <w:color w:val="auto"/>
                      <w:szCs w:val="21"/>
                      <w:highlight w:val="none"/>
                    </w:rPr>
                  </w:pPr>
                  <w:r>
                    <w:rPr>
                      <w:rFonts w:hint="eastAsia"/>
                      <w:color w:val="auto"/>
                      <w:szCs w:val="21"/>
                      <w:highlight w:val="none"/>
                    </w:rPr>
                    <w:t>5</w:t>
                  </w:r>
                </w:p>
              </w:tc>
              <w:tc>
                <w:tcPr>
                  <w:tcW w:w="3340" w:type="dxa"/>
                </w:tcPr>
                <w:p w14:paraId="187B448D">
                  <w:pPr>
                    <w:spacing w:line="360" w:lineRule="auto"/>
                    <w:rPr>
                      <w:color w:val="auto"/>
                      <w:szCs w:val="21"/>
                      <w:highlight w:val="none"/>
                    </w:rPr>
                  </w:pPr>
                  <w:r>
                    <w:rPr>
                      <w:rFonts w:hint="eastAsia"/>
                      <w:color w:val="auto"/>
                      <w:szCs w:val="21"/>
                      <w:highlight w:val="none"/>
                    </w:rPr>
                    <w:t>合计应支付的预付款</w:t>
                  </w:r>
                </w:p>
              </w:tc>
              <w:tc>
                <w:tcPr>
                  <w:tcW w:w="1764" w:type="dxa"/>
                </w:tcPr>
                <w:p w14:paraId="5F4790C3">
                  <w:pPr>
                    <w:spacing w:line="360" w:lineRule="auto"/>
                    <w:rPr>
                      <w:color w:val="auto"/>
                      <w:szCs w:val="21"/>
                      <w:highlight w:val="none"/>
                    </w:rPr>
                  </w:pPr>
                </w:p>
              </w:tc>
              <w:tc>
                <w:tcPr>
                  <w:tcW w:w="2240" w:type="dxa"/>
                </w:tcPr>
                <w:p w14:paraId="186C2E9B">
                  <w:pPr>
                    <w:spacing w:line="360" w:lineRule="auto"/>
                    <w:rPr>
                      <w:color w:val="auto"/>
                      <w:szCs w:val="21"/>
                      <w:highlight w:val="none"/>
                    </w:rPr>
                  </w:pPr>
                </w:p>
              </w:tc>
              <w:tc>
                <w:tcPr>
                  <w:tcW w:w="1080" w:type="dxa"/>
                </w:tcPr>
                <w:p w14:paraId="56B850CA">
                  <w:pPr>
                    <w:spacing w:line="360" w:lineRule="auto"/>
                    <w:rPr>
                      <w:color w:val="auto"/>
                      <w:szCs w:val="21"/>
                      <w:highlight w:val="none"/>
                    </w:rPr>
                  </w:pPr>
                </w:p>
              </w:tc>
            </w:tr>
            <w:tr w14:paraId="003C8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14:paraId="5B68F369">
                  <w:pPr>
                    <w:spacing w:line="360" w:lineRule="auto"/>
                    <w:jc w:val="center"/>
                    <w:rPr>
                      <w:color w:val="auto"/>
                      <w:szCs w:val="21"/>
                      <w:highlight w:val="none"/>
                    </w:rPr>
                  </w:pPr>
                </w:p>
              </w:tc>
              <w:tc>
                <w:tcPr>
                  <w:tcW w:w="3340" w:type="dxa"/>
                </w:tcPr>
                <w:p w14:paraId="2A3B56B3">
                  <w:pPr>
                    <w:spacing w:line="360" w:lineRule="auto"/>
                    <w:rPr>
                      <w:color w:val="auto"/>
                      <w:szCs w:val="21"/>
                      <w:highlight w:val="none"/>
                    </w:rPr>
                  </w:pPr>
                </w:p>
              </w:tc>
              <w:tc>
                <w:tcPr>
                  <w:tcW w:w="1764" w:type="dxa"/>
                </w:tcPr>
                <w:p w14:paraId="0037564C">
                  <w:pPr>
                    <w:spacing w:line="360" w:lineRule="auto"/>
                    <w:rPr>
                      <w:color w:val="auto"/>
                      <w:szCs w:val="21"/>
                      <w:highlight w:val="none"/>
                    </w:rPr>
                  </w:pPr>
                </w:p>
              </w:tc>
              <w:tc>
                <w:tcPr>
                  <w:tcW w:w="2240" w:type="dxa"/>
                </w:tcPr>
                <w:p w14:paraId="09C646BA">
                  <w:pPr>
                    <w:spacing w:line="360" w:lineRule="auto"/>
                    <w:rPr>
                      <w:color w:val="auto"/>
                      <w:szCs w:val="21"/>
                      <w:highlight w:val="none"/>
                    </w:rPr>
                  </w:pPr>
                </w:p>
              </w:tc>
              <w:tc>
                <w:tcPr>
                  <w:tcW w:w="1080" w:type="dxa"/>
                </w:tcPr>
                <w:p w14:paraId="3628719B">
                  <w:pPr>
                    <w:spacing w:line="360" w:lineRule="auto"/>
                    <w:rPr>
                      <w:color w:val="auto"/>
                      <w:szCs w:val="21"/>
                      <w:highlight w:val="none"/>
                    </w:rPr>
                  </w:pPr>
                </w:p>
              </w:tc>
            </w:tr>
          </w:tbl>
          <w:p w14:paraId="0E134046">
            <w:pPr>
              <w:wordWrap w:val="0"/>
              <w:spacing w:line="360" w:lineRule="auto"/>
              <w:ind w:right="420"/>
              <w:rPr>
                <w:color w:val="auto"/>
                <w:szCs w:val="21"/>
                <w:highlight w:val="none"/>
              </w:rPr>
            </w:pPr>
          </w:p>
          <w:p w14:paraId="7C1B0E26">
            <w:pPr>
              <w:wordWrap w:val="0"/>
              <w:spacing w:line="360" w:lineRule="auto"/>
              <w:ind w:right="420"/>
              <w:rPr>
                <w:color w:val="auto"/>
                <w:szCs w:val="21"/>
                <w:highlight w:val="none"/>
              </w:rPr>
            </w:pPr>
            <w:r>
              <w:rPr>
                <w:rFonts w:hint="eastAsia"/>
                <w:color w:val="auto"/>
                <w:szCs w:val="21"/>
                <w:highlight w:val="none"/>
              </w:rPr>
              <w:t xml:space="preserve">                                            承包人（章）             </w:t>
            </w:r>
          </w:p>
          <w:p w14:paraId="07DA3D94">
            <w:pPr>
              <w:spacing w:line="360" w:lineRule="auto"/>
              <w:ind w:right="420" w:firstLine="435"/>
              <w:rPr>
                <w:color w:val="auto"/>
                <w:szCs w:val="21"/>
                <w:highlight w:val="none"/>
              </w:rPr>
            </w:pPr>
            <w:r>
              <w:rPr>
                <w:rFonts w:hint="eastAsia"/>
                <w:color w:val="auto"/>
                <w:szCs w:val="21"/>
                <w:highlight w:val="none"/>
              </w:rPr>
              <w:t>造价人员</w:t>
            </w:r>
            <w:r>
              <w:rPr>
                <w:rFonts w:hint="eastAsia"/>
                <w:color w:val="auto"/>
                <w:szCs w:val="21"/>
                <w:highlight w:val="none"/>
                <w:u w:val="single"/>
              </w:rPr>
              <w:t xml:space="preserve">               </w:t>
            </w:r>
            <w:r>
              <w:rPr>
                <w:rFonts w:hint="eastAsia"/>
                <w:color w:val="auto"/>
                <w:szCs w:val="21"/>
                <w:highlight w:val="none"/>
              </w:rPr>
              <w:t>承包人代表</w:t>
            </w:r>
            <w:r>
              <w:rPr>
                <w:rFonts w:hint="eastAsia"/>
                <w:color w:val="auto"/>
                <w:szCs w:val="21"/>
                <w:highlight w:val="none"/>
                <w:u w:val="single"/>
              </w:rPr>
              <w:t xml:space="preserve">               </w:t>
            </w:r>
            <w:r>
              <w:rPr>
                <w:rFonts w:hint="eastAsia"/>
                <w:color w:val="auto"/>
                <w:szCs w:val="21"/>
                <w:highlight w:val="none"/>
              </w:rPr>
              <w:t>日      期</w:t>
            </w:r>
            <w:r>
              <w:rPr>
                <w:rFonts w:hint="eastAsia"/>
                <w:color w:val="auto"/>
                <w:szCs w:val="21"/>
                <w:highlight w:val="none"/>
                <w:u w:val="single"/>
              </w:rPr>
              <w:t xml:space="preserve">               </w:t>
            </w:r>
          </w:p>
        </w:tc>
      </w:tr>
      <w:tr w14:paraId="454E7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22" w:hRule="atLeast"/>
          <w:jc w:val="center"/>
        </w:trPr>
        <w:tc>
          <w:tcPr>
            <w:tcW w:w="4488" w:type="dxa"/>
          </w:tcPr>
          <w:p w14:paraId="256CA029">
            <w:pPr>
              <w:spacing w:line="360" w:lineRule="auto"/>
              <w:rPr>
                <w:color w:val="auto"/>
                <w:szCs w:val="21"/>
                <w:highlight w:val="none"/>
              </w:rPr>
            </w:pPr>
            <w:r>
              <w:rPr>
                <w:rFonts w:hint="eastAsia"/>
                <w:color w:val="auto"/>
                <w:szCs w:val="21"/>
                <w:highlight w:val="none"/>
              </w:rPr>
              <w:t>复核意见：</w:t>
            </w:r>
          </w:p>
          <w:p w14:paraId="166B24AF">
            <w:pPr>
              <w:spacing w:line="360" w:lineRule="auto"/>
              <w:ind w:firstLine="312"/>
              <w:rPr>
                <w:color w:val="auto"/>
                <w:szCs w:val="21"/>
                <w:highlight w:val="none"/>
              </w:rPr>
            </w:pPr>
            <w:r>
              <w:rPr>
                <w:rFonts w:hint="eastAsia"/>
                <w:color w:val="auto"/>
                <w:szCs w:val="21"/>
                <w:highlight w:val="none"/>
              </w:rPr>
              <w:t>□与合同约定不相符，修改意见见附件。</w:t>
            </w:r>
          </w:p>
          <w:p w14:paraId="180A0022">
            <w:pPr>
              <w:spacing w:line="360" w:lineRule="auto"/>
              <w:ind w:firstLine="312"/>
              <w:rPr>
                <w:color w:val="auto"/>
                <w:szCs w:val="21"/>
                <w:highlight w:val="none"/>
              </w:rPr>
            </w:pPr>
            <w:r>
              <w:rPr>
                <w:rFonts w:hint="eastAsia"/>
                <w:color w:val="auto"/>
                <w:szCs w:val="21"/>
                <w:highlight w:val="none"/>
              </w:rPr>
              <w:t>□与合同约定相符，具体金额由造价工程师复核。</w:t>
            </w:r>
          </w:p>
          <w:p w14:paraId="5175007E">
            <w:pPr>
              <w:spacing w:line="360" w:lineRule="auto"/>
              <w:ind w:firstLine="435"/>
              <w:jc w:val="right"/>
              <w:rPr>
                <w:color w:val="auto"/>
                <w:szCs w:val="21"/>
                <w:highlight w:val="none"/>
              </w:rPr>
            </w:pPr>
          </w:p>
          <w:p w14:paraId="028A216D">
            <w:pPr>
              <w:spacing w:line="360" w:lineRule="auto"/>
              <w:ind w:firstLine="435"/>
              <w:jc w:val="center"/>
              <w:rPr>
                <w:color w:val="auto"/>
                <w:szCs w:val="21"/>
                <w:highlight w:val="none"/>
                <w:u w:val="single"/>
              </w:rPr>
            </w:pPr>
            <w:r>
              <w:rPr>
                <w:color w:val="auto"/>
                <w:szCs w:val="21"/>
                <w:highlight w:val="none"/>
              </w:rPr>
              <w:t xml:space="preserve">    </w:t>
            </w:r>
            <w:r>
              <w:rPr>
                <w:rFonts w:hint="eastAsia"/>
                <w:color w:val="auto"/>
                <w:szCs w:val="21"/>
                <w:highlight w:val="none"/>
              </w:rPr>
              <w:t xml:space="preserve">     监理工程师</w:t>
            </w:r>
            <w:r>
              <w:rPr>
                <w:rFonts w:hint="eastAsia"/>
                <w:color w:val="auto"/>
                <w:szCs w:val="21"/>
                <w:highlight w:val="none"/>
                <w:u w:val="single"/>
              </w:rPr>
              <w:t xml:space="preserve">           </w:t>
            </w:r>
          </w:p>
          <w:p w14:paraId="763441A4">
            <w:pPr>
              <w:spacing w:line="360" w:lineRule="auto"/>
              <w:ind w:firstLine="435"/>
              <w:jc w:val="center"/>
              <w:rPr>
                <w:color w:val="auto"/>
                <w:szCs w:val="21"/>
                <w:highlight w:val="none"/>
                <w:u w:val="single"/>
              </w:rPr>
            </w:pPr>
            <w:r>
              <w:rPr>
                <w:color w:val="auto"/>
                <w:szCs w:val="21"/>
                <w:highlight w:val="none"/>
              </w:rPr>
              <w:t xml:space="preserve">    </w:t>
            </w:r>
            <w:r>
              <w:rPr>
                <w:rFonts w:hint="eastAsia"/>
                <w:color w:val="auto"/>
                <w:szCs w:val="21"/>
                <w:highlight w:val="none"/>
              </w:rPr>
              <w:t xml:space="preserve">    日      期</w:t>
            </w:r>
            <w:r>
              <w:rPr>
                <w:rFonts w:hint="eastAsia"/>
                <w:color w:val="auto"/>
                <w:szCs w:val="21"/>
                <w:highlight w:val="none"/>
                <w:u w:val="single"/>
              </w:rPr>
              <w:t xml:space="preserve">           </w:t>
            </w:r>
          </w:p>
        </w:tc>
        <w:tc>
          <w:tcPr>
            <w:tcW w:w="4697" w:type="dxa"/>
          </w:tcPr>
          <w:p w14:paraId="4BB97F7A">
            <w:pPr>
              <w:spacing w:line="360" w:lineRule="auto"/>
              <w:rPr>
                <w:color w:val="auto"/>
                <w:szCs w:val="21"/>
                <w:highlight w:val="none"/>
              </w:rPr>
            </w:pPr>
            <w:r>
              <w:rPr>
                <w:rFonts w:hint="eastAsia"/>
                <w:color w:val="auto"/>
                <w:szCs w:val="21"/>
                <w:highlight w:val="none"/>
              </w:rPr>
              <w:t>复核意见：</w:t>
            </w:r>
          </w:p>
          <w:p w14:paraId="5954B62C">
            <w:pPr>
              <w:spacing w:line="360" w:lineRule="auto"/>
              <w:ind w:firstLine="435"/>
              <w:rPr>
                <w:color w:val="auto"/>
                <w:szCs w:val="21"/>
                <w:highlight w:val="none"/>
              </w:rPr>
            </w:pPr>
            <w:r>
              <w:rPr>
                <w:rFonts w:hint="eastAsia"/>
                <w:color w:val="auto"/>
                <w:szCs w:val="21"/>
                <w:highlight w:val="none"/>
              </w:rPr>
              <w:t>你方提出的支付申请经复核，应支付预付款金额为(大写)</w:t>
            </w:r>
            <w:r>
              <w:rPr>
                <w:rFonts w:hint="eastAsia"/>
                <w:color w:val="auto"/>
                <w:szCs w:val="21"/>
                <w:highlight w:val="none"/>
                <w:u w:val="single"/>
              </w:rPr>
              <w:t xml:space="preserve">                </w:t>
            </w:r>
            <w:r>
              <w:rPr>
                <w:rFonts w:hint="eastAsia"/>
                <w:color w:val="auto"/>
                <w:szCs w:val="21"/>
                <w:highlight w:val="none"/>
              </w:rPr>
              <w:t>元，（小写）</w:t>
            </w:r>
          </w:p>
          <w:p w14:paraId="1F35105B">
            <w:pPr>
              <w:spacing w:line="360" w:lineRule="auto"/>
              <w:rPr>
                <w:color w:val="auto"/>
                <w:szCs w:val="21"/>
                <w:highlight w:val="none"/>
              </w:rPr>
            </w:pPr>
            <w:r>
              <w:rPr>
                <w:rFonts w:hint="eastAsia"/>
                <w:color w:val="auto"/>
                <w:szCs w:val="21"/>
                <w:highlight w:val="none"/>
                <w:u w:val="single"/>
              </w:rPr>
              <w:t xml:space="preserve">          </w:t>
            </w:r>
            <w:r>
              <w:rPr>
                <w:rFonts w:hint="eastAsia"/>
                <w:color w:val="auto"/>
                <w:szCs w:val="21"/>
                <w:highlight w:val="none"/>
              </w:rPr>
              <w:t xml:space="preserve"> 元。</w:t>
            </w:r>
          </w:p>
          <w:p w14:paraId="18CD6457">
            <w:pPr>
              <w:spacing w:line="360" w:lineRule="auto"/>
              <w:rPr>
                <w:color w:val="auto"/>
                <w:szCs w:val="21"/>
                <w:highlight w:val="none"/>
                <w:u w:val="single"/>
              </w:rPr>
            </w:pPr>
          </w:p>
          <w:p w14:paraId="6547F7EC">
            <w:pPr>
              <w:spacing w:line="360" w:lineRule="auto"/>
              <w:ind w:firstLine="435"/>
              <w:jc w:val="center"/>
              <w:rPr>
                <w:color w:val="auto"/>
                <w:szCs w:val="21"/>
                <w:highlight w:val="none"/>
                <w:u w:val="single"/>
              </w:rPr>
            </w:pPr>
            <w:r>
              <w:rPr>
                <w:color w:val="auto"/>
                <w:szCs w:val="21"/>
                <w:highlight w:val="none"/>
              </w:rPr>
              <w:t xml:space="preserve">    </w:t>
            </w:r>
            <w:r>
              <w:rPr>
                <w:rFonts w:hint="eastAsia"/>
                <w:color w:val="auto"/>
                <w:szCs w:val="21"/>
                <w:highlight w:val="none"/>
              </w:rPr>
              <w:t xml:space="preserve">    造价工程师</w:t>
            </w:r>
            <w:r>
              <w:rPr>
                <w:rFonts w:hint="eastAsia"/>
                <w:color w:val="auto"/>
                <w:szCs w:val="21"/>
                <w:highlight w:val="none"/>
                <w:u w:val="single"/>
              </w:rPr>
              <w:t xml:space="preserve">           </w:t>
            </w:r>
          </w:p>
          <w:p w14:paraId="5F1F28AD">
            <w:pPr>
              <w:spacing w:line="360" w:lineRule="auto"/>
              <w:ind w:firstLine="435"/>
              <w:jc w:val="center"/>
              <w:rPr>
                <w:color w:val="auto"/>
                <w:szCs w:val="21"/>
                <w:highlight w:val="none"/>
                <w:u w:val="single"/>
              </w:rPr>
            </w:pPr>
            <w:r>
              <w:rPr>
                <w:color w:val="auto"/>
                <w:szCs w:val="21"/>
                <w:highlight w:val="none"/>
              </w:rPr>
              <w:t xml:space="preserve">    </w:t>
            </w:r>
            <w:r>
              <w:rPr>
                <w:rFonts w:hint="eastAsia"/>
                <w:color w:val="auto"/>
                <w:szCs w:val="21"/>
                <w:highlight w:val="none"/>
              </w:rPr>
              <w:t xml:space="preserve">    日      期</w:t>
            </w:r>
            <w:r>
              <w:rPr>
                <w:rFonts w:hint="eastAsia"/>
                <w:color w:val="auto"/>
                <w:szCs w:val="21"/>
                <w:highlight w:val="none"/>
                <w:u w:val="single"/>
              </w:rPr>
              <w:t xml:space="preserve">           </w:t>
            </w:r>
          </w:p>
        </w:tc>
      </w:tr>
      <w:tr w14:paraId="30BC2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1" w:hRule="atLeast"/>
          <w:jc w:val="center"/>
        </w:trPr>
        <w:tc>
          <w:tcPr>
            <w:tcW w:w="9185" w:type="dxa"/>
            <w:gridSpan w:val="2"/>
          </w:tcPr>
          <w:p w14:paraId="2847EF51">
            <w:pPr>
              <w:spacing w:line="360" w:lineRule="auto"/>
              <w:rPr>
                <w:color w:val="auto"/>
                <w:szCs w:val="21"/>
                <w:highlight w:val="none"/>
              </w:rPr>
            </w:pPr>
            <w:r>
              <w:rPr>
                <w:rFonts w:hint="eastAsia"/>
                <w:color w:val="auto"/>
                <w:szCs w:val="21"/>
                <w:highlight w:val="none"/>
              </w:rPr>
              <w:t>审核意见：</w:t>
            </w:r>
          </w:p>
          <w:p w14:paraId="5EA75FB9">
            <w:pPr>
              <w:spacing w:line="360" w:lineRule="auto"/>
              <w:ind w:firstLine="435"/>
              <w:rPr>
                <w:color w:val="auto"/>
                <w:szCs w:val="21"/>
                <w:highlight w:val="none"/>
              </w:rPr>
            </w:pPr>
            <w:r>
              <w:rPr>
                <w:rFonts w:hint="eastAsia"/>
                <w:color w:val="auto"/>
                <w:szCs w:val="21"/>
                <w:highlight w:val="none"/>
              </w:rPr>
              <w:t>□不同意。</w:t>
            </w:r>
          </w:p>
          <w:p w14:paraId="71E45F32">
            <w:pPr>
              <w:spacing w:line="360" w:lineRule="auto"/>
              <w:ind w:firstLine="420" w:firstLineChars="200"/>
              <w:rPr>
                <w:color w:val="auto"/>
                <w:szCs w:val="21"/>
                <w:highlight w:val="none"/>
              </w:rPr>
            </w:pPr>
            <w:r>
              <w:rPr>
                <w:rFonts w:hint="eastAsia"/>
                <w:color w:val="auto"/>
                <w:szCs w:val="21"/>
                <w:highlight w:val="none"/>
              </w:rPr>
              <w:t>□同意，支付时间为本表签发后的15天内。</w:t>
            </w:r>
          </w:p>
          <w:p w14:paraId="1E527FA5">
            <w:pPr>
              <w:wordWrap w:val="0"/>
              <w:spacing w:line="360" w:lineRule="auto"/>
              <w:ind w:firstLine="420" w:firstLineChars="200"/>
              <w:jc w:val="right"/>
              <w:rPr>
                <w:color w:val="auto"/>
                <w:szCs w:val="21"/>
                <w:highlight w:val="none"/>
              </w:rPr>
            </w:pPr>
            <w:r>
              <w:rPr>
                <w:rFonts w:hint="eastAsia"/>
                <w:color w:val="auto"/>
                <w:szCs w:val="21"/>
                <w:highlight w:val="none"/>
              </w:rPr>
              <w:t xml:space="preserve">发包人（章）           </w:t>
            </w:r>
          </w:p>
          <w:p w14:paraId="4E5ECA9E">
            <w:pPr>
              <w:wordWrap w:val="0"/>
              <w:spacing w:line="360" w:lineRule="auto"/>
              <w:ind w:firstLine="420" w:firstLineChars="200"/>
              <w:jc w:val="right"/>
              <w:rPr>
                <w:color w:val="auto"/>
                <w:szCs w:val="21"/>
                <w:highlight w:val="none"/>
                <w:u w:val="single"/>
              </w:rPr>
            </w:pPr>
            <w:r>
              <w:rPr>
                <w:rFonts w:hint="eastAsia"/>
                <w:color w:val="auto"/>
                <w:szCs w:val="21"/>
                <w:highlight w:val="none"/>
              </w:rPr>
              <w:t>发包人代表</w:t>
            </w:r>
            <w:r>
              <w:rPr>
                <w:rFonts w:hint="eastAsia"/>
                <w:color w:val="auto"/>
                <w:szCs w:val="21"/>
                <w:highlight w:val="none"/>
                <w:u w:val="single"/>
              </w:rPr>
              <w:t xml:space="preserve">             </w:t>
            </w:r>
          </w:p>
          <w:p w14:paraId="031CAAC6">
            <w:pPr>
              <w:wordWrap w:val="0"/>
              <w:spacing w:line="360" w:lineRule="auto"/>
              <w:ind w:firstLine="420" w:firstLineChars="200"/>
              <w:jc w:val="right"/>
              <w:rPr>
                <w:color w:val="auto"/>
                <w:szCs w:val="21"/>
                <w:highlight w:val="none"/>
                <w:u w:val="single"/>
              </w:rPr>
            </w:pPr>
            <w:r>
              <w:rPr>
                <w:rFonts w:hint="eastAsia"/>
                <w:color w:val="auto"/>
                <w:szCs w:val="21"/>
                <w:highlight w:val="none"/>
              </w:rPr>
              <w:t>日      期</w:t>
            </w:r>
            <w:r>
              <w:rPr>
                <w:rFonts w:hint="eastAsia"/>
                <w:color w:val="auto"/>
                <w:szCs w:val="21"/>
                <w:highlight w:val="none"/>
                <w:u w:val="single"/>
              </w:rPr>
              <w:t xml:space="preserve">             </w:t>
            </w:r>
          </w:p>
        </w:tc>
      </w:tr>
    </w:tbl>
    <w:p w14:paraId="5806C0A4">
      <w:pPr>
        <w:spacing w:beforeLines="50" w:line="360" w:lineRule="auto"/>
        <w:ind w:firstLine="360" w:firstLineChars="200"/>
        <w:rPr>
          <w:color w:val="auto"/>
          <w:sz w:val="18"/>
          <w:szCs w:val="18"/>
          <w:highlight w:val="none"/>
        </w:rPr>
      </w:pPr>
      <w:r>
        <w:rPr>
          <w:rFonts w:hint="eastAsia"/>
          <w:color w:val="auto"/>
          <w:sz w:val="18"/>
          <w:szCs w:val="18"/>
          <w:highlight w:val="none"/>
        </w:rPr>
        <w:t xml:space="preserve">注：1.在选择栏中的“□”内作标识“√”。 </w:t>
      </w:r>
    </w:p>
    <w:p w14:paraId="0676DEB8">
      <w:pPr>
        <w:spacing w:beforeLines="50" w:line="360" w:lineRule="auto"/>
        <w:ind w:left="720" w:hanging="720" w:hangingChars="400"/>
        <w:rPr>
          <w:rFonts w:eastAsia="仿宋_GB2312"/>
          <w:color w:val="auto"/>
          <w:sz w:val="30"/>
          <w:szCs w:val="30"/>
          <w:highlight w:val="none"/>
        </w:rPr>
      </w:pPr>
      <w:r>
        <w:rPr>
          <w:rFonts w:hint="eastAsia"/>
          <w:color w:val="auto"/>
          <w:sz w:val="18"/>
          <w:szCs w:val="18"/>
          <w:highlight w:val="none"/>
        </w:rPr>
        <w:t xml:space="preserve">    </w:t>
      </w:r>
      <w:r>
        <w:rPr>
          <w:color w:val="auto"/>
          <w:sz w:val="18"/>
          <w:szCs w:val="18"/>
          <w:highlight w:val="none"/>
        </w:rPr>
        <w:t xml:space="preserve">  </w:t>
      </w:r>
      <w:r>
        <w:rPr>
          <w:rFonts w:hint="eastAsia"/>
          <w:color w:val="auto"/>
          <w:sz w:val="18"/>
          <w:szCs w:val="18"/>
          <w:highlight w:val="none"/>
        </w:rPr>
        <w:t xml:space="preserve">  2.本表一式四份，由承包人填报，发包人、监理人、造价咨询人、承包人各存一份。</w:t>
      </w:r>
    </w:p>
    <w:p w14:paraId="6834EF22">
      <w:pPr>
        <w:spacing w:beforeLines="50" w:line="360" w:lineRule="auto"/>
        <w:ind w:left="1200" w:hanging="1200" w:hangingChars="400"/>
        <w:rPr>
          <w:rFonts w:hint="eastAsia" w:eastAsia="仿宋_GB2312"/>
          <w:color w:val="auto"/>
          <w:sz w:val="30"/>
          <w:szCs w:val="30"/>
          <w:highlight w:val="none"/>
        </w:rPr>
        <w:sectPr>
          <w:pgSz w:w="11906" w:h="16838"/>
          <w:pgMar w:top="1440" w:right="1080" w:bottom="1440" w:left="1080" w:header="851" w:footer="992" w:gutter="0"/>
          <w:pgNumType w:fmt="decimal"/>
          <w:cols w:space="720" w:num="1"/>
          <w:titlePg/>
          <w:docGrid w:type="lines" w:linePitch="312" w:charSpace="0"/>
        </w:sectPr>
      </w:pPr>
    </w:p>
    <w:p w14:paraId="29BE90BA">
      <w:pPr>
        <w:spacing w:beforeLines="50" w:line="360" w:lineRule="auto"/>
        <w:ind w:left="1200" w:hanging="1200" w:hangingChars="400"/>
        <w:rPr>
          <w:rFonts w:eastAsia="仿宋_GB2312"/>
          <w:color w:val="auto"/>
          <w:sz w:val="30"/>
          <w:szCs w:val="30"/>
          <w:highlight w:val="none"/>
        </w:rPr>
      </w:pPr>
      <w:r>
        <w:rPr>
          <w:rFonts w:hint="eastAsia" w:eastAsia="仿宋_GB2312"/>
          <w:color w:val="auto"/>
          <w:sz w:val="30"/>
          <w:szCs w:val="30"/>
          <w:highlight w:val="none"/>
        </w:rPr>
        <w:t>附件11：</w:t>
      </w:r>
    </w:p>
    <w:p w14:paraId="11BE6871">
      <w:pPr>
        <w:spacing w:line="360" w:lineRule="auto"/>
        <w:jc w:val="center"/>
        <w:rPr>
          <w:b/>
          <w:color w:val="auto"/>
          <w:sz w:val="36"/>
          <w:szCs w:val="36"/>
          <w:highlight w:val="none"/>
        </w:rPr>
      </w:pPr>
      <w:r>
        <w:rPr>
          <w:rFonts w:hint="eastAsia"/>
          <w:b/>
          <w:color w:val="auto"/>
          <w:sz w:val="36"/>
          <w:szCs w:val="36"/>
          <w:highlight w:val="none"/>
        </w:rPr>
        <w:t>进度款支付申请（核准）表</w:t>
      </w:r>
    </w:p>
    <w:p w14:paraId="10389D9A">
      <w:pPr>
        <w:spacing w:line="360" w:lineRule="auto"/>
        <w:rPr>
          <w:color w:val="auto"/>
          <w:sz w:val="24"/>
          <w:highlight w:val="none"/>
        </w:rPr>
      </w:pPr>
      <w:r>
        <w:rPr>
          <w:rFonts w:hint="eastAsia"/>
          <w:color w:val="auto"/>
          <w:sz w:val="24"/>
          <w:highlight w:val="none"/>
        </w:rPr>
        <w:t>工程名称：                                             编号：</w:t>
      </w:r>
    </w:p>
    <w:tbl>
      <w:tblPr>
        <w:tblStyle w:val="33"/>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20"/>
        <w:gridCol w:w="4552"/>
      </w:tblGrid>
      <w:tr w14:paraId="70FFF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8" w:hRule="atLeast"/>
          <w:jc w:val="center"/>
        </w:trPr>
        <w:tc>
          <w:tcPr>
            <w:tcW w:w="9072" w:type="dxa"/>
            <w:gridSpan w:val="2"/>
          </w:tcPr>
          <w:p w14:paraId="7918E18C">
            <w:pPr>
              <w:spacing w:line="360" w:lineRule="auto"/>
              <w:ind w:left="525" w:leftChars="149" w:hanging="212" w:hangingChars="101"/>
              <w:rPr>
                <w:color w:val="auto"/>
                <w:szCs w:val="21"/>
                <w:highlight w:val="none"/>
                <w:u w:val="single"/>
              </w:rPr>
            </w:pPr>
            <w:r>
              <w:rPr>
                <w:rFonts w:hint="eastAsia"/>
                <w:color w:val="auto"/>
                <w:szCs w:val="21"/>
                <w:highlight w:val="none"/>
              </w:rPr>
              <w:t>致：</w:t>
            </w:r>
            <w:r>
              <w:rPr>
                <w:rFonts w:hint="eastAsia"/>
                <w:color w:val="auto"/>
                <w:szCs w:val="21"/>
                <w:highlight w:val="none"/>
                <w:u w:val="single"/>
              </w:rPr>
              <w:t xml:space="preserve">                                   （发包人全称）</w:t>
            </w:r>
          </w:p>
          <w:p w14:paraId="61B3B1B8">
            <w:pPr>
              <w:spacing w:line="360" w:lineRule="auto"/>
              <w:ind w:left="-4" w:leftChars="-2" w:firstLine="315" w:firstLineChars="150"/>
              <w:rPr>
                <w:color w:val="auto"/>
                <w:szCs w:val="21"/>
                <w:highlight w:val="none"/>
              </w:rPr>
            </w:pPr>
            <w:r>
              <w:rPr>
                <w:rFonts w:hint="eastAsia"/>
                <w:color w:val="auto"/>
                <w:szCs w:val="21"/>
                <w:highlight w:val="none"/>
              </w:rPr>
              <w:t>我方于</w:t>
            </w:r>
            <w:r>
              <w:rPr>
                <w:rFonts w:hint="eastAsia"/>
                <w:color w:val="auto"/>
                <w:szCs w:val="21"/>
                <w:highlight w:val="none"/>
                <w:u w:val="single"/>
              </w:rPr>
              <w:t xml:space="preserve">         </w:t>
            </w:r>
            <w:r>
              <w:rPr>
                <w:rFonts w:hint="eastAsia"/>
                <w:color w:val="auto"/>
                <w:szCs w:val="21"/>
                <w:highlight w:val="none"/>
              </w:rPr>
              <w:t>至</w:t>
            </w:r>
            <w:r>
              <w:rPr>
                <w:rFonts w:hint="eastAsia"/>
                <w:color w:val="auto"/>
                <w:szCs w:val="21"/>
                <w:highlight w:val="none"/>
                <w:u w:val="single"/>
              </w:rPr>
              <w:t xml:space="preserve">          </w:t>
            </w:r>
            <w:r>
              <w:rPr>
                <w:rFonts w:hint="eastAsia"/>
                <w:color w:val="auto"/>
                <w:szCs w:val="21"/>
                <w:highlight w:val="none"/>
              </w:rPr>
              <w:t>期间已完成了</w:t>
            </w:r>
            <w:r>
              <w:rPr>
                <w:rFonts w:hint="eastAsia"/>
                <w:color w:val="auto"/>
                <w:szCs w:val="21"/>
                <w:highlight w:val="none"/>
                <w:u w:val="single"/>
              </w:rPr>
              <w:t xml:space="preserve">               </w:t>
            </w:r>
            <w:r>
              <w:rPr>
                <w:rFonts w:hint="eastAsia"/>
                <w:color w:val="auto"/>
                <w:szCs w:val="21"/>
                <w:highlight w:val="none"/>
              </w:rPr>
              <w:t>工作，根据施工合同的约定，现申请支付本期的合同款额为(大写)</w:t>
            </w:r>
            <w:r>
              <w:rPr>
                <w:rFonts w:hint="eastAsia"/>
                <w:color w:val="auto"/>
                <w:szCs w:val="21"/>
                <w:highlight w:val="none"/>
                <w:u w:val="single"/>
              </w:rPr>
              <w:t xml:space="preserve">            </w:t>
            </w:r>
            <w:r>
              <w:rPr>
                <w:rFonts w:hint="eastAsia"/>
                <w:color w:val="auto"/>
                <w:szCs w:val="21"/>
                <w:highlight w:val="none"/>
              </w:rPr>
              <w:t>元，(小写)</w:t>
            </w:r>
            <w:r>
              <w:rPr>
                <w:rFonts w:hint="eastAsia"/>
                <w:color w:val="auto"/>
                <w:szCs w:val="21"/>
                <w:highlight w:val="none"/>
                <w:u w:val="single"/>
              </w:rPr>
              <w:t xml:space="preserve">         </w:t>
            </w:r>
            <w:r>
              <w:rPr>
                <w:rFonts w:hint="eastAsia"/>
                <w:color w:val="auto"/>
                <w:szCs w:val="21"/>
                <w:highlight w:val="none"/>
              </w:rPr>
              <w:t>元，请予核准。</w:t>
            </w:r>
          </w:p>
          <w:tbl>
            <w:tblPr>
              <w:tblStyle w:val="33"/>
              <w:tblpPr w:leftFromText="180" w:rightFromText="180" w:vertAnchor="page" w:horzAnchor="margin" w:tblpY="1309"/>
              <w:tblOverlap w:val="never"/>
              <w:tblW w:w="884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5"/>
              <w:gridCol w:w="3340"/>
              <w:gridCol w:w="1340"/>
              <w:gridCol w:w="1440"/>
              <w:gridCol w:w="1260"/>
              <w:gridCol w:w="931"/>
            </w:tblGrid>
            <w:tr w14:paraId="4D6EC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535" w:type="dxa"/>
                  <w:vAlign w:val="center"/>
                </w:tcPr>
                <w:p w14:paraId="729B3EB5">
                  <w:pPr>
                    <w:spacing w:line="360" w:lineRule="auto"/>
                    <w:jc w:val="center"/>
                    <w:rPr>
                      <w:color w:val="auto"/>
                      <w:szCs w:val="21"/>
                      <w:highlight w:val="none"/>
                    </w:rPr>
                  </w:pPr>
                  <w:r>
                    <w:rPr>
                      <w:rFonts w:hint="eastAsia"/>
                      <w:color w:val="auto"/>
                      <w:szCs w:val="21"/>
                      <w:highlight w:val="none"/>
                    </w:rPr>
                    <w:t>序号</w:t>
                  </w:r>
                </w:p>
              </w:tc>
              <w:tc>
                <w:tcPr>
                  <w:tcW w:w="3340" w:type="dxa"/>
                  <w:vAlign w:val="center"/>
                </w:tcPr>
                <w:p w14:paraId="1ED3049D">
                  <w:pPr>
                    <w:spacing w:line="360" w:lineRule="auto"/>
                    <w:jc w:val="center"/>
                    <w:rPr>
                      <w:color w:val="auto"/>
                      <w:szCs w:val="21"/>
                      <w:highlight w:val="none"/>
                    </w:rPr>
                  </w:pPr>
                  <w:r>
                    <w:rPr>
                      <w:rFonts w:hint="eastAsia"/>
                      <w:color w:val="auto"/>
                      <w:szCs w:val="21"/>
                      <w:highlight w:val="none"/>
                    </w:rPr>
                    <w:t>名      称</w:t>
                  </w:r>
                </w:p>
              </w:tc>
              <w:tc>
                <w:tcPr>
                  <w:tcW w:w="1340" w:type="dxa"/>
                  <w:vAlign w:val="center"/>
                </w:tcPr>
                <w:p w14:paraId="3A7015C1">
                  <w:pPr>
                    <w:spacing w:line="360" w:lineRule="auto"/>
                    <w:jc w:val="center"/>
                    <w:rPr>
                      <w:color w:val="auto"/>
                      <w:szCs w:val="21"/>
                      <w:highlight w:val="none"/>
                    </w:rPr>
                  </w:pPr>
                  <w:r>
                    <w:rPr>
                      <w:rFonts w:hint="eastAsia"/>
                      <w:color w:val="auto"/>
                      <w:szCs w:val="21"/>
                      <w:highlight w:val="none"/>
                    </w:rPr>
                    <w:t>实际金额（元）</w:t>
                  </w:r>
                </w:p>
              </w:tc>
              <w:tc>
                <w:tcPr>
                  <w:tcW w:w="1440" w:type="dxa"/>
                  <w:vAlign w:val="center"/>
                </w:tcPr>
                <w:p w14:paraId="00F3AA7D">
                  <w:pPr>
                    <w:spacing w:line="360" w:lineRule="auto"/>
                    <w:jc w:val="center"/>
                    <w:rPr>
                      <w:color w:val="auto"/>
                      <w:szCs w:val="21"/>
                      <w:highlight w:val="none"/>
                    </w:rPr>
                  </w:pPr>
                  <w:r>
                    <w:rPr>
                      <w:rFonts w:hint="eastAsia"/>
                      <w:color w:val="auto"/>
                      <w:szCs w:val="21"/>
                      <w:highlight w:val="none"/>
                    </w:rPr>
                    <w:t>申请金额（元）</w:t>
                  </w:r>
                </w:p>
              </w:tc>
              <w:tc>
                <w:tcPr>
                  <w:tcW w:w="1260" w:type="dxa"/>
                  <w:vAlign w:val="center"/>
                </w:tcPr>
                <w:p w14:paraId="28CC84A6">
                  <w:pPr>
                    <w:spacing w:line="360" w:lineRule="auto"/>
                    <w:jc w:val="center"/>
                    <w:rPr>
                      <w:color w:val="auto"/>
                      <w:szCs w:val="21"/>
                      <w:highlight w:val="none"/>
                    </w:rPr>
                  </w:pPr>
                  <w:r>
                    <w:rPr>
                      <w:rFonts w:hint="eastAsia"/>
                      <w:color w:val="auto"/>
                      <w:szCs w:val="21"/>
                      <w:highlight w:val="none"/>
                    </w:rPr>
                    <w:t>复核金额（元）</w:t>
                  </w:r>
                </w:p>
              </w:tc>
              <w:tc>
                <w:tcPr>
                  <w:tcW w:w="931" w:type="dxa"/>
                  <w:vAlign w:val="center"/>
                </w:tcPr>
                <w:p w14:paraId="4D76BF6F">
                  <w:pPr>
                    <w:spacing w:line="360" w:lineRule="auto"/>
                    <w:jc w:val="center"/>
                    <w:rPr>
                      <w:color w:val="auto"/>
                      <w:szCs w:val="21"/>
                      <w:highlight w:val="none"/>
                    </w:rPr>
                  </w:pPr>
                  <w:r>
                    <w:rPr>
                      <w:rFonts w:hint="eastAsia"/>
                      <w:color w:val="auto"/>
                      <w:szCs w:val="21"/>
                      <w:highlight w:val="none"/>
                    </w:rPr>
                    <w:t>备注</w:t>
                  </w:r>
                </w:p>
              </w:tc>
            </w:tr>
            <w:tr w14:paraId="66CC6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14:paraId="6FFA2BAA">
                  <w:pPr>
                    <w:spacing w:line="360" w:lineRule="auto"/>
                    <w:jc w:val="center"/>
                    <w:rPr>
                      <w:color w:val="auto"/>
                      <w:szCs w:val="21"/>
                      <w:highlight w:val="none"/>
                    </w:rPr>
                  </w:pPr>
                  <w:r>
                    <w:rPr>
                      <w:rFonts w:hint="eastAsia"/>
                      <w:color w:val="auto"/>
                      <w:szCs w:val="21"/>
                      <w:highlight w:val="none"/>
                    </w:rPr>
                    <w:t>1</w:t>
                  </w:r>
                </w:p>
              </w:tc>
              <w:tc>
                <w:tcPr>
                  <w:tcW w:w="3340" w:type="dxa"/>
                </w:tcPr>
                <w:p w14:paraId="5DFA5A24">
                  <w:pPr>
                    <w:spacing w:line="360" w:lineRule="auto"/>
                    <w:rPr>
                      <w:color w:val="auto"/>
                      <w:szCs w:val="21"/>
                      <w:highlight w:val="none"/>
                    </w:rPr>
                  </w:pPr>
                  <w:r>
                    <w:rPr>
                      <w:rFonts w:hint="eastAsia"/>
                      <w:color w:val="auto"/>
                      <w:szCs w:val="21"/>
                      <w:highlight w:val="none"/>
                    </w:rPr>
                    <w:t>累计已完成的工程价款</w:t>
                  </w:r>
                </w:p>
              </w:tc>
              <w:tc>
                <w:tcPr>
                  <w:tcW w:w="1340" w:type="dxa"/>
                </w:tcPr>
                <w:p w14:paraId="505D8B63">
                  <w:pPr>
                    <w:spacing w:line="360" w:lineRule="auto"/>
                    <w:rPr>
                      <w:color w:val="auto"/>
                      <w:szCs w:val="21"/>
                      <w:highlight w:val="none"/>
                    </w:rPr>
                  </w:pPr>
                </w:p>
              </w:tc>
              <w:tc>
                <w:tcPr>
                  <w:tcW w:w="1440" w:type="dxa"/>
                </w:tcPr>
                <w:p w14:paraId="1E27A71E">
                  <w:pPr>
                    <w:spacing w:line="360" w:lineRule="auto"/>
                    <w:rPr>
                      <w:color w:val="auto"/>
                      <w:szCs w:val="21"/>
                      <w:highlight w:val="none"/>
                    </w:rPr>
                  </w:pPr>
                </w:p>
              </w:tc>
              <w:tc>
                <w:tcPr>
                  <w:tcW w:w="1260" w:type="dxa"/>
                </w:tcPr>
                <w:p w14:paraId="70C1C5A5">
                  <w:pPr>
                    <w:spacing w:line="360" w:lineRule="auto"/>
                    <w:rPr>
                      <w:color w:val="auto"/>
                      <w:szCs w:val="21"/>
                      <w:highlight w:val="none"/>
                    </w:rPr>
                  </w:pPr>
                </w:p>
              </w:tc>
              <w:tc>
                <w:tcPr>
                  <w:tcW w:w="931" w:type="dxa"/>
                </w:tcPr>
                <w:p w14:paraId="17DFB4D7">
                  <w:pPr>
                    <w:spacing w:line="360" w:lineRule="auto"/>
                    <w:rPr>
                      <w:color w:val="auto"/>
                      <w:szCs w:val="21"/>
                      <w:highlight w:val="none"/>
                    </w:rPr>
                  </w:pPr>
                </w:p>
              </w:tc>
            </w:tr>
            <w:tr w14:paraId="1D1FF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14:paraId="373E5788">
                  <w:pPr>
                    <w:spacing w:line="360" w:lineRule="auto"/>
                    <w:jc w:val="center"/>
                    <w:rPr>
                      <w:color w:val="auto"/>
                      <w:szCs w:val="21"/>
                      <w:highlight w:val="none"/>
                    </w:rPr>
                  </w:pPr>
                </w:p>
              </w:tc>
              <w:tc>
                <w:tcPr>
                  <w:tcW w:w="3340" w:type="dxa"/>
                </w:tcPr>
                <w:p w14:paraId="33C0B395">
                  <w:pPr>
                    <w:spacing w:line="360" w:lineRule="auto"/>
                    <w:rPr>
                      <w:color w:val="auto"/>
                      <w:szCs w:val="21"/>
                      <w:highlight w:val="none"/>
                    </w:rPr>
                  </w:pPr>
                  <w:r>
                    <w:rPr>
                      <w:rFonts w:hint="eastAsia"/>
                      <w:color w:val="auto"/>
                      <w:szCs w:val="21"/>
                      <w:highlight w:val="none"/>
                    </w:rPr>
                    <w:t>其中：人工费</w:t>
                  </w:r>
                </w:p>
              </w:tc>
              <w:tc>
                <w:tcPr>
                  <w:tcW w:w="1340" w:type="dxa"/>
                </w:tcPr>
                <w:p w14:paraId="2AE00705">
                  <w:pPr>
                    <w:spacing w:line="360" w:lineRule="auto"/>
                    <w:rPr>
                      <w:color w:val="auto"/>
                      <w:szCs w:val="21"/>
                      <w:highlight w:val="none"/>
                    </w:rPr>
                  </w:pPr>
                </w:p>
              </w:tc>
              <w:tc>
                <w:tcPr>
                  <w:tcW w:w="1440" w:type="dxa"/>
                </w:tcPr>
                <w:p w14:paraId="1BA23E1B">
                  <w:pPr>
                    <w:spacing w:line="360" w:lineRule="auto"/>
                    <w:rPr>
                      <w:color w:val="auto"/>
                      <w:szCs w:val="21"/>
                      <w:highlight w:val="none"/>
                    </w:rPr>
                  </w:pPr>
                </w:p>
              </w:tc>
              <w:tc>
                <w:tcPr>
                  <w:tcW w:w="1260" w:type="dxa"/>
                </w:tcPr>
                <w:p w14:paraId="664705AC">
                  <w:pPr>
                    <w:spacing w:line="360" w:lineRule="auto"/>
                    <w:rPr>
                      <w:color w:val="auto"/>
                      <w:szCs w:val="21"/>
                      <w:highlight w:val="none"/>
                    </w:rPr>
                  </w:pPr>
                </w:p>
              </w:tc>
              <w:tc>
                <w:tcPr>
                  <w:tcW w:w="931" w:type="dxa"/>
                </w:tcPr>
                <w:p w14:paraId="191A1C29">
                  <w:pPr>
                    <w:spacing w:line="360" w:lineRule="auto"/>
                    <w:rPr>
                      <w:color w:val="auto"/>
                      <w:szCs w:val="21"/>
                      <w:highlight w:val="none"/>
                    </w:rPr>
                  </w:pPr>
                </w:p>
              </w:tc>
            </w:tr>
            <w:tr w14:paraId="2587C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14:paraId="47EE52B3">
                  <w:pPr>
                    <w:spacing w:line="360" w:lineRule="auto"/>
                    <w:jc w:val="center"/>
                    <w:rPr>
                      <w:color w:val="auto"/>
                      <w:szCs w:val="21"/>
                      <w:highlight w:val="none"/>
                    </w:rPr>
                  </w:pPr>
                  <w:r>
                    <w:rPr>
                      <w:rFonts w:hint="eastAsia"/>
                      <w:color w:val="auto"/>
                      <w:szCs w:val="21"/>
                      <w:highlight w:val="none"/>
                    </w:rPr>
                    <w:t>2</w:t>
                  </w:r>
                </w:p>
              </w:tc>
              <w:tc>
                <w:tcPr>
                  <w:tcW w:w="3340" w:type="dxa"/>
                </w:tcPr>
                <w:p w14:paraId="37545A2C">
                  <w:pPr>
                    <w:spacing w:line="360" w:lineRule="auto"/>
                    <w:rPr>
                      <w:color w:val="auto"/>
                      <w:szCs w:val="21"/>
                      <w:highlight w:val="none"/>
                    </w:rPr>
                  </w:pPr>
                  <w:r>
                    <w:rPr>
                      <w:rFonts w:hint="eastAsia"/>
                      <w:color w:val="auto"/>
                      <w:szCs w:val="21"/>
                      <w:highlight w:val="none"/>
                    </w:rPr>
                    <w:t>累计已实际支付的工程价款</w:t>
                  </w:r>
                </w:p>
              </w:tc>
              <w:tc>
                <w:tcPr>
                  <w:tcW w:w="1340" w:type="dxa"/>
                </w:tcPr>
                <w:p w14:paraId="69BEC7F7">
                  <w:pPr>
                    <w:spacing w:line="360" w:lineRule="auto"/>
                    <w:rPr>
                      <w:color w:val="auto"/>
                      <w:szCs w:val="21"/>
                      <w:highlight w:val="none"/>
                    </w:rPr>
                  </w:pPr>
                </w:p>
              </w:tc>
              <w:tc>
                <w:tcPr>
                  <w:tcW w:w="1440" w:type="dxa"/>
                </w:tcPr>
                <w:p w14:paraId="30A3C4CF">
                  <w:pPr>
                    <w:spacing w:line="360" w:lineRule="auto"/>
                    <w:rPr>
                      <w:color w:val="auto"/>
                      <w:szCs w:val="21"/>
                      <w:highlight w:val="none"/>
                    </w:rPr>
                  </w:pPr>
                </w:p>
              </w:tc>
              <w:tc>
                <w:tcPr>
                  <w:tcW w:w="1260" w:type="dxa"/>
                </w:tcPr>
                <w:p w14:paraId="2466F06F">
                  <w:pPr>
                    <w:spacing w:line="360" w:lineRule="auto"/>
                    <w:rPr>
                      <w:color w:val="auto"/>
                      <w:szCs w:val="21"/>
                      <w:highlight w:val="none"/>
                    </w:rPr>
                  </w:pPr>
                </w:p>
              </w:tc>
              <w:tc>
                <w:tcPr>
                  <w:tcW w:w="931" w:type="dxa"/>
                </w:tcPr>
                <w:p w14:paraId="7E2DAAAE">
                  <w:pPr>
                    <w:spacing w:line="360" w:lineRule="auto"/>
                    <w:rPr>
                      <w:color w:val="auto"/>
                      <w:szCs w:val="21"/>
                      <w:highlight w:val="none"/>
                    </w:rPr>
                  </w:pPr>
                </w:p>
              </w:tc>
            </w:tr>
            <w:tr w14:paraId="7DBAD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14:paraId="21F5B974">
                  <w:pPr>
                    <w:spacing w:line="360" w:lineRule="auto"/>
                    <w:jc w:val="center"/>
                    <w:rPr>
                      <w:color w:val="auto"/>
                      <w:szCs w:val="21"/>
                      <w:highlight w:val="none"/>
                    </w:rPr>
                  </w:pPr>
                </w:p>
              </w:tc>
              <w:tc>
                <w:tcPr>
                  <w:tcW w:w="3340" w:type="dxa"/>
                </w:tcPr>
                <w:p w14:paraId="6571E223">
                  <w:pPr>
                    <w:spacing w:line="360" w:lineRule="auto"/>
                    <w:rPr>
                      <w:color w:val="auto"/>
                      <w:szCs w:val="21"/>
                      <w:highlight w:val="none"/>
                    </w:rPr>
                  </w:pPr>
                  <w:r>
                    <w:rPr>
                      <w:rFonts w:hint="eastAsia"/>
                      <w:color w:val="auto"/>
                      <w:szCs w:val="21"/>
                      <w:highlight w:val="none"/>
                    </w:rPr>
                    <w:t>其中：人工费</w:t>
                  </w:r>
                </w:p>
              </w:tc>
              <w:tc>
                <w:tcPr>
                  <w:tcW w:w="1340" w:type="dxa"/>
                </w:tcPr>
                <w:p w14:paraId="549C89A3">
                  <w:pPr>
                    <w:spacing w:line="360" w:lineRule="auto"/>
                    <w:rPr>
                      <w:color w:val="auto"/>
                      <w:szCs w:val="21"/>
                      <w:highlight w:val="none"/>
                    </w:rPr>
                  </w:pPr>
                </w:p>
              </w:tc>
              <w:tc>
                <w:tcPr>
                  <w:tcW w:w="1440" w:type="dxa"/>
                </w:tcPr>
                <w:p w14:paraId="548FF5E9">
                  <w:pPr>
                    <w:spacing w:line="360" w:lineRule="auto"/>
                    <w:rPr>
                      <w:color w:val="auto"/>
                      <w:szCs w:val="21"/>
                      <w:highlight w:val="none"/>
                    </w:rPr>
                  </w:pPr>
                </w:p>
              </w:tc>
              <w:tc>
                <w:tcPr>
                  <w:tcW w:w="1260" w:type="dxa"/>
                </w:tcPr>
                <w:p w14:paraId="766EE260">
                  <w:pPr>
                    <w:spacing w:line="360" w:lineRule="auto"/>
                    <w:rPr>
                      <w:color w:val="auto"/>
                      <w:szCs w:val="21"/>
                      <w:highlight w:val="none"/>
                    </w:rPr>
                  </w:pPr>
                </w:p>
              </w:tc>
              <w:tc>
                <w:tcPr>
                  <w:tcW w:w="931" w:type="dxa"/>
                </w:tcPr>
                <w:p w14:paraId="3CE95C78">
                  <w:pPr>
                    <w:spacing w:line="360" w:lineRule="auto"/>
                    <w:rPr>
                      <w:color w:val="auto"/>
                      <w:szCs w:val="21"/>
                      <w:highlight w:val="none"/>
                    </w:rPr>
                  </w:pPr>
                </w:p>
              </w:tc>
            </w:tr>
            <w:tr w14:paraId="7FACB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14:paraId="6F9AB26E">
                  <w:pPr>
                    <w:spacing w:line="360" w:lineRule="auto"/>
                    <w:jc w:val="center"/>
                    <w:rPr>
                      <w:color w:val="auto"/>
                      <w:szCs w:val="21"/>
                      <w:highlight w:val="none"/>
                    </w:rPr>
                  </w:pPr>
                  <w:r>
                    <w:rPr>
                      <w:rFonts w:hint="eastAsia"/>
                      <w:color w:val="auto"/>
                      <w:szCs w:val="21"/>
                      <w:highlight w:val="none"/>
                    </w:rPr>
                    <w:t>3</w:t>
                  </w:r>
                </w:p>
              </w:tc>
              <w:tc>
                <w:tcPr>
                  <w:tcW w:w="3340" w:type="dxa"/>
                </w:tcPr>
                <w:p w14:paraId="14A63B84">
                  <w:pPr>
                    <w:spacing w:line="360" w:lineRule="auto"/>
                    <w:rPr>
                      <w:color w:val="auto"/>
                      <w:szCs w:val="21"/>
                      <w:highlight w:val="none"/>
                    </w:rPr>
                  </w:pPr>
                  <w:r>
                    <w:rPr>
                      <w:rFonts w:hint="eastAsia"/>
                      <w:color w:val="auto"/>
                      <w:szCs w:val="21"/>
                      <w:highlight w:val="none"/>
                    </w:rPr>
                    <w:t>本周期已完成的工程价款</w:t>
                  </w:r>
                </w:p>
              </w:tc>
              <w:tc>
                <w:tcPr>
                  <w:tcW w:w="1340" w:type="dxa"/>
                </w:tcPr>
                <w:p w14:paraId="7B50C513">
                  <w:pPr>
                    <w:spacing w:line="360" w:lineRule="auto"/>
                    <w:rPr>
                      <w:color w:val="auto"/>
                      <w:szCs w:val="21"/>
                      <w:highlight w:val="none"/>
                    </w:rPr>
                  </w:pPr>
                </w:p>
              </w:tc>
              <w:tc>
                <w:tcPr>
                  <w:tcW w:w="1440" w:type="dxa"/>
                </w:tcPr>
                <w:p w14:paraId="4C629821">
                  <w:pPr>
                    <w:spacing w:line="360" w:lineRule="auto"/>
                    <w:rPr>
                      <w:color w:val="auto"/>
                      <w:szCs w:val="21"/>
                      <w:highlight w:val="none"/>
                    </w:rPr>
                  </w:pPr>
                </w:p>
              </w:tc>
              <w:tc>
                <w:tcPr>
                  <w:tcW w:w="1260" w:type="dxa"/>
                </w:tcPr>
                <w:p w14:paraId="0344E3F8">
                  <w:pPr>
                    <w:spacing w:line="360" w:lineRule="auto"/>
                    <w:rPr>
                      <w:color w:val="auto"/>
                      <w:szCs w:val="21"/>
                      <w:highlight w:val="none"/>
                    </w:rPr>
                  </w:pPr>
                </w:p>
              </w:tc>
              <w:tc>
                <w:tcPr>
                  <w:tcW w:w="931" w:type="dxa"/>
                </w:tcPr>
                <w:p w14:paraId="56178335">
                  <w:pPr>
                    <w:spacing w:line="360" w:lineRule="auto"/>
                    <w:rPr>
                      <w:color w:val="auto"/>
                      <w:szCs w:val="21"/>
                      <w:highlight w:val="none"/>
                    </w:rPr>
                  </w:pPr>
                </w:p>
              </w:tc>
            </w:tr>
            <w:tr w14:paraId="00144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14:paraId="7BA5AEB6">
                  <w:pPr>
                    <w:spacing w:line="360" w:lineRule="auto"/>
                    <w:jc w:val="center"/>
                    <w:rPr>
                      <w:color w:val="auto"/>
                      <w:szCs w:val="21"/>
                      <w:highlight w:val="none"/>
                    </w:rPr>
                  </w:pPr>
                </w:p>
              </w:tc>
              <w:tc>
                <w:tcPr>
                  <w:tcW w:w="3340" w:type="dxa"/>
                </w:tcPr>
                <w:p w14:paraId="2D77D379">
                  <w:pPr>
                    <w:spacing w:line="360" w:lineRule="auto"/>
                    <w:rPr>
                      <w:color w:val="auto"/>
                      <w:szCs w:val="21"/>
                      <w:highlight w:val="none"/>
                    </w:rPr>
                  </w:pPr>
                  <w:r>
                    <w:rPr>
                      <w:rFonts w:hint="eastAsia"/>
                      <w:color w:val="auto"/>
                      <w:szCs w:val="21"/>
                      <w:highlight w:val="none"/>
                    </w:rPr>
                    <w:t>其中：人工费</w:t>
                  </w:r>
                </w:p>
              </w:tc>
              <w:tc>
                <w:tcPr>
                  <w:tcW w:w="1340" w:type="dxa"/>
                </w:tcPr>
                <w:p w14:paraId="7F3D7F22">
                  <w:pPr>
                    <w:spacing w:line="360" w:lineRule="auto"/>
                    <w:rPr>
                      <w:color w:val="auto"/>
                      <w:szCs w:val="21"/>
                      <w:highlight w:val="none"/>
                    </w:rPr>
                  </w:pPr>
                </w:p>
              </w:tc>
              <w:tc>
                <w:tcPr>
                  <w:tcW w:w="1440" w:type="dxa"/>
                </w:tcPr>
                <w:p w14:paraId="287920CB">
                  <w:pPr>
                    <w:spacing w:line="360" w:lineRule="auto"/>
                    <w:rPr>
                      <w:color w:val="auto"/>
                      <w:szCs w:val="21"/>
                      <w:highlight w:val="none"/>
                    </w:rPr>
                  </w:pPr>
                </w:p>
              </w:tc>
              <w:tc>
                <w:tcPr>
                  <w:tcW w:w="1260" w:type="dxa"/>
                </w:tcPr>
                <w:p w14:paraId="36118771">
                  <w:pPr>
                    <w:spacing w:line="360" w:lineRule="auto"/>
                    <w:rPr>
                      <w:color w:val="auto"/>
                      <w:szCs w:val="21"/>
                      <w:highlight w:val="none"/>
                    </w:rPr>
                  </w:pPr>
                </w:p>
              </w:tc>
              <w:tc>
                <w:tcPr>
                  <w:tcW w:w="931" w:type="dxa"/>
                </w:tcPr>
                <w:p w14:paraId="4495990D">
                  <w:pPr>
                    <w:spacing w:line="360" w:lineRule="auto"/>
                    <w:rPr>
                      <w:color w:val="auto"/>
                      <w:szCs w:val="21"/>
                      <w:highlight w:val="none"/>
                    </w:rPr>
                  </w:pPr>
                </w:p>
              </w:tc>
            </w:tr>
            <w:tr w14:paraId="77A16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14:paraId="6473D184">
                  <w:pPr>
                    <w:spacing w:line="360" w:lineRule="auto"/>
                    <w:jc w:val="center"/>
                    <w:rPr>
                      <w:color w:val="auto"/>
                      <w:szCs w:val="21"/>
                      <w:highlight w:val="none"/>
                    </w:rPr>
                  </w:pPr>
                  <w:r>
                    <w:rPr>
                      <w:rFonts w:hint="eastAsia"/>
                      <w:color w:val="auto"/>
                      <w:szCs w:val="21"/>
                      <w:highlight w:val="none"/>
                    </w:rPr>
                    <w:t>4</w:t>
                  </w:r>
                </w:p>
              </w:tc>
              <w:tc>
                <w:tcPr>
                  <w:tcW w:w="3340" w:type="dxa"/>
                </w:tcPr>
                <w:p w14:paraId="23459C0E">
                  <w:pPr>
                    <w:spacing w:line="360" w:lineRule="auto"/>
                    <w:rPr>
                      <w:color w:val="auto"/>
                      <w:szCs w:val="21"/>
                      <w:highlight w:val="none"/>
                    </w:rPr>
                  </w:pPr>
                  <w:r>
                    <w:rPr>
                      <w:rFonts w:hint="eastAsia"/>
                      <w:color w:val="auto"/>
                      <w:szCs w:val="21"/>
                      <w:highlight w:val="none"/>
                    </w:rPr>
                    <w:t>本周期应扣减的金额</w:t>
                  </w:r>
                </w:p>
              </w:tc>
              <w:tc>
                <w:tcPr>
                  <w:tcW w:w="1340" w:type="dxa"/>
                </w:tcPr>
                <w:p w14:paraId="7F73D9F5">
                  <w:pPr>
                    <w:spacing w:line="360" w:lineRule="auto"/>
                    <w:rPr>
                      <w:color w:val="auto"/>
                      <w:szCs w:val="21"/>
                      <w:highlight w:val="none"/>
                    </w:rPr>
                  </w:pPr>
                </w:p>
              </w:tc>
              <w:tc>
                <w:tcPr>
                  <w:tcW w:w="1440" w:type="dxa"/>
                </w:tcPr>
                <w:p w14:paraId="2BAAC0AE">
                  <w:pPr>
                    <w:spacing w:line="360" w:lineRule="auto"/>
                    <w:rPr>
                      <w:color w:val="auto"/>
                      <w:szCs w:val="21"/>
                      <w:highlight w:val="none"/>
                    </w:rPr>
                  </w:pPr>
                </w:p>
              </w:tc>
              <w:tc>
                <w:tcPr>
                  <w:tcW w:w="1260" w:type="dxa"/>
                </w:tcPr>
                <w:p w14:paraId="2269B614">
                  <w:pPr>
                    <w:spacing w:line="360" w:lineRule="auto"/>
                    <w:rPr>
                      <w:color w:val="auto"/>
                      <w:szCs w:val="21"/>
                      <w:highlight w:val="none"/>
                    </w:rPr>
                  </w:pPr>
                </w:p>
              </w:tc>
              <w:tc>
                <w:tcPr>
                  <w:tcW w:w="931" w:type="dxa"/>
                </w:tcPr>
                <w:p w14:paraId="43D333D2">
                  <w:pPr>
                    <w:spacing w:line="360" w:lineRule="auto"/>
                    <w:rPr>
                      <w:color w:val="auto"/>
                      <w:szCs w:val="21"/>
                      <w:highlight w:val="none"/>
                    </w:rPr>
                  </w:pPr>
                </w:p>
              </w:tc>
            </w:tr>
            <w:tr w14:paraId="34E9F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14:paraId="4FF901A5">
                  <w:pPr>
                    <w:spacing w:line="360" w:lineRule="auto"/>
                    <w:jc w:val="center"/>
                    <w:rPr>
                      <w:color w:val="auto"/>
                      <w:szCs w:val="21"/>
                      <w:highlight w:val="none"/>
                    </w:rPr>
                  </w:pPr>
                  <w:r>
                    <w:rPr>
                      <w:rFonts w:hint="eastAsia"/>
                      <w:color w:val="auto"/>
                      <w:szCs w:val="21"/>
                      <w:highlight w:val="none"/>
                    </w:rPr>
                    <w:t>4.1</w:t>
                  </w:r>
                </w:p>
              </w:tc>
              <w:tc>
                <w:tcPr>
                  <w:tcW w:w="3340" w:type="dxa"/>
                </w:tcPr>
                <w:p w14:paraId="2E5ACF16">
                  <w:pPr>
                    <w:spacing w:line="360" w:lineRule="auto"/>
                    <w:rPr>
                      <w:color w:val="auto"/>
                      <w:szCs w:val="21"/>
                      <w:highlight w:val="none"/>
                    </w:rPr>
                  </w:pPr>
                  <w:r>
                    <w:rPr>
                      <w:rFonts w:hint="eastAsia"/>
                      <w:color w:val="auto"/>
                      <w:szCs w:val="21"/>
                      <w:highlight w:val="none"/>
                    </w:rPr>
                    <w:t>本周期实际应抵扣的预付款</w:t>
                  </w:r>
                </w:p>
              </w:tc>
              <w:tc>
                <w:tcPr>
                  <w:tcW w:w="1340" w:type="dxa"/>
                </w:tcPr>
                <w:p w14:paraId="23A4A073">
                  <w:pPr>
                    <w:spacing w:line="360" w:lineRule="auto"/>
                    <w:rPr>
                      <w:color w:val="auto"/>
                      <w:szCs w:val="21"/>
                      <w:highlight w:val="none"/>
                    </w:rPr>
                  </w:pPr>
                </w:p>
              </w:tc>
              <w:tc>
                <w:tcPr>
                  <w:tcW w:w="1440" w:type="dxa"/>
                </w:tcPr>
                <w:p w14:paraId="50388E64">
                  <w:pPr>
                    <w:spacing w:line="360" w:lineRule="auto"/>
                    <w:rPr>
                      <w:color w:val="auto"/>
                      <w:szCs w:val="21"/>
                      <w:highlight w:val="none"/>
                    </w:rPr>
                  </w:pPr>
                </w:p>
              </w:tc>
              <w:tc>
                <w:tcPr>
                  <w:tcW w:w="1260" w:type="dxa"/>
                </w:tcPr>
                <w:p w14:paraId="4E7070C2">
                  <w:pPr>
                    <w:spacing w:line="360" w:lineRule="auto"/>
                    <w:rPr>
                      <w:color w:val="auto"/>
                      <w:szCs w:val="21"/>
                      <w:highlight w:val="none"/>
                    </w:rPr>
                  </w:pPr>
                </w:p>
              </w:tc>
              <w:tc>
                <w:tcPr>
                  <w:tcW w:w="931" w:type="dxa"/>
                </w:tcPr>
                <w:p w14:paraId="3793E8F7">
                  <w:pPr>
                    <w:spacing w:line="360" w:lineRule="auto"/>
                    <w:rPr>
                      <w:color w:val="auto"/>
                      <w:szCs w:val="21"/>
                      <w:highlight w:val="none"/>
                    </w:rPr>
                  </w:pPr>
                </w:p>
              </w:tc>
            </w:tr>
            <w:tr w14:paraId="4F859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14:paraId="1810A2CF">
                  <w:pPr>
                    <w:spacing w:line="360" w:lineRule="auto"/>
                    <w:jc w:val="center"/>
                    <w:rPr>
                      <w:color w:val="auto"/>
                      <w:szCs w:val="21"/>
                      <w:highlight w:val="none"/>
                    </w:rPr>
                  </w:pPr>
                  <w:r>
                    <w:rPr>
                      <w:rFonts w:hint="eastAsia"/>
                      <w:color w:val="auto"/>
                      <w:szCs w:val="21"/>
                      <w:highlight w:val="none"/>
                    </w:rPr>
                    <w:t>4.2</w:t>
                  </w:r>
                </w:p>
              </w:tc>
              <w:tc>
                <w:tcPr>
                  <w:tcW w:w="3340" w:type="dxa"/>
                </w:tcPr>
                <w:p w14:paraId="6ED79111">
                  <w:pPr>
                    <w:spacing w:line="360" w:lineRule="auto"/>
                    <w:rPr>
                      <w:color w:val="auto"/>
                      <w:szCs w:val="21"/>
                      <w:highlight w:val="none"/>
                    </w:rPr>
                  </w:pPr>
                  <w:r>
                    <w:rPr>
                      <w:rFonts w:hint="eastAsia"/>
                      <w:color w:val="auto"/>
                      <w:szCs w:val="21"/>
                      <w:highlight w:val="none"/>
                    </w:rPr>
                    <w:t>本周期应扣减的金额</w:t>
                  </w:r>
                </w:p>
              </w:tc>
              <w:tc>
                <w:tcPr>
                  <w:tcW w:w="1340" w:type="dxa"/>
                </w:tcPr>
                <w:p w14:paraId="63A52D0E">
                  <w:pPr>
                    <w:spacing w:line="360" w:lineRule="auto"/>
                    <w:rPr>
                      <w:color w:val="auto"/>
                      <w:szCs w:val="21"/>
                      <w:highlight w:val="none"/>
                    </w:rPr>
                  </w:pPr>
                </w:p>
              </w:tc>
              <w:tc>
                <w:tcPr>
                  <w:tcW w:w="1440" w:type="dxa"/>
                </w:tcPr>
                <w:p w14:paraId="3C31AAC5">
                  <w:pPr>
                    <w:spacing w:line="360" w:lineRule="auto"/>
                    <w:rPr>
                      <w:color w:val="auto"/>
                      <w:szCs w:val="21"/>
                      <w:highlight w:val="none"/>
                    </w:rPr>
                  </w:pPr>
                </w:p>
              </w:tc>
              <w:tc>
                <w:tcPr>
                  <w:tcW w:w="1260" w:type="dxa"/>
                </w:tcPr>
                <w:p w14:paraId="050626BF">
                  <w:pPr>
                    <w:spacing w:line="360" w:lineRule="auto"/>
                    <w:rPr>
                      <w:color w:val="auto"/>
                      <w:szCs w:val="21"/>
                      <w:highlight w:val="none"/>
                    </w:rPr>
                  </w:pPr>
                </w:p>
              </w:tc>
              <w:tc>
                <w:tcPr>
                  <w:tcW w:w="931" w:type="dxa"/>
                </w:tcPr>
                <w:p w14:paraId="395AA45A">
                  <w:pPr>
                    <w:spacing w:line="360" w:lineRule="auto"/>
                    <w:rPr>
                      <w:color w:val="auto"/>
                      <w:szCs w:val="21"/>
                      <w:highlight w:val="none"/>
                    </w:rPr>
                  </w:pPr>
                </w:p>
              </w:tc>
            </w:tr>
            <w:tr w14:paraId="2F77B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14:paraId="60B366CA">
                  <w:pPr>
                    <w:spacing w:line="360" w:lineRule="auto"/>
                    <w:jc w:val="center"/>
                    <w:rPr>
                      <w:color w:val="auto"/>
                      <w:szCs w:val="21"/>
                      <w:highlight w:val="none"/>
                    </w:rPr>
                  </w:pPr>
                  <w:r>
                    <w:rPr>
                      <w:rFonts w:hint="eastAsia"/>
                      <w:color w:val="auto"/>
                      <w:szCs w:val="21"/>
                      <w:highlight w:val="none"/>
                    </w:rPr>
                    <w:t>5</w:t>
                  </w:r>
                </w:p>
              </w:tc>
              <w:tc>
                <w:tcPr>
                  <w:tcW w:w="3340" w:type="dxa"/>
                </w:tcPr>
                <w:p w14:paraId="34D0997F">
                  <w:pPr>
                    <w:spacing w:line="360" w:lineRule="auto"/>
                    <w:rPr>
                      <w:color w:val="auto"/>
                      <w:szCs w:val="21"/>
                      <w:highlight w:val="none"/>
                    </w:rPr>
                  </w:pPr>
                  <w:r>
                    <w:rPr>
                      <w:rFonts w:hint="eastAsia"/>
                      <w:color w:val="auto"/>
                      <w:szCs w:val="21"/>
                      <w:highlight w:val="none"/>
                    </w:rPr>
                    <w:t>本周期应支付的合同价款</w:t>
                  </w:r>
                </w:p>
              </w:tc>
              <w:tc>
                <w:tcPr>
                  <w:tcW w:w="1340" w:type="dxa"/>
                </w:tcPr>
                <w:p w14:paraId="407B738B">
                  <w:pPr>
                    <w:spacing w:line="360" w:lineRule="auto"/>
                    <w:rPr>
                      <w:color w:val="auto"/>
                      <w:szCs w:val="21"/>
                      <w:highlight w:val="none"/>
                    </w:rPr>
                  </w:pPr>
                </w:p>
              </w:tc>
              <w:tc>
                <w:tcPr>
                  <w:tcW w:w="1440" w:type="dxa"/>
                </w:tcPr>
                <w:p w14:paraId="36A101E0">
                  <w:pPr>
                    <w:spacing w:line="360" w:lineRule="auto"/>
                    <w:rPr>
                      <w:color w:val="auto"/>
                      <w:szCs w:val="21"/>
                      <w:highlight w:val="none"/>
                    </w:rPr>
                  </w:pPr>
                </w:p>
              </w:tc>
              <w:tc>
                <w:tcPr>
                  <w:tcW w:w="1260" w:type="dxa"/>
                </w:tcPr>
                <w:p w14:paraId="4F043C82">
                  <w:pPr>
                    <w:spacing w:line="360" w:lineRule="auto"/>
                    <w:rPr>
                      <w:color w:val="auto"/>
                      <w:szCs w:val="21"/>
                      <w:highlight w:val="none"/>
                    </w:rPr>
                  </w:pPr>
                </w:p>
              </w:tc>
              <w:tc>
                <w:tcPr>
                  <w:tcW w:w="931" w:type="dxa"/>
                </w:tcPr>
                <w:p w14:paraId="7A197E21">
                  <w:pPr>
                    <w:spacing w:line="360" w:lineRule="auto"/>
                    <w:rPr>
                      <w:color w:val="auto"/>
                      <w:szCs w:val="21"/>
                      <w:highlight w:val="none"/>
                    </w:rPr>
                  </w:pPr>
                </w:p>
              </w:tc>
            </w:tr>
            <w:tr w14:paraId="6FFE3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14:paraId="63C2047B">
                  <w:pPr>
                    <w:spacing w:line="360" w:lineRule="auto"/>
                    <w:jc w:val="center"/>
                    <w:rPr>
                      <w:color w:val="auto"/>
                      <w:szCs w:val="21"/>
                      <w:highlight w:val="none"/>
                    </w:rPr>
                  </w:pPr>
                </w:p>
              </w:tc>
              <w:tc>
                <w:tcPr>
                  <w:tcW w:w="3340" w:type="dxa"/>
                </w:tcPr>
                <w:p w14:paraId="535A4747">
                  <w:pPr>
                    <w:spacing w:line="360" w:lineRule="auto"/>
                    <w:rPr>
                      <w:color w:val="auto"/>
                      <w:szCs w:val="21"/>
                      <w:highlight w:val="none"/>
                    </w:rPr>
                  </w:pPr>
                  <w:r>
                    <w:rPr>
                      <w:rFonts w:hint="eastAsia"/>
                      <w:color w:val="auto"/>
                      <w:szCs w:val="21"/>
                      <w:highlight w:val="none"/>
                    </w:rPr>
                    <w:t>其中：人工费</w:t>
                  </w:r>
                </w:p>
              </w:tc>
              <w:tc>
                <w:tcPr>
                  <w:tcW w:w="1340" w:type="dxa"/>
                </w:tcPr>
                <w:p w14:paraId="4D294B36">
                  <w:pPr>
                    <w:spacing w:line="360" w:lineRule="auto"/>
                    <w:rPr>
                      <w:color w:val="auto"/>
                      <w:szCs w:val="21"/>
                      <w:highlight w:val="none"/>
                    </w:rPr>
                  </w:pPr>
                </w:p>
              </w:tc>
              <w:tc>
                <w:tcPr>
                  <w:tcW w:w="1440" w:type="dxa"/>
                </w:tcPr>
                <w:p w14:paraId="26D922ED">
                  <w:pPr>
                    <w:spacing w:line="360" w:lineRule="auto"/>
                    <w:rPr>
                      <w:color w:val="auto"/>
                      <w:szCs w:val="21"/>
                      <w:highlight w:val="none"/>
                    </w:rPr>
                  </w:pPr>
                </w:p>
              </w:tc>
              <w:tc>
                <w:tcPr>
                  <w:tcW w:w="1260" w:type="dxa"/>
                </w:tcPr>
                <w:p w14:paraId="6EDAECB4">
                  <w:pPr>
                    <w:spacing w:line="360" w:lineRule="auto"/>
                    <w:rPr>
                      <w:color w:val="auto"/>
                      <w:szCs w:val="21"/>
                      <w:highlight w:val="none"/>
                    </w:rPr>
                  </w:pPr>
                </w:p>
              </w:tc>
              <w:tc>
                <w:tcPr>
                  <w:tcW w:w="931" w:type="dxa"/>
                </w:tcPr>
                <w:p w14:paraId="32A80E7F">
                  <w:pPr>
                    <w:spacing w:line="360" w:lineRule="auto"/>
                    <w:rPr>
                      <w:color w:val="auto"/>
                      <w:szCs w:val="21"/>
                      <w:highlight w:val="none"/>
                    </w:rPr>
                  </w:pPr>
                </w:p>
              </w:tc>
            </w:tr>
          </w:tbl>
          <w:p w14:paraId="01387B20">
            <w:pPr>
              <w:wordWrap w:val="0"/>
              <w:spacing w:line="360" w:lineRule="auto"/>
              <w:ind w:right="420"/>
              <w:rPr>
                <w:color w:val="auto"/>
                <w:szCs w:val="21"/>
                <w:highlight w:val="none"/>
              </w:rPr>
            </w:pPr>
            <w:r>
              <w:rPr>
                <w:rFonts w:hint="eastAsia"/>
                <w:color w:val="auto"/>
                <w:szCs w:val="21"/>
                <w:highlight w:val="none"/>
              </w:rPr>
              <w:t>附：上述3、4详见附件清单。</w:t>
            </w:r>
          </w:p>
          <w:p w14:paraId="583520AE">
            <w:pPr>
              <w:wordWrap w:val="0"/>
              <w:spacing w:line="360" w:lineRule="auto"/>
              <w:ind w:right="420"/>
              <w:rPr>
                <w:color w:val="auto"/>
                <w:szCs w:val="21"/>
                <w:highlight w:val="none"/>
              </w:rPr>
            </w:pPr>
            <w:r>
              <w:rPr>
                <w:rFonts w:hint="eastAsia"/>
                <w:color w:val="auto"/>
                <w:szCs w:val="21"/>
                <w:highlight w:val="none"/>
              </w:rPr>
              <w:t xml:space="preserve">                                            承包人（章）             </w:t>
            </w:r>
          </w:p>
          <w:p w14:paraId="2EC0DF57">
            <w:pPr>
              <w:spacing w:line="360" w:lineRule="auto"/>
              <w:ind w:right="420" w:firstLine="435"/>
              <w:rPr>
                <w:color w:val="auto"/>
                <w:szCs w:val="21"/>
                <w:highlight w:val="none"/>
              </w:rPr>
            </w:pPr>
            <w:r>
              <w:rPr>
                <w:rFonts w:hint="eastAsia"/>
                <w:color w:val="auto"/>
                <w:szCs w:val="21"/>
                <w:highlight w:val="none"/>
              </w:rPr>
              <w:t>造价人员</w:t>
            </w:r>
            <w:r>
              <w:rPr>
                <w:rFonts w:hint="eastAsia"/>
                <w:color w:val="auto"/>
                <w:szCs w:val="21"/>
                <w:highlight w:val="none"/>
                <w:u w:val="single"/>
              </w:rPr>
              <w:t xml:space="preserve">               </w:t>
            </w:r>
            <w:r>
              <w:rPr>
                <w:rFonts w:hint="eastAsia"/>
                <w:color w:val="auto"/>
                <w:szCs w:val="21"/>
                <w:highlight w:val="none"/>
              </w:rPr>
              <w:t>承包人代表</w:t>
            </w:r>
            <w:r>
              <w:rPr>
                <w:rFonts w:hint="eastAsia"/>
                <w:color w:val="auto"/>
                <w:szCs w:val="21"/>
                <w:highlight w:val="none"/>
                <w:u w:val="single"/>
              </w:rPr>
              <w:t xml:space="preserve">               </w:t>
            </w:r>
            <w:r>
              <w:rPr>
                <w:rFonts w:hint="eastAsia"/>
                <w:color w:val="auto"/>
                <w:szCs w:val="21"/>
                <w:highlight w:val="none"/>
              </w:rPr>
              <w:t>日      期</w:t>
            </w:r>
            <w:r>
              <w:rPr>
                <w:rFonts w:hint="eastAsia"/>
                <w:color w:val="auto"/>
                <w:szCs w:val="21"/>
                <w:highlight w:val="none"/>
                <w:u w:val="single"/>
              </w:rPr>
              <w:t xml:space="preserve">               </w:t>
            </w:r>
          </w:p>
        </w:tc>
      </w:tr>
      <w:tr w14:paraId="526A4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22" w:hRule="atLeast"/>
          <w:jc w:val="center"/>
        </w:trPr>
        <w:tc>
          <w:tcPr>
            <w:tcW w:w="4520" w:type="dxa"/>
          </w:tcPr>
          <w:p w14:paraId="0A915C76">
            <w:pPr>
              <w:spacing w:line="360" w:lineRule="auto"/>
              <w:rPr>
                <w:color w:val="auto"/>
                <w:szCs w:val="21"/>
                <w:highlight w:val="none"/>
              </w:rPr>
            </w:pPr>
            <w:r>
              <w:rPr>
                <w:rFonts w:hint="eastAsia"/>
                <w:color w:val="auto"/>
                <w:szCs w:val="21"/>
                <w:highlight w:val="none"/>
              </w:rPr>
              <w:t>复核意见：</w:t>
            </w:r>
          </w:p>
          <w:p w14:paraId="0E8286AD">
            <w:pPr>
              <w:spacing w:line="360" w:lineRule="auto"/>
              <w:ind w:firstLine="312"/>
              <w:rPr>
                <w:color w:val="auto"/>
                <w:szCs w:val="21"/>
                <w:highlight w:val="none"/>
              </w:rPr>
            </w:pPr>
            <w:r>
              <w:rPr>
                <w:rFonts w:hint="eastAsia"/>
                <w:color w:val="auto"/>
                <w:szCs w:val="21"/>
                <w:highlight w:val="none"/>
              </w:rPr>
              <w:t>□与实际施工情况不相符，修改意见见附件。</w:t>
            </w:r>
          </w:p>
          <w:p w14:paraId="08E71DD3">
            <w:pPr>
              <w:spacing w:line="360" w:lineRule="auto"/>
              <w:ind w:firstLine="312"/>
              <w:rPr>
                <w:color w:val="auto"/>
                <w:szCs w:val="21"/>
                <w:highlight w:val="none"/>
              </w:rPr>
            </w:pPr>
            <w:r>
              <w:rPr>
                <w:rFonts w:hint="eastAsia"/>
                <w:color w:val="auto"/>
                <w:szCs w:val="21"/>
                <w:highlight w:val="none"/>
              </w:rPr>
              <w:t>□与实际施工情况相符，具体金额由造价工程师复核。</w:t>
            </w:r>
          </w:p>
          <w:p w14:paraId="044A7A12">
            <w:pPr>
              <w:spacing w:line="360" w:lineRule="auto"/>
              <w:ind w:firstLine="435"/>
              <w:jc w:val="right"/>
              <w:rPr>
                <w:color w:val="auto"/>
                <w:szCs w:val="21"/>
                <w:highlight w:val="none"/>
              </w:rPr>
            </w:pPr>
          </w:p>
          <w:p w14:paraId="60EB6415">
            <w:pPr>
              <w:spacing w:line="360" w:lineRule="auto"/>
              <w:ind w:firstLine="435"/>
              <w:jc w:val="center"/>
              <w:rPr>
                <w:color w:val="auto"/>
                <w:szCs w:val="21"/>
                <w:highlight w:val="none"/>
                <w:u w:val="single"/>
              </w:rPr>
            </w:pPr>
            <w:r>
              <w:rPr>
                <w:color w:val="auto"/>
                <w:szCs w:val="21"/>
                <w:highlight w:val="none"/>
              </w:rPr>
              <w:t xml:space="preserve">    </w:t>
            </w:r>
            <w:r>
              <w:rPr>
                <w:rFonts w:hint="eastAsia"/>
                <w:color w:val="auto"/>
                <w:szCs w:val="21"/>
                <w:highlight w:val="none"/>
              </w:rPr>
              <w:t xml:space="preserve">     监理工程师</w:t>
            </w:r>
            <w:r>
              <w:rPr>
                <w:rFonts w:hint="eastAsia"/>
                <w:color w:val="auto"/>
                <w:szCs w:val="21"/>
                <w:highlight w:val="none"/>
                <w:u w:val="single"/>
              </w:rPr>
              <w:t xml:space="preserve">           </w:t>
            </w:r>
          </w:p>
          <w:p w14:paraId="76B41AE0">
            <w:pPr>
              <w:spacing w:line="360" w:lineRule="auto"/>
              <w:ind w:firstLine="435"/>
              <w:jc w:val="center"/>
              <w:rPr>
                <w:color w:val="auto"/>
                <w:szCs w:val="21"/>
                <w:highlight w:val="none"/>
                <w:u w:val="single"/>
              </w:rPr>
            </w:pPr>
            <w:r>
              <w:rPr>
                <w:color w:val="auto"/>
                <w:szCs w:val="21"/>
                <w:highlight w:val="none"/>
              </w:rPr>
              <w:t xml:space="preserve">    </w:t>
            </w:r>
            <w:r>
              <w:rPr>
                <w:rFonts w:hint="eastAsia"/>
                <w:color w:val="auto"/>
                <w:szCs w:val="21"/>
                <w:highlight w:val="none"/>
              </w:rPr>
              <w:t xml:space="preserve">    日      期</w:t>
            </w:r>
            <w:r>
              <w:rPr>
                <w:rFonts w:hint="eastAsia"/>
                <w:color w:val="auto"/>
                <w:szCs w:val="21"/>
                <w:highlight w:val="none"/>
                <w:u w:val="single"/>
              </w:rPr>
              <w:t xml:space="preserve">           </w:t>
            </w:r>
          </w:p>
        </w:tc>
        <w:tc>
          <w:tcPr>
            <w:tcW w:w="4552" w:type="dxa"/>
          </w:tcPr>
          <w:p w14:paraId="7F2D3C9A">
            <w:pPr>
              <w:spacing w:line="360" w:lineRule="auto"/>
              <w:rPr>
                <w:color w:val="auto"/>
                <w:szCs w:val="21"/>
                <w:highlight w:val="none"/>
              </w:rPr>
            </w:pPr>
            <w:r>
              <w:rPr>
                <w:rFonts w:hint="eastAsia"/>
                <w:color w:val="auto"/>
                <w:szCs w:val="21"/>
                <w:highlight w:val="none"/>
              </w:rPr>
              <w:t>复核意见：</w:t>
            </w:r>
          </w:p>
          <w:p w14:paraId="08D78EB4">
            <w:pPr>
              <w:spacing w:line="360" w:lineRule="auto"/>
              <w:ind w:firstLine="435"/>
              <w:rPr>
                <w:color w:val="auto"/>
                <w:szCs w:val="21"/>
                <w:highlight w:val="none"/>
              </w:rPr>
            </w:pPr>
            <w:r>
              <w:rPr>
                <w:rFonts w:hint="eastAsia"/>
                <w:color w:val="auto"/>
                <w:szCs w:val="21"/>
                <w:highlight w:val="none"/>
              </w:rPr>
              <w:t>你方提出的支付申请经复核，本周期已完成工程价款为(大写)</w:t>
            </w:r>
            <w:r>
              <w:rPr>
                <w:rFonts w:hint="eastAsia"/>
                <w:color w:val="auto"/>
                <w:szCs w:val="21"/>
                <w:highlight w:val="none"/>
                <w:u w:val="single"/>
              </w:rPr>
              <w:t xml:space="preserve">                </w:t>
            </w:r>
            <w:r>
              <w:rPr>
                <w:rFonts w:hint="eastAsia"/>
                <w:color w:val="auto"/>
                <w:szCs w:val="21"/>
                <w:highlight w:val="none"/>
              </w:rPr>
              <w:t>元，（小写）</w:t>
            </w:r>
          </w:p>
          <w:p w14:paraId="155FD524">
            <w:pPr>
              <w:spacing w:line="360" w:lineRule="auto"/>
              <w:rPr>
                <w:color w:val="auto"/>
                <w:szCs w:val="21"/>
                <w:highlight w:val="none"/>
              </w:rPr>
            </w:pPr>
            <w:r>
              <w:rPr>
                <w:rFonts w:hint="eastAsia"/>
                <w:color w:val="auto"/>
                <w:szCs w:val="21"/>
                <w:highlight w:val="none"/>
                <w:u w:val="single"/>
              </w:rPr>
              <w:t xml:space="preserve">          </w:t>
            </w:r>
            <w:r>
              <w:rPr>
                <w:rFonts w:hint="eastAsia"/>
                <w:color w:val="auto"/>
                <w:szCs w:val="21"/>
                <w:highlight w:val="none"/>
              </w:rPr>
              <w:t xml:space="preserve"> 元，本期间应支付金额为（大写）</w:t>
            </w:r>
          </w:p>
          <w:p w14:paraId="548C7A29">
            <w:pPr>
              <w:spacing w:line="360" w:lineRule="auto"/>
              <w:rPr>
                <w:color w:val="auto"/>
                <w:szCs w:val="21"/>
                <w:highlight w:val="none"/>
                <w:u w:val="single"/>
              </w:rPr>
            </w:pPr>
            <w:r>
              <w:rPr>
                <w:rFonts w:hint="eastAsia"/>
                <w:color w:val="auto"/>
                <w:szCs w:val="21"/>
                <w:highlight w:val="none"/>
                <w:u w:val="single"/>
              </w:rPr>
              <w:t xml:space="preserve">                 </w:t>
            </w:r>
            <w:r>
              <w:rPr>
                <w:rFonts w:hint="eastAsia"/>
                <w:color w:val="auto"/>
                <w:szCs w:val="21"/>
                <w:highlight w:val="none"/>
              </w:rPr>
              <w:t>元，（小写）</w:t>
            </w:r>
            <w:r>
              <w:rPr>
                <w:rFonts w:hint="eastAsia"/>
                <w:color w:val="auto"/>
                <w:szCs w:val="21"/>
                <w:highlight w:val="none"/>
                <w:u w:val="single"/>
              </w:rPr>
              <w:t xml:space="preserve">         </w:t>
            </w:r>
            <w:r>
              <w:rPr>
                <w:rFonts w:hint="eastAsia"/>
                <w:color w:val="auto"/>
                <w:szCs w:val="21"/>
                <w:highlight w:val="none"/>
              </w:rPr>
              <w:t>元。</w:t>
            </w:r>
          </w:p>
          <w:p w14:paraId="6F31AEB4">
            <w:pPr>
              <w:spacing w:line="360" w:lineRule="auto"/>
              <w:ind w:firstLine="435"/>
              <w:jc w:val="center"/>
              <w:rPr>
                <w:color w:val="auto"/>
                <w:szCs w:val="21"/>
                <w:highlight w:val="none"/>
                <w:u w:val="single"/>
              </w:rPr>
            </w:pPr>
            <w:r>
              <w:rPr>
                <w:color w:val="auto"/>
                <w:szCs w:val="21"/>
                <w:highlight w:val="none"/>
              </w:rPr>
              <w:t xml:space="preserve">    </w:t>
            </w:r>
            <w:r>
              <w:rPr>
                <w:rFonts w:hint="eastAsia"/>
                <w:color w:val="auto"/>
                <w:szCs w:val="21"/>
                <w:highlight w:val="none"/>
              </w:rPr>
              <w:t xml:space="preserve">    造价工程师</w:t>
            </w:r>
            <w:r>
              <w:rPr>
                <w:rFonts w:hint="eastAsia"/>
                <w:color w:val="auto"/>
                <w:szCs w:val="21"/>
                <w:highlight w:val="none"/>
                <w:u w:val="single"/>
              </w:rPr>
              <w:t xml:space="preserve">           </w:t>
            </w:r>
          </w:p>
          <w:p w14:paraId="21129CBB">
            <w:pPr>
              <w:spacing w:line="360" w:lineRule="auto"/>
              <w:ind w:firstLine="435"/>
              <w:jc w:val="center"/>
              <w:rPr>
                <w:color w:val="auto"/>
                <w:szCs w:val="21"/>
                <w:highlight w:val="none"/>
                <w:u w:val="single"/>
              </w:rPr>
            </w:pPr>
            <w:r>
              <w:rPr>
                <w:color w:val="auto"/>
                <w:szCs w:val="21"/>
                <w:highlight w:val="none"/>
              </w:rPr>
              <w:t xml:space="preserve">    </w:t>
            </w:r>
            <w:r>
              <w:rPr>
                <w:rFonts w:hint="eastAsia"/>
                <w:color w:val="auto"/>
                <w:szCs w:val="21"/>
                <w:highlight w:val="none"/>
              </w:rPr>
              <w:t>日      期</w:t>
            </w:r>
            <w:r>
              <w:rPr>
                <w:rFonts w:hint="eastAsia"/>
                <w:color w:val="auto"/>
                <w:szCs w:val="21"/>
                <w:highlight w:val="none"/>
                <w:u w:val="single"/>
              </w:rPr>
              <w:t xml:space="preserve">           </w:t>
            </w:r>
          </w:p>
        </w:tc>
      </w:tr>
      <w:tr w14:paraId="7B778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1" w:hRule="atLeast"/>
          <w:jc w:val="center"/>
        </w:trPr>
        <w:tc>
          <w:tcPr>
            <w:tcW w:w="9072" w:type="dxa"/>
            <w:gridSpan w:val="2"/>
          </w:tcPr>
          <w:p w14:paraId="16A4E765">
            <w:pPr>
              <w:spacing w:line="360" w:lineRule="auto"/>
              <w:rPr>
                <w:color w:val="auto"/>
                <w:szCs w:val="21"/>
                <w:highlight w:val="none"/>
              </w:rPr>
            </w:pPr>
            <w:r>
              <w:rPr>
                <w:rFonts w:hint="eastAsia"/>
                <w:color w:val="auto"/>
                <w:szCs w:val="21"/>
                <w:highlight w:val="none"/>
              </w:rPr>
              <w:t>审核意见：</w:t>
            </w:r>
          </w:p>
          <w:p w14:paraId="2D47DCE3">
            <w:pPr>
              <w:spacing w:line="360" w:lineRule="auto"/>
              <w:ind w:firstLine="435"/>
              <w:rPr>
                <w:color w:val="auto"/>
                <w:szCs w:val="21"/>
                <w:highlight w:val="none"/>
              </w:rPr>
            </w:pPr>
            <w:r>
              <w:rPr>
                <w:rFonts w:hint="eastAsia"/>
                <w:color w:val="auto"/>
                <w:szCs w:val="21"/>
                <w:highlight w:val="none"/>
              </w:rPr>
              <w:t>□不同意。</w:t>
            </w:r>
          </w:p>
          <w:p w14:paraId="2C095948">
            <w:pPr>
              <w:spacing w:line="360" w:lineRule="auto"/>
              <w:ind w:firstLine="420" w:firstLineChars="200"/>
              <w:rPr>
                <w:color w:val="auto"/>
                <w:szCs w:val="21"/>
                <w:highlight w:val="none"/>
              </w:rPr>
            </w:pPr>
            <w:r>
              <w:rPr>
                <w:rFonts w:hint="eastAsia"/>
                <w:color w:val="auto"/>
                <w:szCs w:val="21"/>
                <w:highlight w:val="none"/>
              </w:rPr>
              <w:t>□同意，支付时间为本表签发后的15天内。</w:t>
            </w:r>
          </w:p>
          <w:p w14:paraId="44A12C15">
            <w:pPr>
              <w:wordWrap w:val="0"/>
              <w:spacing w:line="360" w:lineRule="auto"/>
              <w:ind w:firstLine="420" w:firstLineChars="200"/>
              <w:jc w:val="right"/>
              <w:rPr>
                <w:color w:val="auto"/>
                <w:szCs w:val="21"/>
                <w:highlight w:val="none"/>
              </w:rPr>
            </w:pPr>
            <w:r>
              <w:rPr>
                <w:rFonts w:hint="eastAsia"/>
                <w:color w:val="auto"/>
                <w:szCs w:val="21"/>
                <w:highlight w:val="none"/>
              </w:rPr>
              <w:t xml:space="preserve">发包人（章）           </w:t>
            </w:r>
          </w:p>
          <w:p w14:paraId="0CCD108A">
            <w:pPr>
              <w:wordWrap w:val="0"/>
              <w:spacing w:line="360" w:lineRule="auto"/>
              <w:ind w:firstLine="420" w:firstLineChars="200"/>
              <w:jc w:val="right"/>
              <w:rPr>
                <w:color w:val="auto"/>
                <w:szCs w:val="21"/>
                <w:highlight w:val="none"/>
                <w:u w:val="single"/>
              </w:rPr>
            </w:pPr>
            <w:r>
              <w:rPr>
                <w:rFonts w:hint="eastAsia"/>
                <w:color w:val="auto"/>
                <w:szCs w:val="21"/>
                <w:highlight w:val="none"/>
              </w:rPr>
              <w:t>发包人代表</w:t>
            </w:r>
            <w:r>
              <w:rPr>
                <w:rFonts w:hint="eastAsia"/>
                <w:color w:val="auto"/>
                <w:szCs w:val="21"/>
                <w:highlight w:val="none"/>
                <w:u w:val="single"/>
              </w:rPr>
              <w:t xml:space="preserve">             </w:t>
            </w:r>
          </w:p>
          <w:p w14:paraId="03C5CD81">
            <w:pPr>
              <w:wordWrap w:val="0"/>
              <w:spacing w:line="360" w:lineRule="auto"/>
              <w:ind w:firstLine="420" w:firstLineChars="200"/>
              <w:jc w:val="right"/>
              <w:rPr>
                <w:color w:val="auto"/>
                <w:szCs w:val="21"/>
                <w:highlight w:val="none"/>
                <w:u w:val="single"/>
              </w:rPr>
            </w:pPr>
            <w:r>
              <w:rPr>
                <w:rFonts w:hint="eastAsia"/>
                <w:color w:val="auto"/>
                <w:szCs w:val="21"/>
                <w:highlight w:val="none"/>
              </w:rPr>
              <w:t>日      期</w:t>
            </w:r>
            <w:r>
              <w:rPr>
                <w:rFonts w:hint="eastAsia"/>
                <w:color w:val="auto"/>
                <w:szCs w:val="21"/>
                <w:highlight w:val="none"/>
                <w:u w:val="single"/>
              </w:rPr>
              <w:t xml:space="preserve">             </w:t>
            </w:r>
          </w:p>
        </w:tc>
      </w:tr>
    </w:tbl>
    <w:p w14:paraId="094A1285">
      <w:pPr>
        <w:spacing w:beforeLines="50" w:line="360" w:lineRule="auto"/>
        <w:ind w:firstLine="360" w:firstLineChars="200"/>
        <w:rPr>
          <w:color w:val="auto"/>
          <w:sz w:val="18"/>
          <w:szCs w:val="18"/>
          <w:highlight w:val="none"/>
        </w:rPr>
      </w:pPr>
      <w:r>
        <w:rPr>
          <w:rFonts w:hint="eastAsia"/>
          <w:color w:val="auto"/>
          <w:sz w:val="18"/>
          <w:szCs w:val="18"/>
          <w:highlight w:val="none"/>
        </w:rPr>
        <w:t xml:space="preserve">注：1.在选择栏中的“□”内作标识“√”。 </w:t>
      </w:r>
    </w:p>
    <w:p w14:paraId="45BD2CA6">
      <w:pPr>
        <w:spacing w:beforeLines="50" w:line="360" w:lineRule="auto"/>
        <w:ind w:left="720" w:hanging="720" w:hangingChars="400"/>
        <w:rPr>
          <w:color w:val="auto"/>
          <w:sz w:val="18"/>
          <w:szCs w:val="18"/>
          <w:highlight w:val="none"/>
        </w:rPr>
      </w:pPr>
      <w:r>
        <w:rPr>
          <w:rFonts w:hint="eastAsia"/>
          <w:color w:val="auto"/>
          <w:sz w:val="18"/>
          <w:szCs w:val="18"/>
          <w:highlight w:val="none"/>
        </w:rPr>
        <w:t xml:space="preserve">    </w:t>
      </w:r>
      <w:r>
        <w:rPr>
          <w:color w:val="auto"/>
          <w:sz w:val="18"/>
          <w:szCs w:val="18"/>
          <w:highlight w:val="none"/>
        </w:rPr>
        <w:t xml:space="preserve">  </w:t>
      </w:r>
      <w:r>
        <w:rPr>
          <w:rFonts w:hint="eastAsia"/>
          <w:color w:val="auto"/>
          <w:sz w:val="18"/>
          <w:szCs w:val="18"/>
          <w:highlight w:val="none"/>
        </w:rPr>
        <w:t xml:space="preserve">  2.本表一式四份，由承包人填报，发包人、监理人、造价咨询人、承包人各存一份。</w:t>
      </w:r>
    </w:p>
    <w:p w14:paraId="0BED30C2">
      <w:pPr>
        <w:spacing w:line="360" w:lineRule="auto"/>
        <w:jc w:val="left"/>
        <w:rPr>
          <w:rFonts w:hint="eastAsia"/>
          <w:color w:val="auto"/>
          <w:sz w:val="30"/>
          <w:szCs w:val="30"/>
          <w:highlight w:val="none"/>
        </w:rPr>
        <w:sectPr>
          <w:pgSz w:w="11906" w:h="16838"/>
          <w:pgMar w:top="1440" w:right="1080" w:bottom="1440" w:left="1080" w:header="851" w:footer="992" w:gutter="0"/>
          <w:pgNumType w:fmt="decimal"/>
          <w:cols w:space="720" w:num="1"/>
          <w:titlePg/>
          <w:docGrid w:type="lines" w:linePitch="312" w:charSpace="0"/>
        </w:sectPr>
      </w:pPr>
    </w:p>
    <w:p w14:paraId="5C3CF3C2">
      <w:pPr>
        <w:spacing w:line="360" w:lineRule="auto"/>
        <w:jc w:val="left"/>
        <w:rPr>
          <w:color w:val="auto"/>
          <w:sz w:val="30"/>
          <w:szCs w:val="30"/>
          <w:highlight w:val="none"/>
        </w:rPr>
      </w:pPr>
      <w:r>
        <w:rPr>
          <w:rFonts w:hint="eastAsia"/>
          <w:color w:val="auto"/>
          <w:sz w:val="30"/>
          <w:szCs w:val="30"/>
          <w:highlight w:val="none"/>
        </w:rPr>
        <w:t>附件12</w:t>
      </w:r>
    </w:p>
    <w:p w14:paraId="1294BBB4">
      <w:pPr>
        <w:spacing w:line="360" w:lineRule="auto"/>
        <w:jc w:val="center"/>
        <w:rPr>
          <w:b/>
          <w:color w:val="auto"/>
          <w:sz w:val="36"/>
          <w:szCs w:val="36"/>
          <w:highlight w:val="none"/>
        </w:rPr>
      </w:pPr>
      <w:r>
        <w:rPr>
          <w:rFonts w:hint="eastAsia"/>
          <w:b/>
          <w:color w:val="auto"/>
          <w:sz w:val="36"/>
          <w:szCs w:val="36"/>
          <w:highlight w:val="none"/>
        </w:rPr>
        <w:t>竣工结算款支付申请（核准）表</w:t>
      </w:r>
    </w:p>
    <w:p w14:paraId="49DB630E">
      <w:pPr>
        <w:spacing w:line="360" w:lineRule="auto"/>
        <w:rPr>
          <w:color w:val="auto"/>
          <w:sz w:val="24"/>
          <w:highlight w:val="none"/>
        </w:rPr>
      </w:pPr>
      <w:r>
        <w:rPr>
          <w:rFonts w:hint="eastAsia"/>
          <w:color w:val="auto"/>
          <w:sz w:val="24"/>
          <w:highlight w:val="none"/>
        </w:rPr>
        <w:t>工程名称：                                              编号：</w:t>
      </w:r>
    </w:p>
    <w:tbl>
      <w:tblPr>
        <w:tblStyle w:val="33"/>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39"/>
        <w:gridCol w:w="4533"/>
      </w:tblGrid>
      <w:tr w14:paraId="43542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0" w:hRule="atLeast"/>
          <w:jc w:val="center"/>
        </w:trPr>
        <w:tc>
          <w:tcPr>
            <w:tcW w:w="9072" w:type="dxa"/>
            <w:gridSpan w:val="2"/>
          </w:tcPr>
          <w:p w14:paraId="2241FF25">
            <w:pPr>
              <w:spacing w:line="360" w:lineRule="auto"/>
              <w:ind w:left="525" w:leftChars="149" w:hanging="212" w:hangingChars="101"/>
              <w:rPr>
                <w:color w:val="auto"/>
                <w:szCs w:val="21"/>
                <w:highlight w:val="none"/>
                <w:u w:val="single"/>
              </w:rPr>
            </w:pPr>
            <w:r>
              <w:rPr>
                <w:rFonts w:hint="eastAsia"/>
                <w:color w:val="auto"/>
                <w:szCs w:val="21"/>
                <w:highlight w:val="none"/>
              </w:rPr>
              <w:t>致：</w:t>
            </w:r>
            <w:r>
              <w:rPr>
                <w:rFonts w:hint="eastAsia"/>
                <w:color w:val="auto"/>
                <w:szCs w:val="21"/>
                <w:highlight w:val="none"/>
                <w:u w:val="single"/>
              </w:rPr>
              <w:t xml:space="preserve">                                   （发包人全称）</w:t>
            </w:r>
          </w:p>
          <w:p w14:paraId="32235B32">
            <w:pPr>
              <w:spacing w:line="360" w:lineRule="auto"/>
              <w:ind w:left="-4" w:leftChars="-2" w:firstLine="315" w:firstLineChars="150"/>
              <w:rPr>
                <w:color w:val="auto"/>
                <w:szCs w:val="21"/>
                <w:highlight w:val="none"/>
              </w:rPr>
            </w:pPr>
            <w:r>
              <w:rPr>
                <w:rFonts w:hint="eastAsia"/>
                <w:color w:val="auto"/>
                <w:szCs w:val="21"/>
                <w:highlight w:val="none"/>
              </w:rPr>
              <w:t>我方于</w:t>
            </w:r>
            <w:r>
              <w:rPr>
                <w:rFonts w:hint="eastAsia"/>
                <w:color w:val="auto"/>
                <w:szCs w:val="21"/>
                <w:highlight w:val="none"/>
                <w:u w:val="single"/>
              </w:rPr>
              <w:t xml:space="preserve">         </w:t>
            </w:r>
            <w:r>
              <w:rPr>
                <w:rFonts w:hint="eastAsia"/>
                <w:color w:val="auto"/>
                <w:szCs w:val="21"/>
                <w:highlight w:val="none"/>
              </w:rPr>
              <w:t>至</w:t>
            </w:r>
            <w:r>
              <w:rPr>
                <w:rFonts w:hint="eastAsia"/>
                <w:color w:val="auto"/>
                <w:szCs w:val="21"/>
                <w:highlight w:val="none"/>
                <w:u w:val="single"/>
              </w:rPr>
              <w:t xml:space="preserve">          </w:t>
            </w:r>
            <w:r>
              <w:rPr>
                <w:rFonts w:hint="eastAsia"/>
                <w:color w:val="auto"/>
                <w:szCs w:val="21"/>
                <w:highlight w:val="none"/>
              </w:rPr>
              <w:t>期间已完成了合同约定的工作，根据施工合同的约定，现申请支付竣工结算的工程款额为(大写)</w:t>
            </w:r>
            <w:r>
              <w:rPr>
                <w:rFonts w:hint="eastAsia"/>
                <w:color w:val="auto"/>
                <w:szCs w:val="21"/>
                <w:highlight w:val="none"/>
                <w:u w:val="single"/>
              </w:rPr>
              <w:t xml:space="preserve">            </w:t>
            </w:r>
            <w:r>
              <w:rPr>
                <w:rFonts w:hint="eastAsia"/>
                <w:color w:val="auto"/>
                <w:szCs w:val="21"/>
                <w:highlight w:val="none"/>
              </w:rPr>
              <w:t>元，(小写)</w:t>
            </w:r>
            <w:r>
              <w:rPr>
                <w:rFonts w:hint="eastAsia"/>
                <w:color w:val="auto"/>
                <w:szCs w:val="21"/>
                <w:highlight w:val="none"/>
                <w:u w:val="single"/>
              </w:rPr>
              <w:t xml:space="preserve">         </w:t>
            </w:r>
            <w:r>
              <w:rPr>
                <w:rFonts w:hint="eastAsia"/>
                <w:color w:val="auto"/>
                <w:szCs w:val="21"/>
                <w:highlight w:val="none"/>
              </w:rPr>
              <w:t>元，请予核准。</w:t>
            </w:r>
          </w:p>
          <w:tbl>
            <w:tblPr>
              <w:tblStyle w:val="33"/>
              <w:tblpPr w:leftFromText="180" w:rightFromText="180" w:vertAnchor="page" w:horzAnchor="margin" w:tblpY="1309"/>
              <w:tblOverlap w:val="never"/>
              <w:tblW w:w="884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5"/>
              <w:gridCol w:w="3420"/>
              <w:gridCol w:w="1620"/>
              <w:gridCol w:w="1620"/>
              <w:gridCol w:w="1651"/>
            </w:tblGrid>
            <w:tr w14:paraId="6BF54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535" w:type="dxa"/>
                  <w:vAlign w:val="center"/>
                </w:tcPr>
                <w:p w14:paraId="46F6E634">
                  <w:pPr>
                    <w:spacing w:line="360" w:lineRule="auto"/>
                    <w:jc w:val="center"/>
                    <w:rPr>
                      <w:color w:val="auto"/>
                      <w:szCs w:val="21"/>
                      <w:highlight w:val="none"/>
                    </w:rPr>
                  </w:pPr>
                  <w:r>
                    <w:rPr>
                      <w:rFonts w:hint="eastAsia"/>
                      <w:color w:val="auto"/>
                      <w:szCs w:val="21"/>
                      <w:highlight w:val="none"/>
                    </w:rPr>
                    <w:t>序号</w:t>
                  </w:r>
                </w:p>
              </w:tc>
              <w:tc>
                <w:tcPr>
                  <w:tcW w:w="3420" w:type="dxa"/>
                  <w:vAlign w:val="center"/>
                </w:tcPr>
                <w:p w14:paraId="38C51E99">
                  <w:pPr>
                    <w:spacing w:line="360" w:lineRule="auto"/>
                    <w:jc w:val="center"/>
                    <w:rPr>
                      <w:color w:val="auto"/>
                      <w:szCs w:val="21"/>
                      <w:highlight w:val="none"/>
                    </w:rPr>
                  </w:pPr>
                  <w:r>
                    <w:rPr>
                      <w:rFonts w:hint="eastAsia"/>
                      <w:color w:val="auto"/>
                      <w:szCs w:val="21"/>
                      <w:highlight w:val="none"/>
                    </w:rPr>
                    <w:t>名      称</w:t>
                  </w:r>
                </w:p>
              </w:tc>
              <w:tc>
                <w:tcPr>
                  <w:tcW w:w="1620" w:type="dxa"/>
                  <w:vAlign w:val="center"/>
                </w:tcPr>
                <w:p w14:paraId="5CE67089">
                  <w:pPr>
                    <w:spacing w:line="360" w:lineRule="auto"/>
                    <w:jc w:val="center"/>
                    <w:rPr>
                      <w:color w:val="auto"/>
                      <w:szCs w:val="21"/>
                      <w:highlight w:val="none"/>
                    </w:rPr>
                  </w:pPr>
                  <w:r>
                    <w:rPr>
                      <w:rFonts w:hint="eastAsia"/>
                      <w:color w:val="auto"/>
                      <w:szCs w:val="21"/>
                      <w:highlight w:val="none"/>
                    </w:rPr>
                    <w:t>申请金额（元）</w:t>
                  </w:r>
                </w:p>
              </w:tc>
              <w:tc>
                <w:tcPr>
                  <w:tcW w:w="1620" w:type="dxa"/>
                  <w:vAlign w:val="center"/>
                </w:tcPr>
                <w:p w14:paraId="05DE6F85">
                  <w:pPr>
                    <w:spacing w:line="360" w:lineRule="auto"/>
                    <w:jc w:val="center"/>
                    <w:rPr>
                      <w:color w:val="auto"/>
                      <w:szCs w:val="21"/>
                      <w:highlight w:val="none"/>
                    </w:rPr>
                  </w:pPr>
                  <w:r>
                    <w:rPr>
                      <w:rFonts w:hint="eastAsia"/>
                      <w:color w:val="auto"/>
                      <w:szCs w:val="21"/>
                      <w:highlight w:val="none"/>
                    </w:rPr>
                    <w:t>复核金额（元）</w:t>
                  </w:r>
                </w:p>
              </w:tc>
              <w:tc>
                <w:tcPr>
                  <w:tcW w:w="1651" w:type="dxa"/>
                  <w:vAlign w:val="center"/>
                </w:tcPr>
                <w:p w14:paraId="7F0F0EDB">
                  <w:pPr>
                    <w:spacing w:line="360" w:lineRule="auto"/>
                    <w:jc w:val="center"/>
                    <w:rPr>
                      <w:color w:val="auto"/>
                      <w:szCs w:val="21"/>
                      <w:highlight w:val="none"/>
                    </w:rPr>
                  </w:pPr>
                  <w:r>
                    <w:rPr>
                      <w:rFonts w:hint="eastAsia"/>
                      <w:color w:val="auto"/>
                      <w:szCs w:val="21"/>
                      <w:highlight w:val="none"/>
                    </w:rPr>
                    <w:t>备注</w:t>
                  </w:r>
                </w:p>
              </w:tc>
            </w:tr>
            <w:tr w14:paraId="6C150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14:paraId="70D279AD">
                  <w:pPr>
                    <w:spacing w:line="360" w:lineRule="auto"/>
                    <w:jc w:val="center"/>
                    <w:rPr>
                      <w:color w:val="auto"/>
                      <w:szCs w:val="21"/>
                      <w:highlight w:val="none"/>
                    </w:rPr>
                  </w:pPr>
                  <w:r>
                    <w:rPr>
                      <w:rFonts w:hint="eastAsia"/>
                      <w:color w:val="auto"/>
                      <w:szCs w:val="21"/>
                      <w:highlight w:val="none"/>
                    </w:rPr>
                    <w:t>1</w:t>
                  </w:r>
                </w:p>
              </w:tc>
              <w:tc>
                <w:tcPr>
                  <w:tcW w:w="3420" w:type="dxa"/>
                </w:tcPr>
                <w:p w14:paraId="7489FCA2">
                  <w:pPr>
                    <w:spacing w:line="360" w:lineRule="auto"/>
                    <w:rPr>
                      <w:color w:val="auto"/>
                      <w:szCs w:val="21"/>
                      <w:highlight w:val="none"/>
                    </w:rPr>
                  </w:pPr>
                  <w:r>
                    <w:rPr>
                      <w:rFonts w:hint="eastAsia"/>
                      <w:color w:val="auto"/>
                      <w:szCs w:val="21"/>
                      <w:highlight w:val="none"/>
                    </w:rPr>
                    <w:t>竣工结算合同价款总额</w:t>
                  </w:r>
                </w:p>
              </w:tc>
              <w:tc>
                <w:tcPr>
                  <w:tcW w:w="1620" w:type="dxa"/>
                </w:tcPr>
                <w:p w14:paraId="7767C60D">
                  <w:pPr>
                    <w:spacing w:line="360" w:lineRule="auto"/>
                    <w:rPr>
                      <w:color w:val="auto"/>
                      <w:szCs w:val="21"/>
                      <w:highlight w:val="none"/>
                    </w:rPr>
                  </w:pPr>
                </w:p>
              </w:tc>
              <w:tc>
                <w:tcPr>
                  <w:tcW w:w="1620" w:type="dxa"/>
                </w:tcPr>
                <w:p w14:paraId="6E3BE977">
                  <w:pPr>
                    <w:spacing w:line="360" w:lineRule="auto"/>
                    <w:rPr>
                      <w:color w:val="auto"/>
                      <w:szCs w:val="21"/>
                      <w:highlight w:val="none"/>
                    </w:rPr>
                  </w:pPr>
                </w:p>
              </w:tc>
              <w:tc>
                <w:tcPr>
                  <w:tcW w:w="1651" w:type="dxa"/>
                </w:tcPr>
                <w:p w14:paraId="67E180D8">
                  <w:pPr>
                    <w:spacing w:line="360" w:lineRule="auto"/>
                    <w:rPr>
                      <w:color w:val="auto"/>
                      <w:szCs w:val="21"/>
                      <w:highlight w:val="none"/>
                    </w:rPr>
                  </w:pPr>
                </w:p>
              </w:tc>
            </w:tr>
            <w:tr w14:paraId="5FC94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14:paraId="01E0F744">
                  <w:pPr>
                    <w:spacing w:line="360" w:lineRule="auto"/>
                    <w:jc w:val="center"/>
                    <w:rPr>
                      <w:color w:val="auto"/>
                      <w:szCs w:val="21"/>
                      <w:highlight w:val="none"/>
                    </w:rPr>
                  </w:pPr>
                  <w:r>
                    <w:rPr>
                      <w:rFonts w:hint="eastAsia"/>
                      <w:color w:val="auto"/>
                      <w:szCs w:val="21"/>
                      <w:highlight w:val="none"/>
                    </w:rPr>
                    <w:t>2</w:t>
                  </w:r>
                </w:p>
              </w:tc>
              <w:tc>
                <w:tcPr>
                  <w:tcW w:w="3420" w:type="dxa"/>
                </w:tcPr>
                <w:p w14:paraId="3ABE832F">
                  <w:pPr>
                    <w:spacing w:line="360" w:lineRule="auto"/>
                    <w:rPr>
                      <w:color w:val="auto"/>
                      <w:szCs w:val="21"/>
                      <w:highlight w:val="none"/>
                    </w:rPr>
                  </w:pPr>
                  <w:r>
                    <w:rPr>
                      <w:rFonts w:hint="eastAsia"/>
                      <w:color w:val="auto"/>
                      <w:szCs w:val="21"/>
                      <w:highlight w:val="none"/>
                    </w:rPr>
                    <w:t>累计已实际支付的合同价款</w:t>
                  </w:r>
                </w:p>
              </w:tc>
              <w:tc>
                <w:tcPr>
                  <w:tcW w:w="1620" w:type="dxa"/>
                </w:tcPr>
                <w:p w14:paraId="0CA81D52">
                  <w:pPr>
                    <w:spacing w:line="360" w:lineRule="auto"/>
                    <w:rPr>
                      <w:color w:val="auto"/>
                      <w:szCs w:val="21"/>
                      <w:highlight w:val="none"/>
                    </w:rPr>
                  </w:pPr>
                </w:p>
              </w:tc>
              <w:tc>
                <w:tcPr>
                  <w:tcW w:w="1620" w:type="dxa"/>
                </w:tcPr>
                <w:p w14:paraId="252AA941">
                  <w:pPr>
                    <w:spacing w:line="360" w:lineRule="auto"/>
                    <w:rPr>
                      <w:color w:val="auto"/>
                      <w:szCs w:val="21"/>
                      <w:highlight w:val="none"/>
                    </w:rPr>
                  </w:pPr>
                </w:p>
              </w:tc>
              <w:tc>
                <w:tcPr>
                  <w:tcW w:w="1651" w:type="dxa"/>
                </w:tcPr>
                <w:p w14:paraId="017DB1D4">
                  <w:pPr>
                    <w:spacing w:line="360" w:lineRule="auto"/>
                    <w:rPr>
                      <w:color w:val="auto"/>
                      <w:szCs w:val="21"/>
                      <w:highlight w:val="none"/>
                    </w:rPr>
                  </w:pPr>
                </w:p>
              </w:tc>
            </w:tr>
            <w:tr w14:paraId="41FF4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14:paraId="20FAD40C">
                  <w:pPr>
                    <w:spacing w:line="360" w:lineRule="auto"/>
                    <w:jc w:val="center"/>
                    <w:rPr>
                      <w:color w:val="auto"/>
                      <w:szCs w:val="21"/>
                      <w:highlight w:val="none"/>
                    </w:rPr>
                  </w:pPr>
                  <w:r>
                    <w:rPr>
                      <w:rFonts w:hint="eastAsia"/>
                      <w:color w:val="auto"/>
                      <w:szCs w:val="21"/>
                      <w:highlight w:val="none"/>
                    </w:rPr>
                    <w:t>3</w:t>
                  </w:r>
                </w:p>
              </w:tc>
              <w:tc>
                <w:tcPr>
                  <w:tcW w:w="3420" w:type="dxa"/>
                </w:tcPr>
                <w:p w14:paraId="2D1855D5">
                  <w:pPr>
                    <w:spacing w:line="360" w:lineRule="auto"/>
                    <w:rPr>
                      <w:color w:val="auto"/>
                      <w:szCs w:val="21"/>
                      <w:highlight w:val="none"/>
                    </w:rPr>
                  </w:pPr>
                  <w:r>
                    <w:rPr>
                      <w:rFonts w:hint="eastAsia"/>
                      <w:color w:val="auto"/>
                      <w:szCs w:val="21"/>
                      <w:highlight w:val="none"/>
                    </w:rPr>
                    <w:t>应预留的质量保证金</w:t>
                  </w:r>
                </w:p>
              </w:tc>
              <w:tc>
                <w:tcPr>
                  <w:tcW w:w="1620" w:type="dxa"/>
                </w:tcPr>
                <w:p w14:paraId="53FAF81D">
                  <w:pPr>
                    <w:spacing w:line="360" w:lineRule="auto"/>
                    <w:rPr>
                      <w:color w:val="auto"/>
                      <w:szCs w:val="21"/>
                      <w:highlight w:val="none"/>
                    </w:rPr>
                  </w:pPr>
                </w:p>
              </w:tc>
              <w:tc>
                <w:tcPr>
                  <w:tcW w:w="1620" w:type="dxa"/>
                </w:tcPr>
                <w:p w14:paraId="1A8EEEBE">
                  <w:pPr>
                    <w:spacing w:line="360" w:lineRule="auto"/>
                    <w:rPr>
                      <w:color w:val="auto"/>
                      <w:szCs w:val="21"/>
                      <w:highlight w:val="none"/>
                    </w:rPr>
                  </w:pPr>
                </w:p>
              </w:tc>
              <w:tc>
                <w:tcPr>
                  <w:tcW w:w="1651" w:type="dxa"/>
                </w:tcPr>
                <w:p w14:paraId="7969409B">
                  <w:pPr>
                    <w:spacing w:line="360" w:lineRule="auto"/>
                    <w:rPr>
                      <w:color w:val="auto"/>
                      <w:szCs w:val="21"/>
                      <w:highlight w:val="none"/>
                    </w:rPr>
                  </w:pPr>
                </w:p>
              </w:tc>
            </w:tr>
            <w:tr w14:paraId="1B572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14:paraId="74F6F1FA">
                  <w:pPr>
                    <w:spacing w:line="360" w:lineRule="auto"/>
                    <w:jc w:val="center"/>
                    <w:rPr>
                      <w:color w:val="auto"/>
                      <w:szCs w:val="21"/>
                      <w:highlight w:val="none"/>
                    </w:rPr>
                  </w:pPr>
                  <w:r>
                    <w:rPr>
                      <w:rFonts w:hint="eastAsia"/>
                      <w:color w:val="auto"/>
                      <w:szCs w:val="21"/>
                      <w:highlight w:val="none"/>
                    </w:rPr>
                    <w:t>4</w:t>
                  </w:r>
                </w:p>
              </w:tc>
              <w:tc>
                <w:tcPr>
                  <w:tcW w:w="3420" w:type="dxa"/>
                </w:tcPr>
                <w:p w14:paraId="39E76325">
                  <w:pPr>
                    <w:spacing w:line="360" w:lineRule="auto"/>
                    <w:rPr>
                      <w:color w:val="auto"/>
                      <w:szCs w:val="21"/>
                      <w:highlight w:val="none"/>
                    </w:rPr>
                  </w:pPr>
                  <w:r>
                    <w:rPr>
                      <w:rFonts w:hint="eastAsia"/>
                      <w:color w:val="auto"/>
                      <w:szCs w:val="21"/>
                      <w:highlight w:val="none"/>
                    </w:rPr>
                    <w:t>应支付的竣工结算款金额</w:t>
                  </w:r>
                </w:p>
              </w:tc>
              <w:tc>
                <w:tcPr>
                  <w:tcW w:w="1620" w:type="dxa"/>
                </w:tcPr>
                <w:p w14:paraId="42530CA1">
                  <w:pPr>
                    <w:spacing w:line="360" w:lineRule="auto"/>
                    <w:rPr>
                      <w:color w:val="auto"/>
                      <w:szCs w:val="21"/>
                      <w:highlight w:val="none"/>
                    </w:rPr>
                  </w:pPr>
                </w:p>
              </w:tc>
              <w:tc>
                <w:tcPr>
                  <w:tcW w:w="1620" w:type="dxa"/>
                </w:tcPr>
                <w:p w14:paraId="40D06891">
                  <w:pPr>
                    <w:spacing w:line="360" w:lineRule="auto"/>
                    <w:rPr>
                      <w:color w:val="auto"/>
                      <w:szCs w:val="21"/>
                      <w:highlight w:val="none"/>
                    </w:rPr>
                  </w:pPr>
                </w:p>
              </w:tc>
              <w:tc>
                <w:tcPr>
                  <w:tcW w:w="1651" w:type="dxa"/>
                </w:tcPr>
                <w:p w14:paraId="3A5E4CD5">
                  <w:pPr>
                    <w:spacing w:line="360" w:lineRule="auto"/>
                    <w:rPr>
                      <w:color w:val="auto"/>
                      <w:szCs w:val="21"/>
                      <w:highlight w:val="none"/>
                    </w:rPr>
                  </w:pPr>
                </w:p>
              </w:tc>
            </w:tr>
            <w:tr w14:paraId="50A94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14:paraId="7F99AE6F">
                  <w:pPr>
                    <w:spacing w:line="360" w:lineRule="auto"/>
                    <w:jc w:val="center"/>
                    <w:rPr>
                      <w:color w:val="auto"/>
                      <w:szCs w:val="21"/>
                      <w:highlight w:val="none"/>
                    </w:rPr>
                  </w:pPr>
                </w:p>
              </w:tc>
              <w:tc>
                <w:tcPr>
                  <w:tcW w:w="3420" w:type="dxa"/>
                </w:tcPr>
                <w:p w14:paraId="6DC4F381">
                  <w:pPr>
                    <w:spacing w:line="360" w:lineRule="auto"/>
                    <w:rPr>
                      <w:color w:val="auto"/>
                      <w:szCs w:val="21"/>
                      <w:highlight w:val="none"/>
                    </w:rPr>
                  </w:pPr>
                </w:p>
              </w:tc>
              <w:tc>
                <w:tcPr>
                  <w:tcW w:w="1620" w:type="dxa"/>
                </w:tcPr>
                <w:p w14:paraId="40B8B826">
                  <w:pPr>
                    <w:spacing w:line="360" w:lineRule="auto"/>
                    <w:rPr>
                      <w:color w:val="auto"/>
                      <w:szCs w:val="21"/>
                      <w:highlight w:val="none"/>
                    </w:rPr>
                  </w:pPr>
                </w:p>
              </w:tc>
              <w:tc>
                <w:tcPr>
                  <w:tcW w:w="1620" w:type="dxa"/>
                </w:tcPr>
                <w:p w14:paraId="276E45F5">
                  <w:pPr>
                    <w:spacing w:line="360" w:lineRule="auto"/>
                    <w:rPr>
                      <w:color w:val="auto"/>
                      <w:szCs w:val="21"/>
                      <w:highlight w:val="none"/>
                    </w:rPr>
                  </w:pPr>
                </w:p>
              </w:tc>
              <w:tc>
                <w:tcPr>
                  <w:tcW w:w="1651" w:type="dxa"/>
                </w:tcPr>
                <w:p w14:paraId="60C2D89B">
                  <w:pPr>
                    <w:spacing w:line="360" w:lineRule="auto"/>
                    <w:rPr>
                      <w:color w:val="auto"/>
                      <w:szCs w:val="21"/>
                      <w:highlight w:val="none"/>
                    </w:rPr>
                  </w:pPr>
                </w:p>
              </w:tc>
            </w:tr>
            <w:tr w14:paraId="6EBD5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14:paraId="19F2073E">
                  <w:pPr>
                    <w:spacing w:line="360" w:lineRule="auto"/>
                    <w:jc w:val="center"/>
                    <w:rPr>
                      <w:color w:val="auto"/>
                      <w:szCs w:val="21"/>
                      <w:highlight w:val="none"/>
                    </w:rPr>
                  </w:pPr>
                </w:p>
              </w:tc>
              <w:tc>
                <w:tcPr>
                  <w:tcW w:w="3420" w:type="dxa"/>
                </w:tcPr>
                <w:p w14:paraId="418BD682">
                  <w:pPr>
                    <w:spacing w:line="360" w:lineRule="auto"/>
                    <w:rPr>
                      <w:color w:val="auto"/>
                      <w:szCs w:val="21"/>
                      <w:highlight w:val="none"/>
                    </w:rPr>
                  </w:pPr>
                </w:p>
              </w:tc>
              <w:tc>
                <w:tcPr>
                  <w:tcW w:w="1620" w:type="dxa"/>
                </w:tcPr>
                <w:p w14:paraId="2CB92BF5">
                  <w:pPr>
                    <w:spacing w:line="360" w:lineRule="auto"/>
                    <w:rPr>
                      <w:color w:val="auto"/>
                      <w:szCs w:val="21"/>
                      <w:highlight w:val="none"/>
                    </w:rPr>
                  </w:pPr>
                </w:p>
              </w:tc>
              <w:tc>
                <w:tcPr>
                  <w:tcW w:w="1620" w:type="dxa"/>
                </w:tcPr>
                <w:p w14:paraId="013BCAEE">
                  <w:pPr>
                    <w:spacing w:line="360" w:lineRule="auto"/>
                    <w:rPr>
                      <w:color w:val="auto"/>
                      <w:szCs w:val="21"/>
                      <w:highlight w:val="none"/>
                    </w:rPr>
                  </w:pPr>
                </w:p>
              </w:tc>
              <w:tc>
                <w:tcPr>
                  <w:tcW w:w="1651" w:type="dxa"/>
                </w:tcPr>
                <w:p w14:paraId="029CD51F">
                  <w:pPr>
                    <w:spacing w:line="360" w:lineRule="auto"/>
                    <w:rPr>
                      <w:color w:val="auto"/>
                      <w:szCs w:val="21"/>
                      <w:highlight w:val="none"/>
                    </w:rPr>
                  </w:pPr>
                </w:p>
              </w:tc>
            </w:tr>
            <w:tr w14:paraId="384DF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14:paraId="7780A00A">
                  <w:pPr>
                    <w:spacing w:line="360" w:lineRule="auto"/>
                    <w:jc w:val="center"/>
                    <w:rPr>
                      <w:color w:val="auto"/>
                      <w:szCs w:val="21"/>
                      <w:highlight w:val="none"/>
                    </w:rPr>
                  </w:pPr>
                </w:p>
              </w:tc>
              <w:tc>
                <w:tcPr>
                  <w:tcW w:w="3420" w:type="dxa"/>
                </w:tcPr>
                <w:p w14:paraId="0C05D322">
                  <w:pPr>
                    <w:spacing w:line="360" w:lineRule="auto"/>
                    <w:rPr>
                      <w:color w:val="auto"/>
                      <w:szCs w:val="21"/>
                      <w:highlight w:val="none"/>
                    </w:rPr>
                  </w:pPr>
                </w:p>
              </w:tc>
              <w:tc>
                <w:tcPr>
                  <w:tcW w:w="1620" w:type="dxa"/>
                </w:tcPr>
                <w:p w14:paraId="5B54E7FD">
                  <w:pPr>
                    <w:spacing w:line="360" w:lineRule="auto"/>
                    <w:rPr>
                      <w:color w:val="auto"/>
                      <w:szCs w:val="21"/>
                      <w:highlight w:val="none"/>
                    </w:rPr>
                  </w:pPr>
                </w:p>
              </w:tc>
              <w:tc>
                <w:tcPr>
                  <w:tcW w:w="1620" w:type="dxa"/>
                </w:tcPr>
                <w:p w14:paraId="2E8B3637">
                  <w:pPr>
                    <w:spacing w:line="360" w:lineRule="auto"/>
                    <w:rPr>
                      <w:color w:val="auto"/>
                      <w:szCs w:val="21"/>
                      <w:highlight w:val="none"/>
                    </w:rPr>
                  </w:pPr>
                </w:p>
              </w:tc>
              <w:tc>
                <w:tcPr>
                  <w:tcW w:w="1651" w:type="dxa"/>
                </w:tcPr>
                <w:p w14:paraId="4B86C3CE">
                  <w:pPr>
                    <w:spacing w:line="360" w:lineRule="auto"/>
                    <w:rPr>
                      <w:color w:val="auto"/>
                      <w:szCs w:val="21"/>
                      <w:highlight w:val="none"/>
                    </w:rPr>
                  </w:pPr>
                </w:p>
              </w:tc>
            </w:tr>
            <w:tr w14:paraId="0E24C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14:paraId="6D7804EE">
                  <w:pPr>
                    <w:spacing w:line="360" w:lineRule="auto"/>
                    <w:jc w:val="center"/>
                    <w:rPr>
                      <w:color w:val="auto"/>
                      <w:szCs w:val="21"/>
                      <w:highlight w:val="none"/>
                    </w:rPr>
                  </w:pPr>
                </w:p>
              </w:tc>
              <w:tc>
                <w:tcPr>
                  <w:tcW w:w="3420" w:type="dxa"/>
                </w:tcPr>
                <w:p w14:paraId="45C64101">
                  <w:pPr>
                    <w:spacing w:line="360" w:lineRule="auto"/>
                    <w:rPr>
                      <w:color w:val="auto"/>
                      <w:szCs w:val="21"/>
                      <w:highlight w:val="none"/>
                    </w:rPr>
                  </w:pPr>
                </w:p>
              </w:tc>
              <w:tc>
                <w:tcPr>
                  <w:tcW w:w="1620" w:type="dxa"/>
                </w:tcPr>
                <w:p w14:paraId="7870275E">
                  <w:pPr>
                    <w:spacing w:line="360" w:lineRule="auto"/>
                    <w:rPr>
                      <w:color w:val="auto"/>
                      <w:szCs w:val="21"/>
                      <w:highlight w:val="none"/>
                    </w:rPr>
                  </w:pPr>
                </w:p>
              </w:tc>
              <w:tc>
                <w:tcPr>
                  <w:tcW w:w="1620" w:type="dxa"/>
                </w:tcPr>
                <w:p w14:paraId="678E74A4">
                  <w:pPr>
                    <w:spacing w:line="360" w:lineRule="auto"/>
                    <w:rPr>
                      <w:color w:val="auto"/>
                      <w:szCs w:val="21"/>
                      <w:highlight w:val="none"/>
                    </w:rPr>
                  </w:pPr>
                </w:p>
              </w:tc>
              <w:tc>
                <w:tcPr>
                  <w:tcW w:w="1651" w:type="dxa"/>
                </w:tcPr>
                <w:p w14:paraId="4B32AB54">
                  <w:pPr>
                    <w:spacing w:line="360" w:lineRule="auto"/>
                    <w:rPr>
                      <w:color w:val="auto"/>
                      <w:szCs w:val="21"/>
                      <w:highlight w:val="none"/>
                    </w:rPr>
                  </w:pPr>
                </w:p>
              </w:tc>
            </w:tr>
            <w:tr w14:paraId="5F2F7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14:paraId="7D6F3D7A">
                  <w:pPr>
                    <w:spacing w:line="360" w:lineRule="auto"/>
                    <w:jc w:val="center"/>
                    <w:rPr>
                      <w:color w:val="auto"/>
                      <w:szCs w:val="21"/>
                      <w:highlight w:val="none"/>
                    </w:rPr>
                  </w:pPr>
                </w:p>
              </w:tc>
              <w:tc>
                <w:tcPr>
                  <w:tcW w:w="3420" w:type="dxa"/>
                </w:tcPr>
                <w:p w14:paraId="3DABEE3F">
                  <w:pPr>
                    <w:spacing w:line="360" w:lineRule="auto"/>
                    <w:rPr>
                      <w:color w:val="auto"/>
                      <w:szCs w:val="21"/>
                      <w:highlight w:val="none"/>
                    </w:rPr>
                  </w:pPr>
                </w:p>
              </w:tc>
              <w:tc>
                <w:tcPr>
                  <w:tcW w:w="1620" w:type="dxa"/>
                </w:tcPr>
                <w:p w14:paraId="50EDD4AF">
                  <w:pPr>
                    <w:spacing w:line="360" w:lineRule="auto"/>
                    <w:rPr>
                      <w:color w:val="auto"/>
                      <w:szCs w:val="21"/>
                      <w:highlight w:val="none"/>
                    </w:rPr>
                  </w:pPr>
                </w:p>
              </w:tc>
              <w:tc>
                <w:tcPr>
                  <w:tcW w:w="1620" w:type="dxa"/>
                </w:tcPr>
                <w:p w14:paraId="549CF727">
                  <w:pPr>
                    <w:spacing w:line="360" w:lineRule="auto"/>
                    <w:rPr>
                      <w:color w:val="auto"/>
                      <w:szCs w:val="21"/>
                      <w:highlight w:val="none"/>
                    </w:rPr>
                  </w:pPr>
                </w:p>
              </w:tc>
              <w:tc>
                <w:tcPr>
                  <w:tcW w:w="1651" w:type="dxa"/>
                </w:tcPr>
                <w:p w14:paraId="619A0AB7">
                  <w:pPr>
                    <w:spacing w:line="360" w:lineRule="auto"/>
                    <w:rPr>
                      <w:color w:val="auto"/>
                      <w:szCs w:val="21"/>
                      <w:highlight w:val="none"/>
                    </w:rPr>
                  </w:pPr>
                </w:p>
              </w:tc>
            </w:tr>
          </w:tbl>
          <w:p w14:paraId="13D75BF3">
            <w:pPr>
              <w:spacing w:line="360" w:lineRule="auto"/>
              <w:ind w:right="420" w:firstLine="435"/>
              <w:jc w:val="center"/>
              <w:rPr>
                <w:color w:val="auto"/>
                <w:szCs w:val="21"/>
                <w:highlight w:val="none"/>
              </w:rPr>
            </w:pPr>
          </w:p>
          <w:p w14:paraId="4948652B">
            <w:pPr>
              <w:spacing w:line="360" w:lineRule="auto"/>
              <w:ind w:right="420" w:firstLine="435"/>
              <w:jc w:val="center"/>
              <w:rPr>
                <w:color w:val="auto"/>
                <w:szCs w:val="21"/>
                <w:highlight w:val="none"/>
              </w:rPr>
            </w:pPr>
            <w:r>
              <w:rPr>
                <w:rFonts w:hint="eastAsia"/>
                <w:color w:val="auto"/>
                <w:szCs w:val="21"/>
                <w:highlight w:val="none"/>
              </w:rPr>
              <w:t xml:space="preserve">                                            承包人（章）             </w:t>
            </w:r>
          </w:p>
          <w:p w14:paraId="0D3E5EDB">
            <w:pPr>
              <w:spacing w:line="360" w:lineRule="auto"/>
              <w:ind w:right="420" w:firstLine="435"/>
              <w:rPr>
                <w:color w:val="auto"/>
                <w:szCs w:val="21"/>
                <w:highlight w:val="none"/>
              </w:rPr>
            </w:pPr>
            <w:r>
              <w:rPr>
                <w:rFonts w:hint="eastAsia"/>
                <w:color w:val="auto"/>
                <w:szCs w:val="21"/>
                <w:highlight w:val="none"/>
              </w:rPr>
              <w:t>造价人员</w:t>
            </w:r>
            <w:r>
              <w:rPr>
                <w:rFonts w:hint="eastAsia"/>
                <w:color w:val="auto"/>
                <w:szCs w:val="21"/>
                <w:highlight w:val="none"/>
                <w:u w:val="single"/>
              </w:rPr>
              <w:t xml:space="preserve">               </w:t>
            </w:r>
            <w:r>
              <w:rPr>
                <w:rFonts w:hint="eastAsia"/>
                <w:color w:val="auto"/>
                <w:szCs w:val="21"/>
                <w:highlight w:val="none"/>
              </w:rPr>
              <w:t>承包人代表</w:t>
            </w:r>
            <w:r>
              <w:rPr>
                <w:rFonts w:hint="eastAsia"/>
                <w:color w:val="auto"/>
                <w:szCs w:val="21"/>
                <w:highlight w:val="none"/>
                <w:u w:val="single"/>
              </w:rPr>
              <w:t xml:space="preserve">               </w:t>
            </w:r>
            <w:r>
              <w:rPr>
                <w:rFonts w:hint="eastAsia"/>
                <w:color w:val="auto"/>
                <w:szCs w:val="21"/>
                <w:highlight w:val="none"/>
              </w:rPr>
              <w:t>日      期</w:t>
            </w:r>
            <w:r>
              <w:rPr>
                <w:rFonts w:hint="eastAsia"/>
                <w:color w:val="auto"/>
                <w:szCs w:val="21"/>
                <w:highlight w:val="none"/>
                <w:u w:val="single"/>
              </w:rPr>
              <w:t xml:space="preserve">               </w:t>
            </w:r>
          </w:p>
        </w:tc>
      </w:tr>
      <w:tr w14:paraId="7AB87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0" w:hRule="atLeast"/>
          <w:jc w:val="center"/>
        </w:trPr>
        <w:tc>
          <w:tcPr>
            <w:tcW w:w="4539" w:type="dxa"/>
          </w:tcPr>
          <w:p w14:paraId="75307093">
            <w:pPr>
              <w:spacing w:line="360" w:lineRule="auto"/>
              <w:rPr>
                <w:color w:val="auto"/>
                <w:szCs w:val="21"/>
                <w:highlight w:val="none"/>
              </w:rPr>
            </w:pPr>
            <w:r>
              <w:rPr>
                <w:rFonts w:hint="eastAsia"/>
                <w:color w:val="auto"/>
                <w:szCs w:val="21"/>
                <w:highlight w:val="none"/>
              </w:rPr>
              <w:t>复核意见：</w:t>
            </w:r>
          </w:p>
          <w:p w14:paraId="7D125C31">
            <w:pPr>
              <w:spacing w:line="360" w:lineRule="auto"/>
              <w:ind w:firstLine="312"/>
              <w:rPr>
                <w:color w:val="auto"/>
                <w:szCs w:val="21"/>
                <w:highlight w:val="none"/>
              </w:rPr>
            </w:pPr>
            <w:r>
              <w:rPr>
                <w:rFonts w:hint="eastAsia"/>
                <w:color w:val="auto"/>
                <w:szCs w:val="21"/>
                <w:highlight w:val="none"/>
              </w:rPr>
              <w:t>□与实际施工情况不相符，修改意见见附件。</w:t>
            </w:r>
          </w:p>
          <w:p w14:paraId="7EEB5DB7">
            <w:pPr>
              <w:spacing w:line="360" w:lineRule="auto"/>
              <w:ind w:firstLine="312"/>
              <w:rPr>
                <w:color w:val="auto"/>
                <w:szCs w:val="21"/>
                <w:highlight w:val="none"/>
              </w:rPr>
            </w:pPr>
            <w:r>
              <w:rPr>
                <w:rFonts w:hint="eastAsia"/>
                <w:color w:val="auto"/>
                <w:szCs w:val="21"/>
                <w:highlight w:val="none"/>
              </w:rPr>
              <w:t>□与实际施工情况相符，具体金额由造价工程师复核。</w:t>
            </w:r>
          </w:p>
          <w:p w14:paraId="44C40B73">
            <w:pPr>
              <w:spacing w:line="360" w:lineRule="auto"/>
              <w:ind w:firstLine="435"/>
              <w:jc w:val="right"/>
              <w:rPr>
                <w:color w:val="auto"/>
                <w:szCs w:val="21"/>
                <w:highlight w:val="none"/>
              </w:rPr>
            </w:pPr>
          </w:p>
          <w:p w14:paraId="720C6185">
            <w:pPr>
              <w:spacing w:line="360" w:lineRule="auto"/>
              <w:ind w:firstLine="435"/>
              <w:jc w:val="right"/>
              <w:rPr>
                <w:color w:val="auto"/>
                <w:szCs w:val="21"/>
                <w:highlight w:val="none"/>
              </w:rPr>
            </w:pPr>
          </w:p>
          <w:p w14:paraId="225039B8">
            <w:pPr>
              <w:spacing w:line="360" w:lineRule="auto"/>
              <w:ind w:firstLine="435"/>
              <w:jc w:val="center"/>
              <w:rPr>
                <w:color w:val="auto"/>
                <w:szCs w:val="21"/>
                <w:highlight w:val="none"/>
              </w:rPr>
            </w:pPr>
            <w:r>
              <w:rPr>
                <w:color w:val="auto"/>
                <w:szCs w:val="21"/>
                <w:highlight w:val="none"/>
              </w:rPr>
              <w:t xml:space="preserve">    </w:t>
            </w:r>
            <w:r>
              <w:rPr>
                <w:rFonts w:hint="eastAsia"/>
                <w:color w:val="auto"/>
                <w:szCs w:val="21"/>
                <w:highlight w:val="none"/>
              </w:rPr>
              <w:t xml:space="preserve">     </w:t>
            </w:r>
          </w:p>
          <w:p w14:paraId="34595B00">
            <w:pPr>
              <w:spacing w:line="360" w:lineRule="auto"/>
              <w:ind w:firstLine="435"/>
              <w:jc w:val="center"/>
              <w:rPr>
                <w:color w:val="auto"/>
                <w:szCs w:val="21"/>
                <w:highlight w:val="none"/>
                <w:u w:val="single"/>
              </w:rPr>
            </w:pPr>
            <w:r>
              <w:rPr>
                <w:rFonts w:hint="eastAsia"/>
                <w:color w:val="auto"/>
                <w:szCs w:val="21"/>
                <w:highlight w:val="none"/>
              </w:rPr>
              <w:t xml:space="preserve">      监理工程师</w:t>
            </w:r>
            <w:r>
              <w:rPr>
                <w:rFonts w:hint="eastAsia"/>
                <w:color w:val="auto"/>
                <w:szCs w:val="21"/>
                <w:highlight w:val="none"/>
                <w:u w:val="single"/>
              </w:rPr>
              <w:t xml:space="preserve">           </w:t>
            </w:r>
          </w:p>
          <w:p w14:paraId="5241A821">
            <w:pPr>
              <w:spacing w:line="360" w:lineRule="auto"/>
              <w:ind w:firstLine="435"/>
              <w:jc w:val="center"/>
              <w:rPr>
                <w:color w:val="auto"/>
                <w:szCs w:val="21"/>
                <w:highlight w:val="none"/>
                <w:u w:val="single"/>
              </w:rPr>
            </w:pPr>
            <w:r>
              <w:rPr>
                <w:color w:val="auto"/>
                <w:szCs w:val="21"/>
                <w:highlight w:val="none"/>
              </w:rPr>
              <w:t xml:space="preserve">    </w:t>
            </w:r>
            <w:r>
              <w:rPr>
                <w:rFonts w:hint="eastAsia"/>
                <w:color w:val="auto"/>
                <w:szCs w:val="21"/>
                <w:highlight w:val="none"/>
              </w:rPr>
              <w:t xml:space="preserve">  日      期</w:t>
            </w:r>
            <w:r>
              <w:rPr>
                <w:rFonts w:hint="eastAsia"/>
                <w:color w:val="auto"/>
                <w:szCs w:val="21"/>
                <w:highlight w:val="none"/>
                <w:u w:val="single"/>
              </w:rPr>
              <w:t xml:space="preserve">           </w:t>
            </w:r>
          </w:p>
        </w:tc>
        <w:tc>
          <w:tcPr>
            <w:tcW w:w="4533" w:type="dxa"/>
          </w:tcPr>
          <w:p w14:paraId="537EFE6D">
            <w:pPr>
              <w:spacing w:line="360" w:lineRule="auto"/>
              <w:rPr>
                <w:color w:val="auto"/>
                <w:szCs w:val="21"/>
                <w:highlight w:val="none"/>
              </w:rPr>
            </w:pPr>
            <w:r>
              <w:rPr>
                <w:rFonts w:hint="eastAsia"/>
                <w:color w:val="auto"/>
                <w:szCs w:val="21"/>
                <w:highlight w:val="none"/>
              </w:rPr>
              <w:t>复核意见：</w:t>
            </w:r>
          </w:p>
          <w:p w14:paraId="1BD2F254">
            <w:pPr>
              <w:spacing w:line="360" w:lineRule="auto"/>
              <w:ind w:firstLine="435"/>
              <w:rPr>
                <w:color w:val="auto"/>
                <w:szCs w:val="21"/>
                <w:highlight w:val="none"/>
                <w:u w:val="single"/>
              </w:rPr>
            </w:pPr>
            <w:r>
              <w:rPr>
                <w:rFonts w:hint="eastAsia"/>
                <w:color w:val="auto"/>
                <w:szCs w:val="21"/>
                <w:highlight w:val="none"/>
              </w:rPr>
              <w:t>你方提出的竣工结算支付申请经复核，竣工结算款总额为(大写)</w:t>
            </w:r>
            <w:r>
              <w:rPr>
                <w:rFonts w:hint="eastAsia"/>
                <w:color w:val="auto"/>
                <w:szCs w:val="21"/>
                <w:highlight w:val="none"/>
                <w:u w:val="single"/>
              </w:rPr>
              <w:t xml:space="preserve">                </w:t>
            </w:r>
            <w:r>
              <w:rPr>
                <w:rFonts w:hint="eastAsia"/>
                <w:color w:val="auto"/>
                <w:szCs w:val="21"/>
                <w:highlight w:val="none"/>
              </w:rPr>
              <w:t>元，（小写）</w:t>
            </w:r>
            <w:r>
              <w:rPr>
                <w:rFonts w:hint="eastAsia"/>
                <w:color w:val="auto"/>
                <w:szCs w:val="21"/>
                <w:highlight w:val="none"/>
                <w:u w:val="single"/>
              </w:rPr>
              <w:t xml:space="preserve">          </w:t>
            </w:r>
            <w:r>
              <w:rPr>
                <w:rFonts w:hint="eastAsia"/>
                <w:color w:val="auto"/>
                <w:szCs w:val="21"/>
                <w:highlight w:val="none"/>
              </w:rPr>
              <w:t xml:space="preserve"> 元，扣除前期支付以及质量保证金后应支付金额为（大写）</w:t>
            </w:r>
            <w:r>
              <w:rPr>
                <w:rFonts w:hint="eastAsia"/>
                <w:color w:val="auto"/>
                <w:szCs w:val="21"/>
                <w:highlight w:val="none"/>
                <w:u w:val="single"/>
              </w:rPr>
              <w:t xml:space="preserve">              </w:t>
            </w:r>
            <w:r>
              <w:rPr>
                <w:rFonts w:hint="eastAsia"/>
                <w:color w:val="auto"/>
                <w:szCs w:val="21"/>
                <w:highlight w:val="none"/>
              </w:rPr>
              <w:t>元，（小写）</w:t>
            </w:r>
            <w:r>
              <w:rPr>
                <w:rFonts w:hint="eastAsia"/>
                <w:color w:val="auto"/>
                <w:szCs w:val="21"/>
                <w:highlight w:val="none"/>
                <w:u w:val="single"/>
              </w:rPr>
              <w:t xml:space="preserve">         </w:t>
            </w:r>
            <w:r>
              <w:rPr>
                <w:rFonts w:hint="eastAsia"/>
                <w:color w:val="auto"/>
                <w:szCs w:val="21"/>
                <w:highlight w:val="none"/>
              </w:rPr>
              <w:t>元。</w:t>
            </w:r>
          </w:p>
          <w:p w14:paraId="51F03D8B">
            <w:pPr>
              <w:spacing w:line="360" w:lineRule="auto"/>
              <w:ind w:firstLine="435"/>
              <w:jc w:val="center"/>
              <w:rPr>
                <w:color w:val="auto"/>
                <w:szCs w:val="21"/>
                <w:highlight w:val="none"/>
              </w:rPr>
            </w:pPr>
            <w:r>
              <w:rPr>
                <w:color w:val="auto"/>
                <w:szCs w:val="21"/>
                <w:highlight w:val="none"/>
              </w:rPr>
              <w:t xml:space="preserve">    </w:t>
            </w:r>
          </w:p>
          <w:p w14:paraId="6F324EDF">
            <w:pPr>
              <w:spacing w:line="360" w:lineRule="auto"/>
              <w:ind w:firstLine="435"/>
              <w:jc w:val="center"/>
              <w:rPr>
                <w:color w:val="auto"/>
                <w:szCs w:val="21"/>
                <w:highlight w:val="none"/>
                <w:u w:val="single"/>
              </w:rPr>
            </w:pPr>
            <w:r>
              <w:rPr>
                <w:rFonts w:hint="eastAsia"/>
                <w:color w:val="auto"/>
                <w:szCs w:val="21"/>
                <w:highlight w:val="none"/>
              </w:rPr>
              <w:t xml:space="preserve">    造价工程师</w:t>
            </w:r>
            <w:r>
              <w:rPr>
                <w:rFonts w:hint="eastAsia"/>
                <w:color w:val="auto"/>
                <w:szCs w:val="21"/>
                <w:highlight w:val="none"/>
                <w:u w:val="single"/>
              </w:rPr>
              <w:t xml:space="preserve">           </w:t>
            </w:r>
          </w:p>
          <w:p w14:paraId="19DC0A43">
            <w:pPr>
              <w:spacing w:line="360" w:lineRule="auto"/>
              <w:ind w:firstLine="435"/>
              <w:jc w:val="center"/>
              <w:rPr>
                <w:color w:val="auto"/>
                <w:szCs w:val="21"/>
                <w:highlight w:val="none"/>
                <w:u w:val="single"/>
              </w:rPr>
            </w:pPr>
            <w:r>
              <w:rPr>
                <w:color w:val="auto"/>
                <w:szCs w:val="21"/>
                <w:highlight w:val="none"/>
              </w:rPr>
              <w:t xml:space="preserve">    </w:t>
            </w:r>
            <w:r>
              <w:rPr>
                <w:rFonts w:hint="eastAsia"/>
                <w:color w:val="auto"/>
                <w:szCs w:val="21"/>
                <w:highlight w:val="none"/>
              </w:rPr>
              <w:t>日      期</w:t>
            </w:r>
            <w:r>
              <w:rPr>
                <w:rFonts w:hint="eastAsia"/>
                <w:color w:val="auto"/>
                <w:szCs w:val="21"/>
                <w:highlight w:val="none"/>
                <w:u w:val="single"/>
              </w:rPr>
              <w:t xml:space="preserve">           </w:t>
            </w:r>
          </w:p>
        </w:tc>
      </w:tr>
      <w:tr w14:paraId="1EA4C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1" w:hRule="atLeast"/>
          <w:jc w:val="center"/>
        </w:trPr>
        <w:tc>
          <w:tcPr>
            <w:tcW w:w="9072" w:type="dxa"/>
            <w:gridSpan w:val="2"/>
          </w:tcPr>
          <w:p w14:paraId="3A7ADCC8">
            <w:pPr>
              <w:spacing w:line="360" w:lineRule="auto"/>
              <w:rPr>
                <w:color w:val="auto"/>
                <w:szCs w:val="21"/>
                <w:highlight w:val="none"/>
              </w:rPr>
            </w:pPr>
            <w:r>
              <w:rPr>
                <w:rFonts w:hint="eastAsia"/>
                <w:color w:val="auto"/>
                <w:szCs w:val="21"/>
                <w:highlight w:val="none"/>
              </w:rPr>
              <w:t>审核意见：</w:t>
            </w:r>
          </w:p>
          <w:p w14:paraId="0340C8E9">
            <w:pPr>
              <w:spacing w:line="360" w:lineRule="auto"/>
              <w:ind w:firstLine="435"/>
              <w:rPr>
                <w:color w:val="auto"/>
                <w:szCs w:val="21"/>
                <w:highlight w:val="none"/>
              </w:rPr>
            </w:pPr>
            <w:r>
              <w:rPr>
                <w:rFonts w:hint="eastAsia"/>
                <w:color w:val="auto"/>
                <w:szCs w:val="21"/>
                <w:highlight w:val="none"/>
              </w:rPr>
              <w:t>□不同意。</w:t>
            </w:r>
          </w:p>
          <w:p w14:paraId="68E2552C">
            <w:pPr>
              <w:spacing w:line="360" w:lineRule="auto"/>
              <w:ind w:firstLine="420" w:firstLineChars="200"/>
              <w:rPr>
                <w:color w:val="auto"/>
                <w:szCs w:val="21"/>
                <w:highlight w:val="none"/>
              </w:rPr>
            </w:pPr>
            <w:r>
              <w:rPr>
                <w:rFonts w:hint="eastAsia"/>
                <w:color w:val="auto"/>
                <w:szCs w:val="21"/>
                <w:highlight w:val="none"/>
              </w:rPr>
              <w:t>□同意，支付时间为本表签发后的15天内。</w:t>
            </w:r>
          </w:p>
          <w:p w14:paraId="401D2C39">
            <w:pPr>
              <w:wordWrap w:val="0"/>
              <w:spacing w:line="360" w:lineRule="auto"/>
              <w:ind w:firstLine="420" w:firstLineChars="200"/>
              <w:jc w:val="right"/>
              <w:rPr>
                <w:color w:val="auto"/>
                <w:szCs w:val="21"/>
                <w:highlight w:val="none"/>
              </w:rPr>
            </w:pPr>
            <w:r>
              <w:rPr>
                <w:rFonts w:hint="eastAsia"/>
                <w:color w:val="auto"/>
                <w:szCs w:val="21"/>
                <w:highlight w:val="none"/>
              </w:rPr>
              <w:t xml:space="preserve">发包人（章）           </w:t>
            </w:r>
          </w:p>
          <w:p w14:paraId="141C806B">
            <w:pPr>
              <w:wordWrap w:val="0"/>
              <w:spacing w:line="360" w:lineRule="auto"/>
              <w:ind w:firstLine="420" w:firstLineChars="200"/>
              <w:jc w:val="right"/>
              <w:rPr>
                <w:color w:val="auto"/>
                <w:szCs w:val="21"/>
                <w:highlight w:val="none"/>
                <w:u w:val="single"/>
              </w:rPr>
            </w:pPr>
            <w:r>
              <w:rPr>
                <w:rFonts w:hint="eastAsia"/>
                <w:color w:val="auto"/>
                <w:szCs w:val="21"/>
                <w:highlight w:val="none"/>
              </w:rPr>
              <w:t>发包人代表</w:t>
            </w:r>
            <w:r>
              <w:rPr>
                <w:rFonts w:hint="eastAsia"/>
                <w:color w:val="auto"/>
                <w:szCs w:val="21"/>
                <w:highlight w:val="none"/>
                <w:u w:val="single"/>
              </w:rPr>
              <w:t xml:space="preserve">             </w:t>
            </w:r>
          </w:p>
          <w:p w14:paraId="697BBA73">
            <w:pPr>
              <w:wordWrap w:val="0"/>
              <w:spacing w:line="360" w:lineRule="auto"/>
              <w:ind w:firstLine="420" w:firstLineChars="200"/>
              <w:jc w:val="right"/>
              <w:rPr>
                <w:color w:val="auto"/>
                <w:szCs w:val="21"/>
                <w:highlight w:val="none"/>
                <w:u w:val="single"/>
              </w:rPr>
            </w:pPr>
            <w:r>
              <w:rPr>
                <w:rFonts w:hint="eastAsia"/>
                <w:color w:val="auto"/>
                <w:szCs w:val="21"/>
                <w:highlight w:val="none"/>
              </w:rPr>
              <w:t>日      期</w:t>
            </w:r>
            <w:r>
              <w:rPr>
                <w:rFonts w:hint="eastAsia"/>
                <w:color w:val="auto"/>
                <w:szCs w:val="21"/>
                <w:highlight w:val="none"/>
                <w:u w:val="single"/>
              </w:rPr>
              <w:t xml:space="preserve">             </w:t>
            </w:r>
          </w:p>
        </w:tc>
      </w:tr>
    </w:tbl>
    <w:p w14:paraId="01388DC3">
      <w:pPr>
        <w:spacing w:beforeLines="50" w:line="360" w:lineRule="auto"/>
        <w:ind w:firstLine="360" w:firstLineChars="200"/>
        <w:rPr>
          <w:color w:val="auto"/>
          <w:sz w:val="18"/>
          <w:szCs w:val="18"/>
          <w:highlight w:val="none"/>
        </w:rPr>
      </w:pPr>
      <w:r>
        <w:rPr>
          <w:rFonts w:hint="eastAsia"/>
          <w:color w:val="auto"/>
          <w:sz w:val="18"/>
          <w:szCs w:val="18"/>
          <w:highlight w:val="none"/>
        </w:rPr>
        <w:t xml:space="preserve">注：1.在选择栏中的“□”内作标识“√”。 </w:t>
      </w:r>
    </w:p>
    <w:p w14:paraId="1ACE46E6">
      <w:pPr>
        <w:spacing w:beforeLines="50" w:line="360" w:lineRule="auto"/>
        <w:ind w:left="720" w:hanging="720" w:hangingChars="400"/>
        <w:rPr>
          <w:color w:val="auto"/>
          <w:sz w:val="18"/>
          <w:szCs w:val="18"/>
          <w:highlight w:val="none"/>
        </w:rPr>
      </w:pPr>
      <w:r>
        <w:rPr>
          <w:rFonts w:hint="eastAsia"/>
          <w:color w:val="auto"/>
          <w:sz w:val="18"/>
          <w:szCs w:val="18"/>
          <w:highlight w:val="none"/>
        </w:rPr>
        <w:t xml:space="preserve">    </w:t>
      </w:r>
      <w:r>
        <w:rPr>
          <w:color w:val="auto"/>
          <w:sz w:val="18"/>
          <w:szCs w:val="18"/>
          <w:highlight w:val="none"/>
        </w:rPr>
        <w:t xml:space="preserve">  </w:t>
      </w:r>
      <w:r>
        <w:rPr>
          <w:rFonts w:hint="eastAsia"/>
          <w:color w:val="auto"/>
          <w:sz w:val="18"/>
          <w:szCs w:val="18"/>
          <w:highlight w:val="none"/>
        </w:rPr>
        <w:t xml:space="preserve">  2.本表一式四份，由承包人填报，发包人、监理人、造价咨询人、承包人各存一份。</w:t>
      </w:r>
    </w:p>
    <w:p w14:paraId="3AA7BF0C">
      <w:pPr>
        <w:spacing w:line="360" w:lineRule="auto"/>
        <w:ind w:right="360"/>
        <w:jc w:val="left"/>
        <w:rPr>
          <w:rFonts w:hint="eastAsia" w:hAnsi="宋体" w:cs="宋体"/>
          <w:color w:val="auto"/>
          <w:sz w:val="30"/>
          <w:szCs w:val="30"/>
          <w:highlight w:val="none"/>
        </w:rPr>
        <w:sectPr>
          <w:pgSz w:w="11906" w:h="16838"/>
          <w:pgMar w:top="1440" w:right="1080" w:bottom="1440" w:left="1080" w:header="851" w:footer="992" w:gutter="0"/>
          <w:pgNumType w:fmt="decimal"/>
          <w:cols w:space="720" w:num="1"/>
          <w:titlePg/>
          <w:docGrid w:type="lines" w:linePitch="312" w:charSpace="0"/>
        </w:sectPr>
      </w:pPr>
    </w:p>
    <w:p w14:paraId="7C7B12B7">
      <w:pPr>
        <w:spacing w:line="360" w:lineRule="auto"/>
        <w:ind w:right="360"/>
        <w:jc w:val="left"/>
        <w:rPr>
          <w:b/>
          <w:color w:val="auto"/>
          <w:sz w:val="30"/>
          <w:szCs w:val="30"/>
          <w:highlight w:val="none"/>
        </w:rPr>
      </w:pPr>
      <w:r>
        <w:rPr>
          <w:rFonts w:hint="eastAsia" w:hAnsi="宋体" w:cs="宋体"/>
          <w:color w:val="auto"/>
          <w:sz w:val="30"/>
          <w:szCs w:val="30"/>
          <w:highlight w:val="none"/>
        </w:rPr>
        <w:t>附件13：</w:t>
      </w:r>
    </w:p>
    <w:p w14:paraId="4F3BD414">
      <w:pPr>
        <w:spacing w:line="360" w:lineRule="auto"/>
        <w:jc w:val="center"/>
        <w:rPr>
          <w:b/>
          <w:color w:val="auto"/>
          <w:sz w:val="36"/>
          <w:szCs w:val="36"/>
          <w:highlight w:val="none"/>
        </w:rPr>
      </w:pPr>
      <w:r>
        <w:rPr>
          <w:rFonts w:hint="eastAsia"/>
          <w:b/>
          <w:color w:val="auto"/>
          <w:sz w:val="36"/>
          <w:szCs w:val="36"/>
          <w:highlight w:val="none"/>
        </w:rPr>
        <w:t>最终结算款支付申请（核准）表</w:t>
      </w:r>
    </w:p>
    <w:p w14:paraId="2716EE28">
      <w:pPr>
        <w:spacing w:line="360" w:lineRule="auto"/>
        <w:rPr>
          <w:color w:val="auto"/>
          <w:sz w:val="24"/>
          <w:highlight w:val="none"/>
        </w:rPr>
      </w:pPr>
      <w:r>
        <w:rPr>
          <w:rFonts w:hint="eastAsia"/>
          <w:color w:val="auto"/>
          <w:sz w:val="24"/>
          <w:highlight w:val="none"/>
        </w:rPr>
        <w:t>工程名称：                                             编号：</w:t>
      </w:r>
    </w:p>
    <w:tbl>
      <w:tblPr>
        <w:tblStyle w:val="33"/>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39"/>
        <w:gridCol w:w="4533"/>
      </w:tblGrid>
      <w:tr w14:paraId="23715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4" w:hRule="atLeast"/>
          <w:jc w:val="center"/>
        </w:trPr>
        <w:tc>
          <w:tcPr>
            <w:tcW w:w="9072" w:type="dxa"/>
            <w:gridSpan w:val="2"/>
          </w:tcPr>
          <w:p w14:paraId="4F673C43">
            <w:pPr>
              <w:spacing w:line="360" w:lineRule="auto"/>
              <w:ind w:left="525" w:leftChars="149" w:hanging="212" w:hangingChars="101"/>
              <w:rPr>
                <w:color w:val="auto"/>
                <w:szCs w:val="21"/>
                <w:highlight w:val="none"/>
                <w:u w:val="single"/>
              </w:rPr>
            </w:pPr>
            <w:r>
              <w:rPr>
                <w:rFonts w:hint="eastAsia"/>
                <w:color w:val="auto"/>
                <w:szCs w:val="21"/>
                <w:highlight w:val="none"/>
              </w:rPr>
              <w:t>致：</w:t>
            </w:r>
            <w:r>
              <w:rPr>
                <w:rFonts w:hint="eastAsia"/>
                <w:color w:val="auto"/>
                <w:szCs w:val="21"/>
                <w:highlight w:val="none"/>
                <w:u w:val="single"/>
              </w:rPr>
              <w:t xml:space="preserve">                                   （发包人全称）</w:t>
            </w:r>
          </w:p>
          <w:p w14:paraId="0BB410F6">
            <w:pPr>
              <w:spacing w:line="360" w:lineRule="auto"/>
              <w:ind w:left="-4" w:leftChars="-2" w:firstLine="315" w:firstLineChars="150"/>
              <w:rPr>
                <w:color w:val="auto"/>
                <w:szCs w:val="21"/>
                <w:highlight w:val="none"/>
              </w:rPr>
            </w:pPr>
            <w:r>
              <w:rPr>
                <w:rFonts w:hint="eastAsia"/>
                <w:color w:val="auto"/>
                <w:szCs w:val="21"/>
                <w:highlight w:val="none"/>
              </w:rPr>
              <w:t>我方于</w:t>
            </w:r>
            <w:r>
              <w:rPr>
                <w:rFonts w:hint="eastAsia"/>
                <w:color w:val="auto"/>
                <w:szCs w:val="21"/>
                <w:highlight w:val="none"/>
                <w:u w:val="single"/>
              </w:rPr>
              <w:t xml:space="preserve">         </w:t>
            </w:r>
            <w:r>
              <w:rPr>
                <w:rFonts w:hint="eastAsia"/>
                <w:color w:val="auto"/>
                <w:szCs w:val="21"/>
                <w:highlight w:val="none"/>
              </w:rPr>
              <w:t>至</w:t>
            </w:r>
            <w:r>
              <w:rPr>
                <w:rFonts w:hint="eastAsia"/>
                <w:color w:val="auto"/>
                <w:szCs w:val="21"/>
                <w:highlight w:val="none"/>
                <w:u w:val="single"/>
              </w:rPr>
              <w:t xml:space="preserve">          </w:t>
            </w:r>
            <w:r>
              <w:rPr>
                <w:rFonts w:hint="eastAsia"/>
                <w:color w:val="auto"/>
                <w:szCs w:val="21"/>
                <w:highlight w:val="none"/>
              </w:rPr>
              <w:t>期间已完成了缺陷修复工作，根据施工合同的约定，现申请支付最终结清合同款额为(大写)</w:t>
            </w:r>
            <w:r>
              <w:rPr>
                <w:rFonts w:hint="eastAsia"/>
                <w:color w:val="auto"/>
                <w:szCs w:val="21"/>
                <w:highlight w:val="none"/>
                <w:u w:val="single"/>
              </w:rPr>
              <w:t xml:space="preserve">            </w:t>
            </w:r>
            <w:r>
              <w:rPr>
                <w:rFonts w:hint="eastAsia"/>
                <w:color w:val="auto"/>
                <w:szCs w:val="21"/>
                <w:highlight w:val="none"/>
              </w:rPr>
              <w:t>元，(小写)</w:t>
            </w:r>
            <w:r>
              <w:rPr>
                <w:rFonts w:hint="eastAsia"/>
                <w:color w:val="auto"/>
                <w:szCs w:val="21"/>
                <w:highlight w:val="none"/>
                <w:u w:val="single"/>
              </w:rPr>
              <w:t xml:space="preserve">         </w:t>
            </w:r>
            <w:r>
              <w:rPr>
                <w:rFonts w:hint="eastAsia"/>
                <w:color w:val="auto"/>
                <w:szCs w:val="21"/>
                <w:highlight w:val="none"/>
              </w:rPr>
              <w:t>元，请予核准。</w:t>
            </w:r>
          </w:p>
          <w:tbl>
            <w:tblPr>
              <w:tblStyle w:val="33"/>
              <w:tblpPr w:leftFromText="180" w:rightFromText="180" w:vertAnchor="page" w:horzAnchor="margin" w:tblpY="1309"/>
              <w:tblOverlap w:val="never"/>
              <w:tblW w:w="884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5"/>
              <w:gridCol w:w="3420"/>
              <w:gridCol w:w="1620"/>
              <w:gridCol w:w="1620"/>
              <w:gridCol w:w="1651"/>
            </w:tblGrid>
            <w:tr w14:paraId="7F871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535" w:type="dxa"/>
                  <w:vAlign w:val="center"/>
                </w:tcPr>
                <w:p w14:paraId="452F00AB">
                  <w:pPr>
                    <w:spacing w:line="360" w:lineRule="auto"/>
                    <w:jc w:val="center"/>
                    <w:rPr>
                      <w:color w:val="auto"/>
                      <w:szCs w:val="21"/>
                      <w:highlight w:val="none"/>
                    </w:rPr>
                  </w:pPr>
                  <w:r>
                    <w:rPr>
                      <w:rFonts w:hint="eastAsia"/>
                      <w:color w:val="auto"/>
                      <w:szCs w:val="21"/>
                      <w:highlight w:val="none"/>
                    </w:rPr>
                    <w:t>序号</w:t>
                  </w:r>
                </w:p>
              </w:tc>
              <w:tc>
                <w:tcPr>
                  <w:tcW w:w="3420" w:type="dxa"/>
                  <w:vAlign w:val="center"/>
                </w:tcPr>
                <w:p w14:paraId="06A75AD0">
                  <w:pPr>
                    <w:spacing w:line="360" w:lineRule="auto"/>
                    <w:jc w:val="center"/>
                    <w:rPr>
                      <w:color w:val="auto"/>
                      <w:szCs w:val="21"/>
                      <w:highlight w:val="none"/>
                    </w:rPr>
                  </w:pPr>
                  <w:r>
                    <w:rPr>
                      <w:rFonts w:hint="eastAsia"/>
                      <w:color w:val="auto"/>
                      <w:szCs w:val="21"/>
                      <w:highlight w:val="none"/>
                    </w:rPr>
                    <w:t>名      称</w:t>
                  </w:r>
                </w:p>
              </w:tc>
              <w:tc>
                <w:tcPr>
                  <w:tcW w:w="1620" w:type="dxa"/>
                  <w:vAlign w:val="center"/>
                </w:tcPr>
                <w:p w14:paraId="2D039533">
                  <w:pPr>
                    <w:spacing w:line="360" w:lineRule="auto"/>
                    <w:jc w:val="center"/>
                    <w:rPr>
                      <w:color w:val="auto"/>
                      <w:szCs w:val="21"/>
                      <w:highlight w:val="none"/>
                    </w:rPr>
                  </w:pPr>
                  <w:r>
                    <w:rPr>
                      <w:rFonts w:hint="eastAsia"/>
                      <w:color w:val="auto"/>
                      <w:szCs w:val="21"/>
                      <w:highlight w:val="none"/>
                    </w:rPr>
                    <w:t>申请金额（元）</w:t>
                  </w:r>
                </w:p>
              </w:tc>
              <w:tc>
                <w:tcPr>
                  <w:tcW w:w="1620" w:type="dxa"/>
                  <w:vAlign w:val="center"/>
                </w:tcPr>
                <w:p w14:paraId="016AE6A8">
                  <w:pPr>
                    <w:spacing w:line="360" w:lineRule="auto"/>
                    <w:jc w:val="center"/>
                    <w:rPr>
                      <w:color w:val="auto"/>
                      <w:szCs w:val="21"/>
                      <w:highlight w:val="none"/>
                    </w:rPr>
                  </w:pPr>
                  <w:r>
                    <w:rPr>
                      <w:rFonts w:hint="eastAsia"/>
                      <w:color w:val="auto"/>
                      <w:szCs w:val="21"/>
                      <w:highlight w:val="none"/>
                    </w:rPr>
                    <w:t>复核金额（元）</w:t>
                  </w:r>
                </w:p>
              </w:tc>
              <w:tc>
                <w:tcPr>
                  <w:tcW w:w="1651" w:type="dxa"/>
                  <w:vAlign w:val="center"/>
                </w:tcPr>
                <w:p w14:paraId="1CB3EDC8">
                  <w:pPr>
                    <w:spacing w:line="360" w:lineRule="auto"/>
                    <w:jc w:val="center"/>
                    <w:rPr>
                      <w:color w:val="auto"/>
                      <w:szCs w:val="21"/>
                      <w:highlight w:val="none"/>
                    </w:rPr>
                  </w:pPr>
                  <w:r>
                    <w:rPr>
                      <w:rFonts w:hint="eastAsia"/>
                      <w:color w:val="auto"/>
                      <w:szCs w:val="21"/>
                      <w:highlight w:val="none"/>
                    </w:rPr>
                    <w:t>备注</w:t>
                  </w:r>
                </w:p>
              </w:tc>
            </w:tr>
            <w:tr w14:paraId="39C58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14:paraId="746A5ACF">
                  <w:pPr>
                    <w:spacing w:line="360" w:lineRule="auto"/>
                    <w:jc w:val="center"/>
                    <w:rPr>
                      <w:color w:val="auto"/>
                      <w:szCs w:val="21"/>
                      <w:highlight w:val="none"/>
                    </w:rPr>
                  </w:pPr>
                  <w:r>
                    <w:rPr>
                      <w:rFonts w:hint="eastAsia"/>
                      <w:color w:val="auto"/>
                      <w:szCs w:val="21"/>
                      <w:highlight w:val="none"/>
                    </w:rPr>
                    <w:t>1</w:t>
                  </w:r>
                </w:p>
              </w:tc>
              <w:tc>
                <w:tcPr>
                  <w:tcW w:w="3420" w:type="dxa"/>
                </w:tcPr>
                <w:p w14:paraId="7691F787">
                  <w:pPr>
                    <w:spacing w:line="360" w:lineRule="auto"/>
                    <w:rPr>
                      <w:color w:val="auto"/>
                      <w:szCs w:val="21"/>
                      <w:highlight w:val="none"/>
                    </w:rPr>
                  </w:pPr>
                  <w:r>
                    <w:rPr>
                      <w:rFonts w:hint="eastAsia"/>
                      <w:color w:val="auto"/>
                      <w:szCs w:val="21"/>
                      <w:highlight w:val="none"/>
                    </w:rPr>
                    <w:t>已预留的质量保证金</w:t>
                  </w:r>
                </w:p>
              </w:tc>
              <w:tc>
                <w:tcPr>
                  <w:tcW w:w="1620" w:type="dxa"/>
                </w:tcPr>
                <w:p w14:paraId="141F5B9C">
                  <w:pPr>
                    <w:spacing w:line="360" w:lineRule="auto"/>
                    <w:rPr>
                      <w:color w:val="auto"/>
                      <w:szCs w:val="21"/>
                      <w:highlight w:val="none"/>
                    </w:rPr>
                  </w:pPr>
                </w:p>
              </w:tc>
              <w:tc>
                <w:tcPr>
                  <w:tcW w:w="1620" w:type="dxa"/>
                </w:tcPr>
                <w:p w14:paraId="219172CE">
                  <w:pPr>
                    <w:spacing w:line="360" w:lineRule="auto"/>
                    <w:rPr>
                      <w:color w:val="auto"/>
                      <w:szCs w:val="21"/>
                      <w:highlight w:val="none"/>
                    </w:rPr>
                  </w:pPr>
                </w:p>
              </w:tc>
              <w:tc>
                <w:tcPr>
                  <w:tcW w:w="1651" w:type="dxa"/>
                </w:tcPr>
                <w:p w14:paraId="1C046A3D">
                  <w:pPr>
                    <w:spacing w:line="360" w:lineRule="auto"/>
                    <w:rPr>
                      <w:color w:val="auto"/>
                      <w:szCs w:val="21"/>
                      <w:highlight w:val="none"/>
                    </w:rPr>
                  </w:pPr>
                </w:p>
              </w:tc>
            </w:tr>
            <w:tr w14:paraId="728EB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14:paraId="3C5F24FD">
                  <w:pPr>
                    <w:spacing w:line="360" w:lineRule="auto"/>
                    <w:jc w:val="center"/>
                    <w:rPr>
                      <w:color w:val="auto"/>
                      <w:szCs w:val="21"/>
                      <w:highlight w:val="none"/>
                    </w:rPr>
                  </w:pPr>
                  <w:r>
                    <w:rPr>
                      <w:rFonts w:hint="eastAsia"/>
                      <w:color w:val="auto"/>
                      <w:szCs w:val="21"/>
                      <w:highlight w:val="none"/>
                    </w:rPr>
                    <w:t>2</w:t>
                  </w:r>
                </w:p>
              </w:tc>
              <w:tc>
                <w:tcPr>
                  <w:tcW w:w="3420" w:type="dxa"/>
                </w:tcPr>
                <w:p w14:paraId="2468D254">
                  <w:pPr>
                    <w:spacing w:line="360" w:lineRule="auto"/>
                    <w:rPr>
                      <w:color w:val="auto"/>
                      <w:szCs w:val="21"/>
                      <w:highlight w:val="none"/>
                    </w:rPr>
                  </w:pPr>
                  <w:r>
                    <w:rPr>
                      <w:rFonts w:hint="eastAsia"/>
                      <w:color w:val="auto"/>
                      <w:szCs w:val="21"/>
                      <w:highlight w:val="none"/>
                    </w:rPr>
                    <w:t>应增加因发包人原因造成缺陷的修复金额</w:t>
                  </w:r>
                </w:p>
              </w:tc>
              <w:tc>
                <w:tcPr>
                  <w:tcW w:w="1620" w:type="dxa"/>
                </w:tcPr>
                <w:p w14:paraId="52454549">
                  <w:pPr>
                    <w:spacing w:line="360" w:lineRule="auto"/>
                    <w:rPr>
                      <w:color w:val="auto"/>
                      <w:szCs w:val="21"/>
                      <w:highlight w:val="none"/>
                    </w:rPr>
                  </w:pPr>
                </w:p>
              </w:tc>
              <w:tc>
                <w:tcPr>
                  <w:tcW w:w="1620" w:type="dxa"/>
                </w:tcPr>
                <w:p w14:paraId="6008EACF">
                  <w:pPr>
                    <w:spacing w:line="360" w:lineRule="auto"/>
                    <w:rPr>
                      <w:color w:val="auto"/>
                      <w:szCs w:val="21"/>
                      <w:highlight w:val="none"/>
                    </w:rPr>
                  </w:pPr>
                </w:p>
              </w:tc>
              <w:tc>
                <w:tcPr>
                  <w:tcW w:w="1651" w:type="dxa"/>
                </w:tcPr>
                <w:p w14:paraId="46DABAA2">
                  <w:pPr>
                    <w:spacing w:line="360" w:lineRule="auto"/>
                    <w:rPr>
                      <w:color w:val="auto"/>
                      <w:szCs w:val="21"/>
                      <w:highlight w:val="none"/>
                    </w:rPr>
                  </w:pPr>
                </w:p>
              </w:tc>
            </w:tr>
            <w:tr w14:paraId="6F460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14:paraId="14ECE991">
                  <w:pPr>
                    <w:spacing w:line="360" w:lineRule="auto"/>
                    <w:jc w:val="center"/>
                    <w:rPr>
                      <w:color w:val="auto"/>
                      <w:szCs w:val="21"/>
                      <w:highlight w:val="none"/>
                    </w:rPr>
                  </w:pPr>
                  <w:r>
                    <w:rPr>
                      <w:rFonts w:hint="eastAsia"/>
                      <w:color w:val="auto"/>
                      <w:szCs w:val="21"/>
                      <w:highlight w:val="none"/>
                    </w:rPr>
                    <w:t>3</w:t>
                  </w:r>
                </w:p>
              </w:tc>
              <w:tc>
                <w:tcPr>
                  <w:tcW w:w="3420" w:type="dxa"/>
                </w:tcPr>
                <w:p w14:paraId="1AF9EF0E">
                  <w:pPr>
                    <w:spacing w:line="360" w:lineRule="auto"/>
                    <w:rPr>
                      <w:color w:val="auto"/>
                      <w:szCs w:val="21"/>
                      <w:highlight w:val="none"/>
                    </w:rPr>
                  </w:pPr>
                  <w:r>
                    <w:rPr>
                      <w:rFonts w:hint="eastAsia"/>
                      <w:color w:val="auto"/>
                      <w:szCs w:val="21"/>
                      <w:highlight w:val="none"/>
                    </w:rPr>
                    <w:t>应扣减承包人不修复缺陷、发包人组织修复的金额</w:t>
                  </w:r>
                </w:p>
              </w:tc>
              <w:tc>
                <w:tcPr>
                  <w:tcW w:w="1620" w:type="dxa"/>
                </w:tcPr>
                <w:p w14:paraId="349C4690">
                  <w:pPr>
                    <w:spacing w:line="360" w:lineRule="auto"/>
                    <w:rPr>
                      <w:color w:val="auto"/>
                      <w:szCs w:val="21"/>
                      <w:highlight w:val="none"/>
                    </w:rPr>
                  </w:pPr>
                </w:p>
              </w:tc>
              <w:tc>
                <w:tcPr>
                  <w:tcW w:w="1620" w:type="dxa"/>
                </w:tcPr>
                <w:p w14:paraId="5B0D40D3">
                  <w:pPr>
                    <w:spacing w:line="360" w:lineRule="auto"/>
                    <w:rPr>
                      <w:color w:val="auto"/>
                      <w:szCs w:val="21"/>
                      <w:highlight w:val="none"/>
                    </w:rPr>
                  </w:pPr>
                </w:p>
              </w:tc>
              <w:tc>
                <w:tcPr>
                  <w:tcW w:w="1651" w:type="dxa"/>
                </w:tcPr>
                <w:p w14:paraId="1F498567">
                  <w:pPr>
                    <w:spacing w:line="360" w:lineRule="auto"/>
                    <w:rPr>
                      <w:color w:val="auto"/>
                      <w:szCs w:val="21"/>
                      <w:highlight w:val="none"/>
                    </w:rPr>
                  </w:pPr>
                </w:p>
              </w:tc>
            </w:tr>
            <w:tr w14:paraId="48E5D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14:paraId="2CE6B594">
                  <w:pPr>
                    <w:spacing w:line="360" w:lineRule="auto"/>
                    <w:jc w:val="center"/>
                    <w:rPr>
                      <w:color w:val="auto"/>
                      <w:szCs w:val="21"/>
                      <w:highlight w:val="none"/>
                    </w:rPr>
                  </w:pPr>
                  <w:r>
                    <w:rPr>
                      <w:rFonts w:hint="eastAsia"/>
                      <w:color w:val="auto"/>
                      <w:szCs w:val="21"/>
                      <w:highlight w:val="none"/>
                    </w:rPr>
                    <w:t>4</w:t>
                  </w:r>
                </w:p>
              </w:tc>
              <w:tc>
                <w:tcPr>
                  <w:tcW w:w="3420" w:type="dxa"/>
                </w:tcPr>
                <w:p w14:paraId="26107767">
                  <w:pPr>
                    <w:spacing w:line="360" w:lineRule="auto"/>
                    <w:rPr>
                      <w:color w:val="auto"/>
                      <w:szCs w:val="21"/>
                      <w:highlight w:val="none"/>
                    </w:rPr>
                  </w:pPr>
                  <w:r>
                    <w:rPr>
                      <w:rFonts w:hint="eastAsia"/>
                      <w:color w:val="auto"/>
                      <w:szCs w:val="21"/>
                      <w:highlight w:val="none"/>
                    </w:rPr>
                    <w:t>最终应支付的合同价款</w:t>
                  </w:r>
                </w:p>
              </w:tc>
              <w:tc>
                <w:tcPr>
                  <w:tcW w:w="1620" w:type="dxa"/>
                </w:tcPr>
                <w:p w14:paraId="4DD58394">
                  <w:pPr>
                    <w:spacing w:line="360" w:lineRule="auto"/>
                    <w:rPr>
                      <w:color w:val="auto"/>
                      <w:szCs w:val="21"/>
                      <w:highlight w:val="none"/>
                    </w:rPr>
                  </w:pPr>
                </w:p>
              </w:tc>
              <w:tc>
                <w:tcPr>
                  <w:tcW w:w="1620" w:type="dxa"/>
                </w:tcPr>
                <w:p w14:paraId="36B8BAA4">
                  <w:pPr>
                    <w:spacing w:line="360" w:lineRule="auto"/>
                    <w:rPr>
                      <w:color w:val="auto"/>
                      <w:szCs w:val="21"/>
                      <w:highlight w:val="none"/>
                    </w:rPr>
                  </w:pPr>
                </w:p>
              </w:tc>
              <w:tc>
                <w:tcPr>
                  <w:tcW w:w="1651" w:type="dxa"/>
                </w:tcPr>
                <w:p w14:paraId="6EEEDD5B">
                  <w:pPr>
                    <w:spacing w:line="360" w:lineRule="auto"/>
                    <w:rPr>
                      <w:color w:val="auto"/>
                      <w:szCs w:val="21"/>
                      <w:highlight w:val="none"/>
                    </w:rPr>
                  </w:pPr>
                </w:p>
              </w:tc>
            </w:tr>
            <w:tr w14:paraId="0ACF6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14:paraId="157839FE">
                  <w:pPr>
                    <w:spacing w:line="360" w:lineRule="auto"/>
                    <w:jc w:val="center"/>
                    <w:rPr>
                      <w:color w:val="auto"/>
                      <w:szCs w:val="21"/>
                      <w:highlight w:val="none"/>
                    </w:rPr>
                  </w:pPr>
                </w:p>
              </w:tc>
              <w:tc>
                <w:tcPr>
                  <w:tcW w:w="3420" w:type="dxa"/>
                </w:tcPr>
                <w:p w14:paraId="0BD471A0">
                  <w:pPr>
                    <w:spacing w:line="360" w:lineRule="auto"/>
                    <w:rPr>
                      <w:color w:val="auto"/>
                      <w:szCs w:val="21"/>
                      <w:highlight w:val="none"/>
                    </w:rPr>
                  </w:pPr>
                </w:p>
              </w:tc>
              <w:tc>
                <w:tcPr>
                  <w:tcW w:w="1620" w:type="dxa"/>
                </w:tcPr>
                <w:p w14:paraId="40A55DE6">
                  <w:pPr>
                    <w:spacing w:line="360" w:lineRule="auto"/>
                    <w:rPr>
                      <w:color w:val="auto"/>
                      <w:szCs w:val="21"/>
                      <w:highlight w:val="none"/>
                    </w:rPr>
                  </w:pPr>
                </w:p>
              </w:tc>
              <w:tc>
                <w:tcPr>
                  <w:tcW w:w="1620" w:type="dxa"/>
                </w:tcPr>
                <w:p w14:paraId="5D251467">
                  <w:pPr>
                    <w:spacing w:line="360" w:lineRule="auto"/>
                    <w:rPr>
                      <w:color w:val="auto"/>
                      <w:szCs w:val="21"/>
                      <w:highlight w:val="none"/>
                    </w:rPr>
                  </w:pPr>
                </w:p>
              </w:tc>
              <w:tc>
                <w:tcPr>
                  <w:tcW w:w="1651" w:type="dxa"/>
                </w:tcPr>
                <w:p w14:paraId="0BD02CF2">
                  <w:pPr>
                    <w:spacing w:line="360" w:lineRule="auto"/>
                    <w:rPr>
                      <w:color w:val="auto"/>
                      <w:szCs w:val="21"/>
                      <w:highlight w:val="none"/>
                    </w:rPr>
                  </w:pPr>
                </w:p>
              </w:tc>
            </w:tr>
            <w:tr w14:paraId="15A9A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14:paraId="20DED589">
                  <w:pPr>
                    <w:spacing w:line="360" w:lineRule="auto"/>
                    <w:jc w:val="center"/>
                    <w:rPr>
                      <w:color w:val="auto"/>
                      <w:szCs w:val="21"/>
                      <w:highlight w:val="none"/>
                    </w:rPr>
                  </w:pPr>
                </w:p>
              </w:tc>
              <w:tc>
                <w:tcPr>
                  <w:tcW w:w="3420" w:type="dxa"/>
                </w:tcPr>
                <w:p w14:paraId="6AB6D952">
                  <w:pPr>
                    <w:spacing w:line="360" w:lineRule="auto"/>
                    <w:rPr>
                      <w:color w:val="auto"/>
                      <w:szCs w:val="21"/>
                      <w:highlight w:val="none"/>
                    </w:rPr>
                  </w:pPr>
                </w:p>
              </w:tc>
              <w:tc>
                <w:tcPr>
                  <w:tcW w:w="1620" w:type="dxa"/>
                </w:tcPr>
                <w:p w14:paraId="68C8CB6E">
                  <w:pPr>
                    <w:spacing w:line="360" w:lineRule="auto"/>
                    <w:rPr>
                      <w:color w:val="auto"/>
                      <w:szCs w:val="21"/>
                      <w:highlight w:val="none"/>
                    </w:rPr>
                  </w:pPr>
                </w:p>
              </w:tc>
              <w:tc>
                <w:tcPr>
                  <w:tcW w:w="1620" w:type="dxa"/>
                </w:tcPr>
                <w:p w14:paraId="4086440F">
                  <w:pPr>
                    <w:spacing w:line="360" w:lineRule="auto"/>
                    <w:rPr>
                      <w:color w:val="auto"/>
                      <w:szCs w:val="21"/>
                      <w:highlight w:val="none"/>
                    </w:rPr>
                  </w:pPr>
                </w:p>
              </w:tc>
              <w:tc>
                <w:tcPr>
                  <w:tcW w:w="1651" w:type="dxa"/>
                </w:tcPr>
                <w:p w14:paraId="6758A1C8">
                  <w:pPr>
                    <w:spacing w:line="360" w:lineRule="auto"/>
                    <w:rPr>
                      <w:color w:val="auto"/>
                      <w:szCs w:val="21"/>
                      <w:highlight w:val="none"/>
                    </w:rPr>
                  </w:pPr>
                </w:p>
              </w:tc>
            </w:tr>
            <w:tr w14:paraId="51881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14:paraId="377D41AA">
                  <w:pPr>
                    <w:spacing w:line="360" w:lineRule="auto"/>
                    <w:jc w:val="center"/>
                    <w:rPr>
                      <w:color w:val="auto"/>
                      <w:szCs w:val="21"/>
                      <w:highlight w:val="none"/>
                    </w:rPr>
                  </w:pPr>
                </w:p>
              </w:tc>
              <w:tc>
                <w:tcPr>
                  <w:tcW w:w="3420" w:type="dxa"/>
                </w:tcPr>
                <w:p w14:paraId="6B23C051">
                  <w:pPr>
                    <w:spacing w:line="360" w:lineRule="auto"/>
                    <w:rPr>
                      <w:color w:val="auto"/>
                      <w:szCs w:val="21"/>
                      <w:highlight w:val="none"/>
                    </w:rPr>
                  </w:pPr>
                </w:p>
              </w:tc>
              <w:tc>
                <w:tcPr>
                  <w:tcW w:w="1620" w:type="dxa"/>
                </w:tcPr>
                <w:p w14:paraId="310C1CD2">
                  <w:pPr>
                    <w:spacing w:line="360" w:lineRule="auto"/>
                    <w:rPr>
                      <w:color w:val="auto"/>
                      <w:szCs w:val="21"/>
                      <w:highlight w:val="none"/>
                    </w:rPr>
                  </w:pPr>
                </w:p>
              </w:tc>
              <w:tc>
                <w:tcPr>
                  <w:tcW w:w="1620" w:type="dxa"/>
                </w:tcPr>
                <w:p w14:paraId="14FBCA9F">
                  <w:pPr>
                    <w:spacing w:line="360" w:lineRule="auto"/>
                    <w:rPr>
                      <w:color w:val="auto"/>
                      <w:szCs w:val="21"/>
                      <w:highlight w:val="none"/>
                    </w:rPr>
                  </w:pPr>
                </w:p>
              </w:tc>
              <w:tc>
                <w:tcPr>
                  <w:tcW w:w="1651" w:type="dxa"/>
                </w:tcPr>
                <w:p w14:paraId="37FACAEB">
                  <w:pPr>
                    <w:spacing w:line="360" w:lineRule="auto"/>
                    <w:rPr>
                      <w:color w:val="auto"/>
                      <w:szCs w:val="21"/>
                      <w:highlight w:val="none"/>
                    </w:rPr>
                  </w:pPr>
                </w:p>
              </w:tc>
            </w:tr>
            <w:tr w14:paraId="68891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14:paraId="050E4F0A">
                  <w:pPr>
                    <w:spacing w:line="360" w:lineRule="auto"/>
                    <w:jc w:val="center"/>
                    <w:rPr>
                      <w:color w:val="auto"/>
                      <w:szCs w:val="21"/>
                      <w:highlight w:val="none"/>
                    </w:rPr>
                  </w:pPr>
                </w:p>
              </w:tc>
              <w:tc>
                <w:tcPr>
                  <w:tcW w:w="3420" w:type="dxa"/>
                </w:tcPr>
                <w:p w14:paraId="08C81580">
                  <w:pPr>
                    <w:spacing w:line="360" w:lineRule="auto"/>
                    <w:rPr>
                      <w:color w:val="auto"/>
                      <w:szCs w:val="21"/>
                      <w:highlight w:val="none"/>
                    </w:rPr>
                  </w:pPr>
                </w:p>
              </w:tc>
              <w:tc>
                <w:tcPr>
                  <w:tcW w:w="1620" w:type="dxa"/>
                </w:tcPr>
                <w:p w14:paraId="5D11A03B">
                  <w:pPr>
                    <w:spacing w:line="360" w:lineRule="auto"/>
                    <w:rPr>
                      <w:color w:val="auto"/>
                      <w:szCs w:val="21"/>
                      <w:highlight w:val="none"/>
                    </w:rPr>
                  </w:pPr>
                </w:p>
              </w:tc>
              <w:tc>
                <w:tcPr>
                  <w:tcW w:w="1620" w:type="dxa"/>
                </w:tcPr>
                <w:p w14:paraId="3ED530A4">
                  <w:pPr>
                    <w:spacing w:line="360" w:lineRule="auto"/>
                    <w:rPr>
                      <w:color w:val="auto"/>
                      <w:szCs w:val="21"/>
                      <w:highlight w:val="none"/>
                    </w:rPr>
                  </w:pPr>
                </w:p>
              </w:tc>
              <w:tc>
                <w:tcPr>
                  <w:tcW w:w="1651" w:type="dxa"/>
                </w:tcPr>
                <w:p w14:paraId="3D7171CC">
                  <w:pPr>
                    <w:spacing w:line="360" w:lineRule="auto"/>
                    <w:rPr>
                      <w:color w:val="auto"/>
                      <w:szCs w:val="21"/>
                      <w:highlight w:val="none"/>
                    </w:rPr>
                  </w:pPr>
                </w:p>
              </w:tc>
            </w:tr>
          </w:tbl>
          <w:p w14:paraId="039C288B">
            <w:pPr>
              <w:spacing w:line="360" w:lineRule="auto"/>
              <w:ind w:right="420" w:firstLine="435"/>
              <w:jc w:val="center"/>
              <w:rPr>
                <w:color w:val="auto"/>
                <w:szCs w:val="21"/>
                <w:highlight w:val="none"/>
              </w:rPr>
            </w:pPr>
            <w:r>
              <w:rPr>
                <w:rFonts w:hint="eastAsia"/>
                <w:color w:val="auto"/>
                <w:szCs w:val="21"/>
                <w:highlight w:val="none"/>
              </w:rPr>
              <w:t xml:space="preserve">                                            承包人（章）             </w:t>
            </w:r>
          </w:p>
          <w:p w14:paraId="1479CE7D">
            <w:pPr>
              <w:spacing w:line="360" w:lineRule="auto"/>
              <w:ind w:right="420" w:firstLine="435"/>
              <w:rPr>
                <w:color w:val="auto"/>
                <w:szCs w:val="21"/>
                <w:highlight w:val="none"/>
              </w:rPr>
            </w:pPr>
            <w:r>
              <w:rPr>
                <w:rFonts w:hint="eastAsia"/>
                <w:color w:val="auto"/>
                <w:szCs w:val="21"/>
                <w:highlight w:val="none"/>
              </w:rPr>
              <w:t>造价人员</w:t>
            </w:r>
            <w:r>
              <w:rPr>
                <w:rFonts w:hint="eastAsia"/>
                <w:color w:val="auto"/>
                <w:szCs w:val="21"/>
                <w:highlight w:val="none"/>
                <w:u w:val="single"/>
              </w:rPr>
              <w:t xml:space="preserve">               </w:t>
            </w:r>
            <w:r>
              <w:rPr>
                <w:rFonts w:hint="eastAsia"/>
                <w:color w:val="auto"/>
                <w:szCs w:val="21"/>
                <w:highlight w:val="none"/>
              </w:rPr>
              <w:t>承包人代表</w:t>
            </w:r>
            <w:r>
              <w:rPr>
                <w:rFonts w:hint="eastAsia"/>
                <w:color w:val="auto"/>
                <w:szCs w:val="21"/>
                <w:highlight w:val="none"/>
                <w:u w:val="single"/>
              </w:rPr>
              <w:t xml:space="preserve">               </w:t>
            </w:r>
            <w:r>
              <w:rPr>
                <w:rFonts w:hint="eastAsia"/>
                <w:color w:val="auto"/>
                <w:szCs w:val="21"/>
                <w:highlight w:val="none"/>
              </w:rPr>
              <w:t>日      期</w:t>
            </w:r>
            <w:r>
              <w:rPr>
                <w:rFonts w:hint="eastAsia"/>
                <w:color w:val="auto"/>
                <w:szCs w:val="21"/>
                <w:highlight w:val="none"/>
                <w:u w:val="single"/>
              </w:rPr>
              <w:t xml:space="preserve">               </w:t>
            </w:r>
          </w:p>
        </w:tc>
      </w:tr>
      <w:tr w14:paraId="17515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0" w:hRule="atLeast"/>
          <w:jc w:val="center"/>
        </w:trPr>
        <w:tc>
          <w:tcPr>
            <w:tcW w:w="4539" w:type="dxa"/>
          </w:tcPr>
          <w:p w14:paraId="0D6EDC4E">
            <w:pPr>
              <w:spacing w:line="360" w:lineRule="auto"/>
              <w:rPr>
                <w:color w:val="auto"/>
                <w:szCs w:val="21"/>
                <w:highlight w:val="none"/>
              </w:rPr>
            </w:pPr>
            <w:r>
              <w:rPr>
                <w:rFonts w:hint="eastAsia"/>
                <w:color w:val="auto"/>
                <w:szCs w:val="21"/>
                <w:highlight w:val="none"/>
              </w:rPr>
              <w:t>复核意见：</w:t>
            </w:r>
          </w:p>
          <w:p w14:paraId="3E257C98">
            <w:pPr>
              <w:spacing w:line="360" w:lineRule="auto"/>
              <w:ind w:firstLine="312"/>
              <w:rPr>
                <w:color w:val="auto"/>
                <w:szCs w:val="21"/>
                <w:highlight w:val="none"/>
              </w:rPr>
            </w:pPr>
            <w:r>
              <w:rPr>
                <w:rFonts w:hint="eastAsia"/>
                <w:color w:val="auto"/>
                <w:szCs w:val="21"/>
                <w:highlight w:val="none"/>
              </w:rPr>
              <w:t>□与实际施工情况不相符，修改意见见附件。</w:t>
            </w:r>
          </w:p>
          <w:p w14:paraId="0A1D38C2">
            <w:pPr>
              <w:spacing w:line="360" w:lineRule="auto"/>
              <w:ind w:firstLine="312"/>
              <w:rPr>
                <w:color w:val="auto"/>
                <w:szCs w:val="21"/>
                <w:highlight w:val="none"/>
              </w:rPr>
            </w:pPr>
            <w:r>
              <w:rPr>
                <w:rFonts w:hint="eastAsia"/>
                <w:color w:val="auto"/>
                <w:szCs w:val="21"/>
                <w:highlight w:val="none"/>
              </w:rPr>
              <w:t>□与实际施工情况相符，具体金额由造价工程师复核。</w:t>
            </w:r>
          </w:p>
          <w:p w14:paraId="20EEAB4D">
            <w:pPr>
              <w:spacing w:line="360" w:lineRule="auto"/>
              <w:ind w:firstLine="435"/>
              <w:jc w:val="right"/>
              <w:rPr>
                <w:color w:val="auto"/>
                <w:szCs w:val="21"/>
                <w:highlight w:val="none"/>
              </w:rPr>
            </w:pPr>
          </w:p>
          <w:p w14:paraId="5818ED96">
            <w:pPr>
              <w:spacing w:line="360" w:lineRule="auto"/>
              <w:ind w:firstLine="435"/>
              <w:jc w:val="right"/>
              <w:rPr>
                <w:color w:val="auto"/>
                <w:szCs w:val="21"/>
                <w:highlight w:val="none"/>
              </w:rPr>
            </w:pPr>
          </w:p>
          <w:p w14:paraId="4A0701C2">
            <w:pPr>
              <w:spacing w:line="360" w:lineRule="auto"/>
              <w:ind w:firstLine="435"/>
              <w:jc w:val="center"/>
              <w:rPr>
                <w:color w:val="auto"/>
                <w:szCs w:val="21"/>
                <w:highlight w:val="none"/>
              </w:rPr>
            </w:pPr>
            <w:r>
              <w:rPr>
                <w:color w:val="auto"/>
                <w:szCs w:val="21"/>
                <w:highlight w:val="none"/>
              </w:rPr>
              <w:t xml:space="preserve">    </w:t>
            </w:r>
            <w:r>
              <w:rPr>
                <w:rFonts w:hint="eastAsia"/>
                <w:color w:val="auto"/>
                <w:szCs w:val="21"/>
                <w:highlight w:val="none"/>
              </w:rPr>
              <w:t xml:space="preserve">     </w:t>
            </w:r>
          </w:p>
          <w:p w14:paraId="5DB52D27">
            <w:pPr>
              <w:spacing w:line="360" w:lineRule="auto"/>
              <w:ind w:firstLine="435"/>
              <w:jc w:val="center"/>
              <w:rPr>
                <w:color w:val="auto"/>
                <w:szCs w:val="21"/>
                <w:highlight w:val="none"/>
                <w:u w:val="single"/>
              </w:rPr>
            </w:pPr>
            <w:r>
              <w:rPr>
                <w:rFonts w:hint="eastAsia"/>
                <w:color w:val="auto"/>
                <w:szCs w:val="21"/>
                <w:highlight w:val="none"/>
              </w:rPr>
              <w:t xml:space="preserve">        监理工程师</w:t>
            </w:r>
            <w:r>
              <w:rPr>
                <w:rFonts w:hint="eastAsia"/>
                <w:color w:val="auto"/>
                <w:szCs w:val="21"/>
                <w:highlight w:val="none"/>
                <w:u w:val="single"/>
              </w:rPr>
              <w:t xml:space="preserve">           </w:t>
            </w:r>
          </w:p>
          <w:p w14:paraId="38F1C304">
            <w:pPr>
              <w:spacing w:line="360" w:lineRule="auto"/>
              <w:ind w:firstLine="435"/>
              <w:jc w:val="center"/>
              <w:rPr>
                <w:color w:val="auto"/>
                <w:szCs w:val="21"/>
                <w:highlight w:val="none"/>
                <w:u w:val="single"/>
              </w:rPr>
            </w:pPr>
            <w:r>
              <w:rPr>
                <w:color w:val="auto"/>
                <w:szCs w:val="21"/>
                <w:highlight w:val="none"/>
              </w:rPr>
              <w:t xml:space="preserve">    </w:t>
            </w:r>
            <w:r>
              <w:rPr>
                <w:rFonts w:hint="eastAsia"/>
                <w:color w:val="auto"/>
                <w:szCs w:val="21"/>
                <w:highlight w:val="none"/>
              </w:rPr>
              <w:t xml:space="preserve">    日      期</w:t>
            </w:r>
            <w:r>
              <w:rPr>
                <w:rFonts w:hint="eastAsia"/>
                <w:color w:val="auto"/>
                <w:szCs w:val="21"/>
                <w:highlight w:val="none"/>
                <w:u w:val="single"/>
              </w:rPr>
              <w:t xml:space="preserve">           </w:t>
            </w:r>
          </w:p>
        </w:tc>
        <w:tc>
          <w:tcPr>
            <w:tcW w:w="4533" w:type="dxa"/>
          </w:tcPr>
          <w:p w14:paraId="4073C16A">
            <w:pPr>
              <w:spacing w:line="360" w:lineRule="auto"/>
              <w:rPr>
                <w:color w:val="auto"/>
                <w:szCs w:val="21"/>
                <w:highlight w:val="none"/>
              </w:rPr>
            </w:pPr>
            <w:r>
              <w:rPr>
                <w:rFonts w:hint="eastAsia"/>
                <w:color w:val="auto"/>
                <w:szCs w:val="21"/>
                <w:highlight w:val="none"/>
              </w:rPr>
              <w:t>复核意见：</w:t>
            </w:r>
          </w:p>
          <w:p w14:paraId="72A7E9C9">
            <w:pPr>
              <w:spacing w:line="360" w:lineRule="auto"/>
              <w:ind w:firstLine="435"/>
              <w:rPr>
                <w:color w:val="auto"/>
                <w:szCs w:val="21"/>
                <w:highlight w:val="none"/>
                <w:u w:val="single"/>
              </w:rPr>
            </w:pPr>
            <w:r>
              <w:rPr>
                <w:rFonts w:hint="eastAsia"/>
                <w:color w:val="auto"/>
                <w:szCs w:val="21"/>
                <w:highlight w:val="none"/>
              </w:rPr>
              <w:t>你方提出的支付申请经复核，最终应支付金额为（大写）</w:t>
            </w:r>
            <w:r>
              <w:rPr>
                <w:rFonts w:hint="eastAsia"/>
                <w:color w:val="auto"/>
                <w:szCs w:val="21"/>
                <w:highlight w:val="none"/>
                <w:u w:val="single"/>
              </w:rPr>
              <w:t xml:space="preserve">          </w:t>
            </w:r>
            <w:r>
              <w:rPr>
                <w:rFonts w:hint="eastAsia"/>
                <w:color w:val="auto"/>
                <w:szCs w:val="21"/>
                <w:highlight w:val="none"/>
              </w:rPr>
              <w:t xml:space="preserve">元，（小写）  </w:t>
            </w:r>
            <w:r>
              <w:rPr>
                <w:rFonts w:hint="eastAsia"/>
                <w:color w:val="auto"/>
                <w:szCs w:val="21"/>
                <w:highlight w:val="none"/>
                <w:u w:val="single"/>
              </w:rPr>
              <w:t xml:space="preserve">       </w:t>
            </w:r>
            <w:r>
              <w:rPr>
                <w:rFonts w:hint="eastAsia"/>
                <w:color w:val="auto"/>
                <w:szCs w:val="21"/>
                <w:highlight w:val="none"/>
              </w:rPr>
              <w:t>元。</w:t>
            </w:r>
          </w:p>
          <w:p w14:paraId="3C9060E3">
            <w:pPr>
              <w:spacing w:line="360" w:lineRule="auto"/>
              <w:ind w:firstLine="435"/>
              <w:jc w:val="center"/>
              <w:rPr>
                <w:color w:val="auto"/>
                <w:szCs w:val="21"/>
                <w:highlight w:val="none"/>
              </w:rPr>
            </w:pPr>
            <w:r>
              <w:rPr>
                <w:color w:val="auto"/>
                <w:szCs w:val="21"/>
                <w:highlight w:val="none"/>
              </w:rPr>
              <w:t xml:space="preserve">    </w:t>
            </w:r>
          </w:p>
          <w:p w14:paraId="03E6C16B">
            <w:pPr>
              <w:spacing w:line="360" w:lineRule="auto"/>
              <w:ind w:firstLine="435"/>
              <w:jc w:val="center"/>
              <w:rPr>
                <w:color w:val="auto"/>
                <w:szCs w:val="21"/>
                <w:highlight w:val="none"/>
              </w:rPr>
            </w:pPr>
          </w:p>
          <w:p w14:paraId="5580CFA4">
            <w:pPr>
              <w:spacing w:line="360" w:lineRule="auto"/>
              <w:ind w:firstLine="435"/>
              <w:jc w:val="center"/>
              <w:rPr>
                <w:color w:val="auto"/>
                <w:szCs w:val="21"/>
                <w:highlight w:val="none"/>
              </w:rPr>
            </w:pPr>
          </w:p>
          <w:p w14:paraId="07B73C40">
            <w:pPr>
              <w:spacing w:line="360" w:lineRule="auto"/>
              <w:ind w:firstLine="435"/>
              <w:jc w:val="center"/>
              <w:rPr>
                <w:color w:val="auto"/>
                <w:szCs w:val="21"/>
                <w:highlight w:val="none"/>
                <w:u w:val="single"/>
              </w:rPr>
            </w:pPr>
            <w:r>
              <w:rPr>
                <w:rFonts w:hint="eastAsia"/>
                <w:color w:val="auto"/>
                <w:szCs w:val="21"/>
                <w:highlight w:val="none"/>
              </w:rPr>
              <w:t xml:space="preserve">    造价工程师</w:t>
            </w:r>
            <w:r>
              <w:rPr>
                <w:rFonts w:hint="eastAsia"/>
                <w:color w:val="auto"/>
                <w:szCs w:val="21"/>
                <w:highlight w:val="none"/>
                <w:u w:val="single"/>
              </w:rPr>
              <w:t xml:space="preserve">           </w:t>
            </w:r>
          </w:p>
          <w:p w14:paraId="23D0C6AA">
            <w:pPr>
              <w:spacing w:line="360" w:lineRule="auto"/>
              <w:ind w:firstLine="435"/>
              <w:jc w:val="center"/>
              <w:rPr>
                <w:color w:val="auto"/>
                <w:szCs w:val="21"/>
                <w:highlight w:val="none"/>
                <w:u w:val="single"/>
              </w:rPr>
            </w:pPr>
            <w:r>
              <w:rPr>
                <w:color w:val="auto"/>
                <w:szCs w:val="21"/>
                <w:highlight w:val="none"/>
              </w:rPr>
              <w:t xml:space="preserve">    </w:t>
            </w:r>
            <w:r>
              <w:rPr>
                <w:rFonts w:hint="eastAsia"/>
                <w:color w:val="auto"/>
                <w:szCs w:val="21"/>
                <w:highlight w:val="none"/>
              </w:rPr>
              <w:t>日      期</w:t>
            </w:r>
            <w:r>
              <w:rPr>
                <w:rFonts w:hint="eastAsia"/>
                <w:color w:val="auto"/>
                <w:szCs w:val="21"/>
                <w:highlight w:val="none"/>
                <w:u w:val="single"/>
              </w:rPr>
              <w:t xml:space="preserve">           </w:t>
            </w:r>
          </w:p>
        </w:tc>
      </w:tr>
      <w:tr w14:paraId="4DF1F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1" w:hRule="atLeast"/>
          <w:jc w:val="center"/>
        </w:trPr>
        <w:tc>
          <w:tcPr>
            <w:tcW w:w="9072" w:type="dxa"/>
            <w:gridSpan w:val="2"/>
          </w:tcPr>
          <w:p w14:paraId="34DCFF48">
            <w:pPr>
              <w:spacing w:line="360" w:lineRule="auto"/>
              <w:rPr>
                <w:color w:val="auto"/>
                <w:szCs w:val="21"/>
                <w:highlight w:val="none"/>
              </w:rPr>
            </w:pPr>
            <w:r>
              <w:rPr>
                <w:rFonts w:hint="eastAsia"/>
                <w:color w:val="auto"/>
                <w:szCs w:val="21"/>
                <w:highlight w:val="none"/>
              </w:rPr>
              <w:t>审核意见：</w:t>
            </w:r>
          </w:p>
          <w:p w14:paraId="47FA7F1D">
            <w:pPr>
              <w:spacing w:line="360" w:lineRule="auto"/>
              <w:ind w:firstLine="435"/>
              <w:rPr>
                <w:color w:val="auto"/>
                <w:szCs w:val="21"/>
                <w:highlight w:val="none"/>
              </w:rPr>
            </w:pPr>
            <w:r>
              <w:rPr>
                <w:rFonts w:hint="eastAsia"/>
                <w:color w:val="auto"/>
                <w:szCs w:val="21"/>
                <w:highlight w:val="none"/>
              </w:rPr>
              <w:t>□不同意。</w:t>
            </w:r>
          </w:p>
          <w:p w14:paraId="792E1B73">
            <w:pPr>
              <w:spacing w:line="360" w:lineRule="auto"/>
              <w:ind w:firstLine="420" w:firstLineChars="200"/>
              <w:rPr>
                <w:color w:val="auto"/>
                <w:szCs w:val="21"/>
                <w:highlight w:val="none"/>
              </w:rPr>
            </w:pPr>
            <w:r>
              <w:rPr>
                <w:rFonts w:hint="eastAsia"/>
                <w:color w:val="auto"/>
                <w:szCs w:val="21"/>
                <w:highlight w:val="none"/>
              </w:rPr>
              <w:t>□同意，支付时间为本表签发后的15天内。</w:t>
            </w:r>
          </w:p>
          <w:p w14:paraId="327C12C3">
            <w:pPr>
              <w:wordWrap w:val="0"/>
              <w:spacing w:line="360" w:lineRule="auto"/>
              <w:ind w:firstLine="420" w:firstLineChars="200"/>
              <w:jc w:val="right"/>
              <w:rPr>
                <w:color w:val="auto"/>
                <w:szCs w:val="21"/>
                <w:highlight w:val="none"/>
              </w:rPr>
            </w:pPr>
            <w:r>
              <w:rPr>
                <w:rFonts w:hint="eastAsia"/>
                <w:color w:val="auto"/>
                <w:szCs w:val="21"/>
                <w:highlight w:val="none"/>
              </w:rPr>
              <w:t xml:space="preserve">发包人（章）           </w:t>
            </w:r>
          </w:p>
          <w:p w14:paraId="0FB8CFBD">
            <w:pPr>
              <w:wordWrap w:val="0"/>
              <w:spacing w:line="360" w:lineRule="auto"/>
              <w:ind w:firstLine="420" w:firstLineChars="200"/>
              <w:jc w:val="right"/>
              <w:rPr>
                <w:color w:val="auto"/>
                <w:szCs w:val="21"/>
                <w:highlight w:val="none"/>
                <w:u w:val="single"/>
              </w:rPr>
            </w:pPr>
            <w:r>
              <w:rPr>
                <w:rFonts w:hint="eastAsia"/>
                <w:color w:val="auto"/>
                <w:szCs w:val="21"/>
                <w:highlight w:val="none"/>
              </w:rPr>
              <w:t>发包人代表</w:t>
            </w:r>
            <w:r>
              <w:rPr>
                <w:rFonts w:hint="eastAsia"/>
                <w:color w:val="auto"/>
                <w:szCs w:val="21"/>
                <w:highlight w:val="none"/>
                <w:u w:val="single"/>
              </w:rPr>
              <w:t xml:space="preserve">             </w:t>
            </w:r>
          </w:p>
          <w:p w14:paraId="3B305157">
            <w:pPr>
              <w:wordWrap w:val="0"/>
              <w:spacing w:line="360" w:lineRule="auto"/>
              <w:ind w:firstLine="420" w:firstLineChars="200"/>
              <w:jc w:val="right"/>
              <w:rPr>
                <w:color w:val="auto"/>
                <w:szCs w:val="21"/>
                <w:highlight w:val="none"/>
                <w:u w:val="single"/>
              </w:rPr>
            </w:pPr>
            <w:r>
              <w:rPr>
                <w:rFonts w:hint="eastAsia"/>
                <w:color w:val="auto"/>
                <w:szCs w:val="21"/>
                <w:highlight w:val="none"/>
              </w:rPr>
              <w:t>日      期</w:t>
            </w:r>
            <w:r>
              <w:rPr>
                <w:rFonts w:hint="eastAsia"/>
                <w:color w:val="auto"/>
                <w:szCs w:val="21"/>
                <w:highlight w:val="none"/>
                <w:u w:val="single"/>
              </w:rPr>
              <w:t xml:space="preserve">             </w:t>
            </w:r>
          </w:p>
        </w:tc>
      </w:tr>
    </w:tbl>
    <w:p w14:paraId="04D20964">
      <w:pPr>
        <w:spacing w:beforeLines="50" w:line="360" w:lineRule="auto"/>
        <w:ind w:firstLine="360" w:firstLineChars="200"/>
        <w:rPr>
          <w:color w:val="auto"/>
          <w:sz w:val="18"/>
          <w:szCs w:val="18"/>
          <w:highlight w:val="none"/>
        </w:rPr>
      </w:pPr>
      <w:r>
        <w:rPr>
          <w:rFonts w:hint="eastAsia"/>
          <w:color w:val="auto"/>
          <w:sz w:val="18"/>
          <w:szCs w:val="18"/>
          <w:highlight w:val="none"/>
        </w:rPr>
        <w:t>注：1.在选择栏中的“□”内作标识“√”。 如监理人已退场，监理工程师栏可空缺。</w:t>
      </w:r>
    </w:p>
    <w:p w14:paraId="3AD0DEB9">
      <w:pPr>
        <w:spacing w:beforeLines="50" w:line="360" w:lineRule="auto"/>
        <w:ind w:left="720" w:hanging="720" w:hangingChars="400"/>
        <w:rPr>
          <w:color w:val="auto"/>
          <w:sz w:val="18"/>
          <w:szCs w:val="18"/>
          <w:highlight w:val="none"/>
        </w:rPr>
      </w:pPr>
      <w:r>
        <w:rPr>
          <w:rFonts w:hint="eastAsia"/>
          <w:color w:val="auto"/>
          <w:sz w:val="18"/>
          <w:szCs w:val="18"/>
          <w:highlight w:val="none"/>
        </w:rPr>
        <w:t xml:space="preserve">    </w:t>
      </w:r>
      <w:r>
        <w:rPr>
          <w:color w:val="auto"/>
          <w:sz w:val="18"/>
          <w:szCs w:val="18"/>
          <w:highlight w:val="none"/>
        </w:rPr>
        <w:t xml:space="preserve">  </w:t>
      </w:r>
      <w:r>
        <w:rPr>
          <w:rFonts w:hint="eastAsia"/>
          <w:color w:val="auto"/>
          <w:sz w:val="18"/>
          <w:szCs w:val="18"/>
          <w:highlight w:val="none"/>
        </w:rPr>
        <w:t xml:space="preserve">  2.本表一式四份，由承包人填报，发包人、监理人、造价咨询人、承包人各存一份。</w:t>
      </w:r>
    </w:p>
    <w:p w14:paraId="3306F8CD">
      <w:pPr>
        <w:spacing w:line="360" w:lineRule="auto"/>
        <w:jc w:val="left"/>
        <w:rPr>
          <w:rFonts w:hint="eastAsia"/>
          <w:color w:val="auto"/>
          <w:sz w:val="30"/>
          <w:szCs w:val="30"/>
          <w:highlight w:val="none"/>
        </w:rPr>
        <w:sectPr>
          <w:pgSz w:w="11906" w:h="16838"/>
          <w:pgMar w:top="1440" w:right="1080" w:bottom="1440" w:left="1080" w:header="851" w:footer="992" w:gutter="0"/>
          <w:pgNumType w:fmt="decimal"/>
          <w:cols w:space="720" w:num="1"/>
          <w:titlePg/>
          <w:docGrid w:type="lines" w:linePitch="312" w:charSpace="0"/>
        </w:sectPr>
      </w:pPr>
    </w:p>
    <w:p w14:paraId="12A74D86">
      <w:pPr>
        <w:spacing w:line="360" w:lineRule="auto"/>
        <w:jc w:val="left"/>
        <w:rPr>
          <w:rFonts w:hAnsi="宋体" w:cs="宋体"/>
          <w:color w:val="auto"/>
          <w:sz w:val="30"/>
          <w:szCs w:val="30"/>
          <w:highlight w:val="none"/>
        </w:rPr>
      </w:pPr>
      <w:r>
        <w:rPr>
          <w:rFonts w:hint="eastAsia"/>
          <w:color w:val="auto"/>
          <w:sz w:val="30"/>
          <w:szCs w:val="30"/>
          <w:highlight w:val="none"/>
        </w:rPr>
        <w:t>附件14：</w:t>
      </w:r>
    </w:p>
    <w:p w14:paraId="2CFD9A8E">
      <w:pPr>
        <w:spacing w:line="360" w:lineRule="auto"/>
        <w:ind w:firstLine="720" w:firstLineChars="200"/>
        <w:jc w:val="center"/>
        <w:rPr>
          <w:rFonts w:ascii="宋体" w:hAnsi="宋体" w:cs="宋体"/>
          <w:color w:val="auto"/>
          <w:kern w:val="0"/>
          <w:sz w:val="36"/>
          <w:szCs w:val="36"/>
          <w:highlight w:val="none"/>
        </w:rPr>
      </w:pPr>
      <w:r>
        <w:rPr>
          <w:rFonts w:hint="eastAsia" w:ascii="宋体" w:hAnsi="宋体" w:cs="宋体"/>
          <w:color w:val="auto"/>
          <w:kern w:val="0"/>
          <w:sz w:val="36"/>
          <w:szCs w:val="36"/>
          <w:highlight w:val="none"/>
        </w:rPr>
        <w:t>总价合同进度款支付分解表</w:t>
      </w:r>
    </w:p>
    <w:p w14:paraId="7DF08949">
      <w:pPr>
        <w:spacing w:line="360" w:lineRule="auto"/>
        <w:rPr>
          <w:rFonts w:ascii="宋体" w:hAnsi="宋体" w:cs="宋体"/>
          <w:color w:val="auto"/>
          <w:kern w:val="0"/>
          <w:szCs w:val="21"/>
          <w:highlight w:val="none"/>
        </w:rPr>
      </w:pPr>
      <w:r>
        <w:rPr>
          <w:rFonts w:hint="eastAsia" w:ascii="宋体" w:hAnsi="宋体" w:cs="宋体"/>
          <w:color w:val="auto"/>
          <w:kern w:val="0"/>
          <w:szCs w:val="21"/>
          <w:highlight w:val="none"/>
        </w:rPr>
        <w:t>工程名称：</w:t>
      </w:r>
    </w:p>
    <w:tbl>
      <w:tblPr>
        <w:tblStyle w:val="33"/>
        <w:tblW w:w="974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7"/>
        <w:gridCol w:w="3794"/>
        <w:gridCol w:w="2268"/>
        <w:gridCol w:w="2268"/>
      </w:tblGrid>
      <w:tr w14:paraId="6565D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shd w:val="clear" w:color="auto" w:fill="auto"/>
          </w:tcPr>
          <w:p w14:paraId="079A99D2">
            <w:pPr>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进度款期次</w:t>
            </w:r>
          </w:p>
        </w:tc>
        <w:tc>
          <w:tcPr>
            <w:tcW w:w="3794" w:type="dxa"/>
            <w:shd w:val="clear" w:color="auto" w:fill="auto"/>
          </w:tcPr>
          <w:p w14:paraId="74252B1B">
            <w:pPr>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形象进度</w:t>
            </w:r>
          </w:p>
        </w:tc>
        <w:tc>
          <w:tcPr>
            <w:tcW w:w="2268" w:type="dxa"/>
            <w:shd w:val="clear" w:color="auto" w:fill="auto"/>
          </w:tcPr>
          <w:p w14:paraId="2ABCDE74">
            <w:pPr>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进度款付款金额（元）</w:t>
            </w:r>
          </w:p>
        </w:tc>
        <w:tc>
          <w:tcPr>
            <w:tcW w:w="2268" w:type="dxa"/>
            <w:shd w:val="clear" w:color="auto" w:fill="auto"/>
          </w:tcPr>
          <w:p w14:paraId="7D877BAE">
            <w:pPr>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备注</w:t>
            </w:r>
          </w:p>
        </w:tc>
      </w:tr>
      <w:tr w14:paraId="7AEDF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shd w:val="clear" w:color="auto" w:fill="auto"/>
          </w:tcPr>
          <w:p w14:paraId="3A87ADA2">
            <w:pPr>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第一期</w:t>
            </w:r>
          </w:p>
        </w:tc>
        <w:tc>
          <w:tcPr>
            <w:tcW w:w="3794" w:type="dxa"/>
            <w:shd w:val="clear" w:color="auto" w:fill="auto"/>
          </w:tcPr>
          <w:p w14:paraId="0F4DDFAB">
            <w:pPr>
              <w:spacing w:line="360" w:lineRule="auto"/>
              <w:jc w:val="center"/>
              <w:rPr>
                <w:rFonts w:ascii="宋体" w:hAnsi="宋体" w:cs="宋体"/>
                <w:color w:val="auto"/>
                <w:kern w:val="0"/>
                <w:szCs w:val="21"/>
                <w:highlight w:val="none"/>
              </w:rPr>
            </w:pPr>
          </w:p>
        </w:tc>
        <w:tc>
          <w:tcPr>
            <w:tcW w:w="2268" w:type="dxa"/>
            <w:shd w:val="clear" w:color="auto" w:fill="auto"/>
          </w:tcPr>
          <w:p w14:paraId="28DE930E">
            <w:pPr>
              <w:spacing w:line="360" w:lineRule="auto"/>
              <w:jc w:val="center"/>
              <w:rPr>
                <w:rFonts w:ascii="宋体" w:hAnsi="宋体" w:cs="宋体"/>
                <w:color w:val="auto"/>
                <w:kern w:val="0"/>
                <w:szCs w:val="21"/>
                <w:highlight w:val="none"/>
              </w:rPr>
            </w:pPr>
          </w:p>
        </w:tc>
        <w:tc>
          <w:tcPr>
            <w:tcW w:w="2268" w:type="dxa"/>
            <w:shd w:val="clear" w:color="auto" w:fill="auto"/>
          </w:tcPr>
          <w:p w14:paraId="492D563B">
            <w:pPr>
              <w:spacing w:line="360" w:lineRule="auto"/>
              <w:jc w:val="center"/>
              <w:rPr>
                <w:rFonts w:ascii="宋体" w:hAnsi="宋体" w:cs="宋体"/>
                <w:color w:val="auto"/>
                <w:kern w:val="0"/>
                <w:szCs w:val="21"/>
                <w:highlight w:val="none"/>
              </w:rPr>
            </w:pPr>
          </w:p>
        </w:tc>
      </w:tr>
      <w:tr w14:paraId="2C27A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shd w:val="clear" w:color="auto" w:fill="auto"/>
          </w:tcPr>
          <w:p w14:paraId="03363617">
            <w:pPr>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第二期</w:t>
            </w:r>
          </w:p>
        </w:tc>
        <w:tc>
          <w:tcPr>
            <w:tcW w:w="3794" w:type="dxa"/>
            <w:shd w:val="clear" w:color="auto" w:fill="auto"/>
          </w:tcPr>
          <w:p w14:paraId="5E12359C">
            <w:pPr>
              <w:spacing w:line="360" w:lineRule="auto"/>
              <w:jc w:val="center"/>
              <w:rPr>
                <w:rFonts w:ascii="宋体" w:hAnsi="宋体" w:cs="宋体"/>
                <w:color w:val="auto"/>
                <w:kern w:val="0"/>
                <w:szCs w:val="21"/>
                <w:highlight w:val="none"/>
              </w:rPr>
            </w:pPr>
          </w:p>
        </w:tc>
        <w:tc>
          <w:tcPr>
            <w:tcW w:w="2268" w:type="dxa"/>
            <w:shd w:val="clear" w:color="auto" w:fill="auto"/>
          </w:tcPr>
          <w:p w14:paraId="026AD6ED">
            <w:pPr>
              <w:spacing w:line="360" w:lineRule="auto"/>
              <w:jc w:val="center"/>
              <w:rPr>
                <w:rFonts w:ascii="宋体" w:hAnsi="宋体" w:cs="宋体"/>
                <w:color w:val="auto"/>
                <w:kern w:val="0"/>
                <w:szCs w:val="21"/>
                <w:highlight w:val="none"/>
              </w:rPr>
            </w:pPr>
          </w:p>
        </w:tc>
        <w:tc>
          <w:tcPr>
            <w:tcW w:w="2268" w:type="dxa"/>
            <w:shd w:val="clear" w:color="auto" w:fill="auto"/>
          </w:tcPr>
          <w:p w14:paraId="20B6360D">
            <w:pPr>
              <w:spacing w:line="360" w:lineRule="auto"/>
              <w:jc w:val="center"/>
              <w:rPr>
                <w:rFonts w:ascii="宋体" w:hAnsi="宋体" w:cs="宋体"/>
                <w:color w:val="auto"/>
                <w:kern w:val="0"/>
                <w:szCs w:val="21"/>
                <w:highlight w:val="none"/>
              </w:rPr>
            </w:pPr>
          </w:p>
        </w:tc>
      </w:tr>
      <w:tr w14:paraId="02B8B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shd w:val="clear" w:color="auto" w:fill="auto"/>
          </w:tcPr>
          <w:p w14:paraId="41E56283">
            <w:pPr>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第三期</w:t>
            </w:r>
          </w:p>
        </w:tc>
        <w:tc>
          <w:tcPr>
            <w:tcW w:w="3794" w:type="dxa"/>
            <w:shd w:val="clear" w:color="auto" w:fill="auto"/>
          </w:tcPr>
          <w:p w14:paraId="693D5342">
            <w:pPr>
              <w:spacing w:line="360" w:lineRule="auto"/>
              <w:jc w:val="center"/>
              <w:rPr>
                <w:rFonts w:ascii="宋体" w:hAnsi="宋体" w:cs="宋体"/>
                <w:color w:val="auto"/>
                <w:kern w:val="0"/>
                <w:szCs w:val="21"/>
                <w:highlight w:val="none"/>
              </w:rPr>
            </w:pPr>
          </w:p>
        </w:tc>
        <w:tc>
          <w:tcPr>
            <w:tcW w:w="2268" w:type="dxa"/>
            <w:shd w:val="clear" w:color="auto" w:fill="auto"/>
          </w:tcPr>
          <w:p w14:paraId="17725E1D">
            <w:pPr>
              <w:spacing w:line="360" w:lineRule="auto"/>
              <w:jc w:val="center"/>
              <w:rPr>
                <w:rFonts w:ascii="宋体" w:hAnsi="宋体" w:cs="宋体"/>
                <w:color w:val="auto"/>
                <w:kern w:val="0"/>
                <w:szCs w:val="21"/>
                <w:highlight w:val="none"/>
              </w:rPr>
            </w:pPr>
          </w:p>
        </w:tc>
        <w:tc>
          <w:tcPr>
            <w:tcW w:w="2268" w:type="dxa"/>
            <w:shd w:val="clear" w:color="auto" w:fill="auto"/>
          </w:tcPr>
          <w:p w14:paraId="6002882B">
            <w:pPr>
              <w:spacing w:line="360" w:lineRule="auto"/>
              <w:jc w:val="center"/>
              <w:rPr>
                <w:rFonts w:ascii="宋体" w:hAnsi="宋体" w:cs="宋体"/>
                <w:color w:val="auto"/>
                <w:kern w:val="0"/>
                <w:szCs w:val="21"/>
                <w:highlight w:val="none"/>
              </w:rPr>
            </w:pPr>
          </w:p>
        </w:tc>
      </w:tr>
      <w:tr w14:paraId="24718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shd w:val="clear" w:color="auto" w:fill="auto"/>
          </w:tcPr>
          <w:p w14:paraId="22650D9B">
            <w:pPr>
              <w:spacing w:line="360" w:lineRule="auto"/>
              <w:jc w:val="center"/>
              <w:rPr>
                <w:rFonts w:ascii="宋体" w:hAnsi="宋体" w:cs="宋体"/>
                <w:color w:val="auto"/>
                <w:kern w:val="0"/>
                <w:szCs w:val="21"/>
                <w:highlight w:val="none"/>
              </w:rPr>
            </w:pPr>
            <w:r>
              <w:rPr>
                <w:rFonts w:ascii="宋体" w:hAnsi="宋体" w:cs="宋体"/>
                <w:color w:val="auto"/>
                <w:kern w:val="0"/>
                <w:szCs w:val="21"/>
                <w:highlight w:val="none"/>
              </w:rPr>
              <w:t>……</w:t>
            </w:r>
          </w:p>
        </w:tc>
        <w:tc>
          <w:tcPr>
            <w:tcW w:w="3794" w:type="dxa"/>
            <w:shd w:val="clear" w:color="auto" w:fill="auto"/>
          </w:tcPr>
          <w:p w14:paraId="505BE4BC">
            <w:pPr>
              <w:spacing w:line="360" w:lineRule="auto"/>
              <w:jc w:val="center"/>
              <w:rPr>
                <w:rFonts w:ascii="宋体" w:hAnsi="宋体" w:cs="宋体"/>
                <w:color w:val="auto"/>
                <w:kern w:val="0"/>
                <w:szCs w:val="21"/>
                <w:highlight w:val="none"/>
              </w:rPr>
            </w:pPr>
          </w:p>
        </w:tc>
        <w:tc>
          <w:tcPr>
            <w:tcW w:w="2268" w:type="dxa"/>
            <w:shd w:val="clear" w:color="auto" w:fill="auto"/>
          </w:tcPr>
          <w:p w14:paraId="76EFA619">
            <w:pPr>
              <w:spacing w:line="360" w:lineRule="auto"/>
              <w:jc w:val="center"/>
              <w:rPr>
                <w:rFonts w:ascii="宋体" w:hAnsi="宋体" w:cs="宋体"/>
                <w:color w:val="auto"/>
                <w:kern w:val="0"/>
                <w:szCs w:val="21"/>
                <w:highlight w:val="none"/>
              </w:rPr>
            </w:pPr>
          </w:p>
        </w:tc>
        <w:tc>
          <w:tcPr>
            <w:tcW w:w="2268" w:type="dxa"/>
            <w:shd w:val="clear" w:color="auto" w:fill="auto"/>
          </w:tcPr>
          <w:p w14:paraId="4A0F883F">
            <w:pPr>
              <w:spacing w:line="360" w:lineRule="auto"/>
              <w:jc w:val="center"/>
              <w:rPr>
                <w:rFonts w:ascii="宋体" w:hAnsi="宋体" w:cs="宋体"/>
                <w:color w:val="auto"/>
                <w:kern w:val="0"/>
                <w:szCs w:val="21"/>
                <w:highlight w:val="none"/>
              </w:rPr>
            </w:pPr>
          </w:p>
        </w:tc>
      </w:tr>
      <w:tr w14:paraId="1EB06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11" w:type="dxa"/>
            <w:gridSpan w:val="2"/>
            <w:shd w:val="clear" w:color="auto" w:fill="auto"/>
          </w:tcPr>
          <w:p w14:paraId="62B345B6">
            <w:pPr>
              <w:spacing w:line="360" w:lineRule="auto"/>
              <w:ind w:firstLine="435"/>
              <w:jc w:val="center"/>
              <w:rPr>
                <w:color w:val="auto"/>
                <w:szCs w:val="21"/>
                <w:highlight w:val="none"/>
              </w:rPr>
            </w:pPr>
            <w:r>
              <w:rPr>
                <w:rFonts w:hint="eastAsia"/>
                <w:color w:val="auto"/>
                <w:szCs w:val="21"/>
                <w:highlight w:val="none"/>
              </w:rPr>
              <w:t>发包人代表签字：</w:t>
            </w:r>
          </w:p>
          <w:p w14:paraId="39D80D9E">
            <w:pPr>
              <w:spacing w:line="360" w:lineRule="auto"/>
              <w:ind w:firstLine="435"/>
              <w:jc w:val="center"/>
              <w:rPr>
                <w:color w:val="auto"/>
                <w:szCs w:val="21"/>
                <w:highlight w:val="none"/>
              </w:rPr>
            </w:pPr>
          </w:p>
          <w:p w14:paraId="7AB2A64D">
            <w:pPr>
              <w:spacing w:line="360" w:lineRule="auto"/>
              <w:ind w:firstLine="435"/>
              <w:jc w:val="center"/>
              <w:rPr>
                <w:color w:val="auto"/>
                <w:szCs w:val="21"/>
                <w:highlight w:val="none"/>
              </w:rPr>
            </w:pPr>
            <w:r>
              <w:rPr>
                <w:rFonts w:hint="eastAsia"/>
                <w:color w:val="auto"/>
                <w:szCs w:val="21"/>
                <w:highlight w:val="none"/>
              </w:rPr>
              <w:t>发包人（盖公章）</w:t>
            </w:r>
          </w:p>
          <w:p w14:paraId="7E317FE3">
            <w:pPr>
              <w:spacing w:line="360" w:lineRule="auto"/>
              <w:ind w:firstLine="435"/>
              <w:jc w:val="center"/>
              <w:rPr>
                <w:color w:val="auto"/>
                <w:szCs w:val="21"/>
                <w:highlight w:val="none"/>
              </w:rPr>
            </w:pPr>
          </w:p>
          <w:p w14:paraId="05A8032D">
            <w:pPr>
              <w:spacing w:line="360" w:lineRule="auto"/>
              <w:jc w:val="center"/>
              <w:rPr>
                <w:rFonts w:ascii="宋体" w:hAnsi="宋体" w:cs="宋体"/>
                <w:color w:val="auto"/>
                <w:kern w:val="0"/>
                <w:szCs w:val="21"/>
                <w:highlight w:val="none"/>
              </w:rPr>
            </w:pPr>
            <w:r>
              <w:rPr>
                <w:color w:val="auto"/>
                <w:szCs w:val="21"/>
                <w:highlight w:val="none"/>
              </w:rPr>
              <w:t xml:space="preserve">    </w:t>
            </w:r>
            <w:r>
              <w:rPr>
                <w:rFonts w:hint="eastAsia"/>
                <w:color w:val="auto"/>
                <w:szCs w:val="21"/>
                <w:highlight w:val="none"/>
              </w:rPr>
              <w:t xml:space="preserve">    日期</w:t>
            </w:r>
          </w:p>
        </w:tc>
        <w:tc>
          <w:tcPr>
            <w:tcW w:w="4536" w:type="dxa"/>
            <w:gridSpan w:val="2"/>
            <w:shd w:val="clear" w:color="auto" w:fill="auto"/>
          </w:tcPr>
          <w:p w14:paraId="4AEB087B">
            <w:pPr>
              <w:spacing w:line="360" w:lineRule="auto"/>
              <w:ind w:firstLine="435"/>
              <w:jc w:val="center"/>
              <w:rPr>
                <w:color w:val="auto"/>
                <w:szCs w:val="21"/>
                <w:highlight w:val="none"/>
              </w:rPr>
            </w:pPr>
            <w:r>
              <w:rPr>
                <w:rFonts w:hint="eastAsia"/>
                <w:color w:val="auto"/>
                <w:szCs w:val="21"/>
                <w:highlight w:val="none"/>
              </w:rPr>
              <w:t>承包人代表签字：</w:t>
            </w:r>
          </w:p>
          <w:p w14:paraId="4CB0D9C8">
            <w:pPr>
              <w:spacing w:line="360" w:lineRule="auto"/>
              <w:ind w:firstLine="435"/>
              <w:jc w:val="center"/>
              <w:rPr>
                <w:color w:val="auto"/>
                <w:szCs w:val="21"/>
                <w:highlight w:val="none"/>
              </w:rPr>
            </w:pPr>
          </w:p>
          <w:p w14:paraId="1F9E9255">
            <w:pPr>
              <w:spacing w:line="360" w:lineRule="auto"/>
              <w:ind w:firstLine="435"/>
              <w:jc w:val="center"/>
              <w:rPr>
                <w:color w:val="auto"/>
                <w:szCs w:val="21"/>
                <w:highlight w:val="none"/>
              </w:rPr>
            </w:pPr>
            <w:r>
              <w:rPr>
                <w:rFonts w:hint="eastAsia"/>
                <w:color w:val="auto"/>
                <w:szCs w:val="21"/>
                <w:highlight w:val="none"/>
              </w:rPr>
              <w:t>承包人（盖公章）</w:t>
            </w:r>
          </w:p>
          <w:p w14:paraId="4FEB44A5">
            <w:pPr>
              <w:spacing w:line="360" w:lineRule="auto"/>
              <w:ind w:firstLine="435"/>
              <w:jc w:val="center"/>
              <w:rPr>
                <w:color w:val="auto"/>
                <w:szCs w:val="21"/>
                <w:highlight w:val="none"/>
              </w:rPr>
            </w:pPr>
          </w:p>
          <w:p w14:paraId="24FD252B">
            <w:pPr>
              <w:spacing w:line="360" w:lineRule="auto"/>
              <w:jc w:val="center"/>
              <w:rPr>
                <w:rFonts w:ascii="宋体" w:hAnsi="宋体" w:cs="宋体"/>
                <w:color w:val="auto"/>
                <w:kern w:val="0"/>
                <w:szCs w:val="21"/>
                <w:highlight w:val="none"/>
              </w:rPr>
            </w:pPr>
            <w:r>
              <w:rPr>
                <w:color w:val="auto"/>
                <w:szCs w:val="21"/>
                <w:highlight w:val="none"/>
              </w:rPr>
              <w:t xml:space="preserve">    </w:t>
            </w:r>
            <w:r>
              <w:rPr>
                <w:rFonts w:hint="eastAsia"/>
                <w:color w:val="auto"/>
                <w:szCs w:val="21"/>
                <w:highlight w:val="none"/>
              </w:rPr>
              <w:t xml:space="preserve">    日期</w:t>
            </w:r>
          </w:p>
        </w:tc>
      </w:tr>
    </w:tbl>
    <w:p w14:paraId="6575A799">
      <w:pPr>
        <w:spacing w:line="360" w:lineRule="auto"/>
        <w:rPr>
          <w:rFonts w:ascii="Calibri" w:hAnsi="Calibri"/>
          <w:color w:val="auto"/>
          <w:sz w:val="20"/>
          <w:szCs w:val="22"/>
          <w:highlight w:val="none"/>
        </w:rPr>
      </w:pPr>
      <w:bookmarkStart w:id="1738" w:name="EBe5284d1842b94f0c98d02c465f9a426c"/>
      <w:r>
        <w:rPr>
          <w:rFonts w:hint="eastAsia" w:ascii="Calibri" w:hAnsi="Calibri"/>
          <w:color w:val="auto"/>
          <w:sz w:val="20"/>
          <w:szCs w:val="22"/>
          <w:highlight w:val="none"/>
        </w:rPr>
        <w:t xml:space="preserve"> </w:t>
      </w:r>
      <w:bookmarkEnd w:id="1738"/>
    </w:p>
    <w:p w14:paraId="58C25440">
      <w:pPr>
        <w:spacing w:line="360" w:lineRule="auto"/>
        <w:rPr>
          <w:rFonts w:ascii="Calibri" w:hAnsi="Calibri"/>
          <w:color w:val="auto"/>
          <w:szCs w:val="22"/>
          <w:highlight w:val="none"/>
        </w:rPr>
      </w:pPr>
      <w:bookmarkStart w:id="1739" w:name="EB65729a57b0ed4032909b38b1b878589c"/>
      <w:r>
        <w:rPr>
          <w:rFonts w:hint="eastAsia" w:ascii="Calibri" w:hAnsi="Calibri"/>
          <w:color w:val="auto"/>
          <w:sz w:val="20"/>
          <w:szCs w:val="22"/>
          <w:highlight w:val="none"/>
        </w:rPr>
        <w:t xml:space="preserve"> </w:t>
      </w:r>
      <w:bookmarkEnd w:id="1739"/>
      <w:bookmarkStart w:id="1740" w:name="EBb706f297d5d04c7ba31d72b62a31bd42"/>
      <w:r>
        <w:rPr>
          <w:rFonts w:hint="eastAsia" w:ascii="Calibri" w:hAnsi="Calibri"/>
          <w:color w:val="auto"/>
          <w:sz w:val="20"/>
          <w:szCs w:val="22"/>
          <w:highlight w:val="none"/>
        </w:rPr>
        <w:t xml:space="preserve"> </w:t>
      </w:r>
      <w:bookmarkEnd w:id="1740"/>
    </w:p>
    <w:p w14:paraId="7F7E6524">
      <w:pPr>
        <w:spacing w:line="360" w:lineRule="auto"/>
        <w:rPr>
          <w:color w:val="auto"/>
          <w:sz w:val="24"/>
          <w:highlight w:val="none"/>
        </w:rPr>
      </w:pPr>
    </w:p>
    <w:p w14:paraId="76FA5BE1">
      <w:pPr>
        <w:spacing w:line="360" w:lineRule="auto"/>
        <w:rPr>
          <w:color w:val="auto"/>
          <w:sz w:val="24"/>
          <w:highlight w:val="none"/>
        </w:rPr>
      </w:pPr>
    </w:p>
    <w:p w14:paraId="02B59724">
      <w:pPr>
        <w:widowControl/>
        <w:spacing w:line="360" w:lineRule="auto"/>
        <w:jc w:val="left"/>
        <w:rPr>
          <w:ins w:id="1" w:author="法审部" w:date="2026-04-02T11:50:53Z"/>
          <w:color w:val="auto"/>
          <w:highlight w:val="none"/>
        </w:rPr>
      </w:pPr>
      <w:r>
        <w:rPr>
          <w:color w:val="auto"/>
          <w:highlight w:val="none"/>
        </w:rPr>
        <w:br w:type="page"/>
      </w:r>
    </w:p>
    <w:p w14:paraId="40CB598B">
      <w:pPr>
        <w:pStyle w:val="139"/>
        <w:widowControl w:val="0"/>
        <w:spacing w:before="0" w:beforeAutospacing="0" w:after="0" w:afterAutospacing="0" w:line="360" w:lineRule="auto"/>
        <w:jc w:val="both"/>
        <w:rPr>
          <w:rStyle w:val="35"/>
          <w:rFonts w:eastAsia="宋体" w:cs="Times New Roman"/>
          <w:color w:val="auto"/>
          <w:sz w:val="30"/>
          <w:szCs w:val="30"/>
          <w:highlight w:val="none"/>
        </w:rPr>
      </w:pPr>
      <w:r>
        <w:rPr>
          <w:rStyle w:val="35"/>
          <w:rFonts w:hint="eastAsia" w:eastAsia="宋体" w:cs="Times New Roman"/>
          <w:color w:val="auto"/>
          <w:kern w:val="2"/>
          <w:sz w:val="30"/>
          <w:szCs w:val="30"/>
          <w:highlight w:val="none"/>
        </w:rPr>
        <w:t>附件15：</w:t>
      </w:r>
    </w:p>
    <w:p w14:paraId="37E52B64">
      <w:pPr>
        <w:pStyle w:val="141"/>
        <w:widowControl/>
        <w:spacing w:line="360" w:lineRule="auto"/>
        <w:ind w:firstLine="480" w:firstLineChars="200"/>
        <w:rPr>
          <w:rStyle w:val="35"/>
          <w:rFonts w:hint="eastAsia" w:eastAsia="宋体" w:cs="Times New Roman"/>
          <w:color w:val="auto"/>
          <w:sz w:val="24"/>
          <w:szCs w:val="24"/>
          <w:highlight w:val="none"/>
          <w:u w:val="single"/>
        </w:rPr>
      </w:pPr>
    </w:p>
    <w:p w14:paraId="194F88AB">
      <w:pPr>
        <w:pStyle w:val="142"/>
        <w:keepLines w:val="0"/>
        <w:widowControl/>
        <w:spacing w:line="360" w:lineRule="auto"/>
        <w:jc w:val="center"/>
        <w:rPr>
          <w:rStyle w:val="35"/>
          <w:rFonts w:eastAsia="宋体" w:cs="Times New Roman"/>
          <w:color w:val="auto"/>
          <w:sz w:val="24"/>
          <w:szCs w:val="24"/>
          <w:highlight w:val="none"/>
        </w:rPr>
      </w:pPr>
      <w:bookmarkStart w:id="1741" w:name="_Toc15136"/>
      <w:bookmarkStart w:id="1742" w:name="_Toc7985"/>
      <w:r>
        <w:rPr>
          <w:rStyle w:val="35"/>
          <w:rFonts w:hint="eastAsia" w:eastAsia="宋体" w:cs="Times New Roman"/>
          <w:color w:val="auto"/>
          <w:sz w:val="24"/>
          <w:szCs w:val="24"/>
          <w:highlight w:val="none"/>
        </w:rPr>
        <w:t>廉政合同</w:t>
      </w:r>
      <w:bookmarkEnd w:id="1741"/>
      <w:bookmarkEnd w:id="1742"/>
    </w:p>
    <w:p w14:paraId="0BF994AA">
      <w:pPr>
        <w:pStyle w:val="141"/>
        <w:widowControl/>
        <w:snapToGrid w:val="0"/>
        <w:spacing w:line="360" w:lineRule="auto"/>
        <w:ind w:firstLine="420" w:firstLineChars="200"/>
        <w:rPr>
          <w:rStyle w:val="35"/>
          <w:rFonts w:hint="eastAsia" w:ascii="宋体" w:hAnsi="宋体" w:eastAsia="宋体" w:cs="Times New Roman"/>
          <w:color w:val="auto"/>
          <w:highlight w:val="none"/>
        </w:rPr>
      </w:pPr>
    </w:p>
    <w:p w14:paraId="00A905FB">
      <w:pPr>
        <w:pStyle w:val="141"/>
        <w:widowControl/>
        <w:snapToGrid w:val="0"/>
        <w:spacing w:line="360" w:lineRule="auto"/>
        <w:ind w:firstLine="420" w:firstLineChars="200"/>
        <w:rPr>
          <w:rStyle w:val="35"/>
          <w:rFonts w:hint="eastAsia" w:ascii="宋体" w:hAnsi="宋体" w:eastAsia="宋体" w:cs="Times New Roman"/>
          <w:color w:val="auto"/>
          <w:highlight w:val="none"/>
          <w:u w:val="single"/>
        </w:rPr>
      </w:pPr>
      <w:r>
        <w:rPr>
          <w:rStyle w:val="35"/>
          <w:rFonts w:hint="eastAsia" w:ascii="宋体" w:hAnsi="宋体" w:eastAsia="宋体" w:cs="Times New Roman"/>
          <w:color w:val="auto"/>
          <w:highlight w:val="none"/>
        </w:rPr>
        <w:t>根据国家有关工程建设、廉政建设的规定，为做好工程建设中的党风廉政建设，保证工程建设高效优质，保证建设资金的安全和有效使用以及投资效益，建设工程的项目法人</w:t>
      </w:r>
      <w:r>
        <w:rPr>
          <w:rStyle w:val="35"/>
          <w:rFonts w:hint="eastAsia" w:ascii="宋体" w:hAnsi="宋体" w:eastAsia="宋体" w:cs="Times New Roman"/>
          <w:color w:val="auto"/>
          <w:highlight w:val="none"/>
          <w:u w:val="single"/>
        </w:rPr>
        <w:t xml:space="preserve">         （</w:t>
      </w:r>
      <w:r>
        <w:rPr>
          <w:rStyle w:val="35"/>
          <w:rFonts w:hint="eastAsia" w:ascii="宋体" w:hAnsi="宋体" w:eastAsia="宋体" w:cs="Times New Roman"/>
          <w:color w:val="auto"/>
          <w:highlight w:val="none"/>
        </w:rPr>
        <w:t>以下简称“甲方”）与总承包单位</w:t>
      </w:r>
      <w:r>
        <w:rPr>
          <w:rStyle w:val="35"/>
          <w:rFonts w:hint="eastAsia" w:ascii="宋体" w:hAnsi="宋体" w:eastAsia="宋体" w:cs="Times New Roman"/>
          <w:color w:val="auto"/>
          <w:highlight w:val="none"/>
          <w:u w:val="single"/>
        </w:rPr>
        <w:t xml:space="preserve">       （</w:t>
      </w:r>
      <w:r>
        <w:rPr>
          <w:rStyle w:val="35"/>
          <w:rFonts w:hint="eastAsia" w:ascii="宋体" w:hAnsi="宋体" w:eastAsia="宋体" w:cs="Times New Roman"/>
          <w:color w:val="auto"/>
          <w:highlight w:val="none"/>
        </w:rPr>
        <w:t>以下简称“乙方”），特订立如下合同。</w:t>
      </w:r>
    </w:p>
    <w:p w14:paraId="23A8E7BA">
      <w:pPr>
        <w:pStyle w:val="141"/>
        <w:widowControl/>
        <w:snapToGrid w:val="0"/>
        <w:spacing w:line="360" w:lineRule="auto"/>
        <w:rPr>
          <w:rStyle w:val="35"/>
          <w:rFonts w:hint="eastAsia" w:ascii="宋体" w:hAnsi="宋体" w:eastAsia="宋体" w:cs="Times New Roman"/>
          <w:color w:val="auto"/>
          <w:highlight w:val="none"/>
        </w:rPr>
      </w:pPr>
      <w:r>
        <w:rPr>
          <w:rStyle w:val="35"/>
          <w:rFonts w:hint="eastAsia" w:ascii="宋体" w:hAnsi="宋体" w:eastAsia="宋体" w:cs="Times New Roman"/>
          <w:color w:val="auto"/>
          <w:highlight w:val="none"/>
        </w:rPr>
        <w:t>1.甲乙双方的权利和义务</w:t>
      </w:r>
    </w:p>
    <w:p w14:paraId="2D7F6DAB">
      <w:pPr>
        <w:pStyle w:val="141"/>
        <w:widowControl/>
        <w:snapToGrid w:val="0"/>
        <w:spacing w:line="360" w:lineRule="auto"/>
        <w:ind w:firstLine="420" w:firstLineChars="200"/>
        <w:rPr>
          <w:rStyle w:val="35"/>
          <w:rFonts w:hint="eastAsia" w:ascii="宋体" w:hAnsi="宋体" w:eastAsia="宋体" w:cs="Times New Roman"/>
          <w:color w:val="auto"/>
          <w:highlight w:val="none"/>
        </w:rPr>
      </w:pPr>
      <w:r>
        <w:rPr>
          <w:rStyle w:val="35"/>
          <w:rFonts w:hint="eastAsia" w:ascii="宋体" w:hAnsi="宋体" w:eastAsia="宋体" w:cs="Times New Roman"/>
          <w:color w:val="auto"/>
          <w:highlight w:val="none"/>
        </w:rPr>
        <w:t>（1）严格遵守党和国家的有关法律法规及中纪委监察部的有关规定。</w:t>
      </w:r>
    </w:p>
    <w:p w14:paraId="4AF33BC3">
      <w:pPr>
        <w:pStyle w:val="141"/>
        <w:widowControl/>
        <w:snapToGrid w:val="0"/>
        <w:spacing w:line="360" w:lineRule="auto"/>
        <w:ind w:firstLine="420" w:firstLineChars="200"/>
        <w:rPr>
          <w:rStyle w:val="35"/>
          <w:rFonts w:hint="eastAsia" w:ascii="宋体" w:hAnsi="宋体" w:eastAsia="宋体" w:cs="Times New Roman"/>
          <w:color w:val="auto"/>
          <w:highlight w:val="none"/>
        </w:rPr>
      </w:pPr>
      <w:r>
        <w:rPr>
          <w:rStyle w:val="35"/>
          <w:rFonts w:hint="eastAsia" w:ascii="宋体" w:hAnsi="宋体" w:eastAsia="宋体" w:cs="Times New Roman"/>
          <w:color w:val="auto"/>
          <w:highlight w:val="none"/>
        </w:rPr>
        <w:t>（2）严格执行工程的合同文件，自觉按合同办事。</w:t>
      </w:r>
    </w:p>
    <w:p w14:paraId="61E89276">
      <w:pPr>
        <w:pStyle w:val="141"/>
        <w:widowControl/>
        <w:snapToGrid w:val="0"/>
        <w:spacing w:line="360" w:lineRule="auto"/>
        <w:ind w:firstLine="420" w:firstLineChars="200"/>
        <w:rPr>
          <w:rStyle w:val="35"/>
          <w:rFonts w:hint="eastAsia" w:ascii="宋体" w:hAnsi="宋体" w:eastAsia="宋体" w:cs="Times New Roman"/>
          <w:color w:val="auto"/>
          <w:highlight w:val="none"/>
        </w:rPr>
      </w:pPr>
      <w:r>
        <w:rPr>
          <w:rStyle w:val="35"/>
          <w:rFonts w:hint="eastAsia" w:ascii="宋体" w:hAnsi="宋体" w:eastAsia="宋体" w:cs="Times New Roman"/>
          <w:color w:val="auto"/>
          <w:highlight w:val="none"/>
        </w:rPr>
        <w:t>（3）双方的业务活动坚持公开、公正、诚信、透明的原则（法律认定的商业秘密和合同文件另有规定除外），不得损害国家和集体利益，违反工程建设管理规章制度。</w:t>
      </w:r>
    </w:p>
    <w:p w14:paraId="544EA0EB">
      <w:pPr>
        <w:pStyle w:val="141"/>
        <w:widowControl/>
        <w:snapToGrid w:val="0"/>
        <w:spacing w:line="360" w:lineRule="auto"/>
        <w:ind w:firstLine="420" w:firstLineChars="200"/>
        <w:rPr>
          <w:rStyle w:val="35"/>
          <w:rFonts w:hint="eastAsia" w:ascii="宋体" w:hAnsi="宋体" w:eastAsia="宋体" w:cs="Times New Roman"/>
          <w:color w:val="auto"/>
          <w:highlight w:val="none"/>
        </w:rPr>
      </w:pPr>
      <w:r>
        <w:rPr>
          <w:rStyle w:val="35"/>
          <w:rFonts w:hint="eastAsia" w:ascii="宋体" w:hAnsi="宋体" w:eastAsia="宋体" w:cs="Times New Roman"/>
          <w:color w:val="auto"/>
          <w:highlight w:val="none"/>
        </w:rPr>
        <w:t>（4）建立健全廉政制度，开展廉政教育，设立廉政告示牌，公布举报电话，监督并认真查处违法违纪行为。</w:t>
      </w:r>
    </w:p>
    <w:p w14:paraId="7CE23716">
      <w:pPr>
        <w:pStyle w:val="141"/>
        <w:widowControl/>
        <w:snapToGrid w:val="0"/>
        <w:spacing w:line="360" w:lineRule="auto"/>
        <w:ind w:firstLine="420" w:firstLineChars="200"/>
        <w:rPr>
          <w:rStyle w:val="35"/>
          <w:rFonts w:hint="eastAsia" w:ascii="宋体" w:hAnsi="宋体" w:eastAsia="宋体" w:cs="Times New Roman"/>
          <w:color w:val="auto"/>
          <w:highlight w:val="none"/>
        </w:rPr>
      </w:pPr>
      <w:r>
        <w:rPr>
          <w:rStyle w:val="35"/>
          <w:rFonts w:hint="eastAsia" w:ascii="宋体" w:hAnsi="宋体" w:eastAsia="宋体" w:cs="Times New Roman"/>
          <w:color w:val="auto"/>
          <w:highlight w:val="none"/>
        </w:rPr>
        <w:t>（5）发现对方在业务活动中有违反廉政规定的行为，有及时提醒对方纠正的权利及义务。</w:t>
      </w:r>
    </w:p>
    <w:p w14:paraId="28D3E88C">
      <w:pPr>
        <w:pStyle w:val="141"/>
        <w:widowControl/>
        <w:snapToGrid w:val="0"/>
        <w:spacing w:line="360" w:lineRule="auto"/>
        <w:ind w:firstLine="420" w:firstLineChars="200"/>
        <w:rPr>
          <w:rStyle w:val="35"/>
          <w:rFonts w:hint="eastAsia" w:ascii="宋体" w:hAnsi="宋体" w:eastAsia="宋体" w:cs="Times New Roman"/>
          <w:color w:val="auto"/>
          <w:highlight w:val="none"/>
        </w:rPr>
      </w:pPr>
      <w:r>
        <w:rPr>
          <w:rStyle w:val="35"/>
          <w:rFonts w:hint="eastAsia" w:ascii="宋体" w:hAnsi="宋体" w:eastAsia="宋体" w:cs="Times New Roman"/>
          <w:color w:val="auto"/>
          <w:highlight w:val="none"/>
        </w:rPr>
        <w:t>（6）发现对方严重违反本合同义务条款的行为，有向其上级有关部门举报、建议给予处理并要求告知处理结果的权利。</w:t>
      </w:r>
    </w:p>
    <w:p w14:paraId="78593E2B">
      <w:pPr>
        <w:pStyle w:val="141"/>
        <w:widowControl/>
        <w:snapToGrid w:val="0"/>
        <w:spacing w:line="360" w:lineRule="auto"/>
        <w:rPr>
          <w:rStyle w:val="35"/>
          <w:rFonts w:hint="eastAsia" w:ascii="宋体" w:hAnsi="宋体" w:eastAsia="宋体" w:cs="Times New Roman"/>
          <w:color w:val="auto"/>
          <w:highlight w:val="none"/>
        </w:rPr>
      </w:pPr>
      <w:r>
        <w:rPr>
          <w:rStyle w:val="35"/>
          <w:rFonts w:hint="eastAsia" w:ascii="宋体" w:hAnsi="宋体" w:eastAsia="宋体" w:cs="Times New Roman"/>
          <w:color w:val="auto"/>
          <w:highlight w:val="none"/>
        </w:rPr>
        <w:t>2.甲方的义务</w:t>
      </w:r>
    </w:p>
    <w:p w14:paraId="06BA9059">
      <w:pPr>
        <w:pStyle w:val="141"/>
        <w:widowControl/>
        <w:spacing w:line="360" w:lineRule="auto"/>
        <w:ind w:firstLine="420" w:firstLineChars="200"/>
        <w:rPr>
          <w:rStyle w:val="35"/>
          <w:rFonts w:hint="eastAsia" w:ascii="宋体" w:hAnsi="宋体" w:eastAsia="宋体" w:cs="Times New Roman"/>
          <w:color w:val="auto"/>
          <w:highlight w:val="none"/>
        </w:rPr>
      </w:pPr>
      <w:r>
        <w:rPr>
          <w:rStyle w:val="35"/>
          <w:rFonts w:hint="eastAsia" w:ascii="宋体" w:hAnsi="宋体" w:eastAsia="宋体" w:cs="Times New Roman"/>
          <w:color w:val="auto"/>
          <w:highlight w:val="none"/>
        </w:rPr>
        <w:t>（1）甲方及其工作人员不得索要或接受乙方的礼金、有价证券和贵重物品，不得在乙方报销任何应由甲方或甲方工作人员个人支付的费用等。</w:t>
      </w:r>
    </w:p>
    <w:p w14:paraId="421ACB0F">
      <w:pPr>
        <w:pStyle w:val="141"/>
        <w:widowControl/>
        <w:spacing w:line="360" w:lineRule="auto"/>
        <w:ind w:firstLine="420" w:firstLineChars="200"/>
        <w:rPr>
          <w:rStyle w:val="35"/>
          <w:rFonts w:hint="eastAsia" w:ascii="宋体" w:hAnsi="宋体" w:eastAsia="宋体" w:cs="Times New Roman"/>
          <w:color w:val="auto"/>
          <w:highlight w:val="none"/>
        </w:rPr>
      </w:pPr>
      <w:r>
        <w:rPr>
          <w:rStyle w:val="35"/>
          <w:rFonts w:hint="eastAsia" w:ascii="宋体" w:hAnsi="宋体" w:eastAsia="宋体" w:cs="Times New Roman"/>
          <w:color w:val="auto"/>
          <w:highlight w:val="none"/>
        </w:rPr>
        <w:t>（2）甲方工作人员不得参加乙方安排的超标准宴请和娱乐活动；不得接受乙方提供的通讯工具、交通工具和高档办公用品等。</w:t>
      </w:r>
    </w:p>
    <w:p w14:paraId="56D78579">
      <w:pPr>
        <w:pStyle w:val="141"/>
        <w:widowControl/>
        <w:spacing w:line="360" w:lineRule="auto"/>
        <w:ind w:firstLine="420" w:firstLineChars="200"/>
        <w:rPr>
          <w:rStyle w:val="35"/>
          <w:rFonts w:hint="eastAsia" w:ascii="宋体" w:hAnsi="宋体" w:eastAsia="宋体" w:cs="Times New Roman"/>
          <w:color w:val="auto"/>
          <w:highlight w:val="none"/>
        </w:rPr>
      </w:pPr>
      <w:r>
        <w:rPr>
          <w:rStyle w:val="35"/>
          <w:rFonts w:hint="eastAsia" w:ascii="宋体" w:hAnsi="宋体" w:eastAsia="宋体" w:cs="Times New Roman"/>
          <w:color w:val="auto"/>
          <w:highlight w:val="none"/>
        </w:rPr>
        <w:t>（3）甲方及其工作人员不得要求或者接受乙方为其住房装修、婚丧嫁娶活动、配偶子女的工作安排以及出国出境、旅游等提供方便等。</w:t>
      </w:r>
    </w:p>
    <w:p w14:paraId="56529B00">
      <w:pPr>
        <w:pStyle w:val="141"/>
        <w:widowControl/>
        <w:spacing w:line="360" w:lineRule="auto"/>
        <w:ind w:firstLine="420" w:firstLineChars="200"/>
        <w:rPr>
          <w:rStyle w:val="35"/>
          <w:rFonts w:hint="eastAsia" w:ascii="宋体" w:hAnsi="宋体" w:eastAsia="宋体" w:cs="Times New Roman"/>
          <w:color w:val="auto"/>
          <w:highlight w:val="none"/>
        </w:rPr>
      </w:pPr>
      <w:r>
        <w:rPr>
          <w:rStyle w:val="35"/>
          <w:rFonts w:hint="eastAsia" w:ascii="宋体" w:hAnsi="宋体" w:eastAsia="宋体" w:cs="Times New Roman"/>
          <w:color w:val="auto"/>
          <w:highlight w:val="none"/>
        </w:rPr>
        <w:t>（4）甲方工作人及其配偶、子女不得从事与甲方工程有关的材料设备供应、工程分包、劳务等经济活动等。</w:t>
      </w:r>
    </w:p>
    <w:p w14:paraId="0B27926C">
      <w:pPr>
        <w:pStyle w:val="141"/>
        <w:widowControl/>
        <w:spacing w:line="360" w:lineRule="auto"/>
        <w:ind w:firstLine="420" w:firstLineChars="200"/>
        <w:rPr>
          <w:rStyle w:val="35"/>
          <w:rFonts w:hint="eastAsia" w:ascii="宋体" w:hAnsi="宋体" w:eastAsia="宋体" w:cs="Times New Roman"/>
          <w:color w:val="auto"/>
          <w:highlight w:val="none"/>
        </w:rPr>
      </w:pPr>
      <w:r>
        <w:rPr>
          <w:rStyle w:val="35"/>
          <w:rFonts w:hint="eastAsia" w:ascii="宋体" w:hAnsi="宋体" w:eastAsia="宋体" w:cs="Times New Roman"/>
          <w:color w:val="auto"/>
          <w:highlight w:val="none"/>
        </w:rPr>
        <w:t>（5）甲方及其工作人员不得以任何理由向乙方推荐分包单位或推销材料，不得要求乙方购买合同规定外的材料和设备。</w:t>
      </w:r>
    </w:p>
    <w:p w14:paraId="3B31C1D8">
      <w:pPr>
        <w:pStyle w:val="141"/>
        <w:widowControl/>
        <w:snapToGrid w:val="0"/>
        <w:spacing w:line="360" w:lineRule="auto"/>
        <w:ind w:firstLine="420" w:firstLineChars="200"/>
        <w:rPr>
          <w:rStyle w:val="35"/>
          <w:rFonts w:hint="eastAsia" w:ascii="宋体" w:hAnsi="宋体" w:eastAsia="宋体" w:cs="Times New Roman"/>
          <w:color w:val="auto"/>
          <w:highlight w:val="none"/>
        </w:rPr>
      </w:pPr>
      <w:r>
        <w:rPr>
          <w:rStyle w:val="35"/>
          <w:rFonts w:hint="eastAsia" w:ascii="宋体" w:hAnsi="宋体" w:eastAsia="宋体" w:cs="Times New Roman"/>
          <w:color w:val="auto"/>
          <w:highlight w:val="none"/>
        </w:rPr>
        <w:t>（6）甲方工作人员要秉公办事，不准营私舞弊，不准利用职权从事各种个人有偿中介活动和安排个人施工队伍。</w:t>
      </w:r>
    </w:p>
    <w:p w14:paraId="078116E9">
      <w:pPr>
        <w:pStyle w:val="141"/>
        <w:widowControl/>
        <w:snapToGrid w:val="0"/>
        <w:spacing w:line="360" w:lineRule="auto"/>
        <w:rPr>
          <w:rStyle w:val="35"/>
          <w:rFonts w:hint="eastAsia" w:ascii="宋体" w:hAnsi="宋体" w:eastAsia="宋体" w:cs="Times New Roman"/>
          <w:color w:val="auto"/>
          <w:highlight w:val="none"/>
        </w:rPr>
      </w:pPr>
      <w:r>
        <w:rPr>
          <w:rStyle w:val="35"/>
          <w:rFonts w:hint="eastAsia" w:ascii="宋体" w:hAnsi="宋体" w:eastAsia="宋体" w:cs="Times New Roman"/>
          <w:color w:val="auto"/>
          <w:highlight w:val="none"/>
        </w:rPr>
        <w:t>3.乙方义务</w:t>
      </w:r>
    </w:p>
    <w:p w14:paraId="44BF12C0">
      <w:pPr>
        <w:pStyle w:val="141"/>
        <w:widowControl/>
        <w:snapToGrid w:val="0"/>
        <w:spacing w:line="360" w:lineRule="auto"/>
        <w:ind w:firstLine="420" w:firstLineChars="200"/>
        <w:rPr>
          <w:rStyle w:val="35"/>
          <w:rFonts w:hint="eastAsia" w:ascii="宋体" w:hAnsi="宋体" w:eastAsia="宋体" w:cs="Times New Roman"/>
          <w:color w:val="auto"/>
          <w:highlight w:val="none"/>
        </w:rPr>
      </w:pPr>
      <w:r>
        <w:rPr>
          <w:rStyle w:val="35"/>
          <w:rFonts w:hint="eastAsia" w:ascii="宋体" w:hAnsi="宋体" w:eastAsia="宋体" w:cs="Times New Roman"/>
          <w:color w:val="auto"/>
          <w:highlight w:val="none"/>
        </w:rPr>
        <w:t>（1）乙方不得以任何理由向甲方及其工作人员行贿或馈赠礼金、有价证券、贵重礼品。</w:t>
      </w:r>
    </w:p>
    <w:p w14:paraId="3DB33064">
      <w:pPr>
        <w:pStyle w:val="141"/>
        <w:widowControl/>
        <w:snapToGrid w:val="0"/>
        <w:spacing w:line="360" w:lineRule="auto"/>
        <w:ind w:firstLine="420" w:firstLineChars="200"/>
        <w:rPr>
          <w:rStyle w:val="35"/>
          <w:rFonts w:hint="eastAsia" w:ascii="宋体" w:hAnsi="宋体" w:eastAsia="宋体" w:cs="Times New Roman"/>
          <w:color w:val="auto"/>
          <w:highlight w:val="none"/>
        </w:rPr>
      </w:pPr>
      <w:r>
        <w:rPr>
          <w:rStyle w:val="35"/>
          <w:rFonts w:hint="eastAsia" w:ascii="宋体" w:hAnsi="宋体" w:eastAsia="宋体" w:cs="Times New Roman"/>
          <w:color w:val="auto"/>
          <w:highlight w:val="none"/>
        </w:rPr>
        <w:t>（2）乙方不得以任何名义为甲方及其工作人员报销应由甲方单位或个人支付的任何费用。</w:t>
      </w:r>
    </w:p>
    <w:p w14:paraId="3DBE7938">
      <w:pPr>
        <w:pStyle w:val="141"/>
        <w:widowControl/>
        <w:snapToGrid w:val="0"/>
        <w:spacing w:line="360" w:lineRule="auto"/>
        <w:ind w:firstLine="420" w:firstLineChars="200"/>
        <w:rPr>
          <w:rStyle w:val="35"/>
          <w:rFonts w:hint="eastAsia" w:ascii="宋体" w:hAnsi="宋体" w:eastAsia="宋体" w:cs="Times New Roman"/>
          <w:color w:val="auto"/>
          <w:highlight w:val="none"/>
        </w:rPr>
      </w:pPr>
      <w:r>
        <w:rPr>
          <w:rStyle w:val="35"/>
          <w:rFonts w:hint="eastAsia" w:ascii="宋体" w:hAnsi="宋体" w:eastAsia="宋体" w:cs="Times New Roman"/>
          <w:color w:val="auto"/>
          <w:highlight w:val="none"/>
        </w:rPr>
        <w:t>（3）乙方不得以任何理由安排甲方工作人员参加超标准宴请及娱乐活动。</w:t>
      </w:r>
    </w:p>
    <w:p w14:paraId="5252FE5C">
      <w:pPr>
        <w:pStyle w:val="141"/>
        <w:widowControl/>
        <w:snapToGrid w:val="0"/>
        <w:spacing w:line="360" w:lineRule="auto"/>
        <w:ind w:firstLine="420" w:firstLineChars="200"/>
        <w:rPr>
          <w:rStyle w:val="35"/>
          <w:rFonts w:hint="eastAsia" w:ascii="宋体" w:hAnsi="宋体" w:eastAsia="宋体" w:cs="Times New Roman"/>
          <w:color w:val="auto"/>
          <w:highlight w:val="none"/>
        </w:rPr>
      </w:pPr>
      <w:r>
        <w:rPr>
          <w:rStyle w:val="35"/>
          <w:rFonts w:hint="eastAsia" w:ascii="宋体" w:hAnsi="宋体" w:eastAsia="宋体" w:cs="Times New Roman"/>
          <w:color w:val="auto"/>
          <w:highlight w:val="none"/>
        </w:rPr>
        <w:t>（4）乙方不得为甲方单位和个人购置或提供通讯工具、交通工具和高档办公用品等。</w:t>
      </w:r>
    </w:p>
    <w:p w14:paraId="6137BC04">
      <w:pPr>
        <w:pStyle w:val="141"/>
        <w:widowControl/>
        <w:snapToGrid w:val="0"/>
        <w:spacing w:line="360" w:lineRule="auto"/>
        <w:rPr>
          <w:rStyle w:val="35"/>
          <w:rFonts w:hint="eastAsia" w:ascii="宋体" w:hAnsi="宋体" w:eastAsia="宋体" w:cs="Times New Roman"/>
          <w:color w:val="auto"/>
          <w:highlight w:val="none"/>
        </w:rPr>
      </w:pPr>
      <w:r>
        <w:rPr>
          <w:rStyle w:val="35"/>
          <w:rFonts w:hint="eastAsia" w:ascii="宋体" w:hAnsi="宋体" w:eastAsia="宋体" w:cs="Times New Roman"/>
          <w:color w:val="auto"/>
          <w:highlight w:val="none"/>
        </w:rPr>
        <w:t>4.违约责任</w:t>
      </w:r>
    </w:p>
    <w:p w14:paraId="3015E2AB">
      <w:pPr>
        <w:pStyle w:val="141"/>
        <w:widowControl/>
        <w:spacing w:line="360" w:lineRule="auto"/>
        <w:ind w:firstLine="420" w:firstLineChars="200"/>
        <w:rPr>
          <w:rStyle w:val="35"/>
          <w:rFonts w:hint="eastAsia" w:ascii="宋体" w:hAnsi="宋体" w:eastAsia="宋体" w:cs="Times New Roman"/>
          <w:color w:val="auto"/>
          <w:highlight w:val="none"/>
        </w:rPr>
      </w:pPr>
      <w:r>
        <w:rPr>
          <w:rStyle w:val="35"/>
          <w:rFonts w:hint="eastAsia" w:ascii="宋体" w:hAnsi="宋体" w:eastAsia="宋体" w:cs="Times New Roman"/>
          <w:color w:val="auto"/>
          <w:highlight w:val="none"/>
        </w:rPr>
        <w:t>（1）甲方及其工作人员违反本合同第一、二条，按管理权限，依据有关规定给予党纪、政纪或组织处理；涉嫌犯罪的，移交司法机关追究刑事责任；给乙方单位造成经济损失的，应予以赔偿。</w:t>
      </w:r>
    </w:p>
    <w:p w14:paraId="4FC386E5">
      <w:pPr>
        <w:pStyle w:val="141"/>
        <w:widowControl/>
        <w:spacing w:line="360" w:lineRule="auto"/>
        <w:ind w:firstLine="420" w:firstLineChars="200"/>
        <w:rPr>
          <w:rStyle w:val="35"/>
          <w:rFonts w:hint="eastAsia" w:ascii="宋体" w:hAnsi="宋体" w:eastAsia="宋体" w:cs="Times New Roman"/>
          <w:color w:val="auto"/>
          <w:highlight w:val="none"/>
        </w:rPr>
      </w:pPr>
      <w:r>
        <w:rPr>
          <w:rStyle w:val="35"/>
          <w:rFonts w:hint="eastAsia" w:ascii="宋体" w:hAnsi="宋体" w:eastAsia="宋体" w:cs="Times New Roman"/>
          <w:color w:val="auto"/>
          <w:highlight w:val="none"/>
        </w:rPr>
        <w:t>（2）乙方及其工作人员违反本合同第一、三条，按管理权限，依据有关规定给予党纪、政纪或组织处理；给甲方单位造成经济损失的，应予以赔偿；情节严重的，甲方建议工程建设主管部门给予乙方一至三年内不得进入其主管的工程建设市场的处罚。</w:t>
      </w:r>
    </w:p>
    <w:p w14:paraId="474BC20C">
      <w:pPr>
        <w:pStyle w:val="141"/>
        <w:widowControl/>
        <w:spacing w:line="360" w:lineRule="auto"/>
        <w:rPr>
          <w:rStyle w:val="35"/>
          <w:rFonts w:hint="eastAsia" w:ascii="宋体" w:hAnsi="宋体" w:eastAsia="宋体" w:cs="Times New Roman"/>
          <w:color w:val="auto"/>
          <w:highlight w:val="none"/>
        </w:rPr>
      </w:pPr>
      <w:r>
        <w:rPr>
          <w:rStyle w:val="35"/>
          <w:rFonts w:hint="eastAsia" w:ascii="宋体" w:hAnsi="宋体" w:eastAsia="宋体" w:cs="Times New Roman"/>
          <w:b/>
          <w:color w:val="auto"/>
          <w:highlight w:val="none"/>
        </w:rPr>
        <w:t>5.双方约定</w:t>
      </w:r>
      <w:r>
        <w:rPr>
          <w:rStyle w:val="35"/>
          <w:rFonts w:hint="eastAsia" w:ascii="宋体" w:hAnsi="宋体" w:eastAsia="宋体" w:cs="Times New Roman"/>
          <w:color w:val="auto"/>
          <w:highlight w:val="none"/>
        </w:rPr>
        <w:t>：本合同由双方或双方上级单位的纪检监察机关负责监督执行。由甲方或甲方上级单位的纪检监察机关约请乙方或乙方上级单位纪检监察机关对本合同执行情况进行检查，提出在本合同规定范围内的裁定意见。</w:t>
      </w:r>
    </w:p>
    <w:p w14:paraId="0F5CDF0E">
      <w:pPr>
        <w:pStyle w:val="141"/>
        <w:widowControl/>
        <w:spacing w:line="360" w:lineRule="auto"/>
        <w:rPr>
          <w:rStyle w:val="35"/>
          <w:rFonts w:hint="eastAsia" w:ascii="宋体" w:hAnsi="宋体" w:eastAsia="宋体" w:cs="Times New Roman"/>
          <w:color w:val="auto"/>
          <w:highlight w:val="none"/>
        </w:rPr>
      </w:pPr>
      <w:r>
        <w:rPr>
          <w:rStyle w:val="35"/>
          <w:rFonts w:hint="eastAsia" w:ascii="宋体" w:hAnsi="宋体" w:eastAsia="宋体" w:cs="Times New Roman"/>
          <w:color w:val="auto"/>
          <w:highlight w:val="none"/>
        </w:rPr>
        <w:t>6.本合同有效期为甲乙双签署之日起至该工程项目竣工验收后止。</w:t>
      </w:r>
    </w:p>
    <w:p w14:paraId="7EE8648D">
      <w:pPr>
        <w:pStyle w:val="141"/>
        <w:widowControl/>
        <w:spacing w:line="360" w:lineRule="auto"/>
        <w:rPr>
          <w:rStyle w:val="35"/>
          <w:rFonts w:hint="eastAsia" w:ascii="宋体" w:hAnsi="宋体" w:eastAsia="宋体" w:cs="Times New Roman"/>
          <w:color w:val="auto"/>
          <w:highlight w:val="none"/>
        </w:rPr>
      </w:pPr>
      <w:r>
        <w:rPr>
          <w:rStyle w:val="35"/>
          <w:rFonts w:hint="eastAsia" w:ascii="宋体" w:hAnsi="宋体" w:eastAsia="宋体" w:cs="Times New Roman"/>
          <w:color w:val="auto"/>
          <w:highlight w:val="none"/>
        </w:rPr>
        <w:t>7.本合同作为工程总承包合同的附件，与工程施工合同具有同等的法律效力。</w:t>
      </w:r>
    </w:p>
    <w:p w14:paraId="3FF01ED6">
      <w:pPr>
        <w:pStyle w:val="141"/>
        <w:widowControl/>
        <w:spacing w:line="360" w:lineRule="auto"/>
        <w:rPr>
          <w:rStyle w:val="35"/>
          <w:rFonts w:hint="eastAsia" w:ascii="宋体" w:hAnsi="宋体" w:eastAsia="宋体" w:cs="Times New Roman"/>
          <w:color w:val="auto"/>
          <w:highlight w:val="none"/>
        </w:rPr>
      </w:pPr>
      <w:r>
        <w:rPr>
          <w:rStyle w:val="35"/>
          <w:rFonts w:hint="eastAsia" w:ascii="宋体" w:hAnsi="宋体" w:eastAsia="宋体" w:cs="Times New Roman"/>
          <w:color w:val="auto"/>
          <w:highlight w:val="none"/>
        </w:rPr>
        <w:t>8.本合同作为主合同附件，正本和副本份数与本合同专用条款第19.2条的约定相同。由双方法定代表人签字或盖章并加盖公章或合同专用章之日生效，全部工程竣工验收后失效。</w:t>
      </w:r>
    </w:p>
    <w:p w14:paraId="51C2C4B1">
      <w:pPr>
        <w:pStyle w:val="141"/>
        <w:widowControl/>
        <w:spacing w:line="360" w:lineRule="auto"/>
        <w:rPr>
          <w:rStyle w:val="35"/>
          <w:rFonts w:hint="eastAsia" w:ascii="宋体" w:hAnsi="宋体" w:eastAsia="宋体" w:cs="Times New Roman"/>
          <w:color w:val="auto"/>
          <w:highlight w:val="none"/>
        </w:rPr>
      </w:pPr>
    </w:p>
    <w:p w14:paraId="4E6FC445">
      <w:pPr>
        <w:pStyle w:val="141"/>
        <w:widowControl/>
        <w:spacing w:line="360" w:lineRule="auto"/>
        <w:rPr>
          <w:rStyle w:val="35"/>
          <w:rFonts w:hint="eastAsia" w:ascii="宋体" w:hAnsi="宋体" w:eastAsia="宋体" w:cs="Times New Roman"/>
          <w:color w:val="auto"/>
          <w:highlight w:val="none"/>
        </w:rPr>
      </w:pPr>
      <w:r>
        <w:rPr>
          <w:rStyle w:val="35"/>
          <w:rFonts w:hint="eastAsia" w:ascii="宋体" w:hAnsi="宋体" w:eastAsia="宋体" w:cs="Times New Roman"/>
          <w:color w:val="auto"/>
          <w:highlight w:val="none"/>
        </w:rPr>
        <w:t>发包人：</w:t>
      </w:r>
      <w:r>
        <w:rPr>
          <w:rStyle w:val="35"/>
          <w:rFonts w:hint="eastAsia" w:ascii="宋体" w:hAnsi="宋体" w:eastAsia="宋体" w:cs="Times New Roman"/>
          <w:color w:val="auto"/>
          <w:highlight w:val="none"/>
          <w:u w:val="single"/>
        </w:rPr>
        <w:t xml:space="preserve">          </w:t>
      </w:r>
    </w:p>
    <w:p w14:paraId="640CF399">
      <w:pPr>
        <w:pStyle w:val="141"/>
        <w:widowControl/>
        <w:spacing w:line="360" w:lineRule="auto"/>
        <w:rPr>
          <w:rStyle w:val="35"/>
          <w:rFonts w:hint="eastAsia" w:ascii="宋体" w:hAnsi="宋体" w:eastAsia="宋体" w:cs="Times New Roman"/>
          <w:color w:val="auto"/>
          <w:highlight w:val="none"/>
        </w:rPr>
      </w:pPr>
      <w:r>
        <w:rPr>
          <w:rStyle w:val="35"/>
          <w:rFonts w:hint="eastAsia" w:ascii="宋体" w:hAnsi="宋体" w:eastAsia="宋体" w:cs="Times New Roman"/>
          <w:color w:val="auto"/>
          <w:highlight w:val="none"/>
        </w:rPr>
        <w:t>（公章或合同专用章）</w:t>
      </w:r>
    </w:p>
    <w:p w14:paraId="0E09C976">
      <w:pPr>
        <w:pStyle w:val="141"/>
        <w:widowControl/>
        <w:spacing w:line="360" w:lineRule="auto"/>
        <w:rPr>
          <w:rStyle w:val="35"/>
          <w:rFonts w:hint="eastAsia" w:ascii="宋体" w:hAnsi="宋体" w:eastAsia="宋体" w:cs="Times New Roman"/>
          <w:color w:val="auto"/>
          <w:highlight w:val="none"/>
        </w:rPr>
      </w:pPr>
      <w:r>
        <w:rPr>
          <w:rStyle w:val="35"/>
          <w:rFonts w:hint="eastAsia" w:ascii="宋体" w:hAnsi="宋体" w:eastAsia="宋体" w:cs="Times New Roman"/>
          <w:color w:val="auto"/>
          <w:highlight w:val="none"/>
        </w:rPr>
        <w:t>法定代表人：</w:t>
      </w:r>
    </w:p>
    <w:p w14:paraId="2C9F9F8C">
      <w:pPr>
        <w:pStyle w:val="141"/>
        <w:widowControl/>
        <w:spacing w:line="360" w:lineRule="auto"/>
        <w:rPr>
          <w:rStyle w:val="35"/>
          <w:rFonts w:hint="eastAsia" w:ascii="宋体" w:hAnsi="宋体" w:eastAsia="宋体" w:cs="Times New Roman"/>
          <w:color w:val="auto"/>
          <w:highlight w:val="none"/>
        </w:rPr>
      </w:pPr>
      <w:r>
        <w:rPr>
          <w:rStyle w:val="35"/>
          <w:rFonts w:hint="eastAsia" w:ascii="宋体" w:hAnsi="宋体" w:eastAsia="宋体" w:cs="Times New Roman"/>
          <w:color w:val="auto"/>
          <w:highlight w:val="none"/>
        </w:rPr>
        <w:t xml:space="preserve">（签字或盖章）  </w:t>
      </w:r>
    </w:p>
    <w:p w14:paraId="5109D62B">
      <w:pPr>
        <w:pStyle w:val="141"/>
        <w:widowControl/>
        <w:spacing w:line="360" w:lineRule="auto"/>
        <w:rPr>
          <w:rStyle w:val="35"/>
          <w:rFonts w:hint="eastAsia" w:ascii="宋体" w:hAnsi="宋体" w:eastAsia="宋体" w:cs="Times New Roman"/>
          <w:color w:val="auto"/>
          <w:highlight w:val="none"/>
        </w:rPr>
      </w:pPr>
      <w:r>
        <w:rPr>
          <w:rStyle w:val="35"/>
          <w:rFonts w:hint="eastAsia" w:ascii="宋体" w:hAnsi="宋体" w:eastAsia="宋体" w:cs="Times New Roman"/>
          <w:color w:val="auto"/>
          <w:highlight w:val="none"/>
        </w:rPr>
        <w:t>地址：</w:t>
      </w:r>
    </w:p>
    <w:p w14:paraId="3076D120">
      <w:pPr>
        <w:pStyle w:val="141"/>
        <w:widowControl/>
        <w:spacing w:line="360" w:lineRule="auto"/>
        <w:rPr>
          <w:rStyle w:val="35"/>
          <w:rFonts w:hint="eastAsia" w:ascii="宋体" w:hAnsi="宋体" w:eastAsia="宋体" w:cs="Times New Roman"/>
          <w:color w:val="auto"/>
          <w:highlight w:val="none"/>
        </w:rPr>
      </w:pPr>
      <w:r>
        <w:rPr>
          <w:rStyle w:val="35"/>
          <w:rFonts w:hint="eastAsia" w:ascii="宋体" w:hAnsi="宋体" w:eastAsia="宋体" w:cs="Times New Roman"/>
          <w:color w:val="auto"/>
          <w:highlight w:val="none"/>
        </w:rPr>
        <w:t>日期：</w:t>
      </w:r>
    </w:p>
    <w:p w14:paraId="3DDD36BF">
      <w:pPr>
        <w:pStyle w:val="141"/>
        <w:widowControl/>
        <w:spacing w:line="360" w:lineRule="auto"/>
        <w:rPr>
          <w:rStyle w:val="35"/>
          <w:rFonts w:hint="eastAsia" w:ascii="宋体" w:hAnsi="宋体" w:eastAsia="宋体" w:cs="Times New Roman"/>
          <w:color w:val="auto"/>
          <w:highlight w:val="none"/>
        </w:rPr>
      </w:pPr>
    </w:p>
    <w:p w14:paraId="4A7D692D">
      <w:pPr>
        <w:pStyle w:val="141"/>
        <w:widowControl/>
        <w:spacing w:line="360" w:lineRule="auto"/>
        <w:rPr>
          <w:rStyle w:val="35"/>
          <w:rFonts w:hint="eastAsia" w:ascii="宋体" w:hAnsi="宋体" w:eastAsia="宋体" w:cs="Times New Roman"/>
          <w:color w:val="auto"/>
          <w:highlight w:val="none"/>
        </w:rPr>
      </w:pPr>
      <w:r>
        <w:rPr>
          <w:rStyle w:val="35"/>
          <w:rFonts w:hint="eastAsia" w:ascii="宋体" w:hAnsi="宋体" w:eastAsia="宋体" w:cs="Times New Roman"/>
          <w:color w:val="auto"/>
          <w:highlight w:val="none"/>
        </w:rPr>
        <w:t>承包人：</w:t>
      </w:r>
      <w:r>
        <w:rPr>
          <w:rStyle w:val="35"/>
          <w:rFonts w:hint="eastAsia" w:ascii="宋体" w:hAnsi="宋体" w:eastAsia="宋体" w:cs="Times New Roman"/>
          <w:color w:val="auto"/>
          <w:highlight w:val="none"/>
          <w:u w:val="single"/>
        </w:rPr>
        <w:t xml:space="preserve">       </w:t>
      </w:r>
    </w:p>
    <w:p w14:paraId="27F407BE">
      <w:pPr>
        <w:pStyle w:val="141"/>
        <w:widowControl/>
        <w:spacing w:line="360" w:lineRule="auto"/>
        <w:rPr>
          <w:rStyle w:val="35"/>
          <w:rFonts w:hint="eastAsia" w:ascii="宋体" w:hAnsi="宋体" w:eastAsia="宋体" w:cs="Times New Roman"/>
          <w:color w:val="auto"/>
          <w:highlight w:val="none"/>
        </w:rPr>
      </w:pPr>
      <w:r>
        <w:rPr>
          <w:rStyle w:val="35"/>
          <w:rFonts w:hint="eastAsia" w:ascii="宋体" w:hAnsi="宋体" w:eastAsia="宋体" w:cs="Times New Roman"/>
          <w:color w:val="auto"/>
          <w:highlight w:val="none"/>
        </w:rPr>
        <w:t>（公章或合同专用章）</w:t>
      </w:r>
    </w:p>
    <w:p w14:paraId="639B18DB">
      <w:pPr>
        <w:pStyle w:val="141"/>
        <w:widowControl/>
        <w:spacing w:line="360" w:lineRule="auto"/>
        <w:rPr>
          <w:rStyle w:val="35"/>
          <w:rFonts w:hint="eastAsia" w:ascii="宋体" w:hAnsi="宋体" w:eastAsia="宋体" w:cs="Times New Roman"/>
          <w:color w:val="auto"/>
          <w:highlight w:val="none"/>
        </w:rPr>
      </w:pPr>
      <w:r>
        <w:rPr>
          <w:rStyle w:val="35"/>
          <w:rFonts w:hint="eastAsia" w:ascii="宋体" w:hAnsi="宋体" w:eastAsia="宋体" w:cs="Times New Roman"/>
          <w:color w:val="auto"/>
          <w:highlight w:val="none"/>
        </w:rPr>
        <w:t>法定代表人：</w:t>
      </w:r>
    </w:p>
    <w:p w14:paraId="4F52C852">
      <w:pPr>
        <w:pStyle w:val="141"/>
        <w:widowControl/>
        <w:spacing w:line="360" w:lineRule="auto"/>
        <w:rPr>
          <w:rStyle w:val="35"/>
          <w:rFonts w:hint="eastAsia" w:ascii="宋体" w:hAnsi="宋体" w:eastAsia="宋体" w:cs="Times New Roman"/>
          <w:color w:val="auto"/>
          <w:highlight w:val="none"/>
        </w:rPr>
      </w:pPr>
      <w:r>
        <w:rPr>
          <w:rStyle w:val="35"/>
          <w:rFonts w:hint="eastAsia" w:ascii="宋体" w:hAnsi="宋体" w:eastAsia="宋体" w:cs="Times New Roman"/>
          <w:color w:val="auto"/>
          <w:highlight w:val="none"/>
        </w:rPr>
        <w:t xml:space="preserve">（签字或盖章） </w:t>
      </w:r>
    </w:p>
    <w:p w14:paraId="402DF7EB">
      <w:pPr>
        <w:pStyle w:val="141"/>
        <w:widowControl/>
        <w:spacing w:line="360" w:lineRule="auto"/>
        <w:rPr>
          <w:rStyle w:val="35"/>
          <w:rFonts w:hint="eastAsia" w:ascii="宋体" w:hAnsi="宋体" w:eastAsia="宋体" w:cs="Times New Roman"/>
          <w:color w:val="auto"/>
          <w:highlight w:val="none"/>
        </w:rPr>
      </w:pPr>
      <w:r>
        <w:rPr>
          <w:rStyle w:val="35"/>
          <w:rFonts w:hint="eastAsia" w:ascii="宋体" w:hAnsi="宋体" w:eastAsia="宋体" w:cs="Times New Roman"/>
          <w:color w:val="auto"/>
          <w:highlight w:val="none"/>
        </w:rPr>
        <w:t>地址：</w:t>
      </w:r>
    </w:p>
    <w:p w14:paraId="19E50EAD">
      <w:pPr>
        <w:pStyle w:val="141"/>
        <w:widowControl/>
        <w:spacing w:line="360" w:lineRule="auto"/>
        <w:rPr>
          <w:rStyle w:val="35"/>
          <w:rFonts w:hint="eastAsia" w:ascii="宋体" w:hAnsi="宋体" w:eastAsia="宋体" w:cs="Times New Roman"/>
          <w:color w:val="auto"/>
          <w:highlight w:val="none"/>
        </w:rPr>
      </w:pPr>
      <w:r>
        <w:rPr>
          <w:rStyle w:val="35"/>
          <w:rFonts w:hint="eastAsia" w:ascii="宋体" w:hAnsi="宋体" w:eastAsia="宋体" w:cs="Times New Roman"/>
          <w:color w:val="auto"/>
          <w:highlight w:val="none"/>
        </w:rPr>
        <w:t>日期：</w:t>
      </w:r>
    </w:p>
    <w:p w14:paraId="37FF6231">
      <w:pPr>
        <w:pStyle w:val="139"/>
        <w:widowControl w:val="0"/>
        <w:spacing w:before="0" w:beforeAutospacing="0" w:after="0" w:afterAutospacing="0" w:line="360" w:lineRule="auto"/>
        <w:jc w:val="both"/>
        <w:rPr>
          <w:rStyle w:val="35"/>
          <w:rFonts w:hint="eastAsia" w:eastAsia="宋体" w:cs="Times New Roman"/>
          <w:color w:val="auto"/>
          <w:sz w:val="24"/>
          <w:szCs w:val="24"/>
          <w:highlight w:val="none"/>
        </w:rPr>
      </w:pPr>
      <w:r>
        <w:rPr>
          <w:rStyle w:val="35"/>
          <w:rFonts w:hint="eastAsia" w:eastAsia="宋体" w:cs="Times New Roman"/>
          <w:color w:val="auto"/>
          <w:kern w:val="2"/>
          <w:sz w:val="24"/>
          <w:szCs w:val="24"/>
          <w:highlight w:val="none"/>
        </w:rPr>
        <w:br w:type="column"/>
      </w:r>
      <w:r>
        <w:rPr>
          <w:rStyle w:val="35"/>
          <w:rFonts w:hint="eastAsia" w:eastAsia="宋体" w:cs="Times New Roman"/>
          <w:color w:val="auto"/>
          <w:kern w:val="2"/>
          <w:sz w:val="30"/>
          <w:szCs w:val="30"/>
          <w:highlight w:val="none"/>
        </w:rPr>
        <w:t>附件16：</w:t>
      </w:r>
    </w:p>
    <w:p w14:paraId="46FC0A62">
      <w:pPr>
        <w:pStyle w:val="141"/>
        <w:widowControl/>
        <w:spacing w:line="360" w:lineRule="auto"/>
        <w:rPr>
          <w:rStyle w:val="35"/>
          <w:rFonts w:hint="eastAsia" w:ascii="宋体" w:hAnsi="宋体" w:eastAsia="宋体" w:cs="Times New Roman"/>
          <w:color w:val="auto"/>
          <w:sz w:val="24"/>
          <w:szCs w:val="24"/>
          <w:highlight w:val="none"/>
        </w:rPr>
      </w:pPr>
    </w:p>
    <w:p w14:paraId="77EAB5B6">
      <w:pPr>
        <w:pStyle w:val="142"/>
        <w:keepLines w:val="0"/>
        <w:widowControl/>
        <w:spacing w:line="360" w:lineRule="auto"/>
        <w:jc w:val="center"/>
        <w:rPr>
          <w:rStyle w:val="35"/>
          <w:rFonts w:hint="eastAsia" w:eastAsia="宋体" w:cs="Times New Roman"/>
          <w:color w:val="auto"/>
          <w:sz w:val="24"/>
          <w:szCs w:val="24"/>
          <w:highlight w:val="none"/>
        </w:rPr>
      </w:pPr>
      <w:bookmarkStart w:id="1743" w:name="_Toc25155"/>
      <w:bookmarkStart w:id="1744" w:name="_Toc18735"/>
      <w:r>
        <w:rPr>
          <w:rStyle w:val="35"/>
          <w:rFonts w:hint="eastAsia" w:eastAsia="宋体" w:cs="Times New Roman"/>
          <w:color w:val="auto"/>
          <w:sz w:val="24"/>
          <w:szCs w:val="24"/>
          <w:highlight w:val="none"/>
        </w:rPr>
        <w:t>安全生产合同</w:t>
      </w:r>
      <w:bookmarkEnd w:id="1743"/>
      <w:bookmarkEnd w:id="1744"/>
    </w:p>
    <w:p w14:paraId="05B477FC">
      <w:pPr>
        <w:pStyle w:val="141"/>
        <w:widowControl/>
        <w:snapToGrid w:val="0"/>
        <w:spacing w:line="360" w:lineRule="auto"/>
        <w:ind w:firstLine="480"/>
        <w:rPr>
          <w:rStyle w:val="35"/>
          <w:rFonts w:hint="eastAsia" w:ascii="宋体" w:hAnsi="宋体" w:eastAsia="宋体" w:cs="Times New Roman"/>
          <w:color w:val="auto"/>
          <w:highlight w:val="none"/>
        </w:rPr>
      </w:pPr>
    </w:p>
    <w:p w14:paraId="2D8B2C2A">
      <w:pPr>
        <w:pStyle w:val="141"/>
        <w:widowControl/>
        <w:snapToGrid w:val="0"/>
        <w:spacing w:line="360" w:lineRule="auto"/>
        <w:ind w:firstLine="480"/>
        <w:rPr>
          <w:rStyle w:val="35"/>
          <w:rFonts w:hint="eastAsia" w:ascii="宋体" w:hAnsi="宋体" w:eastAsia="宋体" w:cs="Times New Roman"/>
          <w:color w:val="auto"/>
          <w:highlight w:val="none"/>
        </w:rPr>
      </w:pPr>
      <w:r>
        <w:rPr>
          <w:rStyle w:val="35"/>
          <w:rFonts w:hint="eastAsia" w:ascii="宋体" w:hAnsi="宋体" w:eastAsia="宋体" w:cs="Times New Roman"/>
          <w:color w:val="auto"/>
          <w:highlight w:val="none"/>
        </w:rPr>
        <w:t>为在施工合同的实施过程中创造安全、高效的施工环境，切实搞好本项目的安全管理工作，本项目业主贺州市平桂区住房和城乡建设局（以下简称“甲方”）与承包人</w:t>
      </w:r>
      <w:r>
        <w:rPr>
          <w:rStyle w:val="35"/>
          <w:rFonts w:hint="eastAsia" w:ascii="宋体" w:hAnsi="宋体" w:eastAsia="宋体" w:cs="Times New Roman"/>
          <w:color w:val="auto"/>
          <w:highlight w:val="none"/>
          <w:u w:val="single"/>
        </w:rPr>
        <w:t xml:space="preserve"> （</w:t>
      </w:r>
      <w:r>
        <w:rPr>
          <w:rStyle w:val="35"/>
          <w:rFonts w:hint="eastAsia" w:ascii="宋体" w:hAnsi="宋体" w:eastAsia="宋体" w:cs="Times New Roman"/>
          <w:color w:val="auto"/>
          <w:highlight w:val="none"/>
        </w:rPr>
        <w:t>以下简称“乙方”）特此签订安全生产合同：</w:t>
      </w:r>
    </w:p>
    <w:p w14:paraId="0E74D38B">
      <w:pPr>
        <w:pStyle w:val="141"/>
        <w:widowControl/>
        <w:spacing w:line="360" w:lineRule="auto"/>
        <w:outlineLvl w:val="2"/>
        <w:rPr>
          <w:rStyle w:val="35"/>
          <w:rFonts w:hint="eastAsia" w:ascii="宋体" w:hAnsi="宋体" w:eastAsia="宋体" w:cs="Times New Roman"/>
          <w:b/>
          <w:color w:val="auto"/>
          <w:kern w:val="0"/>
          <w:highlight w:val="none"/>
        </w:rPr>
      </w:pPr>
      <w:bookmarkStart w:id="1745" w:name="_Toc6984"/>
      <w:bookmarkStart w:id="1746" w:name="_Toc6887"/>
      <w:r>
        <w:rPr>
          <w:rStyle w:val="35"/>
          <w:rFonts w:hint="eastAsia" w:ascii="宋体" w:hAnsi="宋体" w:eastAsia="宋体" w:cs="Times New Roman"/>
          <w:b/>
          <w:color w:val="auto"/>
          <w:kern w:val="0"/>
          <w:highlight w:val="none"/>
        </w:rPr>
        <w:t>一、甲方职责</w:t>
      </w:r>
      <w:bookmarkEnd w:id="1745"/>
      <w:bookmarkEnd w:id="1746"/>
    </w:p>
    <w:p w14:paraId="33A51C3C">
      <w:pPr>
        <w:pStyle w:val="141"/>
        <w:widowControl/>
        <w:snapToGrid w:val="0"/>
        <w:spacing w:line="360" w:lineRule="auto"/>
        <w:ind w:firstLine="480"/>
        <w:rPr>
          <w:rStyle w:val="35"/>
          <w:rFonts w:hint="eastAsia" w:ascii="宋体" w:hAnsi="宋体" w:eastAsia="宋体" w:cs="Times New Roman"/>
          <w:color w:val="auto"/>
          <w:kern w:val="0"/>
          <w:highlight w:val="none"/>
        </w:rPr>
      </w:pPr>
      <w:r>
        <w:rPr>
          <w:rStyle w:val="35"/>
          <w:rFonts w:hint="eastAsia" w:ascii="宋体" w:hAnsi="宋体" w:eastAsia="宋体" w:cs="Times New Roman"/>
          <w:color w:val="auto"/>
          <w:kern w:val="0"/>
          <w:highlight w:val="none"/>
        </w:rPr>
        <w:t>1.严格遵守国家有关安全生产的法律法规，认真执行工程承包合同中的有关安全要求。</w:t>
      </w:r>
    </w:p>
    <w:p w14:paraId="5FE92DBC">
      <w:pPr>
        <w:pStyle w:val="141"/>
        <w:widowControl/>
        <w:snapToGrid w:val="0"/>
        <w:spacing w:line="360" w:lineRule="auto"/>
        <w:ind w:firstLine="480"/>
        <w:rPr>
          <w:rStyle w:val="35"/>
          <w:rFonts w:hint="eastAsia" w:ascii="宋体" w:hAnsi="宋体" w:eastAsia="宋体" w:cs="Times New Roman"/>
          <w:color w:val="auto"/>
          <w:kern w:val="0"/>
          <w:highlight w:val="none"/>
        </w:rPr>
      </w:pPr>
      <w:r>
        <w:rPr>
          <w:rStyle w:val="35"/>
          <w:rFonts w:hint="eastAsia" w:ascii="宋体" w:hAnsi="宋体" w:eastAsia="宋体" w:cs="Times New Roman"/>
          <w:color w:val="auto"/>
          <w:kern w:val="0"/>
          <w:highlight w:val="none"/>
        </w:rPr>
        <w:t>2.按照“安全第一、预防为主”和坚持“管生产必须管安全”的原则进行安全生产管理，做到生产与安全工作同时计划、布置、检查、总结和评比。</w:t>
      </w:r>
    </w:p>
    <w:p w14:paraId="45A08D2E">
      <w:pPr>
        <w:pStyle w:val="141"/>
        <w:widowControl/>
        <w:snapToGrid w:val="0"/>
        <w:spacing w:line="360" w:lineRule="auto"/>
        <w:ind w:firstLine="480"/>
        <w:rPr>
          <w:rStyle w:val="35"/>
          <w:rFonts w:hint="eastAsia" w:ascii="宋体" w:hAnsi="宋体" w:eastAsia="宋体" w:cs="Times New Roman"/>
          <w:color w:val="auto"/>
          <w:highlight w:val="none"/>
        </w:rPr>
      </w:pPr>
      <w:r>
        <w:rPr>
          <w:rStyle w:val="35"/>
          <w:rFonts w:hint="eastAsia" w:ascii="宋体" w:hAnsi="宋体" w:eastAsia="宋体" w:cs="Times New Roman"/>
          <w:color w:val="auto"/>
          <w:highlight w:val="none"/>
        </w:rPr>
        <w:t>3.重要的安全设施必须坚持与主体工程“三同时”的原则，即：同时设计、审批，同时施工，同时验收，投入使用。</w:t>
      </w:r>
    </w:p>
    <w:p w14:paraId="2CC59EA6">
      <w:pPr>
        <w:pStyle w:val="141"/>
        <w:widowControl/>
        <w:snapToGrid w:val="0"/>
        <w:spacing w:line="360" w:lineRule="auto"/>
        <w:ind w:firstLine="480"/>
        <w:rPr>
          <w:rStyle w:val="35"/>
          <w:rFonts w:hint="eastAsia" w:ascii="宋体" w:hAnsi="宋体" w:eastAsia="宋体" w:cs="Times New Roman"/>
          <w:color w:val="auto"/>
          <w:highlight w:val="none"/>
        </w:rPr>
      </w:pPr>
      <w:r>
        <w:rPr>
          <w:rStyle w:val="35"/>
          <w:rFonts w:hint="eastAsia" w:ascii="宋体" w:hAnsi="宋体" w:eastAsia="宋体" w:cs="Times New Roman"/>
          <w:color w:val="auto"/>
          <w:highlight w:val="none"/>
        </w:rPr>
        <w:t>4.定期召开安全生产调度会，及时传达中央及地方有关安全生产的精神。</w:t>
      </w:r>
    </w:p>
    <w:p w14:paraId="1BE03C7B">
      <w:pPr>
        <w:pStyle w:val="141"/>
        <w:widowControl/>
        <w:snapToGrid w:val="0"/>
        <w:spacing w:line="360" w:lineRule="auto"/>
        <w:ind w:firstLine="480"/>
        <w:rPr>
          <w:rStyle w:val="35"/>
          <w:rFonts w:hint="eastAsia" w:ascii="宋体" w:hAnsi="宋体" w:eastAsia="宋体" w:cs="Times New Roman"/>
          <w:color w:val="auto"/>
          <w:highlight w:val="none"/>
        </w:rPr>
      </w:pPr>
      <w:r>
        <w:rPr>
          <w:rStyle w:val="35"/>
          <w:rFonts w:hint="eastAsia" w:ascii="宋体" w:hAnsi="宋体" w:eastAsia="宋体" w:cs="Times New Roman"/>
          <w:color w:val="auto"/>
          <w:highlight w:val="none"/>
        </w:rPr>
        <w:t>5.组织对乙方施工现场安全生产检查，监督乙方及时处理发现的各种安全隐患。</w:t>
      </w:r>
    </w:p>
    <w:p w14:paraId="4DC2C3D2">
      <w:pPr>
        <w:pStyle w:val="141"/>
        <w:widowControl/>
        <w:spacing w:line="360" w:lineRule="auto"/>
        <w:outlineLvl w:val="2"/>
        <w:rPr>
          <w:rStyle w:val="35"/>
          <w:rFonts w:hint="eastAsia" w:ascii="宋体" w:hAnsi="宋体" w:eastAsia="宋体" w:cs="Times New Roman"/>
          <w:b/>
          <w:color w:val="auto"/>
          <w:kern w:val="0"/>
          <w:highlight w:val="none"/>
        </w:rPr>
      </w:pPr>
      <w:bookmarkStart w:id="1747" w:name="_Toc31838"/>
      <w:bookmarkStart w:id="1748" w:name="_Toc3296"/>
      <w:r>
        <w:rPr>
          <w:rStyle w:val="35"/>
          <w:rFonts w:hint="eastAsia" w:ascii="宋体" w:hAnsi="宋体" w:eastAsia="宋体" w:cs="Times New Roman"/>
          <w:b/>
          <w:color w:val="auto"/>
          <w:kern w:val="0"/>
          <w:highlight w:val="none"/>
        </w:rPr>
        <w:t>二、乙方职责</w:t>
      </w:r>
      <w:bookmarkEnd w:id="1747"/>
      <w:bookmarkEnd w:id="1748"/>
    </w:p>
    <w:p w14:paraId="33F0ACF8">
      <w:pPr>
        <w:pStyle w:val="141"/>
        <w:widowControl/>
        <w:snapToGrid w:val="0"/>
        <w:spacing w:line="360" w:lineRule="auto"/>
        <w:ind w:firstLine="480"/>
        <w:rPr>
          <w:rStyle w:val="35"/>
          <w:rFonts w:hint="eastAsia" w:ascii="宋体" w:hAnsi="宋体" w:eastAsia="宋体" w:cs="Times New Roman"/>
          <w:color w:val="auto"/>
          <w:highlight w:val="none"/>
        </w:rPr>
      </w:pPr>
      <w:r>
        <w:rPr>
          <w:rStyle w:val="35"/>
          <w:rFonts w:hint="eastAsia" w:ascii="宋体" w:hAnsi="宋体" w:eastAsia="宋体" w:cs="Times New Roman"/>
          <w:color w:val="auto"/>
          <w:highlight w:val="none"/>
        </w:rPr>
        <w:t>1.严格遵守国家有关安全生产的法律法规及建筑工程有关安全生产的规定，认真执行工程承包合同中的有关安全要求。</w:t>
      </w:r>
    </w:p>
    <w:p w14:paraId="684ABD79">
      <w:pPr>
        <w:pStyle w:val="141"/>
        <w:widowControl/>
        <w:snapToGrid w:val="0"/>
        <w:spacing w:line="360" w:lineRule="auto"/>
        <w:ind w:firstLine="480"/>
        <w:rPr>
          <w:rStyle w:val="35"/>
          <w:rFonts w:hint="eastAsia" w:ascii="宋体" w:hAnsi="宋体" w:eastAsia="宋体" w:cs="Times New Roman"/>
          <w:color w:val="auto"/>
          <w:highlight w:val="none"/>
        </w:rPr>
      </w:pPr>
      <w:r>
        <w:rPr>
          <w:rStyle w:val="35"/>
          <w:rFonts w:hint="eastAsia" w:ascii="宋体" w:hAnsi="宋体" w:eastAsia="宋体" w:cs="Times New Roman"/>
          <w:color w:val="auto"/>
          <w:highlight w:val="none"/>
        </w:rPr>
        <w:t>2.坚持“安全第一、预防为主”和“管生产必须管安全”的原则，加强安全生产宣传教育，增强全员安全生产意识，建立健全各项安全生产的管理机构和安全生产管理制度，配备专职及兼职安全检查人员，有组织有领导地开展安全生产活动。各级领导、工程技术人员、生产管理人员和具体操作人员，必须熟悉和遵守本条款的各项规定，做到生产与安全工作同时计划、布置、检查、总结和评比。</w:t>
      </w:r>
    </w:p>
    <w:p w14:paraId="248FA975">
      <w:pPr>
        <w:pStyle w:val="141"/>
        <w:widowControl/>
        <w:snapToGrid w:val="0"/>
        <w:spacing w:line="360" w:lineRule="auto"/>
        <w:ind w:firstLine="480"/>
        <w:rPr>
          <w:rStyle w:val="35"/>
          <w:rFonts w:hint="eastAsia" w:ascii="宋体" w:hAnsi="宋体" w:eastAsia="宋体" w:cs="Times New Roman"/>
          <w:color w:val="auto"/>
          <w:highlight w:val="none"/>
        </w:rPr>
      </w:pPr>
      <w:r>
        <w:rPr>
          <w:rStyle w:val="35"/>
          <w:rFonts w:hint="eastAsia" w:ascii="宋体" w:hAnsi="宋体" w:eastAsia="宋体" w:cs="Times New Roman"/>
          <w:color w:val="auto"/>
          <w:highlight w:val="none"/>
        </w:rPr>
        <w:t>3.建立健全安全生产责任制。从派往项目实施的项目负责人到生产工人（包括临时雇请的民工）的安全生产管理系统必须做到纵向到底，一环不漏；各职能部门、人员的安全生产责任制做到横向到边，人人有责。项目负责人是安全生产的第一责任人。现场设置的安全机构，应按施工人员的1%~3%配备安全员，专职负责所有员工的安全和治安保卫工作及预防事故的发生。安全机构人员，有权按有关规定发布指令，并采取保护性措施防止事故发生。</w:t>
      </w:r>
    </w:p>
    <w:p w14:paraId="5F599FED">
      <w:pPr>
        <w:pStyle w:val="141"/>
        <w:widowControl/>
        <w:snapToGrid w:val="0"/>
        <w:spacing w:line="360" w:lineRule="auto"/>
        <w:ind w:firstLine="480"/>
        <w:rPr>
          <w:rStyle w:val="35"/>
          <w:rFonts w:hint="eastAsia" w:ascii="宋体" w:hAnsi="宋体" w:eastAsia="宋体" w:cs="Times New Roman"/>
          <w:color w:val="auto"/>
          <w:highlight w:val="none"/>
        </w:rPr>
      </w:pPr>
      <w:r>
        <w:rPr>
          <w:rStyle w:val="35"/>
          <w:rFonts w:hint="eastAsia" w:ascii="宋体" w:hAnsi="宋体" w:eastAsia="宋体" w:cs="Times New Roman"/>
          <w:color w:val="auto"/>
          <w:highlight w:val="none"/>
        </w:rPr>
        <w:t>4.乙方在任何时候都应采取各种合理的预防措施，防止其员工发生任何违法、违禁、暴力或妨碍治安的行为。</w:t>
      </w:r>
    </w:p>
    <w:p w14:paraId="5DBC1D22">
      <w:pPr>
        <w:pStyle w:val="141"/>
        <w:widowControl/>
        <w:snapToGrid w:val="0"/>
        <w:spacing w:line="360" w:lineRule="auto"/>
        <w:ind w:firstLine="480"/>
        <w:rPr>
          <w:rStyle w:val="35"/>
          <w:rFonts w:hint="eastAsia" w:ascii="宋体" w:hAnsi="宋体" w:eastAsia="宋体" w:cs="Times New Roman"/>
          <w:color w:val="auto"/>
          <w:highlight w:val="none"/>
        </w:rPr>
      </w:pPr>
      <w:r>
        <w:rPr>
          <w:rStyle w:val="35"/>
          <w:rFonts w:hint="eastAsia" w:ascii="宋体" w:hAnsi="宋体" w:eastAsia="宋体" w:cs="Times New Roman"/>
          <w:color w:val="auto"/>
          <w:highlight w:val="none"/>
        </w:rPr>
        <w:t>5.乙方必须具有劳动安全管理部门颁发的安全生产证书，参加施工的人员，必须接受安全技术教育，熟知和遵守本工种的各项安全技术操作规程，定期进行安全技术考核，合格者方准上岗操作。对于从事电气、起重、建筑登高架设作业、锅炉、压力容器、焊接、机动车船艇驾驶、爆破、潜水、瓦斯检验等特殊工种的人员，经过专业培训，获得《安全操作合格证》后，方准持证上岗。施工现场如出现特种作业无证操作现象，项目负责人必须承担管理责任。</w:t>
      </w:r>
    </w:p>
    <w:p w14:paraId="26293F6A">
      <w:pPr>
        <w:pStyle w:val="141"/>
        <w:widowControl/>
        <w:snapToGrid w:val="0"/>
        <w:spacing w:line="360" w:lineRule="auto"/>
        <w:ind w:firstLine="480"/>
        <w:rPr>
          <w:rStyle w:val="35"/>
          <w:rFonts w:hint="eastAsia" w:ascii="宋体" w:hAnsi="宋体" w:eastAsia="宋体" w:cs="Times New Roman"/>
          <w:color w:val="auto"/>
          <w:highlight w:val="none"/>
        </w:rPr>
      </w:pPr>
      <w:r>
        <w:rPr>
          <w:rStyle w:val="35"/>
          <w:rFonts w:hint="eastAsia" w:ascii="宋体" w:hAnsi="宋体" w:eastAsia="宋体" w:cs="Times New Roman"/>
          <w:color w:val="auto"/>
          <w:highlight w:val="none"/>
        </w:rPr>
        <w:t>6.对于易燃易爆的材料除应专门妥善保管之外，还应配备有足够的消防设施，所有施工人员都应熟悉消防设备的性能和使用方法；乙方不得将任何种类的爆炸物给予、易货或以其他方式转让给任何其他人，或允许、容忍上述同样行为。</w:t>
      </w:r>
    </w:p>
    <w:p w14:paraId="3DC04761">
      <w:pPr>
        <w:pStyle w:val="141"/>
        <w:widowControl/>
        <w:snapToGrid w:val="0"/>
        <w:spacing w:line="360" w:lineRule="auto"/>
        <w:ind w:firstLine="480"/>
        <w:rPr>
          <w:rStyle w:val="35"/>
          <w:rFonts w:hint="eastAsia" w:ascii="宋体" w:hAnsi="宋体" w:eastAsia="宋体" w:cs="Times New Roman"/>
          <w:color w:val="auto"/>
          <w:highlight w:val="none"/>
        </w:rPr>
      </w:pPr>
      <w:r>
        <w:rPr>
          <w:rStyle w:val="35"/>
          <w:rFonts w:hint="eastAsia" w:ascii="宋体" w:hAnsi="宋体" w:eastAsia="宋体" w:cs="Times New Roman"/>
          <w:color w:val="auto"/>
          <w:highlight w:val="none"/>
        </w:rPr>
        <w:t>7.操作人员上岗，必须按规定穿戴防护用品。项目经理和安全检查员应随时检查劳动防护用品的穿戴情况，不按规定穿戴防护用品的人员不得上岗。</w:t>
      </w:r>
    </w:p>
    <w:p w14:paraId="5BCDE80F">
      <w:pPr>
        <w:pStyle w:val="141"/>
        <w:widowControl/>
        <w:snapToGrid w:val="0"/>
        <w:spacing w:line="360" w:lineRule="auto"/>
        <w:ind w:firstLine="480"/>
        <w:rPr>
          <w:rStyle w:val="35"/>
          <w:rFonts w:hint="eastAsia" w:ascii="宋体" w:hAnsi="宋体" w:eastAsia="宋体" w:cs="Times New Roman"/>
          <w:color w:val="auto"/>
          <w:highlight w:val="none"/>
        </w:rPr>
      </w:pPr>
      <w:r>
        <w:rPr>
          <w:rStyle w:val="35"/>
          <w:rFonts w:hint="eastAsia" w:ascii="宋体" w:hAnsi="宋体" w:eastAsia="宋体" w:cs="Times New Roman"/>
          <w:color w:val="auto"/>
          <w:highlight w:val="none"/>
        </w:rPr>
        <w:t>8.所有施工机械设备和高空作业的设备均应定期检查，并有安全员的签字记录，保证其经常处于完好状态；不合格的机具、设备和劳动保护用品严禁使用。</w:t>
      </w:r>
    </w:p>
    <w:p w14:paraId="6353B9C1">
      <w:pPr>
        <w:pStyle w:val="141"/>
        <w:widowControl/>
        <w:snapToGrid w:val="0"/>
        <w:spacing w:line="360" w:lineRule="auto"/>
        <w:ind w:firstLine="480"/>
        <w:rPr>
          <w:rStyle w:val="35"/>
          <w:rFonts w:hint="eastAsia" w:ascii="宋体" w:hAnsi="宋体" w:eastAsia="宋体" w:cs="Times New Roman"/>
          <w:color w:val="auto"/>
          <w:highlight w:val="none"/>
        </w:rPr>
      </w:pPr>
      <w:r>
        <w:rPr>
          <w:rStyle w:val="35"/>
          <w:rFonts w:hint="eastAsia" w:ascii="宋体" w:hAnsi="宋体" w:eastAsia="宋体" w:cs="Times New Roman"/>
          <w:color w:val="auto"/>
          <w:highlight w:val="none"/>
        </w:rPr>
        <w:t>9.施工中采用新技术、新工艺、新设备、新材料时，必须制定相应的安全技术措施，施工现场必须具有相关的安全标志牌。</w:t>
      </w:r>
    </w:p>
    <w:p w14:paraId="16B766F6">
      <w:pPr>
        <w:pStyle w:val="141"/>
        <w:widowControl/>
        <w:snapToGrid w:val="0"/>
        <w:spacing w:line="360" w:lineRule="auto"/>
        <w:ind w:firstLine="480"/>
        <w:rPr>
          <w:rStyle w:val="35"/>
          <w:rFonts w:hint="eastAsia" w:ascii="宋体" w:hAnsi="宋体" w:eastAsia="宋体" w:cs="Times New Roman"/>
          <w:color w:val="auto"/>
          <w:highlight w:val="none"/>
        </w:rPr>
      </w:pPr>
      <w:r>
        <w:rPr>
          <w:rStyle w:val="35"/>
          <w:rFonts w:hint="eastAsia" w:ascii="宋体" w:hAnsi="宋体" w:eastAsia="宋体" w:cs="Times New Roman"/>
          <w:color w:val="auto"/>
          <w:highlight w:val="none"/>
        </w:rPr>
        <w:t>10.乙方必须按照本工程项目特点，组织制定本工程实施中的生产安全事故应急救援预案；如果发生安全事故，应按照《国务院关于特大安全事故行政责任追究的规定》以及其它有关规定，及时上报有关部门，并坚持“四不放过”的原则，严肃处理相关责任人。</w:t>
      </w:r>
    </w:p>
    <w:p w14:paraId="4F651A78">
      <w:pPr>
        <w:pStyle w:val="141"/>
        <w:widowControl/>
        <w:spacing w:line="360" w:lineRule="auto"/>
        <w:outlineLvl w:val="2"/>
        <w:rPr>
          <w:rStyle w:val="35"/>
          <w:rFonts w:hint="eastAsia" w:ascii="宋体" w:hAnsi="宋体" w:eastAsia="宋体" w:cs="Times New Roman"/>
          <w:b/>
          <w:color w:val="auto"/>
          <w:kern w:val="0"/>
          <w:highlight w:val="none"/>
        </w:rPr>
      </w:pPr>
      <w:bookmarkStart w:id="1749" w:name="_Toc16123"/>
      <w:bookmarkStart w:id="1750" w:name="_Toc11884"/>
      <w:r>
        <w:rPr>
          <w:rStyle w:val="35"/>
          <w:rFonts w:hint="eastAsia" w:ascii="宋体" w:hAnsi="宋体" w:eastAsia="宋体" w:cs="Times New Roman"/>
          <w:b/>
          <w:color w:val="auto"/>
          <w:kern w:val="0"/>
          <w:highlight w:val="none"/>
        </w:rPr>
        <w:t>三、违约责任</w:t>
      </w:r>
      <w:bookmarkEnd w:id="1749"/>
      <w:bookmarkEnd w:id="1750"/>
    </w:p>
    <w:p w14:paraId="05B813F4">
      <w:pPr>
        <w:pStyle w:val="141"/>
        <w:widowControl/>
        <w:snapToGrid w:val="0"/>
        <w:spacing w:line="360" w:lineRule="auto"/>
        <w:ind w:firstLine="480"/>
        <w:rPr>
          <w:rStyle w:val="35"/>
          <w:rFonts w:hint="eastAsia" w:ascii="宋体" w:hAnsi="宋体" w:eastAsia="宋体" w:cs="Times New Roman"/>
          <w:color w:val="auto"/>
          <w:highlight w:val="none"/>
        </w:rPr>
      </w:pPr>
      <w:r>
        <w:rPr>
          <w:rStyle w:val="35"/>
          <w:rFonts w:hint="eastAsia" w:ascii="宋体" w:hAnsi="宋体" w:eastAsia="宋体" w:cs="Times New Roman"/>
          <w:color w:val="auto"/>
          <w:highlight w:val="none"/>
        </w:rPr>
        <w:t>如因甲方或乙方违约造成安全事故，将依法追究责任。</w:t>
      </w:r>
    </w:p>
    <w:p w14:paraId="6F74D7DE">
      <w:pPr>
        <w:pStyle w:val="141"/>
        <w:widowControl/>
        <w:snapToGrid w:val="0"/>
        <w:spacing w:line="360" w:lineRule="auto"/>
        <w:ind w:firstLine="480"/>
        <w:rPr>
          <w:rStyle w:val="35"/>
          <w:rFonts w:hint="eastAsia" w:ascii="宋体" w:hAnsi="宋体" w:eastAsia="宋体" w:cs="Times New Roman"/>
          <w:color w:val="auto"/>
          <w:highlight w:val="none"/>
        </w:rPr>
      </w:pPr>
      <w:r>
        <w:rPr>
          <w:rStyle w:val="35"/>
          <w:rFonts w:hint="eastAsia" w:ascii="宋体" w:hAnsi="宋体" w:eastAsia="宋体" w:cs="Times New Roman"/>
          <w:color w:val="auto"/>
          <w:highlight w:val="none"/>
        </w:rPr>
        <w:t>本合同作为主合同附件，正本和副本份数与本合同专用条款第19.2条的约定相同。由双方法定代表人签字或盖章并加盖公章或合同专用章之日生效，全部工程竣工验收后失效。</w:t>
      </w:r>
    </w:p>
    <w:p w14:paraId="30E0839C">
      <w:pPr>
        <w:pStyle w:val="141"/>
        <w:widowControl/>
        <w:spacing w:line="360" w:lineRule="auto"/>
        <w:rPr>
          <w:rStyle w:val="35"/>
          <w:rFonts w:hint="eastAsia" w:ascii="宋体" w:hAnsi="宋体" w:eastAsia="宋体" w:cs="Times New Roman"/>
          <w:color w:val="auto"/>
          <w:highlight w:val="none"/>
        </w:rPr>
      </w:pPr>
    </w:p>
    <w:p w14:paraId="0C389A25">
      <w:pPr>
        <w:pStyle w:val="141"/>
        <w:widowControl/>
        <w:spacing w:line="360" w:lineRule="auto"/>
        <w:rPr>
          <w:rStyle w:val="35"/>
          <w:rFonts w:hint="eastAsia" w:ascii="宋体" w:hAnsi="宋体" w:eastAsia="宋体" w:cs="Times New Roman"/>
          <w:color w:val="auto"/>
          <w:highlight w:val="none"/>
        </w:rPr>
      </w:pPr>
      <w:r>
        <w:rPr>
          <w:rStyle w:val="35"/>
          <w:rFonts w:hint="eastAsia" w:ascii="宋体" w:hAnsi="宋体" w:eastAsia="宋体" w:cs="Times New Roman"/>
          <w:color w:val="auto"/>
          <w:highlight w:val="none"/>
        </w:rPr>
        <w:t xml:space="preserve">发包人： </w:t>
      </w:r>
    </w:p>
    <w:p w14:paraId="0D1A14EF">
      <w:pPr>
        <w:pStyle w:val="141"/>
        <w:widowControl/>
        <w:spacing w:line="360" w:lineRule="auto"/>
        <w:rPr>
          <w:rStyle w:val="35"/>
          <w:rFonts w:hint="eastAsia" w:ascii="宋体" w:hAnsi="宋体" w:eastAsia="宋体" w:cs="Times New Roman"/>
          <w:color w:val="auto"/>
          <w:highlight w:val="none"/>
        </w:rPr>
      </w:pPr>
      <w:r>
        <w:rPr>
          <w:rStyle w:val="35"/>
          <w:rFonts w:hint="eastAsia" w:ascii="宋体" w:hAnsi="宋体" w:eastAsia="宋体" w:cs="Times New Roman"/>
          <w:color w:val="auto"/>
          <w:highlight w:val="none"/>
        </w:rPr>
        <w:t>（公章或合同专用章）</w:t>
      </w:r>
    </w:p>
    <w:p w14:paraId="2EC0D0B0">
      <w:pPr>
        <w:pStyle w:val="141"/>
        <w:widowControl/>
        <w:spacing w:line="360" w:lineRule="auto"/>
        <w:rPr>
          <w:rStyle w:val="35"/>
          <w:rFonts w:hint="eastAsia" w:ascii="宋体" w:hAnsi="宋体" w:eastAsia="宋体" w:cs="Times New Roman"/>
          <w:color w:val="auto"/>
          <w:highlight w:val="none"/>
        </w:rPr>
      </w:pPr>
      <w:r>
        <w:rPr>
          <w:rStyle w:val="35"/>
          <w:rFonts w:hint="eastAsia" w:ascii="宋体" w:hAnsi="宋体" w:eastAsia="宋体" w:cs="Times New Roman"/>
          <w:color w:val="auto"/>
          <w:highlight w:val="none"/>
        </w:rPr>
        <w:t>法定代表人：</w:t>
      </w:r>
    </w:p>
    <w:p w14:paraId="3C7A452B">
      <w:pPr>
        <w:pStyle w:val="141"/>
        <w:widowControl/>
        <w:spacing w:line="360" w:lineRule="auto"/>
        <w:rPr>
          <w:rStyle w:val="35"/>
          <w:rFonts w:hint="eastAsia" w:ascii="宋体" w:hAnsi="宋体" w:eastAsia="宋体" w:cs="Times New Roman"/>
          <w:color w:val="auto"/>
          <w:highlight w:val="none"/>
        </w:rPr>
      </w:pPr>
      <w:r>
        <w:rPr>
          <w:rStyle w:val="35"/>
          <w:rFonts w:hint="eastAsia" w:ascii="宋体" w:hAnsi="宋体" w:eastAsia="宋体" w:cs="Times New Roman"/>
          <w:color w:val="auto"/>
          <w:highlight w:val="none"/>
        </w:rPr>
        <w:t xml:space="preserve">（签字或盖章）  </w:t>
      </w:r>
    </w:p>
    <w:p w14:paraId="6937F35F">
      <w:pPr>
        <w:pStyle w:val="141"/>
        <w:widowControl/>
        <w:spacing w:line="360" w:lineRule="auto"/>
        <w:rPr>
          <w:rStyle w:val="35"/>
          <w:rFonts w:hint="eastAsia" w:ascii="宋体" w:hAnsi="宋体" w:eastAsia="宋体" w:cs="Times New Roman"/>
          <w:color w:val="auto"/>
          <w:highlight w:val="none"/>
        </w:rPr>
      </w:pPr>
      <w:r>
        <w:rPr>
          <w:rStyle w:val="35"/>
          <w:rFonts w:hint="eastAsia" w:ascii="宋体" w:hAnsi="宋体" w:eastAsia="宋体" w:cs="Times New Roman"/>
          <w:color w:val="auto"/>
          <w:highlight w:val="none"/>
        </w:rPr>
        <w:t>地址：</w:t>
      </w:r>
    </w:p>
    <w:p w14:paraId="4250F690">
      <w:pPr>
        <w:pStyle w:val="141"/>
        <w:widowControl/>
        <w:spacing w:line="360" w:lineRule="auto"/>
        <w:rPr>
          <w:rStyle w:val="35"/>
          <w:rFonts w:hint="eastAsia" w:ascii="宋体" w:hAnsi="宋体" w:eastAsia="宋体" w:cs="Times New Roman"/>
          <w:color w:val="auto"/>
          <w:highlight w:val="none"/>
        </w:rPr>
      </w:pPr>
      <w:r>
        <w:rPr>
          <w:rStyle w:val="35"/>
          <w:rFonts w:hint="eastAsia" w:ascii="宋体" w:hAnsi="宋体" w:eastAsia="宋体" w:cs="Times New Roman"/>
          <w:color w:val="auto"/>
          <w:highlight w:val="none"/>
        </w:rPr>
        <w:t>日期：</w:t>
      </w:r>
    </w:p>
    <w:p w14:paraId="551A3477">
      <w:pPr>
        <w:pStyle w:val="141"/>
        <w:widowControl/>
        <w:spacing w:line="360" w:lineRule="auto"/>
        <w:rPr>
          <w:rStyle w:val="35"/>
          <w:rFonts w:hint="eastAsia" w:ascii="宋体" w:hAnsi="宋体" w:eastAsia="宋体" w:cs="Times New Roman"/>
          <w:color w:val="auto"/>
          <w:highlight w:val="none"/>
        </w:rPr>
      </w:pPr>
    </w:p>
    <w:p w14:paraId="11B8ECD4">
      <w:pPr>
        <w:pStyle w:val="141"/>
        <w:widowControl/>
        <w:spacing w:line="360" w:lineRule="auto"/>
        <w:rPr>
          <w:rStyle w:val="35"/>
          <w:rFonts w:hint="eastAsia" w:ascii="宋体" w:hAnsi="宋体" w:eastAsia="宋体" w:cs="Times New Roman"/>
          <w:color w:val="auto"/>
          <w:highlight w:val="none"/>
        </w:rPr>
      </w:pPr>
      <w:r>
        <w:rPr>
          <w:rStyle w:val="35"/>
          <w:rFonts w:hint="eastAsia" w:ascii="宋体" w:hAnsi="宋体" w:eastAsia="宋体" w:cs="Times New Roman"/>
          <w:color w:val="auto"/>
          <w:highlight w:val="none"/>
        </w:rPr>
        <w:t xml:space="preserve">承包人： </w:t>
      </w:r>
    </w:p>
    <w:p w14:paraId="5B4FDE78">
      <w:pPr>
        <w:pStyle w:val="141"/>
        <w:widowControl/>
        <w:spacing w:line="360" w:lineRule="auto"/>
        <w:rPr>
          <w:rStyle w:val="35"/>
          <w:rFonts w:hint="eastAsia" w:ascii="宋体" w:hAnsi="宋体" w:eastAsia="宋体" w:cs="Times New Roman"/>
          <w:color w:val="auto"/>
          <w:highlight w:val="none"/>
        </w:rPr>
      </w:pPr>
      <w:r>
        <w:rPr>
          <w:rStyle w:val="35"/>
          <w:rFonts w:hint="eastAsia" w:ascii="宋体" w:hAnsi="宋体" w:eastAsia="宋体" w:cs="Times New Roman"/>
          <w:color w:val="auto"/>
          <w:highlight w:val="none"/>
        </w:rPr>
        <w:t>（公章或合同专用章）</w:t>
      </w:r>
    </w:p>
    <w:p w14:paraId="15C5F92C">
      <w:pPr>
        <w:pStyle w:val="141"/>
        <w:widowControl/>
        <w:spacing w:line="360" w:lineRule="auto"/>
        <w:rPr>
          <w:rStyle w:val="35"/>
          <w:rFonts w:hint="eastAsia" w:ascii="宋体" w:hAnsi="宋体" w:eastAsia="宋体" w:cs="Times New Roman"/>
          <w:color w:val="auto"/>
          <w:highlight w:val="none"/>
        </w:rPr>
      </w:pPr>
      <w:r>
        <w:rPr>
          <w:rStyle w:val="35"/>
          <w:rFonts w:hint="eastAsia" w:ascii="宋体" w:hAnsi="宋体" w:eastAsia="宋体" w:cs="Times New Roman"/>
          <w:color w:val="auto"/>
          <w:highlight w:val="none"/>
        </w:rPr>
        <w:t>法定代表人：</w:t>
      </w:r>
    </w:p>
    <w:p w14:paraId="644B1645">
      <w:pPr>
        <w:pStyle w:val="141"/>
        <w:widowControl/>
        <w:spacing w:line="360" w:lineRule="auto"/>
        <w:rPr>
          <w:rStyle w:val="35"/>
          <w:rFonts w:hint="eastAsia" w:ascii="宋体" w:hAnsi="宋体" w:eastAsia="宋体" w:cs="Times New Roman"/>
          <w:color w:val="auto"/>
          <w:highlight w:val="none"/>
        </w:rPr>
      </w:pPr>
      <w:r>
        <w:rPr>
          <w:rStyle w:val="35"/>
          <w:rFonts w:hint="eastAsia" w:ascii="宋体" w:hAnsi="宋体" w:eastAsia="宋体" w:cs="Times New Roman"/>
          <w:color w:val="auto"/>
          <w:highlight w:val="none"/>
        </w:rPr>
        <w:t xml:space="preserve">（签字或盖章） </w:t>
      </w:r>
    </w:p>
    <w:p w14:paraId="7AC822EB">
      <w:pPr>
        <w:pStyle w:val="141"/>
        <w:widowControl/>
        <w:spacing w:line="360" w:lineRule="auto"/>
        <w:rPr>
          <w:rStyle w:val="35"/>
          <w:rFonts w:hint="eastAsia" w:ascii="宋体" w:hAnsi="宋体" w:eastAsia="宋体" w:cs="Times New Roman"/>
          <w:color w:val="auto"/>
          <w:highlight w:val="none"/>
          <w:lang w:eastAsia="zh-CN"/>
        </w:rPr>
      </w:pPr>
      <w:r>
        <w:rPr>
          <w:rStyle w:val="35"/>
          <w:rFonts w:hint="eastAsia" w:ascii="宋体" w:hAnsi="宋体" w:eastAsia="宋体" w:cs="Times New Roman"/>
          <w:color w:val="auto"/>
          <w:highlight w:val="none"/>
        </w:rPr>
        <w:t>地址</w:t>
      </w:r>
      <w:r>
        <w:rPr>
          <w:rStyle w:val="35"/>
          <w:rFonts w:hint="eastAsia" w:ascii="宋体" w:hAnsi="宋体" w:cs="Times New Roman"/>
          <w:color w:val="auto"/>
          <w:highlight w:val="none"/>
          <w:lang w:eastAsia="zh-CN"/>
        </w:rPr>
        <w:t>：</w:t>
      </w:r>
    </w:p>
    <w:p w14:paraId="6E036B62">
      <w:pPr>
        <w:pStyle w:val="141"/>
        <w:widowControl/>
        <w:spacing w:line="360" w:lineRule="auto"/>
        <w:rPr>
          <w:rStyle w:val="35"/>
          <w:rFonts w:hint="eastAsia" w:ascii="宋体" w:hAnsi="宋体" w:eastAsia="宋体" w:cs="Times New Roman"/>
          <w:color w:val="auto"/>
          <w:highlight w:val="none"/>
        </w:rPr>
      </w:pPr>
      <w:r>
        <w:rPr>
          <w:rStyle w:val="35"/>
          <w:rFonts w:hint="eastAsia" w:ascii="宋体" w:hAnsi="宋体" w:cs="Times New Roman"/>
          <w:color w:val="auto"/>
          <w:highlight w:val="none"/>
          <w:lang w:val="en-US" w:eastAsia="zh-CN"/>
        </w:rPr>
        <w:t>日期：</w:t>
      </w:r>
      <w:r>
        <w:rPr>
          <w:rStyle w:val="35"/>
          <w:rFonts w:hint="eastAsia" w:ascii="宋体" w:hAnsi="宋体" w:eastAsia="宋体" w:cs="Times New Roman"/>
          <w:color w:val="auto"/>
          <w:highlight w:val="none"/>
        </w:rPr>
        <w:t>：</w:t>
      </w:r>
    </w:p>
    <w:p w14:paraId="416E83DC">
      <w:pPr>
        <w:pStyle w:val="3"/>
        <w:bidi w:val="0"/>
        <w:spacing w:line="360" w:lineRule="auto"/>
        <w:jc w:val="center"/>
        <w:rPr>
          <w:rFonts w:hint="eastAsia"/>
          <w:b/>
          <w:bCs/>
          <w:color w:val="auto"/>
          <w:sz w:val="36"/>
          <w:szCs w:val="36"/>
          <w:lang w:val="en-US" w:eastAsia="zh-CN"/>
        </w:rPr>
      </w:pPr>
      <w:bookmarkStart w:id="1751" w:name="_Toc17923"/>
      <w:r>
        <w:rPr>
          <w:rFonts w:hint="eastAsia"/>
          <w:b/>
          <w:bCs/>
          <w:color w:val="auto"/>
          <w:sz w:val="36"/>
          <w:szCs w:val="36"/>
          <w:lang w:val="en-US" w:eastAsia="zh-CN"/>
        </w:rPr>
        <w:t>第八章 评审程序、评审方法和评审标准</w:t>
      </w:r>
      <w:bookmarkEnd w:id="1751"/>
    </w:p>
    <w:p w14:paraId="5D86A821">
      <w:pPr>
        <w:pStyle w:val="4"/>
        <w:spacing w:line="360" w:lineRule="auto"/>
        <w:jc w:val="center"/>
        <w:rPr>
          <w:rFonts w:hint="eastAsia" w:ascii="宋体" w:hAnsi="宋体" w:eastAsia="宋体" w:cs="宋体"/>
          <w:b/>
          <w:bCs w:val="0"/>
          <w:color w:val="auto"/>
          <w:highlight w:val="none"/>
        </w:rPr>
      </w:pPr>
      <w:bookmarkStart w:id="1752" w:name="_Toc11500"/>
      <w:bookmarkStart w:id="1753" w:name="_Toc21877"/>
      <w:bookmarkStart w:id="1754" w:name="_Toc31277"/>
      <w:r>
        <w:rPr>
          <w:rFonts w:hint="eastAsia" w:ascii="宋体" w:hAnsi="宋体" w:eastAsia="宋体" w:cs="宋体"/>
          <w:b/>
          <w:bCs w:val="0"/>
          <w:color w:val="auto"/>
          <w:highlight w:val="none"/>
        </w:rPr>
        <w:t>第一节 评审程序和评审方法</w:t>
      </w:r>
      <w:bookmarkEnd w:id="1752"/>
      <w:bookmarkEnd w:id="1753"/>
      <w:bookmarkEnd w:id="1754"/>
    </w:p>
    <w:p w14:paraId="4A36F8A7">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1.确认磋商文件</w:t>
      </w:r>
    </w:p>
    <w:p w14:paraId="1702116C">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由磋商小组确认磋商文件。</w:t>
      </w:r>
    </w:p>
    <w:p w14:paraId="79B459DC">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2.资格审查</w:t>
      </w:r>
    </w:p>
    <w:p w14:paraId="15A39093">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2.1响应文件开启后，磋商小组依法对供应商的资格证明文件进行审查。</w:t>
      </w:r>
    </w:p>
    <w:p w14:paraId="11F3A273">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注：采购人代表或者采购代理机构在资格审查结束前，对供应商进行信用查询。</w:t>
      </w:r>
    </w:p>
    <w:p w14:paraId="44704553">
      <w:pPr>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（1）查询渠道：“</w:t>
      </w:r>
      <w:r>
        <w:rPr>
          <w:rFonts w:hint="eastAsia" w:ascii="宋体" w:hAnsi="宋体" w:eastAsia="宋体" w:cs="宋体"/>
          <w:color w:val="auto"/>
          <w:szCs w:val="21"/>
          <w:highlight w:val="none"/>
          <w:lang w:eastAsia="zh-CN"/>
        </w:rPr>
        <w:t>广西政府采购云</w:t>
      </w:r>
      <w:r>
        <w:rPr>
          <w:rFonts w:hint="eastAsia" w:ascii="宋体" w:hAnsi="宋体" w:eastAsia="宋体" w:cs="宋体"/>
          <w:color w:val="auto"/>
          <w:szCs w:val="21"/>
          <w:highlight w:val="none"/>
        </w:rPr>
        <w:t>”平台“信用中国”网站(</w:t>
      </w: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"http://www.creditchina.gov.cn" </w:instrText>
      </w:r>
      <w:r>
        <w:rPr>
          <w:rFonts w:hint="eastAsia" w:ascii="宋体" w:hAnsi="宋体" w:eastAsia="宋体" w:cs="宋体"/>
          <w:color w:val="auto"/>
          <w:szCs w:val="21"/>
          <w:highlight w:val="none"/>
        </w:rPr>
        <w:fldChar w:fldCharType="separate"/>
      </w:r>
      <w:r>
        <w:rPr>
          <w:rStyle w:val="45"/>
          <w:rFonts w:hint="eastAsia" w:ascii="宋体" w:hAnsi="宋体" w:eastAsia="宋体" w:cs="宋体"/>
          <w:color w:val="auto"/>
          <w:highlight w:val="none"/>
        </w:rPr>
        <w:t>www.creditchina.gov.cn</w:t>
      </w:r>
      <w:r>
        <w:rPr>
          <w:rFonts w:hint="eastAsia" w:ascii="宋体" w:hAnsi="宋体" w:eastAsia="宋体" w:cs="宋体"/>
          <w:color w:val="auto"/>
          <w:szCs w:val="21"/>
          <w:highlight w:val="none"/>
        </w:rPr>
        <w:fldChar w:fldCharType="end"/>
      </w:r>
      <w:r>
        <w:rPr>
          <w:rFonts w:hint="eastAsia" w:ascii="宋体" w:hAnsi="宋体" w:eastAsia="宋体" w:cs="宋体"/>
          <w:color w:val="auto"/>
          <w:szCs w:val="21"/>
          <w:highlight w:val="none"/>
        </w:rPr>
        <w:t>)、中国政府采购网(</w:t>
      </w: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"http://www.ccgp.gov.cn" </w:instrText>
      </w:r>
      <w:r>
        <w:rPr>
          <w:rFonts w:hint="eastAsia" w:ascii="宋体" w:hAnsi="宋体" w:eastAsia="宋体" w:cs="宋体"/>
          <w:color w:val="auto"/>
          <w:szCs w:val="21"/>
          <w:highlight w:val="none"/>
        </w:rPr>
        <w:fldChar w:fldCharType="separate"/>
      </w:r>
      <w:r>
        <w:rPr>
          <w:rStyle w:val="45"/>
          <w:rFonts w:hint="eastAsia" w:ascii="宋体" w:hAnsi="宋体" w:eastAsia="宋体" w:cs="宋体"/>
          <w:color w:val="auto"/>
          <w:highlight w:val="none"/>
        </w:rPr>
        <w:t>www.ccgp.gov.cn</w:t>
      </w:r>
      <w:r>
        <w:rPr>
          <w:rFonts w:hint="eastAsia" w:ascii="宋体" w:hAnsi="宋体" w:eastAsia="宋体" w:cs="宋体"/>
          <w:color w:val="auto"/>
          <w:szCs w:val="21"/>
          <w:highlight w:val="none"/>
        </w:rPr>
        <w:fldChar w:fldCharType="end"/>
      </w:r>
      <w:r>
        <w:rPr>
          <w:rFonts w:hint="eastAsia" w:ascii="宋体" w:hAnsi="宋体" w:eastAsia="宋体" w:cs="宋体"/>
          <w:color w:val="auto"/>
          <w:szCs w:val="21"/>
          <w:highlight w:val="none"/>
        </w:rPr>
        <w:t>)链接入口。</w:t>
      </w:r>
    </w:p>
    <w:p w14:paraId="6B734AA1">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rPr>
        <w:t>）信用信息使用规则：对在“信用中国”网站(www.creditchina.gov.cn)、中国政府采购网(www.ccgp.gov.cn)被列入失信被执行人、重大税收违法案件当事人名单、政府采购严重违法失信行为记录名单及其他不符合《中华人民共和国政府采购法》第二十二条规定条件的供应商，资格审查不通过，不得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239F39A5">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2.2资格审查标准为本磋商文件中载明对供应商资格要求的条件。资格审查采用合格制，凡符合磋商文件规定的供应商资格要求的响应文件均通过资格审查。</w:t>
      </w:r>
    </w:p>
    <w:p w14:paraId="74E8418F">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2.3供应商有下列情形之一的，资格审查不通过，其响应文件按无效响应处理：</w:t>
      </w:r>
    </w:p>
    <w:p w14:paraId="4955D292">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（1）不具备磋商文件中规定的资格要求的；</w:t>
      </w:r>
    </w:p>
    <w:p w14:paraId="60AD1903">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（2）响应文件未提供任一项“供应商须知前附表”资格证明文件规定的“必须提供”的文件资料的；</w:t>
      </w:r>
    </w:p>
    <w:p w14:paraId="0E2B3591">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（3）响应文件提供的资格证明文件出现任一项不符合“供应商须知前附表”资格证明文件规定的“必须提供”的文件资料要求或者无效的。</w:t>
      </w:r>
    </w:p>
    <w:p w14:paraId="7EBE3F76">
      <w:pPr>
        <w:spacing w:line="360" w:lineRule="auto"/>
        <w:ind w:firstLine="420" w:firstLineChars="200"/>
        <w:rPr>
          <w:rFonts w:hint="eastAsia" w:ascii="宋体" w:hAnsi="宋体" w:eastAsia="宋体" w:cs="宋体"/>
          <w:color w:val="auto"/>
          <w:szCs w:val="21"/>
          <w:highlight w:val="none"/>
        </w:rPr>
      </w:pPr>
      <w:bookmarkStart w:id="1755" w:name="_Hlk68601553"/>
      <w:r>
        <w:rPr>
          <w:rFonts w:hint="eastAsia" w:ascii="宋体" w:hAnsi="宋体" w:eastAsia="宋体" w:cs="宋体"/>
          <w:color w:val="auto"/>
          <w:szCs w:val="21"/>
          <w:highlight w:val="none"/>
        </w:rPr>
        <w:t>（4）同一合同项下的不同供应商，单位负责人为同一人或者存在直接控股、管理关系的；为本项目提供过整体设计、规范编制或者项目管理、监理、检测等服务的。</w:t>
      </w:r>
      <w:bookmarkEnd w:id="1755"/>
    </w:p>
    <w:p w14:paraId="11DD9976">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2.4通过资格审查的合格供应商不足3家的，不得进入符合性审查环节，采购人或者采购代理机构应当重新开展采购活动。</w:t>
      </w:r>
    </w:p>
    <w:p w14:paraId="61702412">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3.符合性审查</w:t>
      </w:r>
    </w:p>
    <w:p w14:paraId="2C154253">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3.1由磋商小组对通过资格审查的合格供应商的响应文件的响应报价、商务、技术等实质性要求进行符合性审查，以确定其是否满足磋商文件的实质性要求。</w:t>
      </w:r>
    </w:p>
    <w:p w14:paraId="6B0295F5">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3.2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2476DA9F">
      <w:pPr>
        <w:spacing w:line="360" w:lineRule="auto"/>
        <w:ind w:firstLine="420" w:firstLineChars="200"/>
        <w:rPr>
          <w:rFonts w:hint="eastAsia" w:ascii="宋体" w:hAnsi="宋体" w:eastAsia="宋体" w:cs="宋体"/>
          <w:color w:val="auto"/>
          <w:spacing w:val="-6"/>
          <w:szCs w:val="21"/>
          <w:highlight w:val="none"/>
        </w:rPr>
      </w:pPr>
      <w:r>
        <w:rPr>
          <w:rFonts w:hint="eastAsia" w:ascii="宋体" w:hAnsi="宋体" w:eastAsia="宋体" w:cs="宋体"/>
          <w:color w:val="auto"/>
          <w:szCs w:val="21"/>
          <w:highlight w:val="none"/>
        </w:rPr>
        <w:t>3.3磋商小组要求供应商澄清、说明或者更正响应文件应当以电子澄清函形式作出。供应商的澄清、说明或者更正应当已电子回函形式按照磋商小组的要求作出明确的澄清、说明或者更正，未按磋商小组的要求作出明确澄清、说明或者更正的供应商的响应文件将按照有利于采购人的原则由磋商小组进行判定。供应商的澄清、说明或者更正必须加盖电子公章</w:t>
      </w:r>
      <w:r>
        <w:rPr>
          <w:rFonts w:hint="eastAsia" w:ascii="宋体" w:hAnsi="宋体" w:eastAsia="宋体" w:cs="宋体"/>
          <w:color w:val="auto"/>
          <w:spacing w:val="-6"/>
          <w:szCs w:val="21"/>
          <w:highlight w:val="none"/>
        </w:rPr>
        <w:t>。供应商为自然人的，必须由本人签字并附身份证明。</w:t>
      </w:r>
    </w:p>
    <w:p w14:paraId="4FCDBB8B">
      <w:pPr>
        <w:spacing w:line="360" w:lineRule="auto"/>
        <w:ind w:firstLine="396" w:firstLineChars="200"/>
        <w:rPr>
          <w:rFonts w:hint="eastAsia" w:ascii="宋体" w:hAnsi="宋体" w:eastAsia="宋体" w:cs="宋体"/>
          <w:color w:val="auto"/>
          <w:szCs w:val="21"/>
          <w:highlight w:val="none"/>
          <w:lang w:eastAsia="zh-CN"/>
        </w:rPr>
      </w:pPr>
      <w:r>
        <w:rPr>
          <w:rFonts w:hint="eastAsia" w:ascii="宋体" w:hAnsi="宋体" w:eastAsia="宋体" w:cs="宋体"/>
          <w:color w:val="auto"/>
          <w:spacing w:val="-6"/>
          <w:szCs w:val="21"/>
          <w:highlight w:val="none"/>
        </w:rPr>
        <w:t>3.4</w:t>
      </w:r>
      <w:r>
        <w:rPr>
          <w:rFonts w:hint="eastAsia" w:ascii="宋体" w:hAnsi="宋体" w:eastAsia="宋体" w:cs="宋体"/>
          <w:color w:val="auto"/>
          <w:szCs w:val="21"/>
          <w:highlight w:val="none"/>
        </w:rPr>
        <w:t>首次响应文件报价出现前后不一致的，按照下列规定修正：</w:t>
      </w:r>
    </w:p>
    <w:p w14:paraId="2036FCCB">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（1）响应文件中报价表内容与响应文件中相应内容不一致的，以报价表为准；</w:t>
      </w:r>
    </w:p>
    <w:p w14:paraId="0682F943">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（2）大写金额和小写金额不一致的，以大写金额为准；</w:t>
      </w:r>
    </w:p>
    <w:p w14:paraId="1623FFB2">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（3）单价金额小数点或者百分比有明显错位的，以报价表的总价为准，并修改单价；</w:t>
      </w:r>
    </w:p>
    <w:p w14:paraId="70FA8F85">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（4）总价金额与按单价汇总金额不一致的，以单价金额计算结果为准。</w:t>
      </w:r>
    </w:p>
    <w:p w14:paraId="12C4A1E8">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同时出现两种以上不一致的，按照以上（1）-（4）规定的顺序逐条进行修正。修正后的报价经供应商确认后产生约束力，供应商不确认的，其响应文件按无效响应处理。</w:t>
      </w:r>
    </w:p>
    <w:p w14:paraId="3357456E">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3.5商务技术、</w:t>
      </w:r>
      <w:bookmarkStart w:id="1756" w:name="OLE_LINK18"/>
      <w:r>
        <w:rPr>
          <w:rFonts w:hint="eastAsia" w:ascii="宋体" w:hAnsi="宋体" w:eastAsia="宋体" w:cs="宋体"/>
          <w:color w:val="auto"/>
          <w:szCs w:val="21"/>
          <w:highlight w:val="none"/>
        </w:rPr>
        <w:t>报价评审</w:t>
      </w:r>
    </w:p>
    <w:p w14:paraId="660B5B56">
      <w:pPr>
        <w:spacing w:line="360" w:lineRule="auto"/>
        <w:ind w:firstLine="420" w:firstLineChars="200"/>
        <w:rPr>
          <w:rFonts w:hint="eastAsia" w:ascii="宋体" w:hAnsi="宋体" w:eastAsia="宋体" w:cs="宋体"/>
          <w:color w:val="auto"/>
          <w:szCs w:val="21"/>
          <w:highlight w:val="none"/>
        </w:rPr>
      </w:pPr>
      <w:bookmarkStart w:id="1757" w:name="OLE_LINK16"/>
      <w:r>
        <w:rPr>
          <w:rFonts w:hint="eastAsia" w:ascii="宋体" w:hAnsi="宋体" w:eastAsia="宋体" w:cs="宋体"/>
          <w:color w:val="auto"/>
          <w:szCs w:val="21"/>
          <w:highlight w:val="none"/>
        </w:rPr>
        <w:t>在评审时，如发现下列情形之一的，将被视为响应文件无效处理：</w:t>
      </w:r>
    </w:p>
    <w:bookmarkEnd w:id="1756"/>
    <w:p w14:paraId="6F7AC796">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（1）商务技术评审</w:t>
      </w:r>
    </w:p>
    <w:p w14:paraId="01DD02AE">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1）响应文件未按磋商文件要求签署、盖章；</w:t>
      </w:r>
    </w:p>
    <w:p w14:paraId="67F2F8D0">
      <w:pPr>
        <w:spacing w:line="360" w:lineRule="auto"/>
        <w:ind w:firstLine="420" w:firstLineChars="20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2）委托代理人未能出具有效身份证明或者出具的身份证明与授权委托书中的信息不符；</w:t>
      </w:r>
    </w:p>
    <w:p w14:paraId="14C90701">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响应文件未提供任一项“供应商须知前附表”商务技术文件中“必须提供”或者“委托时必须提供”的文件资料；响应文件提供的商务技术文件出现任一项不符合“供应商须知前附表”商务技术文件中“必须提供”或者“委托时必须提供”文件资料要求的规定或者提供的商务技术文件无效。</w:t>
      </w:r>
    </w:p>
    <w:p w14:paraId="230C14C0">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4）商务条款中标“▲”的条款发生负偏离的或者允许负偏离的条款数超过“供应商须知前附表”规定项数的或者标明实质性的要求发生负偏离；</w:t>
      </w:r>
    </w:p>
    <w:p w14:paraId="15E9BE96">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5）未对竞标有效期作出响应或者响应文件承诺的竞标有效期不满足磋商文件要求；</w:t>
      </w:r>
    </w:p>
    <w:p w14:paraId="40DE9BD8">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6）响应文件的实质性内容未使用中文表述、使用计量单位不符合磋商文件要求；</w:t>
      </w:r>
    </w:p>
    <w:p w14:paraId="0DA22864">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7）响应文件中的文件资料因填写不齐全或者内容虚假或者出现其他情形而导致被磋商小组认定无效；</w:t>
      </w:r>
    </w:p>
    <w:p w14:paraId="657CE888">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8）响应文件含有采购人不能接受的附加条件；</w:t>
      </w:r>
    </w:p>
    <w:p w14:paraId="23DCF71C">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9）属于“供应商须知正文”第7.5条情形；</w:t>
      </w:r>
    </w:p>
    <w:p w14:paraId="542C524A">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10）技术需求允许负偏离的条款数超过“供应商须知前附表”规定项数；</w:t>
      </w:r>
    </w:p>
    <w:p w14:paraId="043F6D34">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11）虚假竞标，或者出现其他情形而导致被磋商小组认定无效；</w:t>
      </w:r>
    </w:p>
    <w:p w14:paraId="653AC9AF">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12）竞标技术方案不明确，磋商文件未允许但响应文件中存在一个或者一个以上备选（替代）竞标方案；</w:t>
      </w:r>
    </w:p>
    <w:p w14:paraId="2667CE31">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）未响应磋商文件实质性要求；</w:t>
      </w:r>
    </w:p>
    <w:p w14:paraId="75DCD2CB">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rPr>
        <w:t>）法律、法规和磋商文件规定的其他无效情形。</w:t>
      </w:r>
    </w:p>
    <w:bookmarkEnd w:id="1757"/>
    <w:p w14:paraId="0E665F0D">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（2）报价评审</w:t>
      </w:r>
    </w:p>
    <w:p w14:paraId="0E0551BC">
      <w:pPr>
        <w:spacing w:line="360" w:lineRule="auto"/>
        <w:ind w:firstLine="420" w:firstLineChars="200"/>
        <w:rPr>
          <w:rFonts w:hint="eastAsia" w:ascii="宋体" w:hAnsi="宋体" w:eastAsia="宋体" w:cs="宋体"/>
          <w:color w:val="auto"/>
          <w:szCs w:val="21"/>
          <w:highlight w:val="none"/>
        </w:rPr>
      </w:pPr>
      <w:bookmarkStart w:id="1758" w:name="OLE_LINK17"/>
      <w:r>
        <w:rPr>
          <w:rFonts w:hint="eastAsia" w:ascii="宋体" w:hAnsi="宋体" w:eastAsia="宋体" w:cs="宋体"/>
          <w:color w:val="auto"/>
          <w:szCs w:val="21"/>
          <w:highlight w:val="none"/>
        </w:rPr>
        <w:t>1)响应文件未提供“供应商须知前附表”报价文件中规定的“响应报价表”；</w:t>
      </w:r>
    </w:p>
    <w:p w14:paraId="11555A5C">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2）未采用人民币报价或者未按照磋商文件标明的币种报价；</w:t>
      </w:r>
    </w:p>
    <w:p w14:paraId="7AC2D5F2">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供应商未就所竞标分标进行报价或者存在漏项报价；供应商未就所竞标分标的单项内容作唯一报价；供应商未就所竞标分标的全部内容作唯一总价报价；供应商响应文件中存在有选择、有条件报价的（磋商文件允许有备选方案或者其他约定的除外）；</w:t>
      </w:r>
    </w:p>
    <w:p w14:paraId="6F043944">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响应报价（包含首次报价、最后报价）超过所竞标分标规定的采购预算金额或者最高限价的（如本项目公布了最高限价）；响应报价（包含首次报价、最后报价）超过磋商文件分项采购预算金额或者最高限价的（如本项目公布了最高限价）；</w:t>
      </w:r>
    </w:p>
    <w:p w14:paraId="46463C3C">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修正后的报价，供应商不确认的；或者经供应商确认修正后的响应报价（包含首次报价、最后报价）超过所竞标分标规定的采购预算金额或者最高限价（如本项目公布了最高限价）；或者经供应商确认修正后响应报价（包含首次报价、最后报价）超过磋商文件分项采购预算金额或者最高限价的（如本项目公布了最高限价）。</w:t>
      </w:r>
    </w:p>
    <w:p w14:paraId="2E37983A">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6）响应文件响应的标的数量及单位与竞争性磋商采购文件要求实质性不一致的。</w:t>
      </w:r>
    </w:p>
    <w:bookmarkEnd w:id="1758"/>
    <w:p w14:paraId="3917903E">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3.6磋商小组对响应文件进行评审，未实质性响应磋商文件的响应文件按无效处理，磋商小组应当将资格和符合性不通过的情况告知有关供应商。磋商小组从符合磋商文件规定的相应资格条件的供应商名单中确定不少于3家的供应商参加磋商。</w:t>
      </w:r>
    </w:p>
    <w:p w14:paraId="5BA4122B">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3.7非政府购买服务项目，通过符合性审查的合格供应商不足3家的，不得进入磋商环节，采购人或者采购代理机构应当重新开展采购活动。政府购买服务项目，按《财政部关于政府采购竞争性磋商采购方式管理暂行办法有关问题的补充通知》（财库〔2015〕124号）规定，采购过程中通过符合性审查的供应商（社会资本）只有2家的，磋商采购活动可以继续进行。</w:t>
      </w:r>
    </w:p>
    <w:p w14:paraId="3CB0F6EF">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4.磋商程序</w:t>
      </w:r>
    </w:p>
    <w:p w14:paraId="09741DFB">
      <w:pPr>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4.1磋商小组按照“供应商须知前附表”确定的</w:t>
      </w:r>
      <w:r>
        <w:rPr>
          <w:rFonts w:hint="eastAsia" w:ascii="宋体" w:hAnsi="宋体" w:eastAsia="宋体" w:cs="宋体"/>
          <w:color w:val="auto"/>
          <w:szCs w:val="21"/>
          <w:highlight w:val="none"/>
        </w:rPr>
        <w:t>顺序，集中与单一供应商分别进行磋商，并给予所有参加磋商的供应商平等的磋商机会。符合磋商资格的供应商必须在接到磋商通知后规定时间内参加磋商，未在规定时间内参加磋商的视同放弃参加磋商权利，其响应文件按无效响应处理。</w:t>
      </w:r>
    </w:p>
    <w:p w14:paraId="579AA579">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4.2在磋商过程中，磋商小组可以根据磋商文件和磋商情况实质性变动采购需求中的技术、服务要求以及合同草案条款，但不得变动磋商文件中的其他内容。实质性变动的内容，须经采购人代表确认。可能实质性变动的内容为采购需求中的技术、服务要求以及合同草案条款。</w:t>
      </w:r>
    </w:p>
    <w:p w14:paraId="11EE12F7">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4.3对磋商文件作出的实质性变动是磋商文件的有效组成部分，由磋商小组及时以电子澄清函形式同时通知所有参加磋商的供应商。</w:t>
      </w:r>
    </w:p>
    <w:p w14:paraId="78CD1F8D">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4.4供应商必须按照磋商文件的变动情况和磋商小组的要求以回函的形式重新提交响应文件，并加盖电子公章。供应商为自然人的，必须由本人签字并附身份证明。参加磋商的供应商未在规定时间内重新提交响应文件的，视同退出磋商。</w:t>
      </w:r>
    </w:p>
    <w:p w14:paraId="559CD952">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4.5磋商中，</w:t>
      </w:r>
      <w:r>
        <w:rPr>
          <w:rFonts w:hint="eastAsia" w:ascii="宋体" w:hAnsi="宋体" w:eastAsia="宋体" w:cs="宋体"/>
          <w:color w:val="auto"/>
          <w:spacing w:val="-6"/>
          <w:szCs w:val="21"/>
          <w:highlight w:val="none"/>
        </w:rPr>
        <w:t>磋商的任何一方不得透露与磋商有关的其他供应商的技术资料、价格和其他信息。</w:t>
      </w:r>
    </w:p>
    <w:p w14:paraId="13690CAC">
      <w:pPr>
        <w:widowControl/>
        <w:tabs>
          <w:tab w:val="left" w:pos="540"/>
        </w:tabs>
        <w:spacing w:line="360" w:lineRule="auto"/>
        <w:ind w:firstLine="420" w:firstLineChars="200"/>
        <w:jc w:val="left"/>
        <w:rPr>
          <w:rFonts w:hint="eastAsia" w:ascii="宋体" w:hAnsi="宋体" w:eastAsia="宋体" w:cs="宋体"/>
          <w:b/>
          <w:color w:val="auto"/>
          <w:highlight w:val="none"/>
        </w:rPr>
      </w:pPr>
      <w:r>
        <w:rPr>
          <w:rFonts w:hint="eastAsia" w:ascii="宋体" w:hAnsi="宋体" w:eastAsia="宋体" w:cs="宋体"/>
          <w:color w:val="auto"/>
          <w:szCs w:val="21"/>
          <w:highlight w:val="none"/>
        </w:rPr>
        <w:t>4.6磋商小组应对磋商过程和重要磋商内容进行记录，作为评标报告一部分，磋商小组在记录上签字确认。主要内容包括：</w:t>
      </w:r>
    </w:p>
    <w:p w14:paraId="5AEB66D8">
      <w:pPr>
        <w:pStyle w:val="129"/>
        <w:spacing w:before="0" w:line="360" w:lineRule="auto"/>
        <w:ind w:firstLine="396"/>
        <w:rPr>
          <w:rFonts w:hint="eastAsia" w:ascii="宋体" w:hAnsi="宋体" w:eastAsia="宋体" w:cs="宋体"/>
          <w:color w:val="auto"/>
          <w:spacing w:val="-6"/>
          <w:kern w:val="2"/>
          <w:sz w:val="21"/>
          <w:szCs w:val="21"/>
          <w:highlight w:val="none"/>
        </w:rPr>
      </w:pPr>
      <w:r>
        <w:rPr>
          <w:rFonts w:hint="eastAsia" w:ascii="宋体" w:hAnsi="宋体" w:eastAsia="宋体" w:cs="宋体"/>
          <w:color w:val="auto"/>
          <w:spacing w:val="-6"/>
          <w:kern w:val="2"/>
          <w:sz w:val="21"/>
          <w:szCs w:val="21"/>
          <w:highlight w:val="none"/>
        </w:rPr>
        <w:t>（1）按照相关规定进行公示的，公示情况说明；</w:t>
      </w:r>
    </w:p>
    <w:p w14:paraId="6E17239B">
      <w:pPr>
        <w:pStyle w:val="129"/>
        <w:spacing w:before="0" w:line="360" w:lineRule="auto"/>
        <w:ind w:firstLine="396"/>
        <w:rPr>
          <w:rFonts w:hint="eastAsia" w:ascii="宋体" w:hAnsi="宋体" w:eastAsia="宋体" w:cs="宋体"/>
          <w:color w:val="auto"/>
          <w:spacing w:val="-6"/>
          <w:kern w:val="2"/>
          <w:sz w:val="21"/>
          <w:szCs w:val="21"/>
          <w:highlight w:val="none"/>
        </w:rPr>
      </w:pPr>
      <w:r>
        <w:rPr>
          <w:rFonts w:hint="eastAsia" w:ascii="宋体" w:hAnsi="宋体" w:eastAsia="宋体" w:cs="宋体"/>
          <w:color w:val="auto"/>
          <w:spacing w:val="-6"/>
          <w:kern w:val="2"/>
          <w:sz w:val="21"/>
          <w:szCs w:val="21"/>
          <w:highlight w:val="none"/>
        </w:rPr>
        <w:t>（2）磋商日期和地点，磋商人员名单；</w:t>
      </w:r>
    </w:p>
    <w:p w14:paraId="5775251D">
      <w:pPr>
        <w:pStyle w:val="129"/>
        <w:spacing w:before="0" w:line="360" w:lineRule="auto"/>
        <w:ind w:firstLine="396"/>
        <w:rPr>
          <w:rFonts w:hint="eastAsia" w:ascii="宋体" w:hAnsi="宋体" w:eastAsia="宋体" w:cs="宋体"/>
          <w:color w:val="auto"/>
          <w:spacing w:val="-6"/>
          <w:kern w:val="2"/>
          <w:sz w:val="21"/>
          <w:szCs w:val="21"/>
          <w:highlight w:val="none"/>
        </w:rPr>
      </w:pPr>
      <w:r>
        <w:rPr>
          <w:rFonts w:hint="eastAsia" w:ascii="宋体" w:hAnsi="宋体" w:eastAsia="宋体" w:cs="宋体"/>
          <w:color w:val="auto"/>
          <w:spacing w:val="-6"/>
          <w:kern w:val="2"/>
          <w:sz w:val="21"/>
          <w:szCs w:val="21"/>
          <w:highlight w:val="none"/>
        </w:rPr>
        <w:t>（3）合同主要条款及价格商定情况。</w:t>
      </w:r>
    </w:p>
    <w:p w14:paraId="1CB39701">
      <w:pPr>
        <w:widowControl/>
        <w:tabs>
          <w:tab w:val="left" w:pos="540"/>
        </w:tabs>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4.7磋商过程中重新提交的响应文件，供应商可以在开启前补充、修改。</w:t>
      </w:r>
    </w:p>
    <w:p w14:paraId="70D6A7CB">
      <w:pPr>
        <w:tabs>
          <w:tab w:val="left" w:pos="2835"/>
        </w:tabs>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4.8对磋商过程提交的响应文件进行有效性、完整性和响应程度审查，通过审查的合格供应商不足3家的，采购人或者采购代理机构应当重新开展采购活动。</w:t>
      </w:r>
    </w:p>
    <w:p w14:paraId="6B9E6BA0">
      <w:pPr>
        <w:spacing w:line="360" w:lineRule="auto"/>
        <w:ind w:left="0" w:leftChars="0" w:firstLine="420" w:firstLineChars="0"/>
        <w:rPr>
          <w:rFonts w:hint="eastAsia" w:ascii="宋体" w:hAnsi="宋体" w:eastAsia="宋体" w:cs="宋体"/>
          <w:color w:val="auto"/>
          <w:szCs w:val="21"/>
          <w:highlight w:val="none"/>
        </w:rPr>
      </w:pPr>
      <w:r>
        <w:rPr>
          <w:rFonts w:hint="eastAsia" w:ascii="宋体" w:hAnsi="宋体" w:eastAsia="宋体" w:cs="宋体"/>
          <w:b/>
          <w:bCs/>
          <w:color w:val="auto"/>
          <w:sz w:val="24"/>
          <w:highlight w:val="none"/>
        </w:rPr>
        <w:t>5.最后报价</w:t>
      </w:r>
    </w:p>
    <w:p w14:paraId="5A74170F">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5.1磋商文件能够详细列明采购标的的技术、服务要求的，磋商结束后，由磋商小组要求所有继续参加磋商的供应商在规定时间内密封提交最后报价，除本章第5.3条外，提交最后报价的供应商不得少于3家，否则必须重新采购。</w:t>
      </w:r>
    </w:p>
    <w:p w14:paraId="235AAC45">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5.2磋商文件不能详细列明采购标的的技术、服务要求，需经磋商由供应商提供最后设计方案或者解决方案的，磋商结束后，由磋商小组按照少数服从多数的原则投票推荐3家以上供应商的设计方案或者解决方案，并要求其在规定时间内密封提交最后报价。</w:t>
      </w:r>
    </w:p>
    <w:p w14:paraId="13745F54">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5.3最后报价是供应商响应文件的有效组成部分。符合《政府采购竞争性磋商采购方式管理暂行办法》（财库〔2014〕214号）第三条第四项“市场竞争不充分的科研项目，以及需要扶持的科技成果转化项目”的，提交最后报价的供应商可以为2家。</w:t>
      </w:r>
    </w:p>
    <w:p w14:paraId="38C41643">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5.4</w:t>
      </w:r>
      <w:r>
        <w:rPr>
          <w:rFonts w:hint="eastAsia" w:ascii="宋体" w:hAnsi="宋体" w:cs="宋体"/>
          <w:color w:val="auto"/>
          <w:szCs w:val="21"/>
          <w:highlight w:val="none"/>
          <w:lang w:val="en-US" w:eastAsia="zh-CN"/>
        </w:rPr>
        <w:t>已经</w:t>
      </w:r>
      <w:r>
        <w:rPr>
          <w:rFonts w:hint="eastAsia" w:ascii="宋体" w:hAnsi="宋体" w:eastAsia="宋体" w:cs="宋体"/>
          <w:color w:val="auto"/>
          <w:szCs w:val="21"/>
          <w:highlight w:val="none"/>
        </w:rPr>
        <w:t>提交响应文件的供应商，在提交最后报价之前，可以根据磋商情况退出磋商，退出磋商的供应商的响应文件按无效响应处理。</w:t>
      </w:r>
    </w:p>
    <w:p w14:paraId="780B47AF">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5.5供应商未在规定时间内提交最后报价的，视同退出磋商。</w:t>
      </w:r>
    </w:p>
    <w:p w14:paraId="1EF492DD">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5.6磋商小组收齐某一分标最后报价后统一开启，磋商小组对最后报价进行有效性、完整性和响应程度的审查。</w:t>
      </w:r>
    </w:p>
    <w:p w14:paraId="5752E720">
      <w:pPr>
        <w:spacing w:line="360" w:lineRule="auto"/>
        <w:ind w:firstLine="420" w:firstLineChars="20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5.7最终响应文件的报价出现前后不一致的，按照本章第3.4条的规定修正。</w:t>
      </w:r>
    </w:p>
    <w:p w14:paraId="45BE5190">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5.8修正后的最终报价出现下列情形的，按无效响应处理：</w:t>
      </w:r>
    </w:p>
    <w:p w14:paraId="091A0AAF">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（1）供应商不确认的（全流程电子化评标采取在线确认）；</w:t>
      </w:r>
    </w:p>
    <w:p w14:paraId="44A671A8">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（2）经供应商确认修正后的响应报价（包含首次报价、最后报价）超过所竞标分标规定的采购预算金额或者最高限价的（如本项目公布了最高限价）；</w:t>
      </w:r>
    </w:p>
    <w:p w14:paraId="4AAE1240">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（3）经供应商确认修正后的响应报价（包含首次报价、最后报价）超过分项采购预算金额或者最高限价的（如本项目公布了最高限价）。</w:t>
      </w:r>
    </w:p>
    <w:p w14:paraId="389A5EA8">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5.9经供应商确认修正后的最后报价作为评审及签订合同的依据。</w:t>
      </w:r>
    </w:p>
    <w:p w14:paraId="5B2FF581">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5.10供应商出现最后报价按无效响应处理或者响应文件按无效处理时</w:t>
      </w:r>
      <w:r>
        <w:rPr>
          <w:rFonts w:hint="eastAsia" w:ascii="宋体" w:hAnsi="宋体" w:eastAsia="宋体" w:cs="宋体"/>
          <w:color w:val="auto"/>
          <w:sz w:val="22"/>
          <w:szCs w:val="22"/>
          <w:highlight w:val="none"/>
        </w:rPr>
        <w:t>，磋商小组应当告知有关供应商</w:t>
      </w:r>
      <w:r>
        <w:rPr>
          <w:rFonts w:hint="eastAsia" w:ascii="宋体" w:hAnsi="宋体" w:eastAsia="宋体" w:cs="宋体"/>
          <w:color w:val="auto"/>
          <w:szCs w:val="21"/>
          <w:highlight w:val="none"/>
        </w:rPr>
        <w:t>。</w:t>
      </w:r>
    </w:p>
    <w:p w14:paraId="522678BF">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5.11最后报价结束后，磋商小组不得再与供应商进行任何形式的商谈。</w:t>
      </w:r>
    </w:p>
    <w:p w14:paraId="18D5CC81">
      <w:pPr>
        <w:spacing w:line="360" w:lineRule="auto"/>
        <w:ind w:firstLine="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6.比较与评价</w:t>
      </w:r>
    </w:p>
    <w:p w14:paraId="6C04D15A">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6.1评审方法：综合评分法。</w:t>
      </w:r>
    </w:p>
    <w:p w14:paraId="26C036C6">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6.2经磋商确定最终采购需求和提交最后报价的供应商后，由磋商小组采用综合评分法对提交最后报价的供应商的响应文件和最后报价进行综合评分。</w:t>
      </w:r>
    </w:p>
    <w:p w14:paraId="28FA55EC">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6.3评审时，磋商小组各成员应当独立对每个有效响应的文件进行评价、打分，然后汇总每个供应商每项评分因素的得分。</w:t>
      </w:r>
    </w:p>
    <w:p w14:paraId="68851E1F">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（1）磋商小组按照磋商文件中规定的评审标准计算各供应商的报价得分。项目评审过程中，不得去掉最后报价中的最高报价和最低报价。</w:t>
      </w:r>
    </w:p>
    <w:p w14:paraId="0634F571">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（2）各供应商的得分为磋商小组所有成员的有效评分的算术平均数。</w:t>
      </w:r>
    </w:p>
    <w:p w14:paraId="2D8286BC">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6.4评审价为供应商的最后报价进行政策性扣除后的价格，评审价只是作为评审时使用。最终成交供应商的成交金额等于最后报价（如有修正，以确认修正后的最后报价为准）。</w:t>
      </w:r>
    </w:p>
    <w:p w14:paraId="3778F6C4">
      <w:pPr>
        <w:spacing w:line="360" w:lineRule="auto"/>
        <w:ind w:firstLine="422" w:firstLineChars="200"/>
        <w:rPr>
          <w:rFonts w:hint="eastAsia" w:ascii="宋体" w:hAnsi="宋体" w:eastAsia="宋体" w:cs="宋体"/>
          <w:color w:val="auto"/>
          <w:szCs w:val="21"/>
          <w:highlight w:val="none"/>
        </w:rPr>
      </w:pPr>
      <w:r>
        <w:rPr>
          <w:rFonts w:hint="eastAsia" w:ascii="宋体" w:hAnsi="宋体" w:eastAsia="宋体" w:cs="宋体"/>
          <w:b/>
          <w:bCs/>
          <w:color w:val="auto"/>
          <w:szCs w:val="21"/>
          <w:highlight w:val="none"/>
        </w:rPr>
        <w:t>注：响应《政府采购促进中小企业发展管理办法（财库〔2020〕46号）》、《财政部关于进一步加大政府采购支持中小企业力度的通知（财库〔2022〕19号）》文件指导精神：</w:t>
      </w:r>
      <w:r>
        <w:rPr>
          <w:rFonts w:hint="eastAsia" w:ascii="宋体" w:hAnsi="宋体" w:cs="宋体"/>
          <w:b/>
          <w:bCs/>
          <w:color w:val="auto"/>
          <w:szCs w:val="21"/>
          <w:highlight w:val="none"/>
          <w:lang w:eastAsia="zh-CN"/>
        </w:rPr>
        <w:t>本项目为专门面向“中小企业”的项目</w:t>
      </w:r>
      <w:r>
        <w:rPr>
          <w:rFonts w:hint="eastAsia" w:ascii="宋体" w:hAnsi="宋体" w:eastAsia="宋体" w:cs="宋体"/>
          <w:b/>
          <w:bCs/>
          <w:color w:val="auto"/>
          <w:szCs w:val="21"/>
          <w:highlight w:val="none"/>
        </w:rPr>
        <w:t>或采购包，不再执行价格评审优惠。即：</w:t>
      </w:r>
      <w:r>
        <w:rPr>
          <w:rFonts w:hint="eastAsia" w:ascii="宋体" w:hAnsi="宋体" w:cs="宋体"/>
          <w:b/>
          <w:bCs/>
          <w:color w:val="auto"/>
          <w:szCs w:val="21"/>
          <w:highlight w:val="none"/>
          <w:lang w:eastAsia="zh-CN"/>
        </w:rPr>
        <w:t>评审价＝最终报价</w:t>
      </w:r>
      <w:r>
        <w:rPr>
          <w:rFonts w:hint="eastAsia" w:ascii="宋体" w:hAnsi="宋体" w:eastAsia="宋体" w:cs="宋体"/>
          <w:b/>
          <w:bCs/>
          <w:color w:val="auto"/>
          <w:szCs w:val="21"/>
          <w:highlight w:val="none"/>
        </w:rPr>
        <w:t>。</w:t>
      </w:r>
    </w:p>
    <w:p w14:paraId="06F415F1">
      <w:pPr>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szCs w:val="21"/>
          <w:highlight w:val="none"/>
        </w:rPr>
        <w:t>6.5由磋商小组根据综合评分情况，按照评审得分由高到低顺序推荐3名以上成交候选供应商，并编写评</w:t>
      </w:r>
      <w:r>
        <w:rPr>
          <w:rFonts w:hint="eastAsia" w:ascii="宋体" w:hAnsi="宋体" w:eastAsia="宋体" w:cs="宋体"/>
          <w:color w:val="auto"/>
          <w:kern w:val="0"/>
          <w:szCs w:val="21"/>
          <w:highlight w:val="none"/>
        </w:rPr>
        <w:t>审报告。符合本章第4.3条情形的，可以推荐2家成交候选供应商。评审得分相同的，按照最后报价由低到高的顺序推荐。评审得分且最后报价相同的，按照技术指标优劣顺序推荐。</w:t>
      </w:r>
    </w:p>
    <w:p w14:paraId="67D330A0">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6.6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2D76323B">
      <w:pPr>
        <w:spacing w:line="360" w:lineRule="auto"/>
        <w:ind w:firstLine="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7.评审标准</w:t>
      </w:r>
    </w:p>
    <w:p w14:paraId="00D552B3">
      <w:pPr>
        <w:spacing w:line="360" w:lineRule="auto"/>
        <w:ind w:firstLine="420" w:firstLineChars="200"/>
        <w:rPr>
          <w:rFonts w:hint="eastAsia" w:ascii="宋体" w:hAnsi="宋体" w:eastAsia="宋体" w:cs="宋体"/>
          <w:bCs/>
          <w:color w:val="auto"/>
          <w:szCs w:val="21"/>
          <w:highlight w:val="none"/>
        </w:rPr>
      </w:pPr>
      <w:bookmarkStart w:id="1759" w:name="OLE_LINK28"/>
      <w:r>
        <w:rPr>
          <w:rFonts w:hint="eastAsia" w:ascii="宋体" w:hAnsi="宋体" w:eastAsia="宋体" w:cs="宋体"/>
          <w:b w:val="0"/>
          <w:bCs/>
          <w:color w:val="auto"/>
          <w:highlight w:val="none"/>
        </w:rPr>
        <w:t>7.</w:t>
      </w:r>
      <w:r>
        <w:rPr>
          <w:rFonts w:hint="eastAsia" w:ascii="宋体" w:hAnsi="宋体" w:eastAsia="宋体" w:cs="宋体"/>
          <w:b w:val="0"/>
          <w:bCs/>
          <w:color w:val="auto"/>
          <w:szCs w:val="21"/>
          <w:highlight w:val="none"/>
        </w:rPr>
        <w:t>1</w:t>
      </w:r>
      <w:r>
        <w:rPr>
          <w:rFonts w:hint="eastAsia" w:ascii="宋体" w:hAnsi="宋体" w:eastAsia="宋体" w:cs="宋体"/>
          <w:bCs/>
          <w:color w:val="auto"/>
          <w:szCs w:val="21"/>
          <w:highlight w:val="none"/>
        </w:rPr>
        <w:t>评审依据：磋商小组将以磋商响应文件为评审依据，对供应商的报价、</w:t>
      </w:r>
      <w:r>
        <w:rPr>
          <w:rFonts w:hint="eastAsia" w:ascii="宋体" w:hAnsi="宋体" w:eastAsia="宋体" w:cs="宋体"/>
          <w:bCs/>
          <w:color w:val="auto"/>
          <w:szCs w:val="21"/>
          <w:highlight w:val="none"/>
          <w:lang w:val="en-US" w:eastAsia="zh-CN"/>
        </w:rPr>
        <w:t>商务</w:t>
      </w:r>
      <w:r>
        <w:rPr>
          <w:rFonts w:hint="eastAsia" w:ascii="宋体" w:hAnsi="宋体" w:eastAsia="宋体" w:cs="宋体"/>
          <w:bCs/>
          <w:color w:val="auto"/>
          <w:szCs w:val="21"/>
          <w:highlight w:val="none"/>
        </w:rPr>
        <w:t>技术等方面内容按百分制打分。（计分方法按四舍五入取至百分位）</w:t>
      </w:r>
    </w:p>
    <w:tbl>
      <w:tblPr>
        <w:tblStyle w:val="33"/>
        <w:tblW w:w="954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3"/>
        <w:gridCol w:w="1101"/>
        <w:gridCol w:w="6597"/>
        <w:gridCol w:w="1081"/>
      </w:tblGrid>
      <w:tr w14:paraId="169F3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9542" w:type="dxa"/>
            <w:gridSpan w:val="4"/>
          </w:tcPr>
          <w:p w14:paraId="2850B891">
            <w:pPr>
              <w:keepNext w:val="0"/>
              <w:keepLines w:val="0"/>
              <w:pageBreakBefore w:val="0"/>
              <w:widowControl w:val="0"/>
              <w:kinsoku/>
              <w:wordWrap/>
              <w:overflowPunct/>
              <w:topLinePunct w:val="0"/>
              <w:autoSpaceDE w:val="0"/>
              <w:autoSpaceDN w:val="0"/>
              <w:bidi w:val="0"/>
              <w:adjustRightInd w:val="0"/>
              <w:snapToGrid/>
              <w:spacing w:line="360" w:lineRule="auto"/>
              <w:jc w:val="center"/>
              <w:textAlignment w:val="auto"/>
              <w:outlineLvl w:val="9"/>
              <w:rPr>
                <w:rFonts w:hint="eastAsia" w:ascii="宋体" w:hAnsi="宋体" w:eastAsia="宋体" w:cs="宋体"/>
                <w:b/>
                <w:color w:val="auto"/>
                <w:sz w:val="21"/>
                <w:szCs w:val="21"/>
                <w:highlight w:val="none"/>
              </w:rPr>
            </w:pPr>
            <w:bookmarkStart w:id="1760" w:name="_Toc30161"/>
            <w:bookmarkStart w:id="1761" w:name="_Toc80205935"/>
            <w:r>
              <w:rPr>
                <w:rFonts w:hint="eastAsia" w:ascii="宋体" w:hAnsi="宋体" w:eastAsia="宋体" w:cs="宋体"/>
                <w:b/>
                <w:color w:val="auto"/>
                <w:kern w:val="0"/>
                <w:sz w:val="21"/>
                <w:szCs w:val="21"/>
                <w:highlight w:val="none"/>
              </w:rPr>
              <w:t>详细评审标准</w:t>
            </w:r>
          </w:p>
        </w:tc>
      </w:tr>
      <w:tr w14:paraId="4D4D2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63" w:type="dxa"/>
            <w:vAlign w:val="top"/>
          </w:tcPr>
          <w:p w14:paraId="5088BE43">
            <w:pPr>
              <w:keepNext w:val="0"/>
              <w:keepLines w:val="0"/>
              <w:pageBreakBefore w:val="0"/>
              <w:kinsoku/>
              <w:wordWrap/>
              <w:overflowPunct/>
              <w:topLinePunct w:val="0"/>
              <w:bidi w:val="0"/>
              <w:snapToGrid/>
              <w:spacing w:line="360" w:lineRule="auto"/>
              <w:textAlignment w:val="auto"/>
              <w:rPr>
                <w:rFonts w:hint="eastAsia" w:ascii="宋体" w:hAnsi="宋体" w:eastAsia="宋体" w:cs="宋体"/>
                <w:b/>
                <w:color w:val="auto"/>
                <w:kern w:val="0"/>
                <w:sz w:val="21"/>
                <w:szCs w:val="21"/>
                <w:highlight w:val="none"/>
              </w:rPr>
            </w:pPr>
            <w:r>
              <w:rPr>
                <w:rFonts w:hint="eastAsia" w:ascii="宋体" w:hAnsi="宋体" w:eastAsia="宋体" w:cs="宋体"/>
                <w:bCs/>
                <w:color w:val="auto"/>
                <w:sz w:val="21"/>
                <w:szCs w:val="21"/>
                <w:highlight w:val="none"/>
              </w:rPr>
              <w:t>序号</w:t>
            </w:r>
          </w:p>
        </w:tc>
        <w:tc>
          <w:tcPr>
            <w:tcW w:w="1101" w:type="dxa"/>
            <w:vAlign w:val="top"/>
          </w:tcPr>
          <w:p w14:paraId="001627C3">
            <w:pPr>
              <w:keepNext w:val="0"/>
              <w:keepLines w:val="0"/>
              <w:pageBreakBefore w:val="0"/>
              <w:kinsoku/>
              <w:wordWrap/>
              <w:overflowPunct/>
              <w:topLinePunct w:val="0"/>
              <w:bidi w:val="0"/>
              <w:snapToGrid/>
              <w:spacing w:line="360" w:lineRule="auto"/>
              <w:textAlignment w:val="auto"/>
              <w:rPr>
                <w:rFonts w:hint="eastAsia" w:ascii="宋体" w:hAnsi="宋体" w:eastAsia="宋体" w:cs="宋体"/>
                <w:b/>
                <w:color w:val="auto"/>
                <w:kern w:val="0"/>
                <w:sz w:val="21"/>
                <w:szCs w:val="21"/>
                <w:highlight w:val="none"/>
              </w:rPr>
            </w:pPr>
            <w:r>
              <w:rPr>
                <w:rFonts w:hint="eastAsia" w:ascii="宋体" w:hAnsi="宋体" w:eastAsia="宋体" w:cs="宋体"/>
                <w:bCs/>
                <w:color w:val="auto"/>
                <w:sz w:val="21"/>
                <w:szCs w:val="21"/>
                <w:highlight w:val="none"/>
              </w:rPr>
              <w:t>评分类型</w:t>
            </w:r>
          </w:p>
        </w:tc>
        <w:tc>
          <w:tcPr>
            <w:tcW w:w="6597" w:type="dxa"/>
            <w:vAlign w:val="top"/>
          </w:tcPr>
          <w:p w14:paraId="064674DB">
            <w:pPr>
              <w:keepNext w:val="0"/>
              <w:keepLines w:val="0"/>
              <w:pageBreakBefore w:val="0"/>
              <w:kinsoku/>
              <w:wordWrap/>
              <w:overflowPunct/>
              <w:topLinePunct w:val="0"/>
              <w:bidi w:val="0"/>
              <w:snapToGrid/>
              <w:spacing w:line="360" w:lineRule="auto"/>
              <w:jc w:val="center"/>
              <w:textAlignment w:val="auto"/>
              <w:rPr>
                <w:rFonts w:hint="eastAsia" w:ascii="宋体" w:hAnsi="宋体" w:eastAsia="宋体" w:cs="宋体"/>
                <w:b/>
                <w:color w:val="auto"/>
                <w:kern w:val="0"/>
                <w:sz w:val="21"/>
                <w:szCs w:val="21"/>
                <w:highlight w:val="none"/>
              </w:rPr>
            </w:pPr>
            <w:r>
              <w:rPr>
                <w:rFonts w:hint="eastAsia" w:ascii="宋体" w:hAnsi="宋体" w:eastAsia="宋体" w:cs="宋体"/>
                <w:bCs/>
                <w:color w:val="auto"/>
                <w:sz w:val="21"/>
                <w:szCs w:val="21"/>
                <w:highlight w:val="none"/>
              </w:rPr>
              <w:t>评分标准</w:t>
            </w:r>
          </w:p>
        </w:tc>
        <w:tc>
          <w:tcPr>
            <w:tcW w:w="1081" w:type="dxa"/>
            <w:vAlign w:val="center"/>
          </w:tcPr>
          <w:p w14:paraId="10385E20">
            <w:pPr>
              <w:keepNext w:val="0"/>
              <w:keepLines w:val="0"/>
              <w:pageBreakBefore w:val="0"/>
              <w:kinsoku/>
              <w:wordWrap/>
              <w:overflowPunct/>
              <w:topLinePunct w:val="0"/>
              <w:bidi w:val="0"/>
              <w:snapToGrid/>
              <w:spacing w:line="360" w:lineRule="auto"/>
              <w:jc w:val="center"/>
              <w:textAlignment w:val="auto"/>
              <w:rPr>
                <w:rFonts w:hint="eastAsia" w:ascii="宋体" w:hAnsi="宋体" w:eastAsia="宋体" w:cs="宋体"/>
                <w:b/>
                <w:color w:val="auto"/>
                <w:kern w:val="0"/>
                <w:sz w:val="21"/>
                <w:szCs w:val="21"/>
                <w:highlight w:val="none"/>
              </w:rPr>
            </w:pPr>
            <w:r>
              <w:rPr>
                <w:rFonts w:hint="eastAsia" w:ascii="宋体" w:hAnsi="宋体" w:eastAsia="宋体" w:cs="宋体"/>
                <w:bCs/>
                <w:color w:val="auto"/>
                <w:sz w:val="21"/>
                <w:szCs w:val="21"/>
                <w:highlight w:val="none"/>
              </w:rPr>
              <w:t>分值</w:t>
            </w:r>
          </w:p>
        </w:tc>
      </w:tr>
      <w:tr w14:paraId="4806D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trPr>
        <w:tc>
          <w:tcPr>
            <w:tcW w:w="763" w:type="dxa"/>
            <w:vAlign w:val="center"/>
          </w:tcPr>
          <w:p w14:paraId="12681738">
            <w:pPr>
              <w:keepNext w:val="0"/>
              <w:keepLines w:val="0"/>
              <w:pageBreakBefore w:val="0"/>
              <w:kinsoku/>
              <w:wordWrap/>
              <w:overflowPunct/>
              <w:topLinePunct w:val="0"/>
              <w:bidi w:val="0"/>
              <w:snapToGrid/>
              <w:spacing w:line="360" w:lineRule="auto"/>
              <w:jc w:val="center"/>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1</w:t>
            </w:r>
          </w:p>
        </w:tc>
        <w:tc>
          <w:tcPr>
            <w:tcW w:w="1101" w:type="dxa"/>
            <w:vAlign w:val="center"/>
          </w:tcPr>
          <w:p w14:paraId="392B074E">
            <w:pPr>
              <w:keepNext w:val="0"/>
              <w:keepLines w:val="0"/>
              <w:pageBreakBefore w:val="0"/>
              <w:kinsoku/>
              <w:wordWrap/>
              <w:overflowPunct/>
              <w:topLinePunct w:val="0"/>
              <w:bidi w:val="0"/>
              <w:snapToGrid/>
              <w:spacing w:line="360" w:lineRule="auto"/>
              <w:jc w:val="center"/>
              <w:textAlignment w:val="auto"/>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rPr>
              <w:t>报价</w:t>
            </w:r>
            <w:r>
              <w:rPr>
                <w:rFonts w:hint="eastAsia" w:ascii="宋体" w:hAnsi="宋体" w:cs="宋体"/>
                <w:bCs/>
                <w:color w:val="auto"/>
                <w:sz w:val="21"/>
                <w:szCs w:val="21"/>
                <w:highlight w:val="none"/>
                <w:lang w:val="en-US" w:eastAsia="zh-CN"/>
              </w:rPr>
              <w:t>分</w:t>
            </w:r>
          </w:p>
        </w:tc>
        <w:tc>
          <w:tcPr>
            <w:tcW w:w="6597" w:type="dxa"/>
            <w:vAlign w:val="top"/>
          </w:tcPr>
          <w:p w14:paraId="0A962A07">
            <w:pPr>
              <w:keepNext w:val="0"/>
              <w:keepLines w:val="0"/>
              <w:pageBreakBefore w:val="0"/>
              <w:widowControl w:val="0"/>
              <w:kinsoku/>
              <w:wordWrap/>
              <w:overflowPunct/>
              <w:topLinePunct w:val="0"/>
              <w:bidi w:val="0"/>
              <w:snapToGrid/>
              <w:spacing w:line="360" w:lineRule="auto"/>
              <w:ind w:firstLine="420" w:firstLineChars="200"/>
              <w:textAlignment w:val="auto"/>
              <w:outlineLvl w:val="9"/>
              <w:rPr>
                <w:rFonts w:hint="eastAsia"/>
                <w:color w:val="auto"/>
                <w:highlight w:val="none"/>
              </w:rPr>
            </w:pPr>
            <w:r>
              <w:rPr>
                <w:rFonts w:hint="eastAsia"/>
                <w:color w:val="auto"/>
                <w:highlight w:val="none"/>
              </w:rPr>
              <w:t>评标基准价的计算方法：</w:t>
            </w:r>
          </w:p>
          <w:p w14:paraId="3576E71D">
            <w:pPr>
              <w:keepNext w:val="0"/>
              <w:keepLines w:val="0"/>
              <w:pageBreakBefore w:val="0"/>
              <w:widowControl w:val="0"/>
              <w:kinsoku/>
              <w:wordWrap/>
              <w:overflowPunct/>
              <w:topLinePunct w:val="0"/>
              <w:bidi w:val="0"/>
              <w:snapToGrid/>
              <w:spacing w:line="360" w:lineRule="auto"/>
              <w:ind w:firstLine="420" w:firstLineChars="200"/>
              <w:textAlignment w:val="auto"/>
              <w:outlineLvl w:val="9"/>
              <w:rPr>
                <w:rFonts w:hint="eastAsia"/>
                <w:color w:val="auto"/>
                <w:highlight w:val="none"/>
              </w:rPr>
            </w:pPr>
            <w:r>
              <w:rPr>
                <w:rFonts w:hint="eastAsia"/>
                <w:color w:val="auto"/>
                <w:highlight w:val="none"/>
                <w:lang w:eastAsia="zh-CN"/>
              </w:rPr>
              <w:t>（</w:t>
            </w:r>
            <w:r>
              <w:rPr>
                <w:rFonts w:hint="eastAsia"/>
                <w:color w:val="auto"/>
                <w:highlight w:val="none"/>
                <w:lang w:val="en-US" w:eastAsia="zh-CN"/>
              </w:rPr>
              <w:t>1</w:t>
            </w:r>
            <w:r>
              <w:rPr>
                <w:rFonts w:hint="eastAsia"/>
                <w:color w:val="auto"/>
                <w:highlight w:val="none"/>
                <w:lang w:eastAsia="zh-CN"/>
              </w:rPr>
              <w:t>）</w:t>
            </w:r>
            <w:r>
              <w:rPr>
                <w:rFonts w:hint="eastAsia"/>
                <w:color w:val="auto"/>
                <w:highlight w:val="none"/>
              </w:rPr>
              <w:t>竞标报价有效报价范围：有效报价范围为竞标总价低于或等于招标控制价，且通过初步评审的供应商竞标总价。</w:t>
            </w:r>
          </w:p>
          <w:p w14:paraId="7665F8C9">
            <w:pPr>
              <w:keepNext w:val="0"/>
              <w:keepLines w:val="0"/>
              <w:pageBreakBefore w:val="0"/>
              <w:widowControl w:val="0"/>
              <w:kinsoku/>
              <w:wordWrap/>
              <w:overflowPunct/>
              <w:topLinePunct w:val="0"/>
              <w:bidi w:val="0"/>
              <w:snapToGrid/>
              <w:spacing w:line="360" w:lineRule="auto"/>
              <w:ind w:firstLine="420" w:firstLineChars="200"/>
              <w:textAlignment w:val="auto"/>
              <w:outlineLvl w:val="9"/>
              <w:rPr>
                <w:rFonts w:hint="eastAsia"/>
                <w:color w:val="auto"/>
                <w:highlight w:val="none"/>
              </w:rPr>
            </w:pPr>
            <w:r>
              <w:rPr>
                <w:rFonts w:hint="eastAsia"/>
                <w:color w:val="auto"/>
                <w:highlight w:val="none"/>
                <w:lang w:eastAsia="zh-CN"/>
              </w:rPr>
              <w:t>（</w:t>
            </w:r>
            <w:r>
              <w:rPr>
                <w:rFonts w:hint="eastAsia"/>
                <w:color w:val="auto"/>
                <w:highlight w:val="none"/>
                <w:lang w:val="en-US" w:eastAsia="zh-CN"/>
              </w:rPr>
              <w:t>2</w:t>
            </w:r>
            <w:r>
              <w:rPr>
                <w:rFonts w:hint="eastAsia"/>
                <w:color w:val="auto"/>
                <w:highlight w:val="none"/>
                <w:lang w:eastAsia="zh-CN"/>
              </w:rPr>
              <w:t>）</w:t>
            </w:r>
            <w:r>
              <w:rPr>
                <w:rFonts w:hint="eastAsia"/>
                <w:color w:val="auto"/>
                <w:highlight w:val="none"/>
              </w:rPr>
              <w:t>将有效报价范围内的供应商，按其竞标报价由低到高的顺序依次排出名次。</w:t>
            </w:r>
          </w:p>
          <w:p w14:paraId="729129C6">
            <w:pPr>
              <w:keepNext w:val="0"/>
              <w:keepLines w:val="0"/>
              <w:pageBreakBefore w:val="0"/>
              <w:widowControl w:val="0"/>
              <w:kinsoku/>
              <w:wordWrap/>
              <w:overflowPunct/>
              <w:topLinePunct w:val="0"/>
              <w:bidi w:val="0"/>
              <w:snapToGrid/>
              <w:spacing w:line="360" w:lineRule="auto"/>
              <w:ind w:firstLine="420" w:firstLineChars="200"/>
              <w:textAlignment w:val="auto"/>
              <w:outlineLvl w:val="9"/>
              <w:rPr>
                <w:rFonts w:hint="eastAsia"/>
                <w:color w:val="auto"/>
                <w:highlight w:val="none"/>
              </w:rPr>
            </w:pPr>
            <w:r>
              <w:rPr>
                <w:rFonts w:hint="eastAsia"/>
                <w:color w:val="auto"/>
                <w:highlight w:val="none"/>
                <w:lang w:eastAsia="zh-CN"/>
              </w:rPr>
              <w:t>（</w:t>
            </w:r>
            <w:r>
              <w:rPr>
                <w:rFonts w:hint="eastAsia"/>
                <w:color w:val="auto"/>
                <w:highlight w:val="none"/>
                <w:lang w:val="en-US" w:eastAsia="zh-CN"/>
              </w:rPr>
              <w:t>3</w:t>
            </w:r>
            <w:r>
              <w:rPr>
                <w:rFonts w:hint="eastAsia"/>
                <w:color w:val="auto"/>
                <w:highlight w:val="none"/>
                <w:lang w:eastAsia="zh-CN"/>
              </w:rPr>
              <w:t>）</w:t>
            </w:r>
            <w:r>
              <w:rPr>
                <w:rFonts w:hint="eastAsia"/>
                <w:color w:val="auto"/>
                <w:highlight w:val="none"/>
              </w:rPr>
              <w:t>评标基准价=竞标人最低报价（最终报价）</w:t>
            </w:r>
          </w:p>
          <w:p w14:paraId="4C357E13">
            <w:pPr>
              <w:keepNext w:val="0"/>
              <w:keepLines w:val="0"/>
              <w:pageBreakBefore w:val="0"/>
              <w:widowControl w:val="0"/>
              <w:kinsoku/>
              <w:wordWrap/>
              <w:overflowPunct/>
              <w:topLinePunct w:val="0"/>
              <w:bidi w:val="0"/>
              <w:snapToGrid/>
              <w:spacing w:line="360" w:lineRule="auto"/>
              <w:ind w:firstLine="420" w:firstLineChars="200"/>
              <w:textAlignment w:val="auto"/>
              <w:outlineLvl w:val="9"/>
              <w:rPr>
                <w:rFonts w:hint="eastAsia"/>
                <w:color w:val="auto"/>
                <w:highlight w:val="none"/>
              </w:rPr>
            </w:pPr>
            <w:r>
              <w:rPr>
                <w:rFonts w:hint="eastAsia"/>
                <w:color w:val="auto"/>
                <w:highlight w:val="none"/>
                <w:lang w:eastAsia="zh-CN"/>
              </w:rPr>
              <w:t>本项目为专门面向“中小企业”的项目</w:t>
            </w:r>
            <w:r>
              <w:rPr>
                <w:rFonts w:hint="eastAsia"/>
                <w:color w:val="auto"/>
                <w:highlight w:val="none"/>
              </w:rPr>
              <w:t>或采购包，且本项目为</w:t>
            </w:r>
            <w:r>
              <w:rPr>
                <w:rFonts w:hint="eastAsia"/>
                <w:color w:val="auto"/>
                <w:highlight w:val="none"/>
                <w:lang w:val="en-US" w:eastAsia="zh-CN"/>
              </w:rPr>
              <w:t>工程</w:t>
            </w:r>
            <w:r>
              <w:rPr>
                <w:rFonts w:hint="eastAsia"/>
                <w:color w:val="auto"/>
                <w:highlight w:val="none"/>
              </w:rPr>
              <w:t>项目不涉及货物，不在本国产品标准的货物的适用范围，</w:t>
            </w:r>
            <w:r>
              <w:rPr>
                <w:rFonts w:hint="eastAsia"/>
                <w:color w:val="auto"/>
                <w:highlight w:val="none"/>
                <w:lang w:val="en-US" w:eastAsia="zh-CN"/>
              </w:rPr>
              <w:t>竞标</w:t>
            </w:r>
            <w:r>
              <w:rPr>
                <w:rFonts w:hint="eastAsia"/>
                <w:color w:val="auto"/>
                <w:highlight w:val="none"/>
              </w:rPr>
              <w:t>人均无本国产品价格扣除。不再执行价格评审优惠。以进入比较与评价环节的最低的投标报价为基准价，基准价得分为</w:t>
            </w:r>
            <w:r>
              <w:rPr>
                <w:rFonts w:hint="eastAsia"/>
                <w:color w:val="auto"/>
                <w:highlight w:val="none"/>
                <w:lang w:val="en-US" w:eastAsia="zh-CN"/>
              </w:rPr>
              <w:t>3</w:t>
            </w:r>
            <w:r>
              <w:rPr>
                <w:rFonts w:hint="eastAsia"/>
                <w:color w:val="auto"/>
                <w:highlight w:val="none"/>
              </w:rPr>
              <w:t>0分。</w:t>
            </w:r>
          </w:p>
          <w:p w14:paraId="0F438547">
            <w:pPr>
              <w:keepNext w:val="0"/>
              <w:keepLines w:val="0"/>
              <w:pageBreakBefore w:val="0"/>
              <w:numPr>
                <w:ilvl w:val="0"/>
                <w:numId w:val="8"/>
              </w:numPr>
              <w:kinsoku/>
              <w:wordWrap/>
              <w:overflowPunct/>
              <w:topLinePunct w:val="0"/>
              <w:bidi w:val="0"/>
              <w:snapToGrid/>
              <w:spacing w:line="360" w:lineRule="auto"/>
              <w:ind w:leftChars="200"/>
              <w:textAlignment w:val="auto"/>
              <w:rPr>
                <w:rFonts w:hint="eastAsia"/>
                <w:color w:val="auto"/>
                <w:highlight w:val="none"/>
              </w:rPr>
            </w:pPr>
            <w:r>
              <w:rPr>
                <w:rFonts w:hint="eastAsia"/>
                <w:color w:val="auto"/>
                <w:highlight w:val="none"/>
              </w:rPr>
              <w:t>有效某竞标人价格分 = 竞标人最低报价（最终报价）/某竞</w:t>
            </w:r>
          </w:p>
          <w:p w14:paraId="2BF68E66">
            <w:pPr>
              <w:keepNext w:val="0"/>
              <w:keepLines w:val="0"/>
              <w:pageBreakBefore w:val="0"/>
              <w:numPr>
                <w:ilvl w:val="0"/>
                <w:numId w:val="0"/>
              </w:numPr>
              <w:kinsoku/>
              <w:wordWrap/>
              <w:overflowPunct/>
              <w:topLinePunct w:val="0"/>
              <w:bidi w:val="0"/>
              <w:snapToGrid/>
              <w:spacing w:line="360" w:lineRule="auto"/>
              <w:textAlignment w:val="auto"/>
              <w:rPr>
                <w:rFonts w:hint="eastAsia"/>
                <w:color w:val="auto"/>
                <w:highlight w:val="none"/>
              </w:rPr>
            </w:pPr>
            <w:r>
              <w:rPr>
                <w:rFonts w:hint="eastAsia"/>
                <w:color w:val="auto"/>
                <w:highlight w:val="none"/>
              </w:rPr>
              <w:t>标人最终报价×</w:t>
            </w:r>
            <w:r>
              <w:rPr>
                <w:rFonts w:hint="eastAsia"/>
                <w:color w:val="auto"/>
                <w:highlight w:val="none"/>
                <w:lang w:val="en-US" w:eastAsia="zh-CN"/>
              </w:rPr>
              <w:t>3</w:t>
            </w:r>
            <w:r>
              <w:rPr>
                <w:rFonts w:hint="eastAsia"/>
                <w:color w:val="auto"/>
                <w:highlight w:val="none"/>
              </w:rPr>
              <w:t>0分。</w:t>
            </w:r>
          </w:p>
          <w:p w14:paraId="63A1E99E">
            <w:pPr>
              <w:pStyle w:val="2"/>
              <w:keepNext w:val="0"/>
              <w:keepLines w:val="0"/>
              <w:pageBreakBefore w:val="0"/>
              <w:kinsoku/>
              <w:wordWrap/>
              <w:overflowPunct/>
              <w:topLinePunct w:val="0"/>
              <w:bidi w:val="0"/>
              <w:snapToGrid/>
              <w:spacing w:line="360" w:lineRule="auto"/>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注：</w:t>
            </w:r>
          </w:p>
          <w:p w14:paraId="725B6D16">
            <w:pPr>
              <w:keepNext w:val="0"/>
              <w:keepLines w:val="0"/>
              <w:pageBreakBefore w:val="0"/>
              <w:kinsoku/>
              <w:wordWrap/>
              <w:overflowPunct/>
              <w:topLinePunct w:val="0"/>
              <w:bidi w:val="0"/>
              <w:snapToGrid/>
              <w:spacing w:line="360" w:lineRule="auto"/>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根据</w:t>
            </w:r>
            <w:bookmarkStart w:id="1762" w:name="OLE_LINK31"/>
            <w:r>
              <w:rPr>
                <w:rFonts w:hint="eastAsia" w:ascii="宋体" w:hAnsi="宋体" w:eastAsia="宋体" w:cs="宋体"/>
                <w:color w:val="auto"/>
                <w:sz w:val="21"/>
                <w:szCs w:val="21"/>
                <w:highlight w:val="none"/>
                <w:lang w:val="en-US" w:eastAsia="zh-CN"/>
              </w:rPr>
              <w:t>财政部 财库〔2026〕2号《关于推动解决政府采购异常低价问题的通知》</w:t>
            </w:r>
            <w:bookmarkEnd w:id="1762"/>
            <w:r>
              <w:rPr>
                <w:rFonts w:hint="eastAsia" w:ascii="宋体" w:hAnsi="宋体" w:eastAsia="宋体" w:cs="宋体"/>
                <w:color w:val="auto"/>
                <w:sz w:val="21"/>
                <w:szCs w:val="21"/>
                <w:highlight w:val="none"/>
                <w:lang w:val="en-US" w:eastAsia="zh-CN"/>
              </w:rPr>
              <w:t>强化政府采购异常低价审查：竞标人竞标报价（包含响应文件及竞标最终轮响应函中的竞标报价）不得低于其承包项目时可预见的自身成本。竞标人报价出现下列情形之一的，磋商小组应当启动异常低价竞标（响应）审查程序。磋商小组应当要求相关竞标人在评审现场1小时内对响应价格作出解释，提供项目具体成本测算等与报价合理性相关的书面说明及必要的证明材料，包括但不限于原材料成本、人工成本、制造费用等。其中，属于第③项情形，竞标人已随投标（响应）文件一并提交相关书面说明及必要的证明材料的，在评审现场可不再重复提交。逾期未提交，或采购代理机构按磋商会议竞标人签到表无法与该人员联系，或所提供证明材料不齐全，或磋商小组针对其提交证明材料进行核算后仍认为不能证明其报价合理性的，其响应文件（竞标）作否决处理。 </w:t>
            </w:r>
          </w:p>
          <w:p w14:paraId="004F8B7A">
            <w:pPr>
              <w:keepNext w:val="0"/>
              <w:keepLines w:val="0"/>
              <w:pageBreakBefore w:val="0"/>
              <w:kinsoku/>
              <w:wordWrap/>
              <w:overflowPunct/>
              <w:topLinePunct w:val="0"/>
              <w:bidi w:val="0"/>
              <w:snapToGrid/>
              <w:spacing w:line="360" w:lineRule="auto"/>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①投标（响应）报价低于全部通过符合性审查供应商投标（响应）报价平均值65%的，即投标（响应）报价＜全部通过符合性审查供应商投标（响应）报价平均值×65%； </w:t>
            </w:r>
          </w:p>
          <w:p w14:paraId="157FA0E0">
            <w:pPr>
              <w:keepNext w:val="0"/>
              <w:keepLines w:val="0"/>
              <w:pageBreakBefore w:val="0"/>
              <w:kinsoku/>
              <w:wordWrap/>
              <w:overflowPunct/>
              <w:topLinePunct w:val="0"/>
              <w:bidi w:val="0"/>
              <w:snapToGrid/>
              <w:spacing w:line="360" w:lineRule="auto"/>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②投标（响应）报价低于通过符合性审查的次低报价供应商投标（响应）报价65%的，即投标（响应）报价＜通过符合性审查的次低报价供应商投标（响应）报价×65%； </w:t>
            </w:r>
          </w:p>
          <w:p w14:paraId="3889934A">
            <w:pPr>
              <w:keepNext w:val="0"/>
              <w:keepLines w:val="0"/>
              <w:pageBreakBefore w:val="0"/>
              <w:kinsoku/>
              <w:wordWrap/>
              <w:overflowPunct/>
              <w:topLinePunct w:val="0"/>
              <w:bidi w:val="0"/>
              <w:snapToGrid/>
              <w:spacing w:line="360" w:lineRule="auto"/>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③投标（响应）报价低于采购项目最高限价65%的，即投标（响应）报价＜采购项目最高限价×65%； </w:t>
            </w:r>
          </w:p>
          <w:p w14:paraId="4A392758">
            <w:pPr>
              <w:pStyle w:val="2"/>
              <w:keepNext w:val="0"/>
              <w:keepLines w:val="0"/>
              <w:pageBreakBefore w:val="0"/>
              <w:widowControl w:val="0"/>
              <w:numPr>
                <w:ilvl w:val="0"/>
                <w:numId w:val="0"/>
              </w:numPr>
              <w:kinsoku/>
              <w:wordWrap/>
              <w:overflowPunct/>
              <w:topLinePunct w:val="0"/>
              <w:bidi w:val="0"/>
              <w:snapToGrid/>
              <w:spacing w:line="360" w:lineRule="auto"/>
              <w:jc w:val="both"/>
              <w:textAlignment w:val="auto"/>
              <w:rPr>
                <w:rFonts w:hint="eastAsia"/>
                <w:color w:val="auto"/>
                <w:highlight w:val="none"/>
              </w:rPr>
            </w:pPr>
            <w:r>
              <w:rPr>
                <w:rFonts w:hint="eastAsia" w:ascii="宋体" w:hAnsi="宋体" w:eastAsia="宋体" w:cs="宋体"/>
                <w:color w:val="auto"/>
                <w:sz w:val="21"/>
                <w:szCs w:val="21"/>
                <w:highlight w:val="none"/>
                <w:lang w:val="en-US" w:eastAsia="zh-CN"/>
              </w:rPr>
              <w:t>④磋商小组基于专业判断，认为供应商报价过低，有可能影响产品质量或者不能诚信履约的其他情形。</w:t>
            </w:r>
          </w:p>
        </w:tc>
        <w:tc>
          <w:tcPr>
            <w:tcW w:w="1081" w:type="dxa"/>
            <w:vAlign w:val="center"/>
          </w:tcPr>
          <w:p w14:paraId="777889CE">
            <w:pPr>
              <w:keepNext w:val="0"/>
              <w:keepLines w:val="0"/>
              <w:pageBreakBefore w:val="0"/>
              <w:kinsoku/>
              <w:wordWrap/>
              <w:overflowPunct/>
              <w:topLinePunct w:val="0"/>
              <w:bidi w:val="0"/>
              <w:snapToGrid/>
              <w:spacing w:line="360" w:lineRule="auto"/>
              <w:jc w:val="center"/>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0</w:t>
            </w:r>
            <w:r>
              <w:rPr>
                <w:rFonts w:hint="eastAsia" w:ascii="宋体" w:hAnsi="宋体" w:cs="宋体"/>
                <w:bCs/>
                <w:color w:val="auto"/>
                <w:sz w:val="21"/>
                <w:szCs w:val="21"/>
                <w:highlight w:val="none"/>
                <w:lang w:val="en-US" w:eastAsia="zh-CN"/>
              </w:rPr>
              <w:t>-</w:t>
            </w:r>
            <w:r>
              <w:rPr>
                <w:rFonts w:hint="eastAsia" w:ascii="宋体" w:hAnsi="宋体" w:eastAsia="宋体" w:cs="宋体"/>
                <w:bCs/>
                <w:color w:val="auto"/>
                <w:sz w:val="21"/>
                <w:szCs w:val="21"/>
                <w:highlight w:val="none"/>
              </w:rPr>
              <w:t>30</w:t>
            </w:r>
          </w:p>
        </w:tc>
      </w:tr>
      <w:tr w14:paraId="50E15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3" w:type="dxa"/>
            <w:vAlign w:val="center"/>
          </w:tcPr>
          <w:p w14:paraId="4BE8D103">
            <w:pPr>
              <w:keepNext w:val="0"/>
              <w:keepLines w:val="0"/>
              <w:pageBreakBefore w:val="0"/>
              <w:kinsoku/>
              <w:wordWrap/>
              <w:overflowPunct/>
              <w:topLinePunct w:val="0"/>
              <w:bidi w:val="0"/>
              <w:snapToGrid/>
              <w:spacing w:line="360" w:lineRule="auto"/>
              <w:jc w:val="center"/>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w:t>
            </w:r>
          </w:p>
        </w:tc>
        <w:tc>
          <w:tcPr>
            <w:tcW w:w="1101" w:type="dxa"/>
            <w:vAlign w:val="center"/>
          </w:tcPr>
          <w:p w14:paraId="1066C3BD">
            <w:pPr>
              <w:keepNext w:val="0"/>
              <w:keepLines w:val="0"/>
              <w:pageBreakBefore w:val="0"/>
              <w:kinsoku/>
              <w:wordWrap/>
              <w:overflowPunct/>
              <w:topLinePunct w:val="0"/>
              <w:bidi w:val="0"/>
              <w:snapToGrid/>
              <w:spacing w:line="360" w:lineRule="auto"/>
              <w:jc w:val="center"/>
              <w:textAlignment w:val="auto"/>
              <w:rPr>
                <w:rFonts w:hint="eastAsia" w:ascii="宋体" w:hAnsi="宋体" w:eastAsia="宋体" w:cs="宋体"/>
                <w:bCs/>
                <w:color w:val="auto"/>
                <w:sz w:val="21"/>
                <w:szCs w:val="21"/>
                <w:highlight w:val="none"/>
                <w:lang w:eastAsia="zh-CN"/>
              </w:rPr>
            </w:pPr>
            <w:r>
              <w:rPr>
                <w:rFonts w:hint="eastAsia" w:ascii="宋体" w:hAnsi="宋体" w:eastAsia="宋体" w:cs="宋体"/>
                <w:bCs/>
                <w:color w:val="auto"/>
                <w:sz w:val="21"/>
                <w:szCs w:val="21"/>
                <w:highlight w:val="none"/>
              </w:rPr>
              <w:t>技术</w:t>
            </w:r>
            <w:r>
              <w:rPr>
                <w:rFonts w:hint="eastAsia" w:ascii="宋体" w:hAnsi="宋体" w:cs="宋体"/>
                <w:bCs/>
                <w:color w:val="auto"/>
                <w:sz w:val="21"/>
                <w:szCs w:val="21"/>
                <w:highlight w:val="none"/>
                <w:lang w:val="en-US" w:eastAsia="zh-CN"/>
              </w:rPr>
              <w:t>分</w:t>
            </w:r>
          </w:p>
        </w:tc>
        <w:tc>
          <w:tcPr>
            <w:tcW w:w="6597" w:type="dxa"/>
            <w:vAlign w:val="top"/>
          </w:tcPr>
          <w:p w14:paraId="63DDF527">
            <w:pPr>
              <w:keepNext w:val="0"/>
              <w:keepLines w:val="0"/>
              <w:pageBreakBefore w:val="0"/>
              <w:kinsoku/>
              <w:wordWrap/>
              <w:overflowPunct/>
              <w:topLinePunct w:val="0"/>
              <w:bidi w:val="0"/>
              <w:snapToGrid/>
              <w:spacing w:line="360" w:lineRule="auto"/>
              <w:jc w:val="center"/>
              <w:textAlignment w:val="auto"/>
              <w:rPr>
                <w:rFonts w:hint="eastAsia" w:ascii="宋体" w:hAnsi="宋体" w:eastAsia="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施工组织设计</w:t>
            </w:r>
          </w:p>
        </w:tc>
        <w:tc>
          <w:tcPr>
            <w:tcW w:w="1081" w:type="dxa"/>
            <w:vAlign w:val="center"/>
          </w:tcPr>
          <w:p w14:paraId="43FC4993">
            <w:pPr>
              <w:keepNext w:val="0"/>
              <w:keepLines w:val="0"/>
              <w:pageBreakBefore w:val="0"/>
              <w:kinsoku/>
              <w:wordWrap/>
              <w:overflowPunct/>
              <w:topLinePunct w:val="0"/>
              <w:bidi w:val="0"/>
              <w:snapToGrid/>
              <w:spacing w:line="360" w:lineRule="auto"/>
              <w:jc w:val="center"/>
              <w:textAlignment w:val="auto"/>
              <w:rPr>
                <w:rFonts w:hint="default"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0</w:t>
            </w:r>
            <w:r>
              <w:rPr>
                <w:rFonts w:hint="eastAsia" w:ascii="宋体" w:hAnsi="宋体" w:cs="宋体"/>
                <w:bCs/>
                <w:color w:val="auto"/>
                <w:sz w:val="21"/>
                <w:szCs w:val="21"/>
                <w:highlight w:val="none"/>
                <w:lang w:val="en-US" w:eastAsia="zh-CN"/>
              </w:rPr>
              <w:t>-62</w:t>
            </w:r>
          </w:p>
        </w:tc>
      </w:tr>
      <w:tr w14:paraId="27553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3" w:type="dxa"/>
            <w:vAlign w:val="center"/>
          </w:tcPr>
          <w:p w14:paraId="0599E171">
            <w:pPr>
              <w:spacing w:line="360" w:lineRule="auto"/>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2.1</w:t>
            </w:r>
          </w:p>
        </w:tc>
        <w:tc>
          <w:tcPr>
            <w:tcW w:w="1101" w:type="dxa"/>
            <w:vAlign w:val="center"/>
          </w:tcPr>
          <w:p w14:paraId="16BE1E62">
            <w:pPr>
              <w:pStyle w:val="20"/>
              <w:spacing w:line="360" w:lineRule="auto"/>
              <w:jc w:val="center"/>
              <w:rPr>
                <w:rFonts w:hint="eastAsia" w:ascii="宋体" w:hAnsi="宋体" w:eastAsia="宋体" w:cs="宋体"/>
                <w:color w:val="auto"/>
                <w:kern w:val="0"/>
                <w:sz w:val="21"/>
                <w:szCs w:val="21"/>
                <w:highlight w:val="none"/>
              </w:rPr>
            </w:pPr>
          </w:p>
          <w:p w14:paraId="0456FCFB">
            <w:pPr>
              <w:pStyle w:val="20"/>
              <w:spacing w:line="360" w:lineRule="auto"/>
              <w:jc w:val="center"/>
              <w:rPr>
                <w:rFonts w:hint="eastAsia" w:ascii="宋体" w:hAnsi="宋体" w:eastAsia="宋体" w:cs="宋体"/>
                <w:bCs/>
                <w:color w:val="auto"/>
                <w:sz w:val="21"/>
                <w:szCs w:val="21"/>
                <w:highlight w:val="none"/>
              </w:rPr>
            </w:pPr>
            <w:r>
              <w:rPr>
                <w:rFonts w:hint="eastAsia" w:ascii="宋体" w:hAnsi="宋体" w:eastAsia="宋体" w:cs="宋体"/>
                <w:color w:val="auto"/>
                <w:kern w:val="0"/>
                <w:sz w:val="21"/>
                <w:szCs w:val="21"/>
                <w:highlight w:val="none"/>
              </w:rPr>
              <w:t>主要施工方法</w:t>
            </w:r>
          </w:p>
        </w:tc>
        <w:tc>
          <w:tcPr>
            <w:tcW w:w="6597" w:type="dxa"/>
            <w:vAlign w:val="top"/>
          </w:tcPr>
          <w:p w14:paraId="7F6E7203">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各主要分部施工方法符合项目实际，须有详尽的施工技术方案，工艺先进、方法科学合理、可行，能指导具体施工并确保安全。</w:t>
            </w:r>
          </w:p>
          <w:p w14:paraId="5C5A7CA3">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五档（</w:t>
            </w:r>
            <w:r>
              <w:rPr>
                <w:rFonts w:hint="eastAsia" w:ascii="宋体" w:hAnsi="宋体" w:cs="宋体"/>
                <w:color w:val="auto"/>
                <w:sz w:val="21"/>
                <w:szCs w:val="21"/>
                <w:highlight w:val="none"/>
                <w:lang w:val="en-US" w:eastAsia="zh-CN"/>
              </w:rPr>
              <w:t>8</w:t>
            </w:r>
            <w:r>
              <w:rPr>
                <w:rFonts w:hint="eastAsia" w:ascii="宋体" w:hAnsi="宋体" w:eastAsia="宋体" w:cs="宋体"/>
                <w:color w:val="auto"/>
                <w:sz w:val="21"/>
                <w:szCs w:val="21"/>
                <w:highlight w:val="none"/>
                <w:lang w:val="en-US" w:eastAsia="zh-CN"/>
              </w:rPr>
              <w:t>分）：各主要分部施工方法符合项目实际，须有详尽的施工技术方案，工艺先进、方法科学合理、可行，能指导具体施工并确保安全。</w:t>
            </w:r>
          </w:p>
          <w:p w14:paraId="2AC9AEDB">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四档（</w:t>
            </w:r>
            <w:r>
              <w:rPr>
                <w:rFonts w:hint="eastAsia" w:ascii="宋体" w:hAnsi="宋体" w:cs="宋体"/>
                <w:color w:val="auto"/>
                <w:sz w:val="21"/>
                <w:szCs w:val="21"/>
                <w:highlight w:val="none"/>
                <w:lang w:val="en-US" w:eastAsia="zh-CN"/>
              </w:rPr>
              <w:t>6</w:t>
            </w:r>
            <w:r>
              <w:rPr>
                <w:rFonts w:hint="eastAsia" w:ascii="宋体" w:hAnsi="宋体" w:eastAsia="宋体" w:cs="宋体"/>
                <w:color w:val="auto"/>
                <w:sz w:val="21"/>
                <w:szCs w:val="21"/>
                <w:highlight w:val="none"/>
                <w:lang w:val="en-US" w:eastAsia="zh-CN"/>
              </w:rPr>
              <w:t xml:space="preserve">分）：各主要分部施工方法符合项目实际，须有详尽的施工技术方案，工艺一般、方法可行，能指导具体施工并确保安全。 </w:t>
            </w:r>
          </w:p>
          <w:p w14:paraId="18125313">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三档（</w:t>
            </w:r>
            <w:r>
              <w:rPr>
                <w:rFonts w:hint="eastAsia" w:ascii="宋体" w:hAnsi="宋体" w:cs="宋体"/>
                <w:color w:val="auto"/>
                <w:sz w:val="21"/>
                <w:szCs w:val="21"/>
                <w:highlight w:val="none"/>
                <w:lang w:val="en-US" w:eastAsia="zh-CN"/>
              </w:rPr>
              <w:t>4</w:t>
            </w:r>
            <w:r>
              <w:rPr>
                <w:rFonts w:hint="eastAsia" w:ascii="宋体" w:hAnsi="宋体" w:eastAsia="宋体" w:cs="宋体"/>
                <w:color w:val="auto"/>
                <w:sz w:val="21"/>
                <w:szCs w:val="21"/>
                <w:highlight w:val="none"/>
                <w:lang w:val="en-US" w:eastAsia="zh-CN"/>
              </w:rPr>
              <w:t>分）：各主要分部施工方法基本符合项目实际，施工技术方案较详尽，基本能指导具体施工，确保安全。</w:t>
            </w:r>
          </w:p>
          <w:p w14:paraId="673DB3AA">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二档（</w:t>
            </w: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lang w:val="en-US" w:eastAsia="zh-CN"/>
              </w:rPr>
              <w:t>分）：各主要分部施工方法不符合项目实际，无详尽的施工技术方案，不能指导具体施工并确保安全。</w:t>
            </w:r>
          </w:p>
          <w:p w14:paraId="36A8A7F1">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outlineLvl w:val="9"/>
              <w:rPr>
                <w:rFonts w:hint="eastAsia" w:ascii="宋体" w:hAnsi="宋体" w:cs="宋体"/>
                <w:bCs/>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一档</w:t>
            </w:r>
            <w:r>
              <w:rPr>
                <w:rFonts w:hint="eastAsia" w:ascii="宋体" w:hAnsi="宋体" w:eastAsia="宋体" w:cs="宋体"/>
                <w:color w:val="auto"/>
                <w:sz w:val="21"/>
                <w:szCs w:val="21"/>
                <w:highlight w:val="none"/>
              </w:rPr>
              <w:t>（0分）：未提供或各主要分部施工方法不符合项目实际，无详尽的施工技术方案，不能指导具体施工并确保安全。</w:t>
            </w:r>
          </w:p>
        </w:tc>
        <w:tc>
          <w:tcPr>
            <w:tcW w:w="1081" w:type="dxa"/>
            <w:vAlign w:val="center"/>
          </w:tcPr>
          <w:p w14:paraId="404F15FF">
            <w:pPr>
              <w:spacing w:line="360" w:lineRule="auto"/>
              <w:jc w:val="center"/>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0-</w:t>
            </w:r>
            <w:r>
              <w:rPr>
                <w:rFonts w:hint="eastAsia" w:ascii="宋体" w:hAnsi="宋体" w:cs="宋体"/>
                <w:bCs/>
                <w:color w:val="auto"/>
                <w:sz w:val="21"/>
                <w:szCs w:val="21"/>
                <w:highlight w:val="none"/>
                <w:lang w:val="en-US" w:eastAsia="zh-CN"/>
              </w:rPr>
              <w:t>8</w:t>
            </w:r>
          </w:p>
        </w:tc>
      </w:tr>
      <w:tr w14:paraId="4F51B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3" w:type="dxa"/>
            <w:vAlign w:val="center"/>
          </w:tcPr>
          <w:p w14:paraId="2B772216">
            <w:pPr>
              <w:spacing w:line="360" w:lineRule="auto"/>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2.2</w:t>
            </w:r>
          </w:p>
        </w:tc>
        <w:tc>
          <w:tcPr>
            <w:tcW w:w="1101" w:type="dxa"/>
            <w:vAlign w:val="center"/>
          </w:tcPr>
          <w:p w14:paraId="0D703A89">
            <w:pPr>
              <w:widowControl/>
              <w:spacing w:line="360" w:lineRule="auto"/>
              <w:jc w:val="center"/>
              <w:rPr>
                <w:rFonts w:hint="eastAsia" w:ascii="宋体" w:hAnsi="宋体" w:eastAsia="宋体" w:cs="宋体"/>
                <w:bCs/>
                <w:color w:val="auto"/>
                <w:sz w:val="21"/>
                <w:szCs w:val="21"/>
                <w:highlight w:val="none"/>
              </w:rPr>
            </w:pPr>
            <w:r>
              <w:rPr>
                <w:rFonts w:hint="eastAsia" w:ascii="宋体" w:hAnsi="宋体" w:eastAsia="宋体" w:cs="宋体"/>
                <w:color w:val="auto"/>
                <w:kern w:val="0"/>
                <w:sz w:val="21"/>
                <w:szCs w:val="21"/>
                <w:highlight w:val="none"/>
              </w:rPr>
              <w:t>拟投入的主要物资计划</w:t>
            </w:r>
          </w:p>
        </w:tc>
        <w:tc>
          <w:tcPr>
            <w:tcW w:w="6597" w:type="dxa"/>
            <w:vAlign w:val="center"/>
          </w:tcPr>
          <w:p w14:paraId="5C2FB1CE">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投入的主要物资有详细的组织计划且计划周密，数量、选型配置、进场时间安排合理，满足施工需要。</w:t>
            </w:r>
          </w:p>
          <w:p w14:paraId="107974FE">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五档（6</w:t>
            </w:r>
            <w:r>
              <w:rPr>
                <w:rFonts w:hint="eastAsia" w:ascii="宋体" w:hAnsi="宋体" w:cs="宋体"/>
                <w:color w:val="auto"/>
                <w:sz w:val="21"/>
                <w:szCs w:val="21"/>
                <w:highlight w:val="none"/>
                <w:lang w:val="en-US" w:eastAsia="zh-CN"/>
              </w:rPr>
              <w:t>.0</w:t>
            </w:r>
            <w:r>
              <w:rPr>
                <w:rFonts w:hint="eastAsia" w:ascii="宋体" w:hAnsi="宋体" w:eastAsia="宋体" w:cs="宋体"/>
                <w:color w:val="auto"/>
                <w:sz w:val="21"/>
                <w:szCs w:val="21"/>
                <w:highlight w:val="none"/>
                <w:lang w:val="en-US" w:eastAsia="zh-CN"/>
              </w:rPr>
              <w:t xml:space="preserve">分）：投入的主要物资有详细的组织计划且计划周密，数量、选型配置、进场时间安排合理，完全满足施工需要。 </w:t>
            </w:r>
          </w:p>
          <w:p w14:paraId="1BEC3059">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四档（4.5分）：投入的主要物资有组织计划且计划数量、选型配置、进场时间安排合理，满足施工需要。 </w:t>
            </w:r>
          </w:p>
          <w:p w14:paraId="23A52C58">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三档（3</w:t>
            </w:r>
            <w:r>
              <w:rPr>
                <w:rFonts w:hint="eastAsia" w:ascii="宋体" w:hAnsi="宋体" w:cs="宋体"/>
                <w:color w:val="auto"/>
                <w:sz w:val="21"/>
                <w:szCs w:val="21"/>
                <w:highlight w:val="none"/>
                <w:lang w:val="en-US" w:eastAsia="zh-CN"/>
              </w:rPr>
              <w:t>.0</w:t>
            </w:r>
            <w:r>
              <w:rPr>
                <w:rFonts w:hint="eastAsia" w:ascii="宋体" w:hAnsi="宋体" w:eastAsia="宋体" w:cs="宋体"/>
                <w:color w:val="auto"/>
                <w:sz w:val="21"/>
                <w:szCs w:val="21"/>
                <w:highlight w:val="none"/>
                <w:lang w:val="en-US" w:eastAsia="zh-CN"/>
              </w:rPr>
              <w:t xml:space="preserve">分）：投入的主要物资有组织计划且计划一般，数量、选型配置、进场时间安排合理，基本满足施工需要。 </w:t>
            </w:r>
          </w:p>
          <w:p w14:paraId="2AC6C957">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二档（1.5分）：投入的主要物资无详细的组织计划，数量、选型配置、进场时间安排不合理，不能满足施工需要。</w:t>
            </w:r>
          </w:p>
          <w:p w14:paraId="0C8B3CC4">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outlineLvl w:val="9"/>
              <w:rPr>
                <w:rFonts w:hint="eastAsia" w:ascii="宋体" w:hAnsi="宋体" w:cs="宋体"/>
                <w:bCs/>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一档（0分）：未提供或投入的主要物资无详细的组织计划，数量、选型配置、进场时间安排不合理，不能满足施工需要。</w:t>
            </w:r>
          </w:p>
        </w:tc>
        <w:tc>
          <w:tcPr>
            <w:tcW w:w="1081" w:type="dxa"/>
            <w:vAlign w:val="center"/>
          </w:tcPr>
          <w:p w14:paraId="47C7D1F0">
            <w:pPr>
              <w:pStyle w:val="20"/>
              <w:spacing w:line="360" w:lineRule="auto"/>
              <w:jc w:val="center"/>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0-6</w:t>
            </w:r>
          </w:p>
        </w:tc>
      </w:tr>
      <w:tr w14:paraId="2D333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3" w:type="dxa"/>
            <w:vAlign w:val="center"/>
          </w:tcPr>
          <w:p w14:paraId="3C54D820">
            <w:pPr>
              <w:spacing w:line="360" w:lineRule="auto"/>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2.3</w:t>
            </w:r>
          </w:p>
        </w:tc>
        <w:tc>
          <w:tcPr>
            <w:tcW w:w="1101" w:type="dxa"/>
            <w:vAlign w:val="center"/>
          </w:tcPr>
          <w:p w14:paraId="1F4E603C">
            <w:pPr>
              <w:widowControl/>
              <w:spacing w:line="360" w:lineRule="auto"/>
              <w:jc w:val="center"/>
              <w:rPr>
                <w:rFonts w:hint="eastAsia" w:ascii="宋体" w:hAnsi="宋体" w:eastAsia="宋体" w:cs="宋体"/>
                <w:bCs/>
                <w:color w:val="auto"/>
                <w:sz w:val="21"/>
                <w:szCs w:val="21"/>
                <w:highlight w:val="none"/>
              </w:rPr>
            </w:pPr>
            <w:r>
              <w:rPr>
                <w:rFonts w:hint="eastAsia" w:ascii="宋体" w:hAnsi="宋体" w:eastAsia="宋体" w:cs="宋体"/>
                <w:color w:val="auto"/>
                <w:kern w:val="0"/>
                <w:sz w:val="21"/>
                <w:szCs w:val="21"/>
                <w:highlight w:val="none"/>
              </w:rPr>
              <w:t>拟投入的主要施工机械、设备计划</w:t>
            </w:r>
          </w:p>
        </w:tc>
        <w:tc>
          <w:tcPr>
            <w:tcW w:w="6597" w:type="dxa"/>
            <w:vAlign w:val="center"/>
          </w:tcPr>
          <w:p w14:paraId="5C90E1D2">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投入的施工机械、设备、机具有详细的组织计划且计划周密，设备数量、选型配置、进场时间安排合理，满足施工需要。</w:t>
            </w:r>
          </w:p>
          <w:p w14:paraId="56B0ED06">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五档（6</w:t>
            </w:r>
            <w:r>
              <w:rPr>
                <w:rFonts w:hint="eastAsia" w:ascii="宋体" w:hAnsi="宋体" w:cs="宋体"/>
                <w:color w:val="auto"/>
                <w:sz w:val="21"/>
                <w:szCs w:val="21"/>
                <w:highlight w:val="none"/>
                <w:lang w:val="en-US" w:eastAsia="zh-CN"/>
              </w:rPr>
              <w:t>.0</w:t>
            </w:r>
            <w:r>
              <w:rPr>
                <w:rFonts w:hint="eastAsia" w:ascii="宋体" w:hAnsi="宋体" w:eastAsia="宋体" w:cs="宋体"/>
                <w:color w:val="auto"/>
                <w:sz w:val="21"/>
                <w:szCs w:val="21"/>
                <w:highlight w:val="none"/>
                <w:lang w:val="en-US" w:eastAsia="zh-CN"/>
              </w:rPr>
              <w:t>分）：投入的施工机械、设备、机具有详细的组织计划且计划周密，设备数量、选型配置、进场时间安排合理，完全满足施工需要。</w:t>
            </w:r>
          </w:p>
          <w:p w14:paraId="35921180">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四档（4.5分）：投入的施工机械、设备、机具有组织计划且计划设备数量、选型配置、进场时间安排合理，满足施工需要。</w:t>
            </w:r>
          </w:p>
          <w:p w14:paraId="1F0265F2">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三档（3</w:t>
            </w:r>
            <w:r>
              <w:rPr>
                <w:rFonts w:hint="eastAsia" w:ascii="宋体" w:hAnsi="宋体" w:cs="宋体"/>
                <w:color w:val="auto"/>
                <w:sz w:val="21"/>
                <w:szCs w:val="21"/>
                <w:highlight w:val="none"/>
                <w:lang w:val="en-US" w:eastAsia="zh-CN"/>
              </w:rPr>
              <w:t>.0</w:t>
            </w:r>
            <w:r>
              <w:rPr>
                <w:rFonts w:hint="eastAsia" w:ascii="宋体" w:hAnsi="宋体" w:eastAsia="宋体" w:cs="宋体"/>
                <w:color w:val="auto"/>
                <w:sz w:val="21"/>
                <w:szCs w:val="21"/>
                <w:highlight w:val="none"/>
                <w:lang w:val="en-US" w:eastAsia="zh-CN"/>
              </w:rPr>
              <w:t xml:space="preserve">分）：投入的施工机械、设备、机具有组织计划且计划一般，设备数量、选型配置、进场时间安排合理，基本满足施工需要。 </w:t>
            </w:r>
          </w:p>
          <w:p w14:paraId="19826D62">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二档（1.5分）：投入的施工机械、设备、机具无详细的组织计划，设备数量、选型配置、进场时间安排基本合理，基本满足施工需要。</w:t>
            </w:r>
          </w:p>
          <w:p w14:paraId="77BB0562">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outlineLvl w:val="9"/>
              <w:rPr>
                <w:rFonts w:hint="eastAsia" w:ascii="宋体" w:hAnsi="宋体" w:cs="宋体"/>
                <w:bCs/>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一档（0分）：投入的施工机械、设备、机具无详细的组织计划，设备数量、选型配置、进场时间安排不合理，不能满足施工需要。 </w:t>
            </w:r>
          </w:p>
        </w:tc>
        <w:tc>
          <w:tcPr>
            <w:tcW w:w="1081" w:type="dxa"/>
            <w:vAlign w:val="center"/>
          </w:tcPr>
          <w:p w14:paraId="1559CADC">
            <w:pPr>
              <w:pStyle w:val="20"/>
              <w:spacing w:line="360" w:lineRule="auto"/>
              <w:jc w:val="center"/>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0-6</w:t>
            </w:r>
          </w:p>
        </w:tc>
      </w:tr>
      <w:tr w14:paraId="2B7D4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3" w:type="dxa"/>
            <w:vAlign w:val="center"/>
          </w:tcPr>
          <w:p w14:paraId="5645CEB3">
            <w:pPr>
              <w:spacing w:line="360" w:lineRule="auto"/>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2.4</w:t>
            </w:r>
          </w:p>
        </w:tc>
        <w:tc>
          <w:tcPr>
            <w:tcW w:w="1101" w:type="dxa"/>
            <w:vAlign w:val="center"/>
          </w:tcPr>
          <w:p w14:paraId="725ABFA4">
            <w:pPr>
              <w:widowControl/>
              <w:spacing w:line="360" w:lineRule="auto"/>
              <w:jc w:val="center"/>
              <w:rPr>
                <w:rFonts w:hint="eastAsia" w:ascii="宋体" w:hAnsi="宋体" w:eastAsia="宋体" w:cs="宋体"/>
                <w:bCs/>
                <w:color w:val="auto"/>
                <w:sz w:val="21"/>
                <w:szCs w:val="21"/>
                <w:highlight w:val="none"/>
              </w:rPr>
            </w:pPr>
            <w:r>
              <w:rPr>
                <w:rFonts w:hint="eastAsia" w:ascii="宋体" w:hAnsi="宋体" w:eastAsia="宋体" w:cs="宋体"/>
                <w:color w:val="auto"/>
                <w:kern w:val="0"/>
                <w:sz w:val="21"/>
                <w:szCs w:val="21"/>
                <w:highlight w:val="none"/>
              </w:rPr>
              <w:t>劳动力安排计划</w:t>
            </w:r>
          </w:p>
        </w:tc>
        <w:tc>
          <w:tcPr>
            <w:tcW w:w="6597" w:type="dxa"/>
            <w:vAlign w:val="center"/>
          </w:tcPr>
          <w:p w14:paraId="05DF7D17">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各主要施工工序应有详细周密的劳动力安排计划，有各工种劳动力安排计划，劳动力投入合理，满足施工需要。</w:t>
            </w:r>
          </w:p>
          <w:p w14:paraId="6BBAD298">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五档（6</w:t>
            </w:r>
            <w:r>
              <w:rPr>
                <w:rFonts w:hint="eastAsia" w:ascii="宋体" w:hAnsi="宋体" w:cs="宋体"/>
                <w:color w:val="auto"/>
                <w:sz w:val="21"/>
                <w:szCs w:val="21"/>
                <w:highlight w:val="none"/>
                <w:lang w:val="en-US" w:eastAsia="zh-CN"/>
              </w:rPr>
              <w:t>.0</w:t>
            </w:r>
            <w:r>
              <w:rPr>
                <w:rFonts w:hint="eastAsia" w:ascii="宋体" w:hAnsi="宋体" w:eastAsia="宋体" w:cs="宋体"/>
                <w:color w:val="auto"/>
                <w:sz w:val="21"/>
                <w:szCs w:val="21"/>
                <w:highlight w:val="none"/>
                <w:lang w:val="en-US" w:eastAsia="zh-CN"/>
              </w:rPr>
              <w:t>分）：各主要施工工序有详细周密的劳动力安排计划，有各工种劳动力安排计划，劳动力投入合理，完全满足施工需要。</w:t>
            </w:r>
          </w:p>
          <w:p w14:paraId="3B2F98C0">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四档（4.5分）：各主要施工工序有劳动力安排计划，有各工种劳动力安排计划，劳动力投入合理，满足施工需要。 </w:t>
            </w:r>
          </w:p>
          <w:p w14:paraId="219A3D36">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三档（3</w:t>
            </w:r>
            <w:r>
              <w:rPr>
                <w:rFonts w:hint="eastAsia" w:ascii="宋体" w:hAnsi="宋体" w:cs="宋体"/>
                <w:color w:val="auto"/>
                <w:sz w:val="21"/>
                <w:szCs w:val="21"/>
                <w:highlight w:val="none"/>
                <w:lang w:val="en-US" w:eastAsia="zh-CN"/>
              </w:rPr>
              <w:t>.0</w:t>
            </w:r>
            <w:r>
              <w:rPr>
                <w:rFonts w:hint="eastAsia" w:ascii="宋体" w:hAnsi="宋体" w:eastAsia="宋体" w:cs="宋体"/>
                <w:color w:val="auto"/>
                <w:sz w:val="21"/>
                <w:szCs w:val="21"/>
                <w:highlight w:val="none"/>
                <w:lang w:val="en-US" w:eastAsia="zh-CN"/>
              </w:rPr>
              <w:t xml:space="preserve">分）：各主要施工工序有劳动力安排计划，有各工种劳动力安排计划，劳动力投入合理，基本满足施工需要。 </w:t>
            </w:r>
          </w:p>
          <w:p w14:paraId="0663D3D6">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二档（1.5分）：各主要施工工序无劳动力安排计划，无各工种劳动力安排计划，劳动力投入不合理，不能满足施工需要。</w:t>
            </w:r>
          </w:p>
          <w:p w14:paraId="0A4E581A">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outlineLvl w:val="9"/>
              <w:rPr>
                <w:rFonts w:hint="eastAsia" w:ascii="宋体" w:hAnsi="宋体" w:cs="宋体"/>
                <w:bCs/>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一档（0分）：未提供或各主要施工工序无劳动力安排计划，无各工种劳动力安排计划，劳动力投入不合理，不能满足施工需要。</w:t>
            </w:r>
          </w:p>
        </w:tc>
        <w:tc>
          <w:tcPr>
            <w:tcW w:w="1081" w:type="dxa"/>
            <w:vAlign w:val="center"/>
          </w:tcPr>
          <w:p w14:paraId="47601D2F">
            <w:pPr>
              <w:pStyle w:val="20"/>
              <w:spacing w:line="360" w:lineRule="auto"/>
              <w:jc w:val="center"/>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0-6</w:t>
            </w:r>
          </w:p>
        </w:tc>
      </w:tr>
      <w:tr w14:paraId="0C189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3" w:type="dxa"/>
            <w:vAlign w:val="center"/>
          </w:tcPr>
          <w:p w14:paraId="1229CEA2">
            <w:pPr>
              <w:spacing w:line="360" w:lineRule="auto"/>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2.5</w:t>
            </w:r>
          </w:p>
        </w:tc>
        <w:tc>
          <w:tcPr>
            <w:tcW w:w="1101" w:type="dxa"/>
            <w:vAlign w:val="center"/>
          </w:tcPr>
          <w:p w14:paraId="1300752F">
            <w:pPr>
              <w:widowControl/>
              <w:spacing w:line="360" w:lineRule="auto"/>
              <w:jc w:val="center"/>
              <w:rPr>
                <w:rFonts w:hint="eastAsia" w:ascii="宋体" w:hAnsi="宋体" w:eastAsia="宋体" w:cs="宋体"/>
                <w:bCs/>
                <w:color w:val="auto"/>
                <w:sz w:val="21"/>
                <w:szCs w:val="21"/>
                <w:highlight w:val="none"/>
              </w:rPr>
            </w:pPr>
            <w:r>
              <w:rPr>
                <w:rFonts w:hint="eastAsia" w:ascii="宋体" w:hAnsi="宋体" w:eastAsia="宋体" w:cs="宋体"/>
                <w:color w:val="auto"/>
                <w:kern w:val="0"/>
                <w:sz w:val="21"/>
                <w:szCs w:val="21"/>
                <w:highlight w:val="none"/>
              </w:rPr>
              <w:t>确保工程质量的技术组织措施</w:t>
            </w:r>
          </w:p>
        </w:tc>
        <w:tc>
          <w:tcPr>
            <w:tcW w:w="6597" w:type="dxa"/>
            <w:vAlign w:val="center"/>
          </w:tcPr>
          <w:p w14:paraId="0FD3E5A9">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应有专门的质量技术管理班子和制度，且人员配备合理，制度健全。主要工序应有质量技术保证措施和手段，自控体系完整，能有效保证技术质量，达到承诺的质量标准。</w:t>
            </w:r>
          </w:p>
          <w:p w14:paraId="0E332126">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五档（6</w:t>
            </w:r>
            <w:r>
              <w:rPr>
                <w:rFonts w:hint="eastAsia" w:ascii="宋体" w:hAnsi="宋体" w:cs="宋体"/>
                <w:color w:val="auto"/>
                <w:sz w:val="21"/>
                <w:szCs w:val="21"/>
                <w:highlight w:val="none"/>
                <w:lang w:val="en-US" w:eastAsia="zh-CN"/>
              </w:rPr>
              <w:t>.0</w:t>
            </w:r>
            <w:r>
              <w:rPr>
                <w:rFonts w:hint="eastAsia" w:ascii="宋体" w:hAnsi="宋体" w:eastAsia="宋体" w:cs="宋体"/>
                <w:color w:val="auto"/>
                <w:sz w:val="21"/>
                <w:szCs w:val="21"/>
                <w:highlight w:val="none"/>
                <w:lang w:val="en-US" w:eastAsia="zh-CN"/>
              </w:rPr>
              <w:t>分）：有专门的质量技术管理班子和制度，且人员配备合理，制度健全、完整。主要工序质量技术保证措施和手段科学合理，自控体系完整，完全能有效保证技术质量，达到承诺的质量标准。</w:t>
            </w:r>
          </w:p>
          <w:p w14:paraId="71492D99">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四档（4.5分）：有专门的质量技术管理班子和制度，且人员配备合理，制度健全。主要工序的质量技术保证措施和手段一般，自控体系一般，能保证技术质量，达到承诺的质量标准。 </w:t>
            </w:r>
          </w:p>
          <w:p w14:paraId="1FD70854">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三档（3</w:t>
            </w:r>
            <w:r>
              <w:rPr>
                <w:rFonts w:hint="eastAsia" w:ascii="宋体" w:hAnsi="宋体" w:cs="宋体"/>
                <w:color w:val="auto"/>
                <w:sz w:val="21"/>
                <w:szCs w:val="21"/>
                <w:highlight w:val="none"/>
                <w:lang w:val="en-US" w:eastAsia="zh-CN"/>
              </w:rPr>
              <w:t>.0</w:t>
            </w:r>
            <w:r>
              <w:rPr>
                <w:rFonts w:hint="eastAsia" w:ascii="宋体" w:hAnsi="宋体" w:eastAsia="宋体" w:cs="宋体"/>
                <w:color w:val="auto"/>
                <w:sz w:val="21"/>
                <w:szCs w:val="21"/>
                <w:highlight w:val="none"/>
                <w:lang w:val="en-US" w:eastAsia="zh-CN"/>
              </w:rPr>
              <w:t xml:space="preserve">分）：有专门的质量技术管理班子和制度，且人员配备合理，制度健全。主要工序的质量技术保证措施和手段一般，自控体系一般，基本保证技术质量，基本达到承诺的质量标准。 </w:t>
            </w:r>
          </w:p>
          <w:p w14:paraId="6D03A25D">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二档（1.5分）：质量技术管理班子和制度不完整，人员配备不合理，制度不健全。主要工序无质量技术保证措施和手段，自控体系不完整，不能有效保证技术质量，达不到承诺的质量标准。</w:t>
            </w:r>
          </w:p>
          <w:p w14:paraId="22FFB95F">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outlineLvl w:val="9"/>
              <w:rPr>
                <w:rFonts w:hint="eastAsia" w:ascii="宋体" w:hAnsi="宋体" w:cs="宋体"/>
                <w:bCs/>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一档（0分）：未提供或有无专门的质量技术管理班子和制度，人员配备不合理，制度不健全。主要工序无质量技术保证措施和手段，自控体系不完整，不能有效保证技术质量，达不到承诺的质量标准</w:t>
            </w:r>
            <w:r>
              <w:rPr>
                <w:rFonts w:hint="eastAsia" w:ascii="宋体" w:hAnsi="宋体" w:eastAsia="宋体" w:cs="宋体"/>
                <w:color w:val="auto"/>
                <w:sz w:val="21"/>
                <w:szCs w:val="21"/>
                <w:highlight w:val="none"/>
              </w:rPr>
              <w:t>。</w:t>
            </w:r>
          </w:p>
        </w:tc>
        <w:tc>
          <w:tcPr>
            <w:tcW w:w="1081" w:type="dxa"/>
            <w:vAlign w:val="center"/>
          </w:tcPr>
          <w:p w14:paraId="4174B7A2">
            <w:pPr>
              <w:pStyle w:val="20"/>
              <w:spacing w:line="360" w:lineRule="auto"/>
              <w:jc w:val="center"/>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0-6</w:t>
            </w:r>
          </w:p>
        </w:tc>
      </w:tr>
      <w:tr w14:paraId="41802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3" w:type="dxa"/>
            <w:vAlign w:val="center"/>
          </w:tcPr>
          <w:p w14:paraId="58735C43">
            <w:pPr>
              <w:spacing w:line="360" w:lineRule="auto"/>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2.6</w:t>
            </w:r>
          </w:p>
        </w:tc>
        <w:tc>
          <w:tcPr>
            <w:tcW w:w="1101" w:type="dxa"/>
            <w:vAlign w:val="center"/>
          </w:tcPr>
          <w:p w14:paraId="685B9EE4">
            <w:pPr>
              <w:widowControl/>
              <w:spacing w:line="360" w:lineRule="auto"/>
              <w:jc w:val="center"/>
              <w:rPr>
                <w:rFonts w:hint="eastAsia" w:ascii="宋体" w:hAnsi="宋体" w:eastAsia="宋体" w:cs="宋体"/>
                <w:bCs/>
                <w:color w:val="auto"/>
                <w:sz w:val="21"/>
                <w:szCs w:val="21"/>
                <w:highlight w:val="none"/>
              </w:rPr>
            </w:pPr>
            <w:r>
              <w:rPr>
                <w:rFonts w:hint="eastAsia" w:ascii="宋体" w:hAnsi="宋体" w:eastAsia="宋体" w:cs="宋体"/>
                <w:color w:val="auto"/>
                <w:kern w:val="0"/>
                <w:sz w:val="21"/>
                <w:szCs w:val="21"/>
                <w:highlight w:val="none"/>
              </w:rPr>
              <w:t>确保安全生产的技术组织措施</w:t>
            </w:r>
          </w:p>
        </w:tc>
        <w:tc>
          <w:tcPr>
            <w:tcW w:w="6597" w:type="dxa"/>
            <w:vAlign w:val="center"/>
          </w:tcPr>
          <w:p w14:paraId="4B9F7711">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应有专门的安全管理人员和制度，且人员配备合理，制度健全，各道工序安全技术措施针对性强，符合实际且满足有关安全技术标准要求。现场防火、应急救援、社会治安安全措施得力。</w:t>
            </w:r>
          </w:p>
          <w:p w14:paraId="64ECAD52">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五档（6</w:t>
            </w:r>
            <w:r>
              <w:rPr>
                <w:rFonts w:hint="eastAsia" w:ascii="宋体" w:hAnsi="宋体" w:cs="宋体"/>
                <w:color w:val="auto"/>
                <w:sz w:val="21"/>
                <w:szCs w:val="21"/>
                <w:highlight w:val="none"/>
                <w:lang w:val="en-US" w:eastAsia="zh-CN"/>
              </w:rPr>
              <w:t>.0</w:t>
            </w:r>
            <w:r>
              <w:rPr>
                <w:rFonts w:hint="eastAsia" w:ascii="宋体" w:hAnsi="宋体" w:eastAsia="宋体" w:cs="宋体"/>
                <w:color w:val="auto"/>
                <w:sz w:val="21"/>
                <w:szCs w:val="21"/>
                <w:highlight w:val="none"/>
                <w:lang w:val="en-US" w:eastAsia="zh-CN"/>
              </w:rPr>
              <w:t xml:space="preserve">分）：有专门的安全管理人员和制度，且人员配备合理，制度健全，各道工序安全技术措施针对性强，确保工程质量的技术组织措施完全符合实际且全部满足有关安全技术标准要求。现场防火、应急救援、社会治安安全措施得力。 </w:t>
            </w:r>
          </w:p>
          <w:p w14:paraId="34DD9710">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四档（4.5分）：有专门的安全管理人员和制度，且人员配备合理，制度健全，各道工序安全技术措施有针对性，确保工程质量的技术组织措施符合实际且满足有关安全技术标准要求。现场防火、应急救援、社会治安安全措施有效。 </w:t>
            </w:r>
          </w:p>
          <w:p w14:paraId="09C3000D">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三档（3</w:t>
            </w:r>
            <w:r>
              <w:rPr>
                <w:rFonts w:hint="eastAsia" w:ascii="宋体" w:hAnsi="宋体" w:cs="宋体"/>
                <w:color w:val="auto"/>
                <w:sz w:val="21"/>
                <w:szCs w:val="21"/>
                <w:highlight w:val="none"/>
                <w:lang w:val="en-US" w:eastAsia="zh-CN"/>
              </w:rPr>
              <w:t>.0</w:t>
            </w:r>
            <w:r>
              <w:rPr>
                <w:rFonts w:hint="eastAsia" w:ascii="宋体" w:hAnsi="宋体" w:eastAsia="宋体" w:cs="宋体"/>
                <w:color w:val="auto"/>
                <w:sz w:val="21"/>
                <w:szCs w:val="21"/>
                <w:highlight w:val="none"/>
                <w:lang w:val="en-US" w:eastAsia="zh-CN"/>
              </w:rPr>
              <w:t xml:space="preserve">分）：有专门的安全管理人员和制度，且人员配备合理，制度健全，各道工序安全技术措施针对性一般，确保工程质量的技术组织措施符合实际且基本满足有关安全技术标准要求。现场防火、应急救援、社会治安安全措施一般。 </w:t>
            </w:r>
          </w:p>
          <w:p w14:paraId="62A562D5">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二档（1.5分）：安全管理人员和制度不完善，人员配备不合理，制度不健全，各道工序安全技术措施针无对性，不满足有关安全技术标准要求。现场防火、应急救援、社会治安安全措施不得力。</w:t>
            </w:r>
          </w:p>
          <w:p w14:paraId="739ECFF6">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cs="宋体"/>
                <w:bCs/>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一档（0分）：未提供或有专门的安全管理人员和制度，人员配备不合理，制度不健全，各道工序安全技术措施无针对性，不满足有关安全技术标准要求。现场防火、应急救援、社会治安安全措施不得力。</w:t>
            </w:r>
          </w:p>
        </w:tc>
        <w:tc>
          <w:tcPr>
            <w:tcW w:w="1081" w:type="dxa"/>
            <w:vAlign w:val="center"/>
          </w:tcPr>
          <w:p w14:paraId="095C975B">
            <w:pPr>
              <w:pStyle w:val="20"/>
              <w:spacing w:line="360" w:lineRule="auto"/>
              <w:jc w:val="center"/>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0-6</w:t>
            </w:r>
          </w:p>
        </w:tc>
      </w:tr>
      <w:tr w14:paraId="12CA2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3" w:type="dxa"/>
            <w:vAlign w:val="center"/>
          </w:tcPr>
          <w:p w14:paraId="2741B04B">
            <w:pPr>
              <w:spacing w:line="360" w:lineRule="auto"/>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2.7</w:t>
            </w:r>
          </w:p>
        </w:tc>
        <w:tc>
          <w:tcPr>
            <w:tcW w:w="1101" w:type="dxa"/>
            <w:vAlign w:val="center"/>
          </w:tcPr>
          <w:p w14:paraId="541AE88F">
            <w:pPr>
              <w:widowControl/>
              <w:spacing w:line="360" w:lineRule="auto"/>
              <w:jc w:val="center"/>
              <w:rPr>
                <w:rFonts w:hint="eastAsia" w:ascii="宋体" w:hAnsi="宋体" w:eastAsia="宋体" w:cs="宋体"/>
                <w:bCs/>
                <w:color w:val="auto"/>
                <w:sz w:val="21"/>
                <w:szCs w:val="21"/>
                <w:highlight w:val="none"/>
              </w:rPr>
            </w:pPr>
            <w:r>
              <w:rPr>
                <w:rFonts w:hint="eastAsia" w:ascii="宋体" w:hAnsi="宋体" w:eastAsia="宋体" w:cs="宋体"/>
                <w:color w:val="auto"/>
                <w:kern w:val="0"/>
                <w:sz w:val="21"/>
                <w:szCs w:val="21"/>
                <w:highlight w:val="none"/>
              </w:rPr>
              <w:t>确保工期的技术组织措施</w:t>
            </w:r>
          </w:p>
        </w:tc>
        <w:tc>
          <w:tcPr>
            <w:tcW w:w="6597" w:type="dxa"/>
            <w:vAlign w:val="center"/>
          </w:tcPr>
          <w:p w14:paraId="13A1497C">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在施工工艺、施工方法、材料选用、劳动力安排、技术等方面有保证工期的具体措施且措施得当。有控制工期的施工进度计划。应有施工总进度表或施工网络图，各项计划图表编制完善，安排科学合理，符合本项目施工实际要求。</w:t>
            </w:r>
          </w:p>
          <w:p w14:paraId="245D9E80">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五档（6</w:t>
            </w:r>
            <w:r>
              <w:rPr>
                <w:rFonts w:hint="eastAsia" w:ascii="宋体" w:hAnsi="宋体" w:cs="宋体"/>
                <w:color w:val="auto"/>
                <w:sz w:val="21"/>
                <w:szCs w:val="21"/>
                <w:highlight w:val="none"/>
                <w:lang w:val="en-US" w:eastAsia="zh-CN"/>
              </w:rPr>
              <w:t>.0</w:t>
            </w:r>
            <w:r>
              <w:rPr>
                <w:rFonts w:hint="eastAsia" w:ascii="宋体" w:hAnsi="宋体" w:eastAsia="宋体" w:cs="宋体"/>
                <w:color w:val="auto"/>
                <w:sz w:val="21"/>
                <w:szCs w:val="21"/>
                <w:highlight w:val="none"/>
                <w:lang w:val="en-US" w:eastAsia="zh-CN"/>
              </w:rPr>
              <w:t>分）：在施工工艺、施工方法、材料选用、劳动力安排、技术等方面有保证工期的具体措施且措施得当。有控制工期的施工进度计划。有施工总进度表或施工网络图，各项计划图表编制完善，安排科学合理，完全能确保工期要求。</w:t>
            </w:r>
          </w:p>
          <w:p w14:paraId="2E1D68F7">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四档（4.5分）：在施工工艺、施工方法、材料选用、劳动力安排、技术等方面有保证工期的措施。有控制工期的施工进度计划。有施工总进度表或施工网络图，各项计划图表编制一般，安排合理，能确保工期要求。</w:t>
            </w:r>
          </w:p>
          <w:p w14:paraId="25F535B2">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三档（3</w:t>
            </w:r>
            <w:r>
              <w:rPr>
                <w:rFonts w:hint="eastAsia" w:ascii="宋体" w:hAnsi="宋体" w:cs="宋体"/>
                <w:color w:val="auto"/>
                <w:sz w:val="21"/>
                <w:szCs w:val="21"/>
                <w:highlight w:val="none"/>
                <w:lang w:val="en-US" w:eastAsia="zh-CN"/>
              </w:rPr>
              <w:t>.0</w:t>
            </w:r>
            <w:r>
              <w:rPr>
                <w:rFonts w:hint="eastAsia" w:ascii="宋体" w:hAnsi="宋体" w:eastAsia="宋体" w:cs="宋体"/>
                <w:color w:val="auto"/>
                <w:sz w:val="21"/>
                <w:szCs w:val="21"/>
                <w:highlight w:val="none"/>
                <w:lang w:val="en-US" w:eastAsia="zh-CN"/>
              </w:rPr>
              <w:t>分）：在施工工艺、施工方法、材料选用、劳动力安排、技术等方面有保证工期的措施但措施一般。有控制工期的施工进度计划。有施工总进度表或施工网络图，各项计划图表编制一般，安排合理，基本能确保工期要求。</w:t>
            </w:r>
          </w:p>
          <w:p w14:paraId="6992CAB2">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二档（1.5分）：在施工工艺、施工方法、材料选用、劳动力安排、技术等方面无保证工期的措施。无控制工期的施工进度计划。无施工总进度表或施工网络图，不能确保工期要求。</w:t>
            </w:r>
          </w:p>
          <w:p w14:paraId="1AE983CE">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cs="宋体"/>
                <w:bCs/>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一档</w:t>
            </w:r>
            <w:r>
              <w:rPr>
                <w:rFonts w:hint="eastAsia" w:ascii="宋体" w:hAnsi="宋体" w:eastAsia="宋体" w:cs="宋体"/>
                <w:color w:val="auto"/>
                <w:sz w:val="21"/>
                <w:szCs w:val="21"/>
                <w:highlight w:val="none"/>
              </w:rPr>
              <w:t>（0分）：未提供或在施工工艺、施工方法、材料选用、劳动力安排、技术等方面有保证工期的措施但措施不可行。无控制工期的施工进度计划。无施工总进度表或施工网络图，不符合本项目施工实际要求。</w:t>
            </w:r>
          </w:p>
        </w:tc>
        <w:tc>
          <w:tcPr>
            <w:tcW w:w="1081" w:type="dxa"/>
            <w:vAlign w:val="center"/>
          </w:tcPr>
          <w:p w14:paraId="4A5278EA">
            <w:pPr>
              <w:pStyle w:val="20"/>
              <w:spacing w:line="360" w:lineRule="auto"/>
              <w:jc w:val="center"/>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0-6</w:t>
            </w:r>
          </w:p>
        </w:tc>
      </w:tr>
      <w:tr w14:paraId="46736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3" w:type="dxa"/>
            <w:vAlign w:val="center"/>
          </w:tcPr>
          <w:p w14:paraId="1DAC7267">
            <w:pPr>
              <w:spacing w:line="360" w:lineRule="auto"/>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2.8</w:t>
            </w:r>
          </w:p>
        </w:tc>
        <w:tc>
          <w:tcPr>
            <w:tcW w:w="1101" w:type="dxa"/>
            <w:vAlign w:val="center"/>
          </w:tcPr>
          <w:p w14:paraId="241AB093">
            <w:pPr>
              <w:widowControl/>
              <w:spacing w:line="360" w:lineRule="auto"/>
              <w:jc w:val="center"/>
              <w:rPr>
                <w:rFonts w:hint="eastAsia" w:ascii="宋体" w:hAnsi="宋体" w:eastAsia="宋体" w:cs="宋体"/>
                <w:bCs/>
                <w:color w:val="auto"/>
                <w:sz w:val="21"/>
                <w:szCs w:val="21"/>
                <w:highlight w:val="none"/>
              </w:rPr>
            </w:pPr>
            <w:r>
              <w:rPr>
                <w:rFonts w:hint="eastAsia" w:ascii="宋体" w:hAnsi="宋体" w:eastAsia="宋体" w:cs="宋体"/>
                <w:color w:val="auto"/>
                <w:kern w:val="0"/>
                <w:sz w:val="21"/>
                <w:szCs w:val="21"/>
                <w:highlight w:val="none"/>
              </w:rPr>
              <w:t>确保文明施工的技术组织措施</w:t>
            </w:r>
          </w:p>
        </w:tc>
        <w:tc>
          <w:tcPr>
            <w:tcW w:w="6597" w:type="dxa"/>
            <w:vAlign w:val="center"/>
          </w:tcPr>
          <w:p w14:paraId="4FA02608">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i w:val="0"/>
                <w:iCs w:val="0"/>
                <w:caps w:val="0"/>
                <w:color w:val="auto"/>
                <w:spacing w:val="0"/>
                <w:sz w:val="21"/>
                <w:szCs w:val="21"/>
                <w:highlight w:val="none"/>
                <w:shd w:val="clear" w:color="auto" w:fill="FFFFFF"/>
              </w:rPr>
            </w:pPr>
            <w:r>
              <w:rPr>
                <w:rFonts w:hint="eastAsia" w:ascii="宋体" w:hAnsi="宋体" w:eastAsia="宋体" w:cs="宋体"/>
                <w:i w:val="0"/>
                <w:iCs w:val="0"/>
                <w:caps w:val="0"/>
                <w:color w:val="auto"/>
                <w:spacing w:val="0"/>
                <w:sz w:val="21"/>
                <w:szCs w:val="21"/>
                <w:highlight w:val="none"/>
                <w:shd w:val="clear" w:color="auto" w:fill="FFFFFF"/>
              </w:rPr>
              <w:t>针对本工程项目特点，应有现场文明施工、环境保护措施，且措施内容应达到《建筑施工安全生产检查标准》（JGJ59-2011）合格标准并符合《广西壮族自治区建筑工程文明施工导则》要求。各项措施周全、具体、有效。有具体实现现场文明施工目标的承诺。</w:t>
            </w:r>
          </w:p>
          <w:p w14:paraId="2EC004A3">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i w:val="0"/>
                <w:iCs w:val="0"/>
                <w:caps w:val="0"/>
                <w:color w:val="auto"/>
                <w:spacing w:val="0"/>
                <w:sz w:val="21"/>
                <w:szCs w:val="21"/>
                <w:highlight w:val="none"/>
                <w:shd w:val="clear" w:color="auto" w:fill="FFFFFF"/>
              </w:rPr>
            </w:pPr>
            <w:r>
              <w:rPr>
                <w:rFonts w:hint="eastAsia" w:ascii="宋体" w:hAnsi="宋体" w:eastAsia="宋体" w:cs="宋体"/>
                <w:i w:val="0"/>
                <w:iCs w:val="0"/>
                <w:caps w:val="0"/>
                <w:color w:val="auto"/>
                <w:spacing w:val="0"/>
                <w:sz w:val="21"/>
                <w:szCs w:val="21"/>
                <w:highlight w:val="none"/>
                <w:shd w:val="clear" w:color="auto" w:fill="FFFFFF"/>
              </w:rPr>
              <w:t>五档（</w:t>
            </w:r>
            <w:r>
              <w:rPr>
                <w:rFonts w:hint="eastAsia" w:ascii="宋体" w:hAnsi="宋体" w:eastAsia="宋体" w:cs="宋体"/>
                <w:i w:val="0"/>
                <w:iCs w:val="0"/>
                <w:caps w:val="0"/>
                <w:color w:val="auto"/>
                <w:spacing w:val="0"/>
                <w:sz w:val="21"/>
                <w:szCs w:val="21"/>
                <w:highlight w:val="none"/>
                <w:shd w:val="clear" w:color="auto" w:fill="FFFFFF"/>
                <w:lang w:val="en-US" w:eastAsia="zh-CN"/>
              </w:rPr>
              <w:t>6</w:t>
            </w:r>
            <w:r>
              <w:rPr>
                <w:rFonts w:hint="eastAsia" w:ascii="宋体" w:hAnsi="宋体" w:cs="宋体"/>
                <w:i w:val="0"/>
                <w:iCs w:val="0"/>
                <w:caps w:val="0"/>
                <w:color w:val="auto"/>
                <w:spacing w:val="0"/>
                <w:sz w:val="21"/>
                <w:szCs w:val="21"/>
                <w:highlight w:val="none"/>
                <w:shd w:val="clear" w:color="auto" w:fill="FFFFFF"/>
                <w:lang w:val="en-US" w:eastAsia="zh-CN"/>
              </w:rPr>
              <w:t>.0</w:t>
            </w:r>
            <w:r>
              <w:rPr>
                <w:rFonts w:hint="eastAsia" w:ascii="宋体" w:hAnsi="宋体" w:eastAsia="宋体" w:cs="宋体"/>
                <w:i w:val="0"/>
                <w:iCs w:val="0"/>
                <w:caps w:val="0"/>
                <w:color w:val="auto"/>
                <w:spacing w:val="0"/>
                <w:sz w:val="21"/>
                <w:szCs w:val="21"/>
                <w:highlight w:val="none"/>
                <w:shd w:val="clear" w:color="auto" w:fill="FFFFFF"/>
              </w:rPr>
              <w:t>分）：针对本工程项目特点，有现场文明施工、环境保护措施，且措施内容达到《建筑施工安全生产检查标准》（JGJ59-2011）合格标准并完全符合《广西壮族自治区建筑工程文明施工导则》要求。各项措施周全、具体、有效。有具体实现现场文明施工目标的承诺。</w:t>
            </w:r>
          </w:p>
          <w:p w14:paraId="698AFA11">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i w:val="0"/>
                <w:iCs w:val="0"/>
                <w:caps w:val="0"/>
                <w:color w:val="auto"/>
                <w:spacing w:val="0"/>
                <w:sz w:val="21"/>
                <w:szCs w:val="21"/>
                <w:highlight w:val="none"/>
                <w:shd w:val="clear" w:color="auto" w:fill="FFFFFF"/>
              </w:rPr>
            </w:pPr>
            <w:r>
              <w:rPr>
                <w:rFonts w:hint="eastAsia" w:ascii="宋体" w:hAnsi="宋体" w:eastAsia="宋体" w:cs="宋体"/>
                <w:i w:val="0"/>
                <w:iCs w:val="0"/>
                <w:caps w:val="0"/>
                <w:color w:val="auto"/>
                <w:spacing w:val="0"/>
                <w:sz w:val="21"/>
                <w:szCs w:val="21"/>
                <w:highlight w:val="none"/>
                <w:shd w:val="clear" w:color="auto" w:fill="FFFFFF"/>
              </w:rPr>
              <w:t>四档（</w:t>
            </w:r>
            <w:r>
              <w:rPr>
                <w:rFonts w:hint="eastAsia" w:ascii="宋体" w:hAnsi="宋体" w:eastAsia="宋体" w:cs="宋体"/>
                <w:i w:val="0"/>
                <w:iCs w:val="0"/>
                <w:caps w:val="0"/>
                <w:color w:val="auto"/>
                <w:spacing w:val="0"/>
                <w:sz w:val="21"/>
                <w:szCs w:val="21"/>
                <w:highlight w:val="none"/>
                <w:shd w:val="clear" w:color="auto" w:fill="FFFFFF"/>
                <w:lang w:val="en-US" w:eastAsia="zh-CN"/>
              </w:rPr>
              <w:t>4.5</w:t>
            </w:r>
            <w:r>
              <w:rPr>
                <w:rFonts w:hint="eastAsia" w:ascii="宋体" w:hAnsi="宋体" w:eastAsia="宋体" w:cs="宋体"/>
                <w:i w:val="0"/>
                <w:iCs w:val="0"/>
                <w:caps w:val="0"/>
                <w:color w:val="auto"/>
                <w:spacing w:val="0"/>
                <w:sz w:val="21"/>
                <w:szCs w:val="21"/>
                <w:highlight w:val="none"/>
                <w:shd w:val="clear" w:color="auto" w:fill="FFFFFF"/>
              </w:rPr>
              <w:t>分）：针对本工程项目特点，有现场文明施工、环境保护措施，且措施内容达到《建筑施工安全生产检查标准》（JGJ59-2011）合格标准并符合《广西壮族自治区建筑工程文明施工导则》要求。各项措施较具体、有效。有具体实现现场文明施工目标的承诺。</w:t>
            </w:r>
          </w:p>
          <w:p w14:paraId="084AAF45">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i w:val="0"/>
                <w:iCs w:val="0"/>
                <w:caps w:val="0"/>
                <w:color w:val="auto"/>
                <w:spacing w:val="0"/>
                <w:sz w:val="21"/>
                <w:szCs w:val="21"/>
                <w:highlight w:val="none"/>
                <w:shd w:val="clear" w:color="auto" w:fill="FFFFFF"/>
              </w:rPr>
            </w:pPr>
            <w:r>
              <w:rPr>
                <w:rFonts w:hint="eastAsia" w:ascii="宋体" w:hAnsi="宋体" w:eastAsia="宋体" w:cs="宋体"/>
                <w:i w:val="0"/>
                <w:iCs w:val="0"/>
                <w:caps w:val="0"/>
                <w:color w:val="auto"/>
                <w:spacing w:val="0"/>
                <w:sz w:val="21"/>
                <w:szCs w:val="21"/>
                <w:highlight w:val="none"/>
                <w:shd w:val="clear" w:color="auto" w:fill="FFFFFF"/>
              </w:rPr>
              <w:t>三档（</w:t>
            </w:r>
            <w:r>
              <w:rPr>
                <w:rFonts w:hint="eastAsia" w:ascii="宋体" w:hAnsi="宋体" w:eastAsia="宋体" w:cs="宋体"/>
                <w:i w:val="0"/>
                <w:iCs w:val="0"/>
                <w:caps w:val="0"/>
                <w:color w:val="auto"/>
                <w:spacing w:val="0"/>
                <w:sz w:val="21"/>
                <w:szCs w:val="21"/>
                <w:highlight w:val="none"/>
                <w:shd w:val="clear" w:color="auto" w:fill="FFFFFF"/>
                <w:lang w:val="en-US" w:eastAsia="zh-CN"/>
              </w:rPr>
              <w:t>3</w:t>
            </w:r>
            <w:r>
              <w:rPr>
                <w:rFonts w:hint="eastAsia" w:ascii="宋体" w:hAnsi="宋体" w:cs="宋体"/>
                <w:i w:val="0"/>
                <w:iCs w:val="0"/>
                <w:caps w:val="0"/>
                <w:color w:val="auto"/>
                <w:spacing w:val="0"/>
                <w:sz w:val="21"/>
                <w:szCs w:val="21"/>
                <w:highlight w:val="none"/>
                <w:shd w:val="clear" w:color="auto" w:fill="FFFFFF"/>
                <w:lang w:val="en-US" w:eastAsia="zh-CN"/>
              </w:rPr>
              <w:t>.0</w:t>
            </w:r>
            <w:r>
              <w:rPr>
                <w:rFonts w:hint="eastAsia" w:ascii="宋体" w:hAnsi="宋体" w:eastAsia="宋体" w:cs="宋体"/>
                <w:i w:val="0"/>
                <w:iCs w:val="0"/>
                <w:caps w:val="0"/>
                <w:color w:val="auto"/>
                <w:spacing w:val="0"/>
                <w:sz w:val="21"/>
                <w:szCs w:val="21"/>
                <w:highlight w:val="none"/>
                <w:shd w:val="clear" w:color="auto" w:fill="FFFFFF"/>
              </w:rPr>
              <w:t>分）：针对本工程项目特点，有现场文明施工、环境保护措施，且措施内容达到《建筑施工安全生产检查标准》（JGJ59-2011）合格标准并基本符合《广西壮族自治区建筑工程文明施工导则》要求。各项措施一般。有基本实现现场文明施工目标的承诺。</w:t>
            </w:r>
          </w:p>
          <w:p w14:paraId="7C3558CD">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i w:val="0"/>
                <w:iCs w:val="0"/>
                <w:caps w:val="0"/>
                <w:color w:val="auto"/>
                <w:spacing w:val="0"/>
                <w:sz w:val="21"/>
                <w:szCs w:val="21"/>
                <w:highlight w:val="none"/>
                <w:shd w:val="clear" w:color="auto" w:fill="FFFFFF"/>
              </w:rPr>
            </w:pPr>
            <w:r>
              <w:rPr>
                <w:rFonts w:hint="eastAsia" w:ascii="宋体" w:hAnsi="宋体" w:eastAsia="宋体" w:cs="宋体"/>
                <w:i w:val="0"/>
                <w:iCs w:val="0"/>
                <w:caps w:val="0"/>
                <w:color w:val="auto"/>
                <w:spacing w:val="0"/>
                <w:sz w:val="21"/>
                <w:szCs w:val="21"/>
                <w:highlight w:val="none"/>
                <w:shd w:val="clear" w:color="auto" w:fill="FFFFFF"/>
              </w:rPr>
              <w:t>二档（</w:t>
            </w:r>
            <w:r>
              <w:rPr>
                <w:rFonts w:hint="eastAsia" w:ascii="宋体" w:hAnsi="宋体" w:eastAsia="宋体" w:cs="宋体"/>
                <w:i w:val="0"/>
                <w:iCs w:val="0"/>
                <w:caps w:val="0"/>
                <w:color w:val="auto"/>
                <w:spacing w:val="0"/>
                <w:sz w:val="21"/>
                <w:szCs w:val="21"/>
                <w:highlight w:val="none"/>
                <w:shd w:val="clear" w:color="auto" w:fill="FFFFFF"/>
                <w:lang w:val="en-US" w:eastAsia="zh-CN"/>
              </w:rPr>
              <w:t>1.5</w:t>
            </w:r>
            <w:r>
              <w:rPr>
                <w:rFonts w:hint="eastAsia" w:ascii="宋体" w:hAnsi="宋体" w:eastAsia="宋体" w:cs="宋体"/>
                <w:i w:val="0"/>
                <w:iCs w:val="0"/>
                <w:caps w:val="0"/>
                <w:color w:val="auto"/>
                <w:spacing w:val="0"/>
                <w:sz w:val="21"/>
                <w:szCs w:val="21"/>
                <w:highlight w:val="none"/>
                <w:shd w:val="clear" w:color="auto" w:fill="FFFFFF"/>
              </w:rPr>
              <w:t>分）：针对本工程项目特点，有现场文明施工、环境保护措施，且措施内容达到《建筑施工安全生产检查标准》（JGJ59-2011）合格标准并基本符合《广西壮族自治区建筑工程文明施工导则》要求。各项措施勉强有效。有基本实现现场文明施工目标的承诺。</w:t>
            </w:r>
          </w:p>
          <w:p w14:paraId="2CBFB375">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cs="宋体"/>
                <w:bCs/>
                <w:color w:val="auto"/>
                <w:sz w:val="21"/>
                <w:szCs w:val="21"/>
                <w:highlight w:val="none"/>
                <w:lang w:val="en-US" w:eastAsia="zh-CN"/>
              </w:rPr>
            </w:pPr>
            <w:r>
              <w:rPr>
                <w:rFonts w:hint="eastAsia" w:ascii="宋体" w:hAnsi="宋体" w:eastAsia="宋体" w:cs="宋体"/>
                <w:i w:val="0"/>
                <w:iCs w:val="0"/>
                <w:caps w:val="0"/>
                <w:color w:val="auto"/>
                <w:spacing w:val="0"/>
                <w:sz w:val="21"/>
                <w:szCs w:val="21"/>
                <w:highlight w:val="none"/>
                <w:shd w:val="clear" w:color="auto" w:fill="FFFFFF"/>
              </w:rPr>
              <w:t>一档（0分）：未提供或针对本工程项目特点，有现场文明施工、环境保护措施，且措施内容未能达到《建筑施工安全生产检查标准》（JGJ59-2011）合格标准及《广西壮族自治区建筑工程文明施工导则》要求。各项措施较差。无实现现场文明施工目标的承诺。</w:t>
            </w:r>
          </w:p>
        </w:tc>
        <w:tc>
          <w:tcPr>
            <w:tcW w:w="1081" w:type="dxa"/>
            <w:vAlign w:val="center"/>
          </w:tcPr>
          <w:p w14:paraId="041D786C">
            <w:pPr>
              <w:pStyle w:val="20"/>
              <w:spacing w:line="360" w:lineRule="auto"/>
              <w:jc w:val="center"/>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0-6</w:t>
            </w:r>
          </w:p>
        </w:tc>
      </w:tr>
      <w:tr w14:paraId="70269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3" w:type="dxa"/>
            <w:vAlign w:val="center"/>
          </w:tcPr>
          <w:p w14:paraId="33FD8C38">
            <w:pPr>
              <w:spacing w:line="360" w:lineRule="auto"/>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2.9</w:t>
            </w:r>
          </w:p>
        </w:tc>
        <w:tc>
          <w:tcPr>
            <w:tcW w:w="1101" w:type="dxa"/>
            <w:vAlign w:val="center"/>
          </w:tcPr>
          <w:p w14:paraId="59119EE6">
            <w:pPr>
              <w:widowControl/>
              <w:spacing w:line="360" w:lineRule="auto"/>
              <w:jc w:val="center"/>
              <w:rPr>
                <w:rFonts w:hint="eastAsia" w:ascii="宋体" w:hAnsi="宋体" w:eastAsia="宋体" w:cs="宋体"/>
                <w:bCs/>
                <w:color w:val="auto"/>
                <w:sz w:val="21"/>
                <w:szCs w:val="21"/>
                <w:highlight w:val="none"/>
              </w:rPr>
            </w:pPr>
            <w:r>
              <w:rPr>
                <w:rFonts w:hint="eastAsia" w:ascii="宋体" w:hAnsi="宋体" w:eastAsia="宋体" w:cs="宋体"/>
                <w:color w:val="auto"/>
                <w:kern w:val="0"/>
                <w:sz w:val="21"/>
                <w:szCs w:val="21"/>
                <w:highlight w:val="none"/>
              </w:rPr>
              <w:t>工程施工的重点和难点及保证措施</w:t>
            </w:r>
          </w:p>
        </w:tc>
        <w:tc>
          <w:tcPr>
            <w:tcW w:w="6597" w:type="dxa"/>
            <w:vAlign w:val="center"/>
          </w:tcPr>
          <w:p w14:paraId="1CC21ED3">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针对本工程的特点，阐述本工程的重点和难点，解决重点和难点问题的方法是否合理。</w:t>
            </w:r>
          </w:p>
          <w:p w14:paraId="21C0CEB3">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五档</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6</w:t>
            </w:r>
            <w:r>
              <w:rPr>
                <w:rFonts w:hint="eastAsia" w:ascii="宋体" w:hAnsi="宋体" w:cs="宋体"/>
                <w:color w:val="auto"/>
                <w:sz w:val="21"/>
                <w:szCs w:val="21"/>
                <w:highlight w:val="none"/>
                <w:lang w:val="en-US" w:eastAsia="zh-CN"/>
              </w:rPr>
              <w:t>.0</w:t>
            </w:r>
            <w:r>
              <w:rPr>
                <w:rFonts w:hint="eastAsia" w:ascii="宋体" w:hAnsi="宋体" w:eastAsia="宋体" w:cs="宋体"/>
                <w:color w:val="auto"/>
                <w:sz w:val="21"/>
                <w:szCs w:val="21"/>
                <w:highlight w:val="none"/>
              </w:rPr>
              <w:t xml:space="preserve">分）：针对本工程的特点，具体阐述本工程的重点和难点，解决重点和难点问题的方法科学、完全合理，且具有针对性。 </w:t>
            </w:r>
          </w:p>
          <w:p w14:paraId="42F586F9">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四档</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4.5</w:t>
            </w:r>
            <w:r>
              <w:rPr>
                <w:rFonts w:hint="eastAsia" w:ascii="宋体" w:hAnsi="宋体" w:eastAsia="宋体" w:cs="宋体"/>
                <w:color w:val="auto"/>
                <w:sz w:val="21"/>
                <w:szCs w:val="21"/>
                <w:highlight w:val="none"/>
              </w:rPr>
              <w:t>分）：针对本工程的特点，阐述本工程的重点和难点，解决重点和难点问题的方法合理。</w:t>
            </w:r>
          </w:p>
          <w:p w14:paraId="3689ECC8">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三档</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3</w:t>
            </w:r>
            <w:r>
              <w:rPr>
                <w:rFonts w:hint="eastAsia" w:ascii="宋体" w:hAnsi="宋体" w:cs="宋体"/>
                <w:color w:val="auto"/>
                <w:sz w:val="21"/>
                <w:szCs w:val="21"/>
                <w:highlight w:val="none"/>
                <w:lang w:val="en-US" w:eastAsia="zh-CN"/>
              </w:rPr>
              <w:t>.0</w:t>
            </w:r>
            <w:r>
              <w:rPr>
                <w:rFonts w:hint="eastAsia" w:ascii="宋体" w:hAnsi="宋体" w:eastAsia="宋体" w:cs="宋体"/>
                <w:color w:val="auto"/>
                <w:sz w:val="21"/>
                <w:szCs w:val="21"/>
                <w:highlight w:val="none"/>
              </w:rPr>
              <w:t xml:space="preserve">分）：针对本工程的特点，对本工程的重点和难点阐述一般，解决重点和难点问题的方法基本合理。 </w:t>
            </w:r>
          </w:p>
          <w:p w14:paraId="48A88EBC">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二档</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1.5</w:t>
            </w:r>
            <w:r>
              <w:rPr>
                <w:rFonts w:hint="eastAsia" w:ascii="宋体" w:hAnsi="宋体" w:eastAsia="宋体" w:cs="宋体"/>
                <w:color w:val="auto"/>
                <w:sz w:val="21"/>
                <w:szCs w:val="21"/>
                <w:highlight w:val="none"/>
              </w:rPr>
              <w:t>分）：针对本工程的特点，未阐述本工程的重点和难点，解决重点和难点问题的方法不合理。</w:t>
            </w:r>
          </w:p>
          <w:p w14:paraId="65EDD859">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cs="宋体"/>
                <w:bCs/>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一档</w:t>
            </w:r>
            <w:r>
              <w:rPr>
                <w:rFonts w:hint="eastAsia" w:ascii="宋体" w:hAnsi="宋体" w:eastAsia="宋体" w:cs="宋体"/>
                <w:color w:val="auto"/>
                <w:sz w:val="21"/>
                <w:szCs w:val="21"/>
                <w:highlight w:val="none"/>
              </w:rPr>
              <w:t>（0分）：未提供或针对本工程的特点，阐述本工程的重点和难点，解决重点和难点问题的方法不合理，不能满足要求。</w:t>
            </w:r>
          </w:p>
        </w:tc>
        <w:tc>
          <w:tcPr>
            <w:tcW w:w="1081" w:type="dxa"/>
            <w:vAlign w:val="center"/>
          </w:tcPr>
          <w:p w14:paraId="5B44523D">
            <w:pPr>
              <w:pStyle w:val="20"/>
              <w:spacing w:line="360" w:lineRule="auto"/>
              <w:jc w:val="center"/>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0-6</w:t>
            </w:r>
          </w:p>
        </w:tc>
      </w:tr>
      <w:tr w14:paraId="2C144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3" w:type="dxa"/>
            <w:vAlign w:val="center"/>
          </w:tcPr>
          <w:p w14:paraId="0D2A8116">
            <w:pPr>
              <w:spacing w:line="360" w:lineRule="auto"/>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2.10</w:t>
            </w:r>
          </w:p>
        </w:tc>
        <w:tc>
          <w:tcPr>
            <w:tcW w:w="1101" w:type="dxa"/>
            <w:vAlign w:val="center"/>
          </w:tcPr>
          <w:p w14:paraId="1F72D484">
            <w:pPr>
              <w:widowControl/>
              <w:spacing w:line="360" w:lineRule="auto"/>
              <w:jc w:val="center"/>
              <w:rPr>
                <w:rFonts w:hint="eastAsia" w:ascii="宋体" w:hAnsi="宋体" w:eastAsia="宋体" w:cs="宋体"/>
                <w:bCs/>
                <w:color w:val="auto"/>
                <w:sz w:val="21"/>
                <w:szCs w:val="21"/>
                <w:highlight w:val="none"/>
              </w:rPr>
            </w:pPr>
            <w:r>
              <w:rPr>
                <w:rFonts w:hint="eastAsia" w:ascii="宋体" w:hAnsi="宋体" w:eastAsia="宋体" w:cs="宋体"/>
                <w:color w:val="auto"/>
                <w:kern w:val="0"/>
                <w:sz w:val="21"/>
                <w:szCs w:val="21"/>
                <w:highlight w:val="none"/>
              </w:rPr>
              <w:t>施工总平面布置</w:t>
            </w:r>
          </w:p>
        </w:tc>
        <w:tc>
          <w:tcPr>
            <w:tcW w:w="6597" w:type="dxa"/>
            <w:vAlign w:val="center"/>
          </w:tcPr>
          <w:p w14:paraId="76972162">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应有施工总平面布置图，安排科学合理，符合本项目施工实际要求。</w:t>
            </w:r>
          </w:p>
          <w:p w14:paraId="15DBF929">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五档</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6</w:t>
            </w:r>
            <w:r>
              <w:rPr>
                <w:rFonts w:hint="eastAsia" w:ascii="宋体" w:hAnsi="宋体" w:cs="宋体"/>
                <w:color w:val="auto"/>
                <w:sz w:val="21"/>
                <w:szCs w:val="21"/>
                <w:highlight w:val="none"/>
                <w:lang w:val="en-US" w:eastAsia="zh-CN"/>
              </w:rPr>
              <w:t>.0</w:t>
            </w:r>
            <w:r>
              <w:rPr>
                <w:rFonts w:hint="eastAsia" w:ascii="宋体" w:hAnsi="宋体" w:eastAsia="宋体" w:cs="宋体"/>
                <w:color w:val="auto"/>
                <w:sz w:val="21"/>
                <w:szCs w:val="21"/>
                <w:highlight w:val="none"/>
              </w:rPr>
              <w:t>分）：有施工总平面布置图，安排科学合理，完全符合本项目施工实际要求。</w:t>
            </w:r>
          </w:p>
          <w:p w14:paraId="1B91091B">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四档</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4.5</w:t>
            </w:r>
            <w:r>
              <w:rPr>
                <w:rFonts w:hint="eastAsia" w:ascii="宋体" w:hAnsi="宋体" w:eastAsia="宋体" w:cs="宋体"/>
                <w:color w:val="auto"/>
                <w:sz w:val="21"/>
                <w:szCs w:val="21"/>
                <w:highlight w:val="none"/>
              </w:rPr>
              <w:t>分）：有施工总平面布置图，安排较合理，符合本项目施工实际要求。</w:t>
            </w:r>
          </w:p>
          <w:p w14:paraId="6D31A042">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三档</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3</w:t>
            </w:r>
            <w:r>
              <w:rPr>
                <w:rFonts w:hint="eastAsia" w:ascii="宋体" w:hAnsi="宋体" w:cs="宋体"/>
                <w:color w:val="auto"/>
                <w:sz w:val="21"/>
                <w:szCs w:val="21"/>
                <w:highlight w:val="none"/>
                <w:lang w:val="en-US" w:eastAsia="zh-CN"/>
              </w:rPr>
              <w:t>.0</w:t>
            </w:r>
            <w:r>
              <w:rPr>
                <w:rFonts w:hint="eastAsia" w:ascii="宋体" w:hAnsi="宋体" w:eastAsia="宋体" w:cs="宋体"/>
                <w:color w:val="auto"/>
                <w:sz w:val="21"/>
                <w:szCs w:val="21"/>
                <w:highlight w:val="none"/>
              </w:rPr>
              <w:t>分）：有施工总平面布置图，安排基本合理，基本符合本项目施工实际要求。</w:t>
            </w:r>
          </w:p>
          <w:p w14:paraId="42A9FDF6">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二档</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1.5</w:t>
            </w:r>
            <w:r>
              <w:rPr>
                <w:rFonts w:hint="eastAsia" w:ascii="宋体" w:hAnsi="宋体" w:eastAsia="宋体" w:cs="宋体"/>
                <w:color w:val="auto"/>
                <w:sz w:val="21"/>
                <w:szCs w:val="21"/>
                <w:highlight w:val="none"/>
              </w:rPr>
              <w:t>分）：有施工总平面布置图，安排勉强合理，勉强符合本项目施工实际要求。</w:t>
            </w:r>
          </w:p>
          <w:p w14:paraId="79E36A72">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cs="宋体"/>
                <w:bCs/>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一档</w:t>
            </w:r>
            <w:r>
              <w:rPr>
                <w:rFonts w:hint="eastAsia" w:ascii="宋体" w:hAnsi="宋体" w:eastAsia="宋体" w:cs="宋体"/>
                <w:color w:val="auto"/>
                <w:sz w:val="21"/>
                <w:szCs w:val="21"/>
                <w:highlight w:val="none"/>
              </w:rPr>
              <w:t>（0分）：无施工总平面布置图或安排不合理，不符合本项目施工实际要求。</w:t>
            </w:r>
          </w:p>
        </w:tc>
        <w:tc>
          <w:tcPr>
            <w:tcW w:w="1081" w:type="dxa"/>
            <w:vAlign w:val="center"/>
          </w:tcPr>
          <w:p w14:paraId="45A8D5E7">
            <w:pPr>
              <w:pStyle w:val="20"/>
              <w:spacing w:line="360" w:lineRule="auto"/>
              <w:jc w:val="center"/>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0-6</w:t>
            </w:r>
          </w:p>
        </w:tc>
      </w:tr>
      <w:tr w14:paraId="03196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trPr>
        <w:tc>
          <w:tcPr>
            <w:tcW w:w="763" w:type="dxa"/>
          </w:tcPr>
          <w:p w14:paraId="68696EBB">
            <w:pPr>
              <w:keepNext w:val="0"/>
              <w:keepLines w:val="0"/>
              <w:pageBreakBefore w:val="0"/>
              <w:widowControl w:val="0"/>
              <w:kinsoku/>
              <w:wordWrap/>
              <w:overflowPunct/>
              <w:topLinePunct w:val="0"/>
              <w:autoSpaceDE w:val="0"/>
              <w:autoSpaceDN w:val="0"/>
              <w:bidi w:val="0"/>
              <w:adjustRightInd w:val="0"/>
              <w:snapToGrid/>
              <w:spacing w:line="360" w:lineRule="auto"/>
              <w:jc w:val="center"/>
              <w:textAlignment w:val="auto"/>
              <w:outlineLvl w:val="9"/>
              <w:rPr>
                <w:rFonts w:hint="eastAsia" w:ascii="宋体" w:hAnsi="宋体" w:eastAsia="宋体" w:cs="宋体"/>
                <w:b w:val="0"/>
                <w:bCs/>
                <w:color w:val="auto"/>
                <w:kern w:val="0"/>
                <w:sz w:val="21"/>
                <w:szCs w:val="21"/>
                <w:highlight w:val="none"/>
                <w:lang w:val="en-US" w:eastAsia="zh-CN"/>
              </w:rPr>
            </w:pPr>
            <w:r>
              <w:rPr>
                <w:rFonts w:hint="eastAsia" w:ascii="宋体" w:hAnsi="宋体" w:cs="宋体"/>
                <w:b w:val="0"/>
                <w:bCs/>
                <w:color w:val="auto"/>
                <w:kern w:val="0"/>
                <w:sz w:val="21"/>
                <w:szCs w:val="21"/>
                <w:highlight w:val="none"/>
                <w:lang w:val="en-US" w:eastAsia="zh-CN"/>
              </w:rPr>
              <w:t>3</w:t>
            </w:r>
          </w:p>
        </w:tc>
        <w:tc>
          <w:tcPr>
            <w:tcW w:w="7698" w:type="dxa"/>
            <w:gridSpan w:val="2"/>
          </w:tcPr>
          <w:p w14:paraId="7BEB51AB">
            <w:pPr>
              <w:keepNext w:val="0"/>
              <w:keepLines w:val="0"/>
              <w:pageBreakBefore w:val="0"/>
              <w:widowControl w:val="0"/>
              <w:kinsoku/>
              <w:wordWrap/>
              <w:overflowPunct/>
              <w:topLinePunct w:val="0"/>
              <w:autoSpaceDE w:val="0"/>
              <w:autoSpaceDN w:val="0"/>
              <w:bidi w:val="0"/>
              <w:adjustRightInd w:val="0"/>
              <w:snapToGrid/>
              <w:spacing w:line="360" w:lineRule="auto"/>
              <w:jc w:val="center"/>
              <w:textAlignment w:val="auto"/>
              <w:outlineLvl w:val="9"/>
              <w:rPr>
                <w:rFonts w:hint="default" w:ascii="宋体" w:hAnsi="宋体" w:eastAsia="宋体" w:cs="宋体"/>
                <w:b w:val="0"/>
                <w:bCs/>
                <w:color w:val="auto"/>
                <w:kern w:val="0"/>
                <w:sz w:val="21"/>
                <w:szCs w:val="21"/>
                <w:highlight w:val="none"/>
                <w:lang w:val="en-US" w:eastAsia="zh-CN"/>
              </w:rPr>
            </w:pPr>
            <w:r>
              <w:rPr>
                <w:rFonts w:hint="eastAsia" w:ascii="宋体" w:hAnsi="宋体" w:cs="宋体"/>
                <w:b w:val="0"/>
                <w:bCs/>
                <w:color w:val="auto"/>
                <w:kern w:val="0"/>
                <w:sz w:val="21"/>
                <w:szCs w:val="21"/>
                <w:highlight w:val="none"/>
                <w:lang w:val="en-US" w:eastAsia="zh-CN"/>
              </w:rPr>
              <w:t>商务分</w:t>
            </w:r>
          </w:p>
        </w:tc>
        <w:tc>
          <w:tcPr>
            <w:tcW w:w="1081" w:type="dxa"/>
          </w:tcPr>
          <w:p w14:paraId="02D44B5A">
            <w:pPr>
              <w:keepNext w:val="0"/>
              <w:keepLines w:val="0"/>
              <w:pageBreakBefore w:val="0"/>
              <w:widowControl w:val="0"/>
              <w:kinsoku/>
              <w:wordWrap/>
              <w:overflowPunct/>
              <w:topLinePunct w:val="0"/>
              <w:autoSpaceDE w:val="0"/>
              <w:autoSpaceDN w:val="0"/>
              <w:bidi w:val="0"/>
              <w:adjustRightInd w:val="0"/>
              <w:snapToGrid/>
              <w:spacing w:line="360" w:lineRule="auto"/>
              <w:jc w:val="center"/>
              <w:textAlignment w:val="auto"/>
              <w:outlineLvl w:val="9"/>
              <w:rPr>
                <w:rFonts w:hint="default" w:ascii="宋体" w:hAnsi="宋体" w:eastAsia="宋体" w:cs="宋体"/>
                <w:b w:val="0"/>
                <w:bCs/>
                <w:color w:val="auto"/>
                <w:kern w:val="0"/>
                <w:sz w:val="21"/>
                <w:szCs w:val="21"/>
                <w:highlight w:val="none"/>
                <w:lang w:val="en-US" w:eastAsia="zh-CN"/>
              </w:rPr>
            </w:pPr>
            <w:r>
              <w:rPr>
                <w:rFonts w:hint="eastAsia" w:ascii="宋体" w:hAnsi="宋体" w:eastAsia="宋体" w:cs="宋体"/>
                <w:bCs/>
                <w:color w:val="auto"/>
                <w:sz w:val="21"/>
                <w:szCs w:val="21"/>
                <w:highlight w:val="none"/>
                <w:lang w:val="en-US" w:eastAsia="zh-CN"/>
              </w:rPr>
              <w:t>0</w:t>
            </w:r>
            <w:r>
              <w:rPr>
                <w:rFonts w:hint="eastAsia" w:ascii="宋体" w:hAnsi="宋体" w:cs="宋体"/>
                <w:bCs/>
                <w:color w:val="auto"/>
                <w:sz w:val="21"/>
                <w:szCs w:val="21"/>
                <w:highlight w:val="none"/>
                <w:lang w:val="en-US" w:eastAsia="zh-CN"/>
              </w:rPr>
              <w:t>-</w:t>
            </w:r>
            <w:r>
              <w:rPr>
                <w:rFonts w:hint="eastAsia" w:ascii="宋体" w:hAnsi="宋体" w:cs="宋体"/>
                <w:b w:val="0"/>
                <w:bCs/>
                <w:color w:val="auto"/>
                <w:kern w:val="0"/>
                <w:sz w:val="21"/>
                <w:szCs w:val="21"/>
                <w:highlight w:val="none"/>
                <w:lang w:val="en-US" w:eastAsia="zh-CN"/>
              </w:rPr>
              <w:t>8</w:t>
            </w:r>
          </w:p>
        </w:tc>
      </w:tr>
      <w:tr w14:paraId="20D8F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trPr>
        <w:tc>
          <w:tcPr>
            <w:tcW w:w="763" w:type="dxa"/>
            <w:vAlign w:val="center"/>
          </w:tcPr>
          <w:p w14:paraId="7A646EFB">
            <w:pPr>
              <w:keepNext w:val="0"/>
              <w:keepLines w:val="0"/>
              <w:pageBreakBefore w:val="0"/>
              <w:widowControl/>
              <w:kinsoku/>
              <w:wordWrap/>
              <w:overflowPunct/>
              <w:topLinePunct w:val="0"/>
              <w:bidi w:val="0"/>
              <w:snapToGrid/>
              <w:spacing w:line="360" w:lineRule="auto"/>
              <w:jc w:val="center"/>
              <w:textAlignment w:val="auto"/>
              <w:rPr>
                <w:rFonts w:hint="eastAsia" w:ascii="宋体" w:hAnsi="宋体" w:eastAsia="宋体" w:cs="宋体"/>
                <w:b/>
                <w:color w:val="auto"/>
                <w:kern w:val="0"/>
                <w:sz w:val="21"/>
                <w:szCs w:val="21"/>
                <w:highlight w:val="none"/>
              </w:rPr>
            </w:pPr>
            <w:r>
              <w:rPr>
                <w:rFonts w:hint="eastAsia" w:ascii="宋体" w:hAnsi="宋体" w:eastAsia="宋体" w:cs="宋体"/>
                <w:color w:val="auto"/>
                <w:sz w:val="21"/>
                <w:szCs w:val="21"/>
                <w:highlight w:val="none"/>
                <w:lang w:val="en-US" w:eastAsia="zh-CN"/>
              </w:rPr>
              <w:t>3.1</w:t>
            </w:r>
          </w:p>
        </w:tc>
        <w:tc>
          <w:tcPr>
            <w:tcW w:w="1101" w:type="dxa"/>
            <w:vAlign w:val="center"/>
          </w:tcPr>
          <w:p w14:paraId="3CE99060">
            <w:pPr>
              <w:keepNext w:val="0"/>
              <w:keepLines w:val="0"/>
              <w:pageBreakBefore w:val="0"/>
              <w:widowControl/>
              <w:kinsoku/>
              <w:wordWrap/>
              <w:overflowPunct/>
              <w:topLinePunct w:val="0"/>
              <w:bidi w:val="0"/>
              <w:snapToGrid/>
              <w:spacing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业绩分</w:t>
            </w:r>
          </w:p>
        </w:tc>
        <w:tc>
          <w:tcPr>
            <w:tcW w:w="6597" w:type="dxa"/>
            <w:vAlign w:val="center"/>
          </w:tcPr>
          <w:p w14:paraId="1C93CB70">
            <w:pPr>
              <w:keepNext w:val="0"/>
              <w:keepLines w:val="0"/>
              <w:pageBreakBefore w:val="0"/>
              <w:widowControl/>
              <w:kinsoku/>
              <w:wordWrap/>
              <w:overflowPunct/>
              <w:topLinePunct w:val="0"/>
              <w:bidi w:val="0"/>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w:t>
            </w:r>
            <w:r>
              <w:rPr>
                <w:rFonts w:hint="eastAsia" w:ascii="宋体" w:hAnsi="宋体" w:cs="宋体"/>
                <w:color w:val="auto"/>
                <w:sz w:val="21"/>
                <w:szCs w:val="21"/>
                <w:highlight w:val="none"/>
                <w:lang w:eastAsia="zh-CN"/>
              </w:rPr>
              <w:t>2023年9月1日</w:t>
            </w:r>
            <w:r>
              <w:rPr>
                <w:rFonts w:hint="eastAsia" w:ascii="宋体" w:hAnsi="宋体" w:eastAsia="宋体" w:cs="宋体"/>
                <w:color w:val="auto"/>
                <w:sz w:val="21"/>
                <w:szCs w:val="21"/>
                <w:highlight w:val="none"/>
              </w:rPr>
              <w:t>至本项目响应文件递交截止时间承接过</w:t>
            </w:r>
            <w:r>
              <w:rPr>
                <w:rFonts w:hint="eastAsia" w:ascii="宋体" w:hAnsi="宋体" w:eastAsia="宋体" w:cs="宋体"/>
                <w:color w:val="auto"/>
                <w:sz w:val="21"/>
                <w:szCs w:val="21"/>
                <w:highlight w:val="none"/>
                <w:lang w:val="en-US" w:eastAsia="zh-CN"/>
              </w:rPr>
              <w:t>类似</w:t>
            </w:r>
            <w:r>
              <w:rPr>
                <w:rFonts w:hint="eastAsia" w:ascii="宋体" w:hAnsi="宋体" w:eastAsia="宋体" w:cs="宋体"/>
                <w:color w:val="auto"/>
                <w:sz w:val="21"/>
                <w:szCs w:val="21"/>
                <w:highlight w:val="none"/>
              </w:rPr>
              <w:t>业绩的每个得</w:t>
            </w:r>
            <w:r>
              <w:rPr>
                <w:rFonts w:hint="eastAsia" w:ascii="宋体" w:hAnsi="宋体" w:cs="宋体"/>
                <w:color w:val="auto"/>
                <w:sz w:val="21"/>
                <w:szCs w:val="21"/>
                <w:highlight w:val="none"/>
                <w:lang w:val="en-US" w:eastAsia="zh-CN"/>
              </w:rPr>
              <w:t>2.5</w:t>
            </w:r>
            <w:r>
              <w:rPr>
                <w:rFonts w:hint="eastAsia" w:ascii="宋体" w:hAnsi="宋体" w:eastAsia="宋体" w:cs="宋体"/>
                <w:color w:val="auto"/>
                <w:sz w:val="21"/>
                <w:szCs w:val="21"/>
                <w:highlight w:val="none"/>
              </w:rPr>
              <w:t>分，本项满分</w:t>
            </w:r>
            <w:r>
              <w:rPr>
                <w:rFonts w:hint="eastAsia" w:ascii="宋体" w:hAnsi="宋体" w:cs="宋体"/>
                <w:color w:val="auto"/>
                <w:sz w:val="21"/>
                <w:szCs w:val="21"/>
                <w:highlight w:val="none"/>
                <w:lang w:val="en-US" w:eastAsia="zh-CN"/>
              </w:rPr>
              <w:t>5</w:t>
            </w:r>
            <w:r>
              <w:rPr>
                <w:rFonts w:hint="eastAsia" w:ascii="宋体" w:hAnsi="宋体" w:eastAsia="宋体" w:cs="宋体"/>
                <w:color w:val="auto"/>
                <w:sz w:val="21"/>
                <w:szCs w:val="21"/>
                <w:highlight w:val="none"/>
              </w:rPr>
              <w:t>分。（以中标通知书或合同协议书或工程竣工验收证明材料复印件为准）</w:t>
            </w:r>
          </w:p>
        </w:tc>
        <w:tc>
          <w:tcPr>
            <w:tcW w:w="1081" w:type="dxa"/>
            <w:vAlign w:val="center"/>
          </w:tcPr>
          <w:p w14:paraId="470837CF">
            <w:pPr>
              <w:pStyle w:val="20"/>
              <w:keepNext w:val="0"/>
              <w:keepLines w:val="0"/>
              <w:pageBreakBefore w:val="0"/>
              <w:kinsoku/>
              <w:wordWrap/>
              <w:overflowPunct/>
              <w:topLinePunct w:val="0"/>
              <w:bidi w:val="0"/>
              <w:snapToGrid/>
              <w:spacing w:line="360" w:lineRule="auto"/>
              <w:jc w:val="center"/>
              <w:textAlignment w:val="auto"/>
              <w:rPr>
                <w:rFonts w:hint="eastAsia" w:ascii="宋体" w:hAnsi="宋体" w:eastAsia="宋体" w:cs="宋体"/>
                <w:b/>
                <w:color w:val="auto"/>
                <w:kern w:val="0"/>
                <w:sz w:val="21"/>
                <w:szCs w:val="21"/>
                <w:highlight w:val="none"/>
              </w:rPr>
            </w:pPr>
            <w:r>
              <w:rPr>
                <w:rFonts w:hint="eastAsia" w:ascii="宋体" w:hAnsi="宋体" w:eastAsia="宋体" w:cs="宋体"/>
                <w:bCs/>
                <w:color w:val="auto"/>
                <w:sz w:val="21"/>
                <w:szCs w:val="21"/>
                <w:highlight w:val="none"/>
                <w:lang w:val="en-US" w:eastAsia="zh-CN"/>
              </w:rPr>
              <w:t>0</w:t>
            </w:r>
            <w:r>
              <w:rPr>
                <w:rFonts w:hint="eastAsia" w:hAnsi="宋体" w:cs="宋体"/>
                <w:bCs/>
                <w:color w:val="auto"/>
                <w:sz w:val="21"/>
                <w:szCs w:val="21"/>
                <w:highlight w:val="none"/>
                <w:lang w:val="en-US" w:eastAsia="zh-CN"/>
              </w:rPr>
              <w:t>-5</w:t>
            </w:r>
          </w:p>
        </w:tc>
      </w:tr>
      <w:tr w14:paraId="51BCA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trPr>
        <w:tc>
          <w:tcPr>
            <w:tcW w:w="763" w:type="dxa"/>
            <w:vAlign w:val="center"/>
          </w:tcPr>
          <w:p w14:paraId="0DA51AB5">
            <w:pPr>
              <w:keepNext w:val="0"/>
              <w:keepLines w:val="0"/>
              <w:pageBreakBefore w:val="0"/>
              <w:widowControl/>
              <w:kinsoku/>
              <w:wordWrap/>
              <w:overflowPunct/>
              <w:topLinePunct w:val="0"/>
              <w:bidi w:val="0"/>
              <w:snapToGrid/>
              <w:spacing w:line="360" w:lineRule="auto"/>
              <w:jc w:val="center"/>
              <w:textAlignment w:val="auto"/>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3.2</w:t>
            </w:r>
          </w:p>
        </w:tc>
        <w:tc>
          <w:tcPr>
            <w:tcW w:w="1101" w:type="dxa"/>
            <w:vAlign w:val="center"/>
          </w:tcPr>
          <w:p w14:paraId="4B4341D7">
            <w:pPr>
              <w:keepNext w:val="0"/>
              <w:keepLines w:val="0"/>
              <w:pageBreakBefore w:val="0"/>
              <w:widowControl/>
              <w:kinsoku/>
              <w:wordWrap/>
              <w:overflowPunct/>
              <w:topLinePunct w:val="0"/>
              <w:bidi w:val="0"/>
              <w:snapToGrid/>
              <w:spacing w:line="360" w:lineRule="auto"/>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项目管理机构</w:t>
            </w:r>
          </w:p>
        </w:tc>
        <w:tc>
          <w:tcPr>
            <w:tcW w:w="6597" w:type="dxa"/>
            <w:vAlign w:val="center"/>
          </w:tcPr>
          <w:p w14:paraId="7970D9CF">
            <w:pPr>
              <w:keepNext w:val="0"/>
              <w:keepLines w:val="0"/>
              <w:pageBreakBefore w:val="0"/>
              <w:widowControl/>
              <w:numPr>
                <w:ilvl w:val="0"/>
                <w:numId w:val="0"/>
              </w:numPr>
              <w:kinsoku/>
              <w:wordWrap/>
              <w:overflowPunct/>
              <w:topLinePunct w:val="0"/>
              <w:bidi w:val="0"/>
              <w:snapToGrid/>
              <w:spacing w:line="360" w:lineRule="auto"/>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项目经理任职资格（满分</w:t>
            </w: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lang w:val="en-US" w:eastAsia="zh-CN"/>
              </w:rPr>
              <w:t>分）：项目经理具有初级职称的</w:t>
            </w:r>
            <w:r>
              <w:rPr>
                <w:rFonts w:hint="eastAsia" w:ascii="宋体" w:hAnsi="宋体" w:cs="宋体"/>
                <w:color w:val="auto"/>
                <w:sz w:val="21"/>
                <w:szCs w:val="21"/>
                <w:highlight w:val="none"/>
                <w:lang w:val="en-US" w:eastAsia="zh-CN"/>
              </w:rPr>
              <w:t>得1分；</w:t>
            </w:r>
            <w:r>
              <w:rPr>
                <w:rFonts w:hint="eastAsia" w:ascii="宋体" w:hAnsi="宋体" w:eastAsia="宋体" w:cs="宋体"/>
                <w:color w:val="auto"/>
                <w:sz w:val="21"/>
                <w:szCs w:val="21"/>
                <w:highlight w:val="none"/>
                <w:lang w:val="en-US" w:eastAsia="zh-CN"/>
              </w:rPr>
              <w:t>项目经理具备中级或以上职称的，得</w:t>
            </w: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lang w:val="en-US" w:eastAsia="zh-CN"/>
              </w:rPr>
              <w:t>分，满分</w:t>
            </w: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lang w:val="en-US" w:eastAsia="zh-CN"/>
              </w:rPr>
              <w:t>分</w:t>
            </w:r>
            <w:r>
              <w:rPr>
                <w:rFonts w:hint="eastAsia" w:ascii="宋体" w:hAnsi="宋体" w:cs="宋体"/>
                <w:color w:val="auto"/>
                <w:sz w:val="21"/>
                <w:szCs w:val="21"/>
                <w:highlight w:val="none"/>
                <w:lang w:val="en-US" w:eastAsia="zh-CN"/>
              </w:rPr>
              <w:t>。</w:t>
            </w:r>
          </w:p>
          <w:p w14:paraId="357200D2">
            <w:pPr>
              <w:keepNext w:val="0"/>
              <w:keepLines w:val="0"/>
              <w:pageBreakBefore w:val="0"/>
              <w:widowControl/>
              <w:kinsoku/>
              <w:wordWrap/>
              <w:overflowPunct/>
              <w:topLinePunct w:val="0"/>
              <w:bidi w:val="0"/>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备注：提供以上人员职称证、</w:t>
            </w:r>
            <w:r>
              <w:rPr>
                <w:rFonts w:hint="eastAsia" w:ascii="宋体" w:hAnsi="宋体" w:eastAsia="宋体" w:cs="宋体"/>
                <w:color w:val="auto"/>
                <w:kern w:val="0"/>
                <w:sz w:val="21"/>
                <w:szCs w:val="21"/>
                <w:highlight w:val="none"/>
                <w:lang w:val="en-US" w:eastAsia="zh-CN" w:bidi="ar"/>
              </w:rPr>
              <w:t>磋商截止之日前半年内任意</w:t>
            </w:r>
            <w:r>
              <w:rPr>
                <w:rFonts w:hint="eastAsia" w:ascii="宋体" w:hAnsi="宋体" w:cs="宋体"/>
                <w:color w:val="auto"/>
                <w:kern w:val="0"/>
                <w:sz w:val="21"/>
                <w:szCs w:val="21"/>
                <w:highlight w:val="none"/>
                <w:lang w:val="en-US" w:eastAsia="zh-CN" w:bidi="ar"/>
              </w:rPr>
              <w:t>1</w:t>
            </w:r>
            <w:r>
              <w:rPr>
                <w:rFonts w:hint="eastAsia" w:ascii="宋体" w:hAnsi="宋体" w:eastAsia="宋体" w:cs="宋体"/>
                <w:color w:val="auto"/>
                <w:kern w:val="0"/>
                <w:sz w:val="21"/>
                <w:szCs w:val="21"/>
                <w:highlight w:val="none"/>
                <w:lang w:val="en-US" w:eastAsia="zh-CN" w:bidi="ar"/>
              </w:rPr>
              <w:t>个月</w:t>
            </w:r>
            <w:r>
              <w:rPr>
                <w:rFonts w:hint="eastAsia" w:ascii="宋体" w:hAnsi="宋体" w:eastAsia="宋体" w:cs="宋体"/>
                <w:color w:val="auto"/>
                <w:sz w:val="21"/>
                <w:szCs w:val="21"/>
                <w:highlight w:val="none"/>
                <w:lang w:val="en-US" w:eastAsia="zh-CN"/>
              </w:rPr>
              <w:t>的依法缴纳社会保障资金的证明材料等扫描件。</w:t>
            </w:r>
          </w:p>
        </w:tc>
        <w:tc>
          <w:tcPr>
            <w:tcW w:w="1081" w:type="dxa"/>
            <w:vAlign w:val="center"/>
          </w:tcPr>
          <w:p w14:paraId="1D4E039B">
            <w:pPr>
              <w:pStyle w:val="20"/>
              <w:keepNext w:val="0"/>
              <w:keepLines w:val="0"/>
              <w:pageBreakBefore w:val="0"/>
              <w:kinsoku/>
              <w:wordWrap/>
              <w:overflowPunct/>
              <w:topLinePunct w:val="0"/>
              <w:bidi w:val="0"/>
              <w:snapToGrid/>
              <w:spacing w:line="360" w:lineRule="auto"/>
              <w:jc w:val="center"/>
              <w:textAlignment w:val="auto"/>
              <w:rPr>
                <w:rFonts w:hint="eastAsia" w:ascii="宋体" w:hAnsi="宋体" w:eastAsia="宋体" w:cs="宋体"/>
                <w:bCs/>
                <w:color w:val="auto"/>
                <w:sz w:val="21"/>
                <w:szCs w:val="21"/>
                <w:highlight w:val="none"/>
                <w:lang w:val="en-US" w:eastAsia="zh-CN"/>
              </w:rPr>
            </w:pPr>
            <w:r>
              <w:rPr>
                <w:rFonts w:hint="eastAsia" w:hAnsi="宋体" w:cs="宋体"/>
                <w:bCs/>
                <w:color w:val="auto"/>
                <w:sz w:val="21"/>
                <w:szCs w:val="21"/>
                <w:highlight w:val="none"/>
                <w:lang w:val="en-US" w:eastAsia="zh-CN"/>
              </w:rPr>
              <w:t>0-3</w:t>
            </w:r>
          </w:p>
        </w:tc>
      </w:tr>
      <w:tr w14:paraId="2C639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trPr>
        <w:tc>
          <w:tcPr>
            <w:tcW w:w="9542" w:type="dxa"/>
            <w:gridSpan w:val="4"/>
            <w:vAlign w:val="center"/>
          </w:tcPr>
          <w:p w14:paraId="1DF336CF">
            <w:pPr>
              <w:pStyle w:val="20"/>
              <w:keepNext w:val="0"/>
              <w:keepLines w:val="0"/>
              <w:pageBreakBefore w:val="0"/>
              <w:kinsoku/>
              <w:wordWrap/>
              <w:overflowPunct/>
              <w:topLinePunct w:val="0"/>
              <w:bidi w:val="0"/>
              <w:snapToGrid/>
              <w:spacing w:line="360" w:lineRule="auto"/>
              <w:jc w:val="center"/>
              <w:textAlignment w:val="auto"/>
              <w:rPr>
                <w:rFonts w:hint="eastAsia" w:ascii="宋体" w:hAnsi="宋体" w:eastAsia="宋体" w:cs="宋体"/>
                <w:bCs/>
                <w:color w:val="auto"/>
                <w:sz w:val="21"/>
                <w:szCs w:val="21"/>
                <w:highlight w:val="none"/>
                <w:lang w:val="en-US" w:eastAsia="zh-CN"/>
              </w:rPr>
            </w:pPr>
            <w:r>
              <w:rPr>
                <w:rFonts w:hint="eastAsia" w:ascii="宋体" w:hAnsi="宋体" w:eastAsia="宋体" w:cs="宋体"/>
                <w:b w:val="0"/>
                <w:bCs/>
                <w:color w:val="auto"/>
                <w:sz w:val="21"/>
                <w:szCs w:val="21"/>
                <w:highlight w:val="none"/>
              </w:rPr>
              <w:t>综合总得分（满分100分）＝报价分</w:t>
            </w:r>
            <w:r>
              <w:rPr>
                <w:rFonts w:hint="eastAsia" w:ascii="宋体" w:hAnsi="宋体" w:eastAsia="宋体" w:cs="宋体"/>
                <w:b w:val="0"/>
                <w:bCs/>
                <w:color w:val="auto"/>
                <w:sz w:val="21"/>
                <w:szCs w:val="21"/>
                <w:highlight w:val="none"/>
                <w:lang w:val="en-US" w:eastAsia="zh-CN"/>
              </w:rPr>
              <w:t>+商务分</w:t>
            </w:r>
            <w:r>
              <w:rPr>
                <w:rFonts w:hint="eastAsia" w:ascii="宋体" w:hAnsi="宋体" w:eastAsia="宋体" w:cs="宋体"/>
                <w:b w:val="0"/>
                <w:bCs/>
                <w:color w:val="auto"/>
                <w:sz w:val="21"/>
                <w:szCs w:val="21"/>
                <w:highlight w:val="none"/>
              </w:rPr>
              <w:t>+</w:t>
            </w:r>
            <w:r>
              <w:rPr>
                <w:rFonts w:hint="eastAsia" w:ascii="宋体" w:hAnsi="宋体" w:eastAsia="宋体" w:cs="宋体"/>
                <w:b w:val="0"/>
                <w:bCs/>
                <w:color w:val="auto"/>
                <w:kern w:val="0"/>
                <w:sz w:val="21"/>
                <w:szCs w:val="21"/>
                <w:highlight w:val="none"/>
                <w:lang w:val="en-US" w:eastAsia="zh-CN"/>
              </w:rPr>
              <w:t>技术</w:t>
            </w:r>
            <w:r>
              <w:rPr>
                <w:rFonts w:hint="eastAsia" w:ascii="宋体" w:hAnsi="宋体" w:eastAsia="宋体" w:cs="宋体"/>
                <w:b w:val="0"/>
                <w:bCs/>
                <w:color w:val="auto"/>
                <w:kern w:val="0"/>
                <w:sz w:val="21"/>
                <w:szCs w:val="21"/>
                <w:highlight w:val="none"/>
              </w:rPr>
              <w:t>分</w:t>
            </w:r>
          </w:p>
        </w:tc>
      </w:tr>
      <w:bookmarkEnd w:id="1759"/>
    </w:tbl>
    <w:p w14:paraId="4085F1F8">
      <w:pPr>
        <w:pStyle w:val="4"/>
        <w:spacing w:before="0" w:after="0" w:line="360" w:lineRule="auto"/>
        <w:ind w:firstLine="640" w:firstLineChars="200"/>
        <w:jc w:val="center"/>
        <w:rPr>
          <w:rFonts w:hint="eastAsia" w:ascii="宋体" w:hAnsi="宋体" w:eastAsia="宋体" w:cs="宋体"/>
          <w:b w:val="0"/>
          <w:color w:val="auto"/>
          <w:highlight w:val="none"/>
        </w:rPr>
      </w:pPr>
      <w:r>
        <w:rPr>
          <w:rFonts w:hint="eastAsia" w:ascii="宋体" w:hAnsi="宋体" w:eastAsia="宋体" w:cs="宋体"/>
          <w:b w:val="0"/>
          <w:color w:val="auto"/>
          <w:highlight w:val="none"/>
        </w:rPr>
        <w:br w:type="page"/>
      </w:r>
      <w:bookmarkStart w:id="1763" w:name="_Toc2649"/>
      <w:bookmarkStart w:id="1764" w:name="_Toc10691"/>
      <w:r>
        <w:rPr>
          <w:rFonts w:hint="eastAsia" w:ascii="宋体" w:hAnsi="宋体" w:eastAsia="宋体" w:cs="宋体"/>
          <w:b/>
          <w:bCs w:val="0"/>
          <w:color w:val="auto"/>
          <w:highlight w:val="none"/>
        </w:rPr>
        <w:t>第二节 评标报告</w:t>
      </w:r>
      <w:bookmarkEnd w:id="1760"/>
      <w:bookmarkEnd w:id="1761"/>
      <w:bookmarkEnd w:id="1763"/>
      <w:bookmarkEnd w:id="1764"/>
    </w:p>
    <w:p w14:paraId="469C5E30">
      <w:pPr>
        <w:spacing w:line="360" w:lineRule="auto"/>
        <w:ind w:firstLine="480" w:firstLineChars="200"/>
        <w:rPr>
          <w:rFonts w:hint="eastAsia" w:ascii="宋体" w:hAnsi="宋体" w:eastAsia="宋体" w:cs="宋体"/>
          <w:color w:val="auto"/>
          <w:sz w:val="24"/>
          <w:szCs w:val="32"/>
          <w:highlight w:val="none"/>
        </w:rPr>
      </w:pPr>
      <w:r>
        <w:rPr>
          <w:rFonts w:hint="eastAsia" w:ascii="宋体" w:hAnsi="宋体" w:eastAsia="宋体" w:cs="宋体"/>
          <w:color w:val="auto"/>
          <w:sz w:val="24"/>
          <w:szCs w:val="32"/>
          <w:highlight w:val="none"/>
        </w:rPr>
        <w:t>1.成交标准</w:t>
      </w:r>
    </w:p>
    <w:p w14:paraId="0BC94E4E">
      <w:pPr>
        <w:spacing w:line="360" w:lineRule="auto"/>
        <w:ind w:firstLine="420" w:firstLineChars="200"/>
        <w:rPr>
          <w:rFonts w:hint="eastAsia" w:ascii="宋体" w:hAnsi="宋体" w:eastAsia="宋体" w:cs="宋体"/>
          <w:color w:val="auto"/>
          <w:sz w:val="24"/>
          <w:highlight w:val="none"/>
        </w:rPr>
      </w:pPr>
      <w:r>
        <w:rPr>
          <w:rFonts w:hint="eastAsia" w:ascii="宋体" w:hAnsi="宋体" w:eastAsia="宋体" w:cs="宋体"/>
          <w:bCs/>
          <w:color w:val="auto"/>
          <w:szCs w:val="21"/>
          <w:highlight w:val="none"/>
        </w:rPr>
        <w:t>由磋商小组根据综合评分情况，按照评审得分由高到低顺序推荐3名以上成交候选供应商</w:t>
      </w:r>
      <w:r>
        <w:rPr>
          <w:rFonts w:hint="eastAsia" w:ascii="宋体" w:hAnsi="宋体" w:eastAsia="宋体" w:cs="宋体"/>
          <w:color w:val="auto"/>
          <w:highlight w:val="none"/>
        </w:rPr>
        <w:t xml:space="preserve">, </w:t>
      </w:r>
      <w:r>
        <w:rPr>
          <w:rFonts w:hint="eastAsia" w:ascii="宋体" w:hAnsi="宋体" w:cs="宋体"/>
          <w:color w:val="auto"/>
          <w:highlight w:val="none"/>
          <w:lang w:val="en-US" w:eastAsia="zh-CN"/>
        </w:rPr>
        <w:t>采购人</w:t>
      </w:r>
      <w:r>
        <w:rPr>
          <w:rFonts w:hint="eastAsia" w:ascii="宋体" w:hAnsi="宋体" w:eastAsia="宋体" w:cs="宋体"/>
          <w:color w:val="auto"/>
          <w:highlight w:val="none"/>
        </w:rPr>
        <w:t>授权磋商小组直接确认排名第一次的成交候选人为成交供应商</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并在线编写电子评审报告</w:t>
      </w:r>
      <w:r>
        <w:rPr>
          <w:rFonts w:hint="eastAsia" w:ascii="宋体" w:hAnsi="宋体" w:eastAsia="宋体" w:cs="宋体"/>
          <w:bCs/>
          <w:color w:val="auto"/>
          <w:szCs w:val="21"/>
          <w:highlight w:val="none"/>
        </w:rPr>
        <w:t>。符合本章第一节第5.3条情形的，可以推荐2家成交候选供应商。评审得分相同的，按照最后报价（不计算价格折扣）由低到高的顺序推荐。评审得分且最后报价（不计算价格折扣）相同的，按照技术指标优劣顺序推荐（按技术得分由高到低排序，技术得分相同的按照</w:t>
      </w:r>
      <w:r>
        <w:rPr>
          <w:rFonts w:hint="eastAsia" w:ascii="宋体" w:hAnsi="宋体" w:eastAsia="宋体" w:cs="宋体"/>
          <w:bCs/>
          <w:color w:val="auto"/>
          <w:szCs w:val="21"/>
          <w:highlight w:val="none"/>
          <w:lang w:eastAsia="zh-CN"/>
        </w:rPr>
        <w:t>商务</w:t>
      </w:r>
      <w:r>
        <w:rPr>
          <w:rFonts w:hint="eastAsia" w:ascii="宋体" w:hAnsi="宋体" w:eastAsia="宋体" w:cs="宋体"/>
          <w:bCs/>
          <w:color w:val="auto"/>
          <w:szCs w:val="21"/>
          <w:highlight w:val="none"/>
        </w:rPr>
        <w:t>分由高到低排序）。评审得分、最后报价（不计算价格折扣）、技术得分、</w:t>
      </w:r>
      <w:r>
        <w:rPr>
          <w:rFonts w:hint="eastAsia" w:ascii="宋体" w:hAnsi="宋体" w:eastAsia="宋体" w:cs="宋体"/>
          <w:bCs/>
          <w:color w:val="auto"/>
          <w:szCs w:val="21"/>
          <w:highlight w:val="none"/>
          <w:lang w:eastAsia="zh-CN"/>
        </w:rPr>
        <w:t>商务</w:t>
      </w:r>
      <w:r>
        <w:rPr>
          <w:rFonts w:hint="eastAsia" w:ascii="宋体" w:hAnsi="宋体" w:eastAsia="宋体" w:cs="宋体"/>
          <w:bCs/>
          <w:color w:val="auto"/>
          <w:szCs w:val="21"/>
          <w:highlight w:val="none"/>
        </w:rPr>
        <w:t>分均相同的，由磋商小组随机抽取推荐。</w:t>
      </w:r>
    </w:p>
    <w:p w14:paraId="164F11F7">
      <w:pPr>
        <w:spacing w:line="360" w:lineRule="auto"/>
        <w:ind w:firstLine="480" w:firstLineChars="200"/>
        <w:rPr>
          <w:rFonts w:hint="eastAsia" w:ascii="宋体" w:hAnsi="宋体" w:eastAsia="宋体" w:cs="宋体"/>
          <w:color w:val="auto"/>
          <w:sz w:val="24"/>
          <w:szCs w:val="32"/>
          <w:highlight w:val="none"/>
        </w:rPr>
      </w:pPr>
      <w:r>
        <w:rPr>
          <w:rFonts w:hint="eastAsia" w:ascii="宋体" w:hAnsi="宋体" w:eastAsia="宋体" w:cs="宋体"/>
          <w:color w:val="auto"/>
          <w:sz w:val="24"/>
          <w:szCs w:val="32"/>
          <w:highlight w:val="none"/>
        </w:rPr>
        <w:t>2.评标争议事项处理</w:t>
      </w:r>
    </w:p>
    <w:p w14:paraId="78CF3F85">
      <w:pPr>
        <w:pStyle w:val="129"/>
        <w:spacing w:before="0" w:line="360" w:lineRule="auto"/>
        <w:ind w:firstLine="420"/>
        <w:rPr>
          <w:rFonts w:hint="eastAsia" w:ascii="宋体" w:hAnsi="宋体" w:eastAsia="宋体" w:cs="宋体"/>
          <w:color w:val="auto"/>
          <w:kern w:val="2"/>
          <w:sz w:val="21"/>
          <w:szCs w:val="24"/>
          <w:highlight w:val="none"/>
        </w:rPr>
      </w:pPr>
      <w:r>
        <w:rPr>
          <w:rFonts w:hint="eastAsia" w:ascii="宋体" w:hAnsi="宋体" w:eastAsia="宋体" w:cs="宋体"/>
          <w:color w:val="auto"/>
          <w:kern w:val="2"/>
          <w:sz w:val="21"/>
          <w:szCs w:val="24"/>
          <w:highlight w:val="none"/>
        </w:rPr>
        <w:t>磋商小组成员对需要共同认定的事项存在争议的，应当按照少数服从多数的原则作出结论。持不同意见的磋商小组成员应当在评标报告上签署不同意见及理由，否则视为同意评标报告。</w:t>
      </w:r>
    </w:p>
    <w:p w14:paraId="23E2A8C6">
      <w:pPr>
        <w:pStyle w:val="129"/>
        <w:spacing w:before="0" w:line="360" w:lineRule="auto"/>
        <w:ind w:firstLine="420"/>
        <w:rPr>
          <w:rFonts w:hint="eastAsia" w:ascii="宋体" w:hAnsi="宋体" w:eastAsia="宋体" w:cs="宋体"/>
          <w:color w:val="auto"/>
          <w:kern w:val="2"/>
          <w:sz w:val="21"/>
          <w:szCs w:val="24"/>
          <w:highlight w:val="none"/>
        </w:rPr>
      </w:pPr>
    </w:p>
    <w:p w14:paraId="1CC650C7">
      <w:pPr>
        <w:pStyle w:val="129"/>
        <w:spacing w:before="0" w:line="360" w:lineRule="auto"/>
        <w:ind w:firstLine="420"/>
        <w:rPr>
          <w:rFonts w:hint="eastAsia" w:ascii="宋体" w:hAnsi="宋体" w:eastAsia="宋体" w:cs="宋体"/>
          <w:color w:val="auto"/>
          <w:kern w:val="2"/>
          <w:sz w:val="21"/>
          <w:szCs w:val="24"/>
          <w:highlight w:val="none"/>
        </w:rPr>
      </w:pPr>
    </w:p>
    <w:p w14:paraId="2E858FD0">
      <w:pPr>
        <w:pStyle w:val="129"/>
        <w:spacing w:before="0" w:line="360" w:lineRule="auto"/>
        <w:ind w:firstLine="420"/>
        <w:rPr>
          <w:rFonts w:hint="eastAsia" w:ascii="宋体" w:hAnsi="宋体" w:eastAsia="宋体" w:cs="宋体"/>
          <w:color w:val="auto"/>
          <w:kern w:val="2"/>
          <w:sz w:val="21"/>
          <w:szCs w:val="24"/>
          <w:highlight w:val="none"/>
        </w:rPr>
      </w:pPr>
    </w:p>
    <w:p w14:paraId="528EA8FF">
      <w:pPr>
        <w:pStyle w:val="4"/>
        <w:spacing w:before="0" w:after="0" w:line="360" w:lineRule="auto"/>
        <w:ind w:firstLine="643" w:firstLineChars="200"/>
        <w:jc w:val="center"/>
        <w:rPr>
          <w:rFonts w:hint="eastAsia" w:ascii="宋体" w:hAnsi="宋体" w:eastAsia="宋体" w:cs="宋体"/>
          <w:b/>
          <w:bCs w:val="0"/>
          <w:color w:val="auto"/>
          <w:highlight w:val="none"/>
        </w:rPr>
      </w:pPr>
      <w:bookmarkStart w:id="1765" w:name="_Toc10760"/>
      <w:bookmarkStart w:id="1766" w:name="_Toc24197"/>
      <w:bookmarkStart w:id="1767" w:name="_Toc27565"/>
      <w:bookmarkStart w:id="1768" w:name="_Toc80205936"/>
      <w:r>
        <w:rPr>
          <w:rFonts w:hint="eastAsia" w:ascii="宋体" w:hAnsi="宋体" w:eastAsia="宋体" w:cs="宋体"/>
          <w:b/>
          <w:bCs w:val="0"/>
          <w:color w:val="auto"/>
          <w:highlight w:val="none"/>
        </w:rPr>
        <w:t>第三节 评审过程的保密与录像</w:t>
      </w:r>
      <w:bookmarkEnd w:id="1765"/>
      <w:bookmarkEnd w:id="1766"/>
      <w:bookmarkEnd w:id="1767"/>
      <w:bookmarkEnd w:id="1768"/>
    </w:p>
    <w:p w14:paraId="2319A46C">
      <w:pPr>
        <w:spacing w:line="360" w:lineRule="auto"/>
        <w:ind w:firstLine="480" w:firstLineChars="200"/>
        <w:rPr>
          <w:rFonts w:hint="eastAsia" w:ascii="宋体" w:hAnsi="宋体" w:eastAsia="宋体" w:cs="宋体"/>
          <w:color w:val="auto"/>
          <w:sz w:val="24"/>
          <w:szCs w:val="32"/>
          <w:highlight w:val="none"/>
        </w:rPr>
      </w:pPr>
      <w:r>
        <w:rPr>
          <w:rFonts w:hint="eastAsia" w:ascii="宋体" w:hAnsi="宋体" w:eastAsia="宋体" w:cs="宋体"/>
          <w:color w:val="auto"/>
          <w:sz w:val="24"/>
          <w:szCs w:val="32"/>
          <w:highlight w:val="none"/>
        </w:rPr>
        <w:t>1.保密。</w:t>
      </w:r>
    </w:p>
    <w:p w14:paraId="2DB3C5F7">
      <w:pPr>
        <w:widowControl/>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评审活动在严格保密的情况下进行。评审过程中凡是与采购响应文件评审和比较、中标成交供应商推荐等评审有关的情况，以及涉及国家秘密和商业秘密等信息，评审委员会成员、采购人和采购机构工作人员、相关监督人员等与评审有关的人员应当予以保密。</w:t>
      </w:r>
    </w:p>
    <w:p w14:paraId="141B788A">
      <w:pPr>
        <w:widowControl/>
        <w:spacing w:line="360" w:lineRule="auto"/>
        <w:ind w:firstLine="480" w:firstLineChars="200"/>
        <w:rPr>
          <w:rFonts w:hint="eastAsia" w:ascii="宋体" w:hAnsi="宋体" w:eastAsia="宋体" w:cs="宋体"/>
          <w:color w:val="auto"/>
          <w:sz w:val="24"/>
          <w:szCs w:val="32"/>
          <w:highlight w:val="none"/>
        </w:rPr>
      </w:pPr>
      <w:r>
        <w:rPr>
          <w:rFonts w:hint="eastAsia" w:ascii="宋体" w:hAnsi="宋体" w:eastAsia="宋体" w:cs="宋体"/>
          <w:color w:val="auto"/>
          <w:sz w:val="24"/>
          <w:szCs w:val="32"/>
          <w:highlight w:val="none"/>
        </w:rPr>
        <w:t>2.录音录像。</w:t>
      </w:r>
    </w:p>
    <w:p w14:paraId="0D48459F">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采购代理机构对评审工作现场及操作屏幕进行全过程录音录像，录音录像资料作为采购项目文件随其他文件一并存档。</w:t>
      </w:r>
    </w:p>
    <w:p w14:paraId="5EC36749">
      <w:pPr>
        <w:spacing w:line="360" w:lineRule="auto"/>
        <w:rPr>
          <w:color w:val="auto"/>
          <w:highlight w:val="none"/>
        </w:rPr>
      </w:pPr>
    </w:p>
    <w:p w14:paraId="36705C8D">
      <w:pPr>
        <w:pStyle w:val="2"/>
        <w:spacing w:line="360" w:lineRule="auto"/>
        <w:rPr>
          <w:rFonts w:hint="eastAsia"/>
          <w:color w:val="auto"/>
          <w:highlight w:val="none"/>
          <w:lang w:val="en-US" w:eastAsia="zh-CN"/>
        </w:rPr>
      </w:pPr>
    </w:p>
    <w:p w14:paraId="700DBD2E">
      <w:pPr>
        <w:pStyle w:val="2"/>
        <w:spacing w:line="360" w:lineRule="auto"/>
        <w:rPr>
          <w:rFonts w:hint="eastAsia"/>
          <w:color w:val="auto"/>
          <w:highlight w:val="none"/>
          <w:lang w:val="en-US" w:eastAsia="zh-CN"/>
        </w:rPr>
      </w:pPr>
    </w:p>
    <w:p w14:paraId="7E600EE3">
      <w:pPr>
        <w:pStyle w:val="2"/>
        <w:spacing w:line="360" w:lineRule="auto"/>
        <w:rPr>
          <w:rFonts w:hint="eastAsia"/>
          <w:color w:val="auto"/>
          <w:highlight w:val="none"/>
          <w:lang w:val="en-US" w:eastAsia="zh-CN"/>
        </w:rPr>
      </w:pPr>
    </w:p>
    <w:p w14:paraId="2FE068B8">
      <w:pPr>
        <w:pStyle w:val="2"/>
        <w:spacing w:line="360" w:lineRule="auto"/>
        <w:rPr>
          <w:rFonts w:hint="eastAsia"/>
          <w:color w:val="auto"/>
          <w:highlight w:val="none"/>
          <w:lang w:val="en-US" w:eastAsia="zh-CN"/>
        </w:rPr>
      </w:pPr>
    </w:p>
    <w:p w14:paraId="2144FC33">
      <w:pPr>
        <w:pStyle w:val="2"/>
        <w:spacing w:line="360" w:lineRule="auto"/>
        <w:rPr>
          <w:rFonts w:hint="eastAsia"/>
          <w:color w:val="auto"/>
          <w:highlight w:val="none"/>
          <w:lang w:val="en-US" w:eastAsia="zh-CN"/>
        </w:rPr>
      </w:pPr>
    </w:p>
    <w:p w14:paraId="40EB7DD5">
      <w:pPr>
        <w:pStyle w:val="2"/>
        <w:spacing w:line="360" w:lineRule="auto"/>
        <w:rPr>
          <w:rFonts w:hint="eastAsia"/>
          <w:color w:val="auto"/>
          <w:highlight w:val="none"/>
          <w:lang w:val="en-US" w:eastAsia="zh-CN"/>
        </w:rPr>
      </w:pPr>
    </w:p>
    <w:p w14:paraId="71BDE733">
      <w:pPr>
        <w:pStyle w:val="3"/>
        <w:spacing w:line="360" w:lineRule="auto"/>
        <w:jc w:val="center"/>
        <w:outlineLvl w:val="0"/>
        <w:rPr>
          <w:rFonts w:hint="eastAsia" w:ascii="宋体" w:hAnsi="宋体" w:eastAsia="宋体" w:cs="宋体"/>
          <w:b/>
          <w:bCs/>
          <w:color w:val="auto"/>
          <w:sz w:val="36"/>
          <w:szCs w:val="36"/>
          <w:highlight w:val="none"/>
          <w:lang w:val="en-US" w:eastAsia="zh-CN"/>
        </w:rPr>
      </w:pPr>
      <w:bookmarkStart w:id="1769" w:name="_Toc6090"/>
      <w:r>
        <w:rPr>
          <w:rFonts w:hint="eastAsia" w:ascii="宋体" w:hAnsi="宋体" w:eastAsia="宋体" w:cs="宋体"/>
          <w:b/>
          <w:bCs/>
          <w:color w:val="auto"/>
          <w:sz w:val="36"/>
          <w:szCs w:val="36"/>
          <w:highlight w:val="none"/>
          <w:lang w:val="en-US" w:eastAsia="zh-CN"/>
        </w:rPr>
        <w:t>第九章  质疑、投诉材料格式</w:t>
      </w:r>
      <w:bookmarkEnd w:id="372"/>
      <w:bookmarkEnd w:id="373"/>
      <w:bookmarkEnd w:id="1769"/>
    </w:p>
    <w:p w14:paraId="289AB7F6">
      <w:pPr>
        <w:spacing w:line="360" w:lineRule="auto"/>
        <w:jc w:val="left"/>
        <w:rPr>
          <w:rFonts w:hint="eastAsia" w:ascii="宋体" w:hAnsi="宋体" w:eastAsia="宋体" w:cs="宋体"/>
          <w:b/>
          <w:color w:val="auto"/>
          <w:szCs w:val="20"/>
          <w:highlight w:val="none"/>
        </w:rPr>
      </w:pPr>
      <w:r>
        <w:rPr>
          <w:rFonts w:hint="eastAsia" w:ascii="宋体" w:hAnsi="宋体" w:eastAsia="宋体" w:cs="宋体"/>
          <w:b/>
          <w:color w:val="auto"/>
          <w:sz w:val="28"/>
          <w:szCs w:val="28"/>
          <w:highlight w:val="none"/>
        </w:rPr>
        <w:t>附件</w:t>
      </w:r>
      <w:r>
        <w:rPr>
          <w:rFonts w:hint="eastAsia" w:ascii="宋体" w:hAnsi="宋体" w:eastAsia="宋体" w:cs="宋体"/>
          <w:b/>
          <w:color w:val="auto"/>
          <w:sz w:val="28"/>
          <w:szCs w:val="28"/>
          <w:highlight w:val="none"/>
          <w:lang w:val="en-US" w:eastAsia="zh-CN"/>
        </w:rPr>
        <w:t>1</w:t>
      </w:r>
      <w:r>
        <w:rPr>
          <w:rFonts w:hint="eastAsia" w:ascii="宋体" w:hAnsi="宋体" w:eastAsia="宋体" w:cs="宋体"/>
          <w:b/>
          <w:color w:val="auto"/>
          <w:sz w:val="28"/>
          <w:szCs w:val="28"/>
          <w:highlight w:val="none"/>
        </w:rPr>
        <w:t>：质疑函（格式）</w:t>
      </w:r>
    </w:p>
    <w:p w14:paraId="767DA114">
      <w:pPr>
        <w:spacing w:line="360" w:lineRule="auto"/>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质疑函（格式）</w:t>
      </w:r>
    </w:p>
    <w:p w14:paraId="283772B4">
      <w:pPr>
        <w:pStyle w:val="71"/>
        <w:spacing w:line="360" w:lineRule="auto"/>
        <w:jc w:val="cente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（如有）</w:t>
      </w:r>
    </w:p>
    <w:p w14:paraId="641FFB1B">
      <w:pPr>
        <w:pStyle w:val="20"/>
        <w:spacing w:line="360" w:lineRule="auto"/>
        <w:ind w:firstLine="482" w:firstLineChars="200"/>
        <w:contextualSpacing/>
        <w:outlineLvl w:val="1"/>
        <w:rPr>
          <w:rFonts w:hint="eastAsia" w:ascii="宋体" w:hAnsi="宋体" w:eastAsia="宋体" w:cs="宋体"/>
          <w:b/>
          <w:bCs/>
          <w:color w:val="auto"/>
          <w:sz w:val="24"/>
          <w:szCs w:val="24"/>
          <w:highlight w:val="none"/>
        </w:rPr>
      </w:pPr>
      <w:bookmarkStart w:id="1770" w:name="_Toc18948"/>
      <w:bookmarkStart w:id="1771" w:name="_Toc3710"/>
      <w:bookmarkStart w:id="1772" w:name="_Toc8269"/>
      <w:bookmarkStart w:id="1773" w:name="_Toc31146"/>
      <w:r>
        <w:rPr>
          <w:rFonts w:hint="eastAsia" w:ascii="宋体" w:hAnsi="宋体" w:eastAsia="宋体" w:cs="宋体"/>
          <w:b/>
          <w:bCs/>
          <w:color w:val="auto"/>
          <w:sz w:val="24"/>
          <w:szCs w:val="24"/>
          <w:highlight w:val="none"/>
        </w:rPr>
        <w:t>一、质疑供应商基本信息：</w:t>
      </w:r>
      <w:bookmarkEnd w:id="1770"/>
      <w:bookmarkEnd w:id="1771"/>
      <w:bookmarkEnd w:id="1772"/>
      <w:bookmarkEnd w:id="1773"/>
    </w:p>
    <w:p w14:paraId="787C2F31">
      <w:pPr>
        <w:pStyle w:val="20"/>
        <w:spacing w:line="360" w:lineRule="auto"/>
        <w:ind w:firstLine="480" w:firstLineChars="200"/>
        <w:contextualSpacing/>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质疑供应商：</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 xml:space="preserve">                 </w:t>
      </w:r>
    </w:p>
    <w:p w14:paraId="23CC07E7">
      <w:pPr>
        <w:pStyle w:val="20"/>
        <w:spacing w:line="360" w:lineRule="auto"/>
        <w:ind w:firstLine="480" w:firstLineChars="200"/>
        <w:contextualSpacing/>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地址：</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邮编：</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 xml:space="preserve">                 </w:t>
      </w:r>
    </w:p>
    <w:p w14:paraId="43E19735">
      <w:pPr>
        <w:pStyle w:val="20"/>
        <w:spacing w:line="360" w:lineRule="auto"/>
        <w:ind w:firstLine="480" w:firstLineChars="200"/>
        <w:contextualSpacing/>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联系人：</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联系电话：</w:t>
      </w:r>
      <w:r>
        <w:rPr>
          <w:rFonts w:hint="eastAsia" w:ascii="宋体" w:hAnsi="宋体" w:eastAsia="宋体" w:cs="宋体"/>
          <w:bCs/>
          <w:color w:val="auto"/>
          <w:sz w:val="24"/>
          <w:szCs w:val="24"/>
          <w:highlight w:val="none"/>
          <w:u w:val="single"/>
        </w:rPr>
        <w:t xml:space="preserve">                 </w:t>
      </w:r>
    </w:p>
    <w:p w14:paraId="4A244A08">
      <w:pPr>
        <w:pStyle w:val="20"/>
        <w:spacing w:line="360" w:lineRule="auto"/>
        <w:ind w:firstLine="480" w:firstLineChars="200"/>
        <w:contextualSpacing/>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授权代表：</w:t>
      </w:r>
      <w:r>
        <w:rPr>
          <w:rFonts w:hint="eastAsia" w:ascii="宋体" w:hAnsi="宋体" w:eastAsia="宋体" w:cs="宋体"/>
          <w:bCs/>
          <w:color w:val="auto"/>
          <w:sz w:val="24"/>
          <w:szCs w:val="24"/>
          <w:highlight w:val="none"/>
          <w:u w:val="single"/>
        </w:rPr>
        <w:t xml:space="preserve">                      </w:t>
      </w:r>
    </w:p>
    <w:p w14:paraId="01591655">
      <w:pPr>
        <w:pStyle w:val="20"/>
        <w:spacing w:line="360" w:lineRule="auto"/>
        <w:ind w:firstLine="480" w:firstLineChars="200"/>
        <w:contextualSpacing/>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联系电话：</w:t>
      </w:r>
      <w:r>
        <w:rPr>
          <w:rFonts w:hint="eastAsia" w:ascii="宋体" w:hAnsi="宋体" w:eastAsia="宋体" w:cs="宋体"/>
          <w:bCs/>
          <w:color w:val="auto"/>
          <w:sz w:val="24"/>
          <w:szCs w:val="24"/>
          <w:highlight w:val="none"/>
          <w:u w:val="single"/>
        </w:rPr>
        <w:t xml:space="preserve">                      </w:t>
      </w:r>
    </w:p>
    <w:p w14:paraId="5DE05F55">
      <w:pPr>
        <w:pStyle w:val="20"/>
        <w:spacing w:line="360" w:lineRule="auto"/>
        <w:ind w:firstLine="480" w:firstLineChars="200"/>
        <w:contextualSpacing/>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地址：</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邮编：</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 xml:space="preserve">     </w:t>
      </w:r>
    </w:p>
    <w:p w14:paraId="6149F258">
      <w:pPr>
        <w:pStyle w:val="20"/>
        <w:spacing w:line="360" w:lineRule="auto"/>
        <w:ind w:firstLine="482" w:firstLineChars="200"/>
        <w:contextualSpacing/>
        <w:outlineLvl w:val="1"/>
        <w:rPr>
          <w:rFonts w:hint="eastAsia" w:ascii="宋体" w:hAnsi="宋体" w:eastAsia="宋体" w:cs="宋体"/>
          <w:b/>
          <w:bCs/>
          <w:color w:val="auto"/>
          <w:sz w:val="24"/>
          <w:szCs w:val="24"/>
          <w:highlight w:val="none"/>
        </w:rPr>
      </w:pPr>
      <w:bookmarkStart w:id="1774" w:name="_Toc19720"/>
      <w:bookmarkStart w:id="1775" w:name="_Toc1681"/>
      <w:bookmarkStart w:id="1776" w:name="_Toc23301"/>
      <w:bookmarkStart w:id="1777" w:name="_Toc3003"/>
      <w:r>
        <w:rPr>
          <w:rFonts w:hint="eastAsia" w:ascii="宋体" w:hAnsi="宋体" w:eastAsia="宋体" w:cs="宋体"/>
          <w:b/>
          <w:bCs/>
          <w:color w:val="auto"/>
          <w:sz w:val="24"/>
          <w:szCs w:val="24"/>
          <w:highlight w:val="none"/>
        </w:rPr>
        <w:t>二、质疑项目基本情况：</w:t>
      </w:r>
      <w:bookmarkEnd w:id="1774"/>
      <w:bookmarkEnd w:id="1775"/>
      <w:bookmarkEnd w:id="1776"/>
      <w:bookmarkEnd w:id="1777"/>
    </w:p>
    <w:p w14:paraId="550D9EA6">
      <w:pPr>
        <w:pStyle w:val="20"/>
        <w:spacing w:line="360" w:lineRule="auto"/>
        <w:ind w:left="25" w:leftChars="12" w:firstLine="472" w:firstLineChars="197"/>
        <w:contextualSpacing/>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质疑</w:t>
      </w:r>
      <w:r>
        <w:rPr>
          <w:rFonts w:hint="eastAsia" w:ascii="宋体" w:hAnsi="宋体" w:eastAsia="宋体" w:cs="宋体"/>
          <w:color w:val="auto"/>
          <w:sz w:val="24"/>
          <w:szCs w:val="24"/>
          <w:highlight w:val="none"/>
        </w:rPr>
        <w:t>项目的名称：</w:t>
      </w:r>
      <w:r>
        <w:rPr>
          <w:rFonts w:hint="eastAsia" w:ascii="宋体" w:hAnsi="宋体" w:eastAsia="宋体" w:cs="宋体"/>
          <w:bCs/>
          <w:color w:val="auto"/>
          <w:sz w:val="24"/>
          <w:szCs w:val="24"/>
          <w:highlight w:val="none"/>
          <w:u w:val="single"/>
        </w:rPr>
        <w:t xml:space="preserve">                                     </w:t>
      </w:r>
    </w:p>
    <w:p w14:paraId="413C9A51">
      <w:pPr>
        <w:pStyle w:val="20"/>
        <w:spacing w:line="360" w:lineRule="auto"/>
        <w:ind w:left="25" w:leftChars="12" w:firstLine="472" w:firstLineChars="197"/>
        <w:contextualSpacing/>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质疑</w:t>
      </w:r>
      <w:r>
        <w:rPr>
          <w:rFonts w:hint="eastAsia" w:ascii="宋体" w:hAnsi="宋体" w:eastAsia="宋体" w:cs="宋体"/>
          <w:color w:val="auto"/>
          <w:sz w:val="24"/>
          <w:szCs w:val="24"/>
          <w:highlight w:val="none"/>
        </w:rPr>
        <w:t>项目的编号：</w:t>
      </w:r>
      <w:r>
        <w:rPr>
          <w:rFonts w:hint="eastAsia" w:ascii="宋体" w:hAnsi="宋体" w:eastAsia="宋体" w:cs="宋体"/>
          <w:bCs/>
          <w:color w:val="auto"/>
          <w:sz w:val="24"/>
          <w:szCs w:val="24"/>
          <w:highlight w:val="none"/>
          <w:u w:val="single"/>
        </w:rPr>
        <w:t xml:space="preserve">                                     </w:t>
      </w:r>
    </w:p>
    <w:p w14:paraId="3284F26F">
      <w:pPr>
        <w:pStyle w:val="20"/>
        <w:spacing w:line="360" w:lineRule="auto"/>
        <w:ind w:left="25" w:leftChars="12" w:firstLine="472" w:firstLineChars="197"/>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采购人名称：</w:t>
      </w:r>
      <w:r>
        <w:rPr>
          <w:rFonts w:hint="eastAsia" w:ascii="宋体" w:hAnsi="宋体" w:eastAsia="宋体" w:cs="宋体"/>
          <w:bCs/>
          <w:color w:val="auto"/>
          <w:sz w:val="24"/>
          <w:szCs w:val="24"/>
          <w:highlight w:val="none"/>
          <w:u w:val="single"/>
        </w:rPr>
        <w:t xml:space="preserve">                                         </w:t>
      </w:r>
    </w:p>
    <w:p w14:paraId="701AC478">
      <w:pPr>
        <w:pStyle w:val="20"/>
        <w:spacing w:line="360" w:lineRule="auto"/>
        <w:ind w:left="25" w:leftChars="12" w:firstLine="472" w:firstLineChars="197"/>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质疑事项：</w:t>
      </w:r>
    </w:p>
    <w:p w14:paraId="4FC26E60">
      <w:pPr>
        <w:pStyle w:val="20"/>
        <w:spacing w:line="360" w:lineRule="auto"/>
        <w:ind w:left="25" w:leftChars="12" w:firstLine="352" w:firstLineChars="147"/>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□采购文件   采购文件获取日期：</w:t>
      </w:r>
      <w:r>
        <w:rPr>
          <w:rFonts w:hint="eastAsia" w:ascii="宋体" w:hAnsi="宋体" w:eastAsia="宋体" w:cs="宋体"/>
          <w:bCs/>
          <w:color w:val="auto"/>
          <w:sz w:val="24"/>
          <w:szCs w:val="24"/>
          <w:highlight w:val="none"/>
          <w:u w:val="single"/>
        </w:rPr>
        <w:t xml:space="preserve">                                   </w:t>
      </w:r>
    </w:p>
    <w:p w14:paraId="1C180EF0">
      <w:pPr>
        <w:pStyle w:val="20"/>
        <w:spacing w:line="360" w:lineRule="auto"/>
        <w:ind w:left="25" w:leftChars="12" w:firstLine="352" w:firstLineChars="147"/>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□采购过程   </w:t>
      </w:r>
    </w:p>
    <w:p w14:paraId="24713D59">
      <w:pPr>
        <w:pStyle w:val="20"/>
        <w:spacing w:line="360" w:lineRule="auto"/>
        <w:ind w:left="25" w:leftChars="12" w:firstLine="352" w:firstLineChars="147"/>
        <w:contextualSpacing/>
        <w:rPr>
          <w:rFonts w:hint="eastAsia" w:ascii="宋体" w:hAnsi="宋体" w:eastAsia="宋体" w:cs="宋体"/>
          <w:bCs/>
          <w:color w:val="auto"/>
          <w:sz w:val="24"/>
          <w:szCs w:val="24"/>
          <w:highlight w:val="none"/>
          <w:u w:val="single"/>
        </w:rPr>
      </w:pPr>
      <w:r>
        <w:rPr>
          <w:rFonts w:hint="eastAsia" w:ascii="宋体" w:hAnsi="宋体" w:eastAsia="宋体" w:cs="宋体"/>
          <w:color w:val="auto"/>
          <w:sz w:val="24"/>
          <w:szCs w:val="24"/>
          <w:highlight w:val="none"/>
        </w:rPr>
        <w:t xml:space="preserve">□成交结果   </w:t>
      </w:r>
    </w:p>
    <w:p w14:paraId="4D856861">
      <w:pPr>
        <w:pStyle w:val="20"/>
        <w:spacing w:line="360" w:lineRule="auto"/>
        <w:ind w:left="25" w:leftChars="12" w:firstLine="472" w:firstLineChars="196"/>
        <w:contextualSpacing/>
        <w:outlineLvl w:val="1"/>
        <w:rPr>
          <w:rFonts w:hint="eastAsia" w:ascii="宋体" w:hAnsi="宋体" w:eastAsia="宋体" w:cs="宋体"/>
          <w:b/>
          <w:color w:val="auto"/>
          <w:sz w:val="24"/>
          <w:szCs w:val="24"/>
          <w:highlight w:val="none"/>
        </w:rPr>
      </w:pPr>
      <w:bookmarkStart w:id="1778" w:name="_Toc22711"/>
      <w:bookmarkStart w:id="1779" w:name="_Toc5702"/>
      <w:bookmarkStart w:id="1780" w:name="_Toc24696"/>
      <w:bookmarkStart w:id="1781" w:name="_Toc8808"/>
      <w:r>
        <w:rPr>
          <w:rFonts w:hint="eastAsia" w:ascii="宋体" w:hAnsi="宋体" w:eastAsia="宋体" w:cs="宋体"/>
          <w:b/>
          <w:color w:val="auto"/>
          <w:sz w:val="24"/>
          <w:szCs w:val="24"/>
          <w:highlight w:val="none"/>
        </w:rPr>
        <w:t>三、质疑事项具体内容</w:t>
      </w:r>
      <w:bookmarkEnd w:id="1778"/>
      <w:bookmarkEnd w:id="1779"/>
      <w:bookmarkEnd w:id="1780"/>
      <w:bookmarkEnd w:id="1781"/>
    </w:p>
    <w:p w14:paraId="02AABFA6">
      <w:pPr>
        <w:pStyle w:val="20"/>
        <w:spacing w:line="360" w:lineRule="auto"/>
        <w:ind w:left="25" w:leftChars="12" w:firstLine="472" w:firstLineChars="197"/>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质疑事项1：</w:t>
      </w:r>
      <w:r>
        <w:rPr>
          <w:rFonts w:hint="eastAsia" w:ascii="宋体" w:hAnsi="宋体" w:eastAsia="宋体" w:cs="宋体"/>
          <w:bCs/>
          <w:color w:val="auto"/>
          <w:sz w:val="24"/>
          <w:szCs w:val="24"/>
          <w:highlight w:val="none"/>
          <w:u w:val="single"/>
        </w:rPr>
        <w:t xml:space="preserve">                                                                    </w:t>
      </w:r>
    </w:p>
    <w:p w14:paraId="666C0DB8">
      <w:pPr>
        <w:pStyle w:val="20"/>
        <w:spacing w:line="360" w:lineRule="auto"/>
        <w:ind w:left="25" w:leftChars="12" w:firstLine="472" w:firstLineChars="197"/>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事实依据：</w:t>
      </w:r>
      <w:r>
        <w:rPr>
          <w:rFonts w:hint="eastAsia" w:ascii="宋体" w:hAnsi="宋体" w:eastAsia="宋体" w:cs="宋体"/>
          <w:bCs/>
          <w:color w:val="auto"/>
          <w:sz w:val="24"/>
          <w:szCs w:val="24"/>
          <w:highlight w:val="none"/>
          <w:u w:val="single"/>
        </w:rPr>
        <w:t xml:space="preserve">                                                                      </w:t>
      </w:r>
    </w:p>
    <w:p w14:paraId="00215BA6">
      <w:pPr>
        <w:pStyle w:val="20"/>
        <w:spacing w:line="360" w:lineRule="auto"/>
        <w:ind w:left="25" w:leftChars="12" w:firstLine="472" w:firstLineChars="197"/>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法律依据：</w:t>
      </w:r>
      <w:r>
        <w:rPr>
          <w:rFonts w:hint="eastAsia" w:ascii="宋体" w:hAnsi="宋体" w:eastAsia="宋体" w:cs="宋体"/>
          <w:color w:val="auto"/>
          <w:sz w:val="24"/>
          <w:szCs w:val="24"/>
          <w:highlight w:val="none"/>
          <w:u w:val="single"/>
        </w:rPr>
        <w:t xml:space="preserve">                                                        </w:t>
      </w:r>
      <w:r>
        <w:rPr>
          <w:rFonts w:hint="eastAsia" w:ascii="宋体" w:hAnsi="宋体" w:eastAsia="宋体" w:cs="宋体"/>
          <w:bCs/>
          <w:color w:val="auto"/>
          <w:sz w:val="24"/>
          <w:szCs w:val="24"/>
          <w:highlight w:val="none"/>
          <w:u w:val="single"/>
        </w:rPr>
        <w:t xml:space="preserve">               </w:t>
      </w:r>
    </w:p>
    <w:p w14:paraId="72F1C93D">
      <w:pPr>
        <w:pStyle w:val="20"/>
        <w:spacing w:line="360" w:lineRule="auto"/>
        <w:ind w:left="25" w:leftChars="12" w:firstLine="472" w:firstLineChars="197"/>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质疑事项2</w:t>
      </w:r>
    </w:p>
    <w:p w14:paraId="7912A3EB">
      <w:pPr>
        <w:pStyle w:val="20"/>
        <w:spacing w:line="360" w:lineRule="auto"/>
        <w:ind w:left="25" w:leftChars="12" w:firstLine="472" w:firstLineChars="197"/>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p>
    <w:p w14:paraId="5A3A67BB">
      <w:pPr>
        <w:pStyle w:val="20"/>
        <w:spacing w:line="360" w:lineRule="auto"/>
        <w:ind w:left="25" w:leftChars="12" w:firstLine="472" w:firstLineChars="197"/>
        <w:contextualSpacing/>
        <w:outlineLvl w:val="1"/>
        <w:rPr>
          <w:rFonts w:hint="eastAsia" w:ascii="宋体" w:hAnsi="宋体" w:eastAsia="宋体" w:cs="宋体"/>
          <w:color w:val="auto"/>
          <w:sz w:val="24"/>
          <w:szCs w:val="24"/>
          <w:highlight w:val="none"/>
        </w:rPr>
      </w:pPr>
      <w:bookmarkStart w:id="1782" w:name="_Toc18616"/>
      <w:bookmarkStart w:id="1783" w:name="_Toc14610"/>
      <w:bookmarkStart w:id="1784" w:name="_Toc6890"/>
      <w:bookmarkStart w:id="1785" w:name="_Toc424"/>
      <w:r>
        <w:rPr>
          <w:rFonts w:hint="eastAsia" w:ascii="宋体" w:hAnsi="宋体" w:eastAsia="宋体" w:cs="宋体"/>
          <w:color w:val="auto"/>
          <w:sz w:val="24"/>
          <w:szCs w:val="24"/>
          <w:highlight w:val="none"/>
        </w:rPr>
        <w:t>四、与质疑事项相关的质疑请求：</w:t>
      </w:r>
      <w:bookmarkEnd w:id="1782"/>
      <w:bookmarkEnd w:id="1783"/>
      <w:bookmarkEnd w:id="1784"/>
      <w:bookmarkEnd w:id="1785"/>
    </w:p>
    <w:p w14:paraId="42230E39">
      <w:pPr>
        <w:pStyle w:val="20"/>
        <w:spacing w:line="360" w:lineRule="auto"/>
        <w:ind w:left="25" w:leftChars="12" w:firstLine="472" w:firstLineChars="197"/>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请求：</w:t>
      </w:r>
      <w:r>
        <w:rPr>
          <w:rFonts w:hint="eastAsia" w:ascii="宋体" w:hAnsi="宋体" w:eastAsia="宋体" w:cs="宋体"/>
          <w:bCs/>
          <w:color w:val="auto"/>
          <w:sz w:val="24"/>
          <w:szCs w:val="24"/>
          <w:highlight w:val="none"/>
          <w:u w:val="single"/>
        </w:rPr>
        <w:t xml:space="preserve">                                                                </w:t>
      </w:r>
    </w:p>
    <w:p w14:paraId="02BAB022">
      <w:pPr>
        <w:pStyle w:val="20"/>
        <w:spacing w:line="360" w:lineRule="auto"/>
        <w:ind w:firstLine="480" w:firstLineChars="20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签字（签章）：          公章：              日期：</w:t>
      </w:r>
    </w:p>
    <w:p w14:paraId="0FFA7E36">
      <w:pPr>
        <w:pStyle w:val="20"/>
        <w:spacing w:line="360" w:lineRule="auto"/>
        <w:contextualSpacing/>
        <w:rPr>
          <w:rFonts w:hint="eastAsia" w:ascii="宋体" w:hAnsi="宋体" w:eastAsia="宋体" w:cs="宋体"/>
          <w:b/>
          <w:color w:val="auto"/>
          <w:sz w:val="24"/>
          <w:szCs w:val="24"/>
          <w:highlight w:val="none"/>
        </w:rPr>
      </w:pPr>
    </w:p>
    <w:p w14:paraId="042022F7">
      <w:pPr>
        <w:pStyle w:val="20"/>
        <w:spacing w:line="360" w:lineRule="auto"/>
        <w:contextualSpacing/>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说明：</w:t>
      </w:r>
    </w:p>
    <w:p w14:paraId="7A1F11C9">
      <w:pPr>
        <w:pStyle w:val="20"/>
        <w:spacing w:line="360" w:lineRule="auto"/>
        <w:ind w:left="25" w:leftChars="12" w:firstLine="354" w:firstLineChars="147"/>
        <w:contextualSpacing/>
        <w:outlineLvl w:val="2"/>
        <w:rPr>
          <w:rFonts w:hint="eastAsia" w:ascii="宋体" w:hAnsi="宋体" w:eastAsia="宋体" w:cs="宋体"/>
          <w:b/>
          <w:bCs/>
          <w:color w:val="auto"/>
          <w:sz w:val="24"/>
          <w:szCs w:val="24"/>
          <w:highlight w:val="none"/>
        </w:rPr>
      </w:pPr>
      <w:bookmarkStart w:id="1786" w:name="_Toc10115"/>
      <w:bookmarkStart w:id="1787" w:name="_Toc23881"/>
      <w:bookmarkStart w:id="1788" w:name="_Toc20112"/>
      <w:bookmarkStart w:id="1789" w:name="_Toc19165"/>
      <w:r>
        <w:rPr>
          <w:rFonts w:hint="eastAsia" w:ascii="宋体" w:hAnsi="宋体" w:eastAsia="宋体" w:cs="宋体"/>
          <w:b/>
          <w:color w:val="auto"/>
          <w:sz w:val="24"/>
          <w:szCs w:val="24"/>
          <w:highlight w:val="none"/>
        </w:rPr>
        <w:t>1、供应商提出质疑时，应提交质疑函和必要的证明材料</w:t>
      </w:r>
      <w:r>
        <w:rPr>
          <w:rFonts w:hint="eastAsia" w:ascii="宋体" w:hAnsi="宋体" w:eastAsia="宋体" w:cs="宋体"/>
          <w:b/>
          <w:bCs/>
          <w:color w:val="auto"/>
          <w:sz w:val="24"/>
          <w:szCs w:val="24"/>
          <w:highlight w:val="none"/>
        </w:rPr>
        <w:t>。</w:t>
      </w:r>
      <w:bookmarkEnd w:id="1786"/>
      <w:bookmarkEnd w:id="1787"/>
      <w:bookmarkEnd w:id="1788"/>
      <w:bookmarkEnd w:id="1789"/>
    </w:p>
    <w:p w14:paraId="5D7E4CB7">
      <w:pPr>
        <w:pStyle w:val="20"/>
        <w:spacing w:line="360" w:lineRule="auto"/>
        <w:ind w:left="25" w:leftChars="12" w:firstLine="354" w:firstLineChars="147"/>
        <w:contextualSpacing/>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5C2BE9D3">
      <w:pPr>
        <w:pStyle w:val="20"/>
        <w:spacing w:line="360" w:lineRule="auto"/>
        <w:ind w:left="25" w:leftChars="12" w:firstLine="354" w:firstLineChars="147"/>
        <w:contextualSpacing/>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3、质疑函的质疑事项应具体、明确，并有必要的事实依据和法律依据。</w:t>
      </w:r>
    </w:p>
    <w:p w14:paraId="6E283FC9">
      <w:pPr>
        <w:pStyle w:val="20"/>
        <w:spacing w:line="360" w:lineRule="auto"/>
        <w:ind w:left="25" w:leftChars="12" w:firstLine="354" w:firstLineChars="147"/>
        <w:contextualSpacing/>
        <w:outlineLvl w:val="2"/>
        <w:rPr>
          <w:rFonts w:hint="eastAsia" w:ascii="宋体" w:hAnsi="宋体" w:eastAsia="宋体" w:cs="宋体"/>
          <w:b/>
          <w:color w:val="auto"/>
          <w:sz w:val="24"/>
          <w:szCs w:val="24"/>
          <w:highlight w:val="none"/>
        </w:rPr>
      </w:pPr>
      <w:bookmarkStart w:id="1790" w:name="_Toc21061"/>
      <w:bookmarkStart w:id="1791" w:name="_Toc31894"/>
      <w:bookmarkStart w:id="1792" w:name="_Toc16223"/>
      <w:bookmarkStart w:id="1793" w:name="_Toc1251"/>
      <w:r>
        <w:rPr>
          <w:rFonts w:hint="eastAsia" w:ascii="宋体" w:hAnsi="宋体" w:eastAsia="宋体" w:cs="宋体"/>
          <w:b/>
          <w:color w:val="auto"/>
          <w:sz w:val="24"/>
          <w:szCs w:val="24"/>
          <w:highlight w:val="none"/>
        </w:rPr>
        <w:t>4、质疑函的质疑请求应与质疑事项相关。</w:t>
      </w:r>
      <w:bookmarkEnd w:id="1790"/>
      <w:bookmarkEnd w:id="1791"/>
      <w:bookmarkEnd w:id="1792"/>
      <w:bookmarkEnd w:id="1793"/>
    </w:p>
    <w:p w14:paraId="007565FC">
      <w:pPr>
        <w:pStyle w:val="20"/>
        <w:spacing w:line="360" w:lineRule="auto"/>
        <w:ind w:left="25" w:leftChars="12" w:firstLine="354" w:firstLineChars="147"/>
        <w:contextualSpacing/>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5、质疑供应商为法人或者其他组织的，质疑函应由法定代表人、主要负责人，或者其授权代表签字或者盖章，并加盖公章。</w:t>
      </w:r>
    </w:p>
    <w:p w14:paraId="39B90392">
      <w:pPr>
        <w:pStyle w:val="20"/>
        <w:snapToGrid w:val="0"/>
        <w:spacing w:line="360" w:lineRule="auto"/>
        <w:rPr>
          <w:rFonts w:hint="eastAsia" w:ascii="宋体" w:hAnsi="宋体" w:eastAsia="宋体" w:cs="宋体"/>
          <w:b/>
          <w:color w:val="auto"/>
          <w:sz w:val="24"/>
          <w:szCs w:val="24"/>
          <w:highlight w:val="none"/>
        </w:rPr>
      </w:pPr>
    </w:p>
    <w:p w14:paraId="4025DA37">
      <w:pPr>
        <w:spacing w:line="360" w:lineRule="auto"/>
        <w:jc w:val="left"/>
        <w:rPr>
          <w:rFonts w:hint="eastAsia" w:ascii="宋体" w:hAnsi="宋体" w:eastAsia="宋体" w:cs="宋体"/>
          <w:color w:val="auto"/>
          <w:sz w:val="24"/>
          <w:highlight w:val="none"/>
        </w:rPr>
      </w:pPr>
      <w:r>
        <w:rPr>
          <w:rFonts w:hint="eastAsia" w:ascii="宋体" w:hAnsi="宋体" w:eastAsia="宋体" w:cs="宋体"/>
          <w:color w:val="auto"/>
          <w:sz w:val="44"/>
          <w:highlight w:val="none"/>
        </w:rPr>
        <w:br w:type="page"/>
      </w:r>
      <w:r>
        <w:rPr>
          <w:rFonts w:hint="eastAsia" w:ascii="宋体" w:hAnsi="宋体" w:eastAsia="宋体" w:cs="宋体"/>
          <w:b/>
          <w:color w:val="auto"/>
          <w:sz w:val="24"/>
          <w:highlight w:val="none"/>
        </w:rPr>
        <w:t>附件</w:t>
      </w:r>
      <w:r>
        <w:rPr>
          <w:rFonts w:hint="eastAsia" w:ascii="宋体" w:hAnsi="宋体" w:eastAsia="宋体" w:cs="宋体"/>
          <w:b/>
          <w:color w:val="auto"/>
          <w:sz w:val="24"/>
          <w:highlight w:val="none"/>
          <w:lang w:val="en-US" w:eastAsia="zh-CN"/>
        </w:rPr>
        <w:t>2</w:t>
      </w:r>
      <w:r>
        <w:rPr>
          <w:rFonts w:hint="eastAsia" w:ascii="宋体" w:hAnsi="宋体" w:eastAsia="宋体" w:cs="宋体"/>
          <w:b/>
          <w:color w:val="auto"/>
          <w:sz w:val="24"/>
          <w:highlight w:val="none"/>
        </w:rPr>
        <w:t>：投诉书（格式）</w:t>
      </w:r>
    </w:p>
    <w:p w14:paraId="414B0384">
      <w:pPr>
        <w:spacing w:line="360" w:lineRule="auto"/>
        <w:jc w:val="center"/>
        <w:outlineLvl w:val="1"/>
        <w:rPr>
          <w:rFonts w:hint="eastAsia" w:ascii="宋体" w:hAnsi="宋体" w:eastAsia="宋体" w:cs="宋体"/>
          <w:b/>
          <w:bCs/>
          <w:color w:val="auto"/>
          <w:sz w:val="32"/>
          <w:szCs w:val="32"/>
          <w:highlight w:val="none"/>
        </w:rPr>
      </w:pPr>
      <w:bookmarkStart w:id="1794" w:name="_Toc16310"/>
      <w:bookmarkStart w:id="1795" w:name="_Toc29455"/>
      <w:bookmarkStart w:id="1796" w:name="_Toc10885"/>
      <w:bookmarkStart w:id="1797" w:name="_Toc27701"/>
      <w:r>
        <w:rPr>
          <w:rFonts w:hint="eastAsia" w:ascii="宋体" w:hAnsi="宋体" w:eastAsia="宋体" w:cs="宋体"/>
          <w:b/>
          <w:bCs/>
          <w:color w:val="auto"/>
          <w:sz w:val="32"/>
          <w:szCs w:val="32"/>
          <w:highlight w:val="none"/>
        </w:rPr>
        <w:t>投诉书（格式）</w:t>
      </w:r>
      <w:bookmarkEnd w:id="1794"/>
      <w:bookmarkEnd w:id="1795"/>
      <w:bookmarkEnd w:id="1796"/>
      <w:bookmarkEnd w:id="1797"/>
    </w:p>
    <w:p w14:paraId="619B6B54">
      <w:pPr>
        <w:pStyle w:val="71"/>
        <w:spacing w:line="360" w:lineRule="auto"/>
        <w:jc w:val="center"/>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（如有）</w:t>
      </w:r>
    </w:p>
    <w:p w14:paraId="30295B83">
      <w:pPr>
        <w:pStyle w:val="71"/>
        <w:spacing w:line="360" w:lineRule="auto"/>
        <w:rPr>
          <w:rFonts w:hint="eastAsia" w:ascii="宋体" w:hAnsi="宋体" w:eastAsia="宋体" w:cs="宋体"/>
          <w:color w:val="auto"/>
          <w:highlight w:val="none"/>
        </w:rPr>
      </w:pPr>
    </w:p>
    <w:p w14:paraId="0B23BEE1">
      <w:pPr>
        <w:pStyle w:val="72"/>
        <w:rPr>
          <w:rFonts w:hint="eastAsia"/>
          <w:color w:val="auto"/>
        </w:rPr>
      </w:pPr>
    </w:p>
    <w:p w14:paraId="134D38C5">
      <w:pPr>
        <w:pStyle w:val="24"/>
        <w:spacing w:line="360" w:lineRule="auto"/>
        <w:rPr>
          <w:rFonts w:hint="eastAsia" w:ascii="宋体" w:hAnsi="宋体" w:eastAsia="宋体" w:cs="宋体"/>
          <w:color w:val="auto"/>
          <w:highlight w:val="none"/>
        </w:rPr>
      </w:pPr>
    </w:p>
    <w:p w14:paraId="29B0B46D">
      <w:pPr>
        <w:spacing w:line="360" w:lineRule="auto"/>
        <w:rPr>
          <w:rFonts w:hint="eastAsia" w:ascii="宋体" w:hAnsi="宋体" w:eastAsia="宋体" w:cs="宋体"/>
          <w:color w:val="auto"/>
          <w:highlight w:val="none"/>
        </w:rPr>
      </w:pPr>
    </w:p>
    <w:p w14:paraId="755258A7">
      <w:pPr>
        <w:pStyle w:val="23"/>
        <w:spacing w:line="360" w:lineRule="auto"/>
        <w:rPr>
          <w:rFonts w:hint="eastAsia" w:ascii="宋体" w:hAnsi="宋体" w:eastAsia="宋体" w:cs="宋体"/>
          <w:color w:val="auto"/>
          <w:highlight w:val="none"/>
        </w:rPr>
      </w:pPr>
    </w:p>
    <w:p w14:paraId="7E92FC03">
      <w:pPr>
        <w:pStyle w:val="24"/>
        <w:spacing w:line="360" w:lineRule="auto"/>
        <w:rPr>
          <w:rFonts w:hint="eastAsia" w:ascii="宋体" w:hAnsi="宋体" w:eastAsia="宋体" w:cs="宋体"/>
          <w:color w:val="auto"/>
          <w:highlight w:val="none"/>
        </w:rPr>
      </w:pPr>
    </w:p>
    <w:p w14:paraId="7BBE2BAB">
      <w:pPr>
        <w:spacing w:line="360" w:lineRule="auto"/>
        <w:rPr>
          <w:rFonts w:hint="eastAsia" w:ascii="宋体" w:hAnsi="宋体" w:eastAsia="宋体" w:cs="宋体"/>
          <w:color w:val="auto"/>
          <w:highlight w:val="none"/>
        </w:rPr>
      </w:pPr>
    </w:p>
    <w:p w14:paraId="2166480F">
      <w:pPr>
        <w:pStyle w:val="23"/>
        <w:spacing w:line="360" w:lineRule="auto"/>
        <w:rPr>
          <w:rFonts w:hint="eastAsia" w:ascii="宋体" w:hAnsi="宋体" w:eastAsia="宋体" w:cs="宋体"/>
          <w:color w:val="auto"/>
          <w:highlight w:val="none"/>
        </w:rPr>
      </w:pPr>
    </w:p>
    <w:p w14:paraId="6FEE3313">
      <w:pPr>
        <w:pStyle w:val="24"/>
        <w:spacing w:line="360" w:lineRule="auto"/>
        <w:rPr>
          <w:rFonts w:hint="eastAsia" w:ascii="宋体" w:hAnsi="宋体" w:eastAsia="宋体" w:cs="宋体"/>
          <w:color w:val="auto"/>
          <w:highlight w:val="none"/>
        </w:rPr>
      </w:pPr>
    </w:p>
    <w:p w14:paraId="4527157D">
      <w:pPr>
        <w:pStyle w:val="20"/>
        <w:snapToGrid w:val="0"/>
        <w:spacing w:line="360" w:lineRule="auto"/>
        <w:ind w:firstLine="482" w:firstLineChars="200"/>
        <w:outlineLvl w:val="1"/>
        <w:rPr>
          <w:rFonts w:hint="eastAsia" w:ascii="宋体" w:hAnsi="宋体" w:eastAsia="宋体" w:cs="宋体"/>
          <w:b/>
          <w:bCs/>
          <w:color w:val="auto"/>
          <w:sz w:val="24"/>
          <w:szCs w:val="24"/>
          <w:highlight w:val="none"/>
        </w:rPr>
      </w:pPr>
      <w:bookmarkStart w:id="1798" w:name="_Toc2890"/>
      <w:bookmarkStart w:id="1799" w:name="_Toc9445"/>
      <w:bookmarkStart w:id="1800" w:name="_Toc19923"/>
      <w:bookmarkStart w:id="1801" w:name="_Toc4519"/>
      <w:r>
        <w:rPr>
          <w:rFonts w:hint="eastAsia" w:ascii="宋体" w:hAnsi="宋体" w:eastAsia="宋体" w:cs="宋体"/>
          <w:b/>
          <w:bCs/>
          <w:color w:val="auto"/>
          <w:sz w:val="24"/>
          <w:szCs w:val="24"/>
          <w:highlight w:val="none"/>
        </w:rPr>
        <w:t>一、投诉相关主体基本情况：</w:t>
      </w:r>
      <w:bookmarkEnd w:id="1798"/>
      <w:bookmarkEnd w:id="1799"/>
      <w:bookmarkEnd w:id="1800"/>
      <w:bookmarkEnd w:id="1801"/>
    </w:p>
    <w:p w14:paraId="28F93019">
      <w:pPr>
        <w:pStyle w:val="20"/>
        <w:snapToGrid w:val="0"/>
        <w:spacing w:line="360" w:lineRule="auto"/>
        <w:ind w:firstLine="480" w:firstLineChars="200"/>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供应商：</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 xml:space="preserve">                 </w:t>
      </w:r>
    </w:p>
    <w:p w14:paraId="66D35535">
      <w:pPr>
        <w:pStyle w:val="20"/>
        <w:snapToGrid w:val="0"/>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地址：</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邮编：</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 xml:space="preserve">                 </w:t>
      </w:r>
    </w:p>
    <w:p w14:paraId="4CC14F2B">
      <w:pPr>
        <w:pStyle w:val="20"/>
        <w:snapToGrid w:val="0"/>
        <w:spacing w:line="360" w:lineRule="auto"/>
        <w:ind w:firstLine="480" w:firstLineChars="200"/>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法定代表人/主要负责人：</w:t>
      </w:r>
      <w:r>
        <w:rPr>
          <w:rFonts w:hint="eastAsia" w:ascii="宋体" w:hAnsi="宋体" w:eastAsia="宋体" w:cs="宋体"/>
          <w:bCs/>
          <w:color w:val="auto"/>
          <w:sz w:val="24"/>
          <w:szCs w:val="24"/>
          <w:highlight w:val="none"/>
          <w:u w:val="single"/>
        </w:rPr>
        <w:t xml:space="preserve">                                                         </w:t>
      </w:r>
    </w:p>
    <w:p w14:paraId="2993D54C">
      <w:pPr>
        <w:pStyle w:val="20"/>
        <w:snapToGrid w:val="0"/>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联系电话：</w:t>
      </w:r>
      <w:r>
        <w:rPr>
          <w:rFonts w:hint="eastAsia" w:ascii="宋体" w:hAnsi="宋体" w:eastAsia="宋体" w:cs="宋体"/>
          <w:bCs/>
          <w:color w:val="auto"/>
          <w:sz w:val="24"/>
          <w:szCs w:val="24"/>
          <w:highlight w:val="none"/>
          <w:u w:val="single"/>
        </w:rPr>
        <w:t xml:space="preserve">                                         </w:t>
      </w:r>
    </w:p>
    <w:p w14:paraId="4E82CCCE">
      <w:pPr>
        <w:pStyle w:val="20"/>
        <w:snapToGrid w:val="0"/>
        <w:spacing w:line="360" w:lineRule="auto"/>
        <w:ind w:firstLine="480" w:firstLineChars="200"/>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授权代表：</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联系电话：</w:t>
      </w:r>
      <w:r>
        <w:rPr>
          <w:rFonts w:hint="eastAsia" w:ascii="宋体" w:hAnsi="宋体" w:eastAsia="宋体" w:cs="宋体"/>
          <w:bCs/>
          <w:color w:val="auto"/>
          <w:sz w:val="24"/>
          <w:szCs w:val="24"/>
          <w:highlight w:val="none"/>
          <w:u w:val="single"/>
        </w:rPr>
        <w:t xml:space="preserve">                   </w:t>
      </w:r>
    </w:p>
    <w:p w14:paraId="5BDC20F8">
      <w:pPr>
        <w:pStyle w:val="20"/>
        <w:snapToGrid w:val="0"/>
        <w:spacing w:line="360" w:lineRule="auto"/>
        <w:ind w:firstLine="480" w:firstLineChars="200"/>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地址：</w:t>
      </w:r>
      <w:r>
        <w:rPr>
          <w:rFonts w:hint="eastAsia" w:ascii="宋体" w:hAnsi="宋体" w:eastAsia="宋体" w:cs="宋体"/>
          <w:bCs/>
          <w:color w:val="auto"/>
          <w:sz w:val="24"/>
          <w:szCs w:val="24"/>
          <w:highlight w:val="none"/>
          <w:u w:val="single"/>
        </w:rPr>
        <w:t xml:space="preserve">                                                            </w:t>
      </w:r>
    </w:p>
    <w:p w14:paraId="3F14E637">
      <w:pPr>
        <w:pStyle w:val="20"/>
        <w:snapToGrid w:val="0"/>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邮编：</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 xml:space="preserve">   </w:t>
      </w:r>
    </w:p>
    <w:p w14:paraId="1B95B19F">
      <w:pPr>
        <w:pStyle w:val="20"/>
        <w:snapToGrid w:val="0"/>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被投诉人1：</w:t>
      </w:r>
    </w:p>
    <w:p w14:paraId="42A677A0">
      <w:pPr>
        <w:pStyle w:val="20"/>
        <w:snapToGrid w:val="0"/>
        <w:spacing w:line="360" w:lineRule="auto"/>
        <w:ind w:firstLine="480" w:firstLineChars="200"/>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地址：</w:t>
      </w:r>
      <w:r>
        <w:rPr>
          <w:rFonts w:hint="eastAsia" w:ascii="宋体" w:hAnsi="宋体" w:eastAsia="宋体" w:cs="宋体"/>
          <w:bCs/>
          <w:color w:val="auto"/>
          <w:sz w:val="24"/>
          <w:szCs w:val="24"/>
          <w:highlight w:val="none"/>
          <w:u w:val="single"/>
        </w:rPr>
        <w:t xml:space="preserve">                                                            </w:t>
      </w:r>
    </w:p>
    <w:p w14:paraId="674A578E">
      <w:pPr>
        <w:pStyle w:val="20"/>
        <w:snapToGrid w:val="0"/>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邮编：</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 xml:space="preserve">  </w:t>
      </w:r>
    </w:p>
    <w:p w14:paraId="29021503">
      <w:pPr>
        <w:pStyle w:val="20"/>
        <w:snapToGrid w:val="0"/>
        <w:spacing w:line="360" w:lineRule="auto"/>
        <w:ind w:firstLine="480" w:firstLineChars="200"/>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联系人：</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联系电话：</w:t>
      </w:r>
      <w:r>
        <w:rPr>
          <w:rFonts w:hint="eastAsia" w:ascii="宋体" w:hAnsi="宋体" w:eastAsia="宋体" w:cs="宋体"/>
          <w:bCs/>
          <w:color w:val="auto"/>
          <w:sz w:val="24"/>
          <w:szCs w:val="24"/>
          <w:highlight w:val="none"/>
          <w:u w:val="single"/>
        </w:rPr>
        <w:t xml:space="preserve">                </w:t>
      </w:r>
    </w:p>
    <w:p w14:paraId="6391712C">
      <w:pPr>
        <w:pStyle w:val="20"/>
        <w:snapToGrid w:val="0"/>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被投诉人2：</w:t>
      </w:r>
    </w:p>
    <w:p w14:paraId="5DC7DC0E">
      <w:pPr>
        <w:pStyle w:val="20"/>
        <w:snapToGrid w:val="0"/>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w:t>
      </w:r>
    </w:p>
    <w:p w14:paraId="33EAC1FC">
      <w:pPr>
        <w:pStyle w:val="20"/>
        <w:snapToGrid w:val="0"/>
        <w:spacing w:line="360" w:lineRule="auto"/>
        <w:ind w:firstLine="480" w:firstLineChars="200"/>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相关供应商：</w:t>
      </w:r>
      <w:r>
        <w:rPr>
          <w:rFonts w:hint="eastAsia" w:ascii="宋体" w:hAnsi="宋体" w:eastAsia="宋体" w:cs="宋体"/>
          <w:bCs/>
          <w:color w:val="auto"/>
          <w:sz w:val="24"/>
          <w:szCs w:val="24"/>
          <w:highlight w:val="none"/>
          <w:u w:val="single"/>
        </w:rPr>
        <w:t xml:space="preserve">                                                                       </w:t>
      </w:r>
    </w:p>
    <w:p w14:paraId="0131D691">
      <w:pPr>
        <w:pStyle w:val="20"/>
        <w:snapToGrid w:val="0"/>
        <w:spacing w:line="360" w:lineRule="auto"/>
        <w:ind w:firstLine="480" w:firstLineChars="200"/>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地址：</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邮编：</w:t>
      </w:r>
      <w:r>
        <w:rPr>
          <w:rFonts w:hint="eastAsia" w:ascii="宋体" w:hAnsi="宋体" w:eastAsia="宋体" w:cs="宋体"/>
          <w:bCs/>
          <w:color w:val="auto"/>
          <w:sz w:val="24"/>
          <w:szCs w:val="24"/>
          <w:highlight w:val="none"/>
          <w:u w:val="single"/>
        </w:rPr>
        <w:t xml:space="preserve">                         </w:t>
      </w:r>
    </w:p>
    <w:p w14:paraId="43A4802D">
      <w:pPr>
        <w:pStyle w:val="20"/>
        <w:snapToGrid w:val="0"/>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联系人：</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联系电话：</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 xml:space="preserve">                </w:t>
      </w:r>
    </w:p>
    <w:p w14:paraId="264188A4">
      <w:pPr>
        <w:pStyle w:val="20"/>
        <w:snapToGrid w:val="0"/>
        <w:spacing w:line="360" w:lineRule="auto"/>
        <w:ind w:firstLine="482" w:firstLineChars="200"/>
        <w:outlineLvl w:val="1"/>
        <w:rPr>
          <w:rFonts w:hint="eastAsia" w:ascii="宋体" w:hAnsi="宋体" w:eastAsia="宋体" w:cs="宋体"/>
          <w:b/>
          <w:bCs/>
          <w:color w:val="auto"/>
          <w:sz w:val="24"/>
          <w:szCs w:val="24"/>
          <w:highlight w:val="none"/>
        </w:rPr>
      </w:pPr>
      <w:bookmarkStart w:id="1802" w:name="_Toc4891"/>
      <w:bookmarkStart w:id="1803" w:name="_Toc262"/>
      <w:bookmarkStart w:id="1804" w:name="_Toc29891"/>
      <w:bookmarkStart w:id="1805" w:name="_Toc32472"/>
      <w:r>
        <w:rPr>
          <w:rFonts w:hint="eastAsia" w:ascii="宋体" w:hAnsi="宋体" w:eastAsia="宋体" w:cs="宋体"/>
          <w:b/>
          <w:bCs/>
          <w:color w:val="auto"/>
          <w:sz w:val="24"/>
          <w:szCs w:val="24"/>
          <w:highlight w:val="none"/>
        </w:rPr>
        <w:t>二、投诉项目基本情况：</w:t>
      </w:r>
      <w:bookmarkEnd w:id="1802"/>
      <w:bookmarkEnd w:id="1803"/>
      <w:bookmarkEnd w:id="1804"/>
      <w:bookmarkEnd w:id="1805"/>
    </w:p>
    <w:p w14:paraId="13B41873">
      <w:pPr>
        <w:pStyle w:val="20"/>
        <w:spacing w:line="360" w:lineRule="auto"/>
        <w:ind w:left="25" w:leftChars="12" w:firstLine="472" w:firstLineChars="197"/>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采购</w:t>
      </w:r>
      <w:r>
        <w:rPr>
          <w:rFonts w:hint="eastAsia" w:ascii="宋体" w:hAnsi="宋体" w:eastAsia="宋体" w:cs="宋体"/>
          <w:color w:val="auto"/>
          <w:sz w:val="24"/>
          <w:szCs w:val="24"/>
          <w:highlight w:val="none"/>
        </w:rPr>
        <w:t>项目的名称：</w:t>
      </w:r>
      <w:r>
        <w:rPr>
          <w:rFonts w:hint="eastAsia" w:ascii="宋体" w:hAnsi="宋体" w:eastAsia="宋体" w:cs="宋体"/>
          <w:bCs/>
          <w:color w:val="auto"/>
          <w:sz w:val="24"/>
          <w:szCs w:val="24"/>
          <w:highlight w:val="none"/>
          <w:u w:val="single"/>
        </w:rPr>
        <w:t xml:space="preserve">                                                                   </w:t>
      </w:r>
    </w:p>
    <w:p w14:paraId="0BAFDAF0">
      <w:pPr>
        <w:pStyle w:val="20"/>
        <w:spacing w:line="360" w:lineRule="auto"/>
        <w:ind w:left="25" w:leftChars="12" w:firstLine="472" w:firstLineChars="197"/>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采购</w:t>
      </w:r>
      <w:r>
        <w:rPr>
          <w:rFonts w:hint="eastAsia" w:ascii="宋体" w:hAnsi="宋体" w:eastAsia="宋体" w:cs="宋体"/>
          <w:color w:val="auto"/>
          <w:sz w:val="24"/>
          <w:szCs w:val="24"/>
          <w:highlight w:val="none"/>
        </w:rPr>
        <w:t>项目的编号：</w:t>
      </w:r>
      <w:r>
        <w:rPr>
          <w:rFonts w:hint="eastAsia" w:ascii="宋体" w:hAnsi="宋体" w:eastAsia="宋体" w:cs="宋体"/>
          <w:bCs/>
          <w:color w:val="auto"/>
          <w:sz w:val="24"/>
          <w:szCs w:val="24"/>
          <w:highlight w:val="none"/>
          <w:u w:val="single"/>
        </w:rPr>
        <w:t xml:space="preserve">                                          </w:t>
      </w:r>
    </w:p>
    <w:p w14:paraId="14BF9EBA">
      <w:pPr>
        <w:pStyle w:val="20"/>
        <w:spacing w:line="360" w:lineRule="auto"/>
        <w:ind w:left="25" w:leftChars="12" w:firstLine="472" w:firstLineChars="197"/>
        <w:rPr>
          <w:rFonts w:hint="eastAsia" w:ascii="宋体" w:hAnsi="宋体" w:eastAsia="宋体" w:cs="宋体"/>
          <w:bCs/>
          <w:color w:val="auto"/>
          <w:sz w:val="24"/>
          <w:szCs w:val="24"/>
          <w:highlight w:val="none"/>
          <w:u w:val="single"/>
        </w:rPr>
      </w:pPr>
      <w:r>
        <w:rPr>
          <w:rFonts w:hint="eastAsia" w:ascii="宋体" w:hAnsi="宋体" w:eastAsia="宋体" w:cs="宋体"/>
          <w:color w:val="auto"/>
          <w:sz w:val="24"/>
          <w:szCs w:val="24"/>
          <w:highlight w:val="none"/>
        </w:rPr>
        <w:t>采购人名称：</w:t>
      </w:r>
      <w:r>
        <w:rPr>
          <w:rFonts w:hint="eastAsia" w:ascii="宋体" w:hAnsi="宋体" w:eastAsia="宋体" w:cs="宋体"/>
          <w:bCs/>
          <w:color w:val="auto"/>
          <w:sz w:val="24"/>
          <w:szCs w:val="24"/>
          <w:highlight w:val="none"/>
          <w:u w:val="single"/>
        </w:rPr>
        <w:t xml:space="preserve">                                                                        </w:t>
      </w:r>
    </w:p>
    <w:p w14:paraId="2E1ABBA7">
      <w:pPr>
        <w:pStyle w:val="20"/>
        <w:spacing w:line="360" w:lineRule="auto"/>
        <w:ind w:left="25" w:leftChars="12" w:firstLine="472" w:firstLineChars="197"/>
        <w:rPr>
          <w:rFonts w:hint="eastAsia" w:ascii="宋体" w:hAnsi="宋体" w:eastAsia="宋体" w:cs="宋体"/>
          <w:bCs/>
          <w:color w:val="auto"/>
          <w:sz w:val="24"/>
          <w:szCs w:val="24"/>
          <w:highlight w:val="none"/>
          <w:u w:val="single"/>
        </w:rPr>
      </w:pPr>
      <w:r>
        <w:rPr>
          <w:rFonts w:hint="eastAsia" w:ascii="宋体" w:hAnsi="宋体" w:eastAsia="宋体" w:cs="宋体"/>
          <w:color w:val="auto"/>
          <w:sz w:val="24"/>
          <w:szCs w:val="24"/>
          <w:highlight w:val="none"/>
        </w:rPr>
        <w:t>代理机构名称：</w:t>
      </w:r>
      <w:r>
        <w:rPr>
          <w:rFonts w:hint="eastAsia" w:ascii="宋体" w:hAnsi="宋体" w:eastAsia="宋体" w:cs="宋体"/>
          <w:bCs/>
          <w:color w:val="auto"/>
          <w:sz w:val="24"/>
          <w:szCs w:val="24"/>
          <w:highlight w:val="none"/>
          <w:u w:val="single"/>
        </w:rPr>
        <w:t xml:space="preserve">                                                                      </w:t>
      </w:r>
    </w:p>
    <w:p w14:paraId="7CD672EA">
      <w:pPr>
        <w:pStyle w:val="20"/>
        <w:spacing w:line="360" w:lineRule="auto"/>
        <w:ind w:left="25" w:leftChars="12" w:firstLine="472" w:firstLineChars="197"/>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招标文件公告：</w:t>
      </w:r>
      <w:r>
        <w:rPr>
          <w:rFonts w:hint="eastAsia" w:ascii="宋体" w:hAnsi="宋体" w:eastAsia="宋体" w:cs="宋体"/>
          <w:bCs/>
          <w:color w:val="auto"/>
          <w:sz w:val="24"/>
          <w:szCs w:val="24"/>
          <w:highlight w:val="none"/>
          <w:u w:val="single"/>
        </w:rPr>
        <w:t>是/否</w:t>
      </w:r>
      <w:r>
        <w:rPr>
          <w:rFonts w:hint="eastAsia" w:ascii="宋体" w:hAnsi="宋体" w:eastAsia="宋体" w:cs="宋体"/>
          <w:bCs/>
          <w:color w:val="auto"/>
          <w:sz w:val="24"/>
          <w:szCs w:val="24"/>
          <w:highlight w:val="none"/>
        </w:rPr>
        <w:t>公告期限：</w:t>
      </w:r>
      <w:r>
        <w:rPr>
          <w:rFonts w:hint="eastAsia" w:ascii="宋体" w:hAnsi="宋体" w:eastAsia="宋体" w:cs="宋体"/>
          <w:bCs/>
          <w:color w:val="auto"/>
          <w:sz w:val="24"/>
          <w:szCs w:val="24"/>
          <w:highlight w:val="none"/>
          <w:u w:val="single"/>
        </w:rPr>
        <w:t xml:space="preserve">                                                       </w:t>
      </w:r>
    </w:p>
    <w:p w14:paraId="69D6D78C">
      <w:pPr>
        <w:pStyle w:val="20"/>
        <w:spacing w:line="360" w:lineRule="auto"/>
        <w:ind w:left="25" w:leftChars="12" w:firstLine="472" w:firstLineChars="197"/>
        <w:rPr>
          <w:rFonts w:hint="eastAsia" w:ascii="宋体" w:hAnsi="宋体" w:eastAsia="宋体" w:cs="宋体"/>
          <w:b/>
          <w:color w:val="auto"/>
          <w:sz w:val="24"/>
          <w:szCs w:val="24"/>
          <w:highlight w:val="none"/>
        </w:rPr>
      </w:pPr>
      <w:r>
        <w:rPr>
          <w:rFonts w:hint="eastAsia" w:ascii="宋体" w:hAnsi="宋体" w:eastAsia="宋体" w:cs="宋体"/>
          <w:bCs/>
          <w:color w:val="auto"/>
          <w:sz w:val="24"/>
          <w:szCs w:val="24"/>
          <w:highlight w:val="none"/>
        </w:rPr>
        <w:t>采购结果公告：</w:t>
      </w:r>
      <w:r>
        <w:rPr>
          <w:rFonts w:hint="eastAsia" w:ascii="宋体" w:hAnsi="宋体" w:eastAsia="宋体" w:cs="宋体"/>
          <w:bCs/>
          <w:color w:val="auto"/>
          <w:sz w:val="24"/>
          <w:szCs w:val="24"/>
          <w:highlight w:val="none"/>
          <w:u w:val="single"/>
        </w:rPr>
        <w:t>是/否</w:t>
      </w:r>
      <w:r>
        <w:rPr>
          <w:rFonts w:hint="eastAsia" w:ascii="宋体" w:hAnsi="宋体" w:eastAsia="宋体" w:cs="宋体"/>
          <w:bCs/>
          <w:color w:val="auto"/>
          <w:sz w:val="24"/>
          <w:szCs w:val="24"/>
          <w:highlight w:val="none"/>
        </w:rPr>
        <w:t>公告期限：</w:t>
      </w:r>
      <w:r>
        <w:rPr>
          <w:rFonts w:hint="eastAsia" w:ascii="宋体" w:hAnsi="宋体" w:eastAsia="宋体" w:cs="宋体"/>
          <w:bCs/>
          <w:color w:val="auto"/>
          <w:sz w:val="24"/>
          <w:szCs w:val="24"/>
          <w:highlight w:val="none"/>
          <w:u w:val="single"/>
        </w:rPr>
        <w:t xml:space="preserve">                                                       </w:t>
      </w:r>
    </w:p>
    <w:p w14:paraId="397BB5F0">
      <w:pPr>
        <w:pStyle w:val="20"/>
        <w:spacing w:line="360" w:lineRule="auto"/>
        <w:ind w:left="25" w:leftChars="12" w:firstLine="472" w:firstLineChars="196"/>
        <w:outlineLvl w:val="1"/>
        <w:rPr>
          <w:rFonts w:hint="eastAsia" w:ascii="宋体" w:hAnsi="宋体" w:eastAsia="宋体" w:cs="宋体"/>
          <w:b/>
          <w:color w:val="auto"/>
          <w:sz w:val="24"/>
          <w:szCs w:val="24"/>
          <w:highlight w:val="none"/>
        </w:rPr>
      </w:pPr>
      <w:bookmarkStart w:id="1806" w:name="_Toc7649"/>
      <w:bookmarkStart w:id="1807" w:name="_Toc12053"/>
      <w:bookmarkStart w:id="1808" w:name="_Toc24557"/>
      <w:bookmarkStart w:id="1809" w:name="_Toc32622"/>
      <w:r>
        <w:rPr>
          <w:rFonts w:hint="eastAsia" w:ascii="宋体" w:hAnsi="宋体" w:eastAsia="宋体" w:cs="宋体"/>
          <w:b/>
          <w:color w:val="auto"/>
          <w:sz w:val="24"/>
          <w:szCs w:val="24"/>
          <w:highlight w:val="none"/>
        </w:rPr>
        <w:t>三、质疑基本情况</w:t>
      </w:r>
      <w:bookmarkEnd w:id="1806"/>
      <w:bookmarkEnd w:id="1807"/>
      <w:bookmarkEnd w:id="1808"/>
      <w:bookmarkEnd w:id="1809"/>
    </w:p>
    <w:p w14:paraId="2B6472D7">
      <w:pPr>
        <w:pStyle w:val="2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投诉人于</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日，向</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提出质疑，质疑事项为：</w:t>
      </w:r>
    </w:p>
    <w:p w14:paraId="37F28500">
      <w:pPr>
        <w:pStyle w:val="20"/>
        <w:spacing w:line="360" w:lineRule="auto"/>
        <w:ind w:firstLine="241"/>
        <w:rPr>
          <w:rFonts w:hint="eastAsia" w:ascii="宋体" w:hAnsi="宋体" w:eastAsia="宋体" w:cs="宋体"/>
          <w:bCs/>
          <w:color w:val="auto"/>
          <w:sz w:val="24"/>
          <w:szCs w:val="24"/>
          <w:highlight w:val="none"/>
          <w:u w:val="single"/>
        </w:rPr>
      </w:pPr>
      <w:r>
        <w:rPr>
          <w:rFonts w:hint="eastAsia" w:ascii="宋体" w:hAnsi="宋体" w:eastAsia="宋体" w:cs="宋体"/>
          <w:color w:val="auto"/>
          <w:sz w:val="24"/>
          <w:szCs w:val="24"/>
          <w:highlight w:val="none"/>
        </w:rPr>
        <w:t xml:space="preserve">    </w:t>
      </w:r>
      <w:r>
        <w:rPr>
          <w:rFonts w:hint="eastAsia" w:ascii="宋体" w:hAnsi="宋体" w:eastAsia="宋体" w:cs="宋体"/>
          <w:bCs/>
          <w:color w:val="auto"/>
          <w:sz w:val="24"/>
          <w:szCs w:val="24"/>
          <w:highlight w:val="none"/>
          <w:u w:val="single"/>
        </w:rPr>
        <w:t xml:space="preserve">                                                                                      </w:t>
      </w:r>
    </w:p>
    <w:p w14:paraId="158B5559">
      <w:pPr>
        <w:pStyle w:val="20"/>
        <w:spacing w:line="360" w:lineRule="auto"/>
        <w:ind w:firstLine="241"/>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 xml:space="preserve">    </w:t>
      </w:r>
      <w:r>
        <w:rPr>
          <w:rFonts w:hint="eastAsia" w:ascii="宋体" w:hAnsi="宋体" w:eastAsia="宋体" w:cs="宋体"/>
          <w:bCs/>
          <w:color w:val="auto"/>
          <w:sz w:val="24"/>
          <w:szCs w:val="24"/>
          <w:highlight w:val="none"/>
          <w:u w:val="single"/>
        </w:rPr>
        <w:t xml:space="preserve">                                                                                      </w:t>
      </w:r>
    </w:p>
    <w:p w14:paraId="348AEE95">
      <w:pPr>
        <w:pStyle w:val="2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u w:val="single"/>
        </w:rPr>
        <w:t>采购人/代理机构</w:t>
      </w:r>
      <w:r>
        <w:rPr>
          <w:rFonts w:hint="eastAsia" w:ascii="宋体" w:hAnsi="宋体" w:eastAsia="宋体" w:cs="宋体"/>
          <w:bCs/>
          <w:color w:val="auto"/>
          <w:sz w:val="24"/>
          <w:szCs w:val="24"/>
          <w:highlight w:val="none"/>
        </w:rPr>
        <w:t>于</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r>
        <w:rPr>
          <w:rFonts w:hint="eastAsia" w:ascii="宋体" w:hAnsi="宋体" w:eastAsia="宋体" w:cs="宋体"/>
          <w:bCs/>
          <w:color w:val="auto"/>
          <w:sz w:val="24"/>
          <w:szCs w:val="24"/>
          <w:highlight w:val="none"/>
        </w:rPr>
        <w:t xml:space="preserve">就质疑事项作出了答复/没有在法定期限内作出答复。                                                                                             </w:t>
      </w:r>
    </w:p>
    <w:p w14:paraId="5A3546E5">
      <w:pPr>
        <w:pStyle w:val="20"/>
        <w:spacing w:line="360" w:lineRule="auto"/>
        <w:ind w:left="25" w:leftChars="12" w:firstLine="472" w:firstLineChars="196"/>
        <w:outlineLvl w:val="1"/>
        <w:rPr>
          <w:rFonts w:hint="eastAsia" w:ascii="宋体" w:hAnsi="宋体" w:eastAsia="宋体" w:cs="宋体"/>
          <w:b/>
          <w:color w:val="auto"/>
          <w:sz w:val="24"/>
          <w:szCs w:val="24"/>
          <w:highlight w:val="none"/>
        </w:rPr>
      </w:pPr>
      <w:bookmarkStart w:id="1810" w:name="_Toc18895"/>
      <w:bookmarkStart w:id="1811" w:name="_Toc21869"/>
      <w:bookmarkStart w:id="1812" w:name="_Toc21077"/>
      <w:bookmarkStart w:id="1813" w:name="_Toc24859"/>
      <w:r>
        <w:rPr>
          <w:rFonts w:hint="eastAsia" w:ascii="宋体" w:hAnsi="宋体" w:eastAsia="宋体" w:cs="宋体"/>
          <w:b/>
          <w:color w:val="auto"/>
          <w:sz w:val="24"/>
          <w:szCs w:val="24"/>
          <w:highlight w:val="none"/>
        </w:rPr>
        <w:t>四、投诉事项具体内容</w:t>
      </w:r>
      <w:bookmarkEnd w:id="1810"/>
      <w:bookmarkEnd w:id="1811"/>
      <w:bookmarkEnd w:id="1812"/>
      <w:bookmarkEnd w:id="1813"/>
    </w:p>
    <w:p w14:paraId="218F88B4">
      <w:pPr>
        <w:pStyle w:val="20"/>
        <w:spacing w:line="360" w:lineRule="auto"/>
        <w:ind w:left="25" w:leftChars="12" w:firstLine="472" w:firstLineChars="197"/>
        <w:rPr>
          <w:rFonts w:hint="eastAsia" w:ascii="宋体" w:hAnsi="宋体" w:eastAsia="宋体" w:cs="宋体"/>
          <w:bCs/>
          <w:color w:val="auto"/>
          <w:sz w:val="24"/>
          <w:szCs w:val="24"/>
          <w:highlight w:val="none"/>
          <w:u w:val="single"/>
        </w:rPr>
      </w:pPr>
      <w:r>
        <w:rPr>
          <w:rFonts w:hint="eastAsia" w:ascii="宋体" w:hAnsi="宋体" w:eastAsia="宋体" w:cs="宋体"/>
          <w:color w:val="auto"/>
          <w:sz w:val="24"/>
          <w:szCs w:val="24"/>
          <w:highlight w:val="none"/>
        </w:rPr>
        <w:t>投诉事项1：</w:t>
      </w:r>
      <w:r>
        <w:rPr>
          <w:rFonts w:hint="eastAsia" w:ascii="宋体" w:hAnsi="宋体" w:eastAsia="宋体" w:cs="宋体"/>
          <w:bCs/>
          <w:color w:val="auto"/>
          <w:sz w:val="24"/>
          <w:szCs w:val="24"/>
          <w:highlight w:val="none"/>
          <w:u w:val="single"/>
        </w:rPr>
        <w:t xml:space="preserve">                                                                           </w:t>
      </w:r>
    </w:p>
    <w:p w14:paraId="37A2B167">
      <w:pPr>
        <w:pStyle w:val="20"/>
        <w:spacing w:line="360" w:lineRule="auto"/>
        <w:ind w:firstLine="480" w:firstLineChars="200"/>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事实依据：</w:t>
      </w:r>
      <w:r>
        <w:rPr>
          <w:rFonts w:hint="eastAsia" w:ascii="宋体" w:hAnsi="宋体" w:eastAsia="宋体" w:cs="宋体"/>
          <w:color w:val="auto"/>
          <w:sz w:val="24"/>
          <w:szCs w:val="24"/>
          <w:highlight w:val="none"/>
        </w:rPr>
        <w:t xml:space="preserve"> </w:t>
      </w:r>
      <w:r>
        <w:rPr>
          <w:rFonts w:hint="eastAsia" w:ascii="宋体" w:hAnsi="宋体" w:eastAsia="宋体" w:cs="宋体"/>
          <w:bCs/>
          <w:color w:val="auto"/>
          <w:sz w:val="24"/>
          <w:szCs w:val="24"/>
          <w:highlight w:val="none"/>
          <w:u w:val="single"/>
        </w:rPr>
        <w:t xml:space="preserve">                                                                                      </w:t>
      </w:r>
    </w:p>
    <w:p w14:paraId="4E760E98">
      <w:pPr>
        <w:pStyle w:val="20"/>
        <w:spacing w:line="360" w:lineRule="auto"/>
        <w:ind w:left="25" w:leftChars="12" w:firstLine="472" w:firstLineChars="197"/>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u w:val="single"/>
        </w:rPr>
        <w:t xml:space="preserve">                                                                                        </w:t>
      </w:r>
    </w:p>
    <w:p w14:paraId="679305FB">
      <w:pPr>
        <w:pStyle w:val="20"/>
        <w:spacing w:line="360" w:lineRule="auto"/>
        <w:ind w:firstLine="480" w:firstLineChars="200"/>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法律依据：</w:t>
      </w:r>
      <w:r>
        <w:rPr>
          <w:rFonts w:hint="eastAsia" w:ascii="宋体" w:hAnsi="宋体" w:eastAsia="宋体" w:cs="宋体"/>
          <w:color w:val="auto"/>
          <w:sz w:val="24"/>
          <w:szCs w:val="24"/>
          <w:highlight w:val="none"/>
        </w:rPr>
        <w:t xml:space="preserve"> </w:t>
      </w:r>
      <w:r>
        <w:rPr>
          <w:rFonts w:hint="eastAsia" w:ascii="宋体" w:hAnsi="宋体" w:eastAsia="宋体" w:cs="宋体"/>
          <w:bCs/>
          <w:color w:val="auto"/>
          <w:sz w:val="24"/>
          <w:szCs w:val="24"/>
          <w:highlight w:val="none"/>
          <w:u w:val="single"/>
        </w:rPr>
        <w:t xml:space="preserve">                                                                                      </w:t>
      </w:r>
    </w:p>
    <w:p w14:paraId="5BD1AF61">
      <w:pPr>
        <w:pStyle w:val="20"/>
        <w:spacing w:line="360" w:lineRule="auto"/>
        <w:ind w:left="25" w:leftChars="12" w:firstLine="352" w:firstLineChars="147"/>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 xml:space="preserve"> </w:t>
      </w:r>
      <w:r>
        <w:rPr>
          <w:rFonts w:hint="eastAsia" w:ascii="宋体" w:hAnsi="宋体" w:eastAsia="宋体" w:cs="宋体"/>
          <w:bCs/>
          <w:color w:val="auto"/>
          <w:sz w:val="24"/>
          <w:szCs w:val="24"/>
          <w:highlight w:val="none"/>
          <w:u w:val="single"/>
        </w:rPr>
        <w:t xml:space="preserve">                                                                                        </w:t>
      </w:r>
    </w:p>
    <w:p w14:paraId="0BC9434C">
      <w:pPr>
        <w:pStyle w:val="20"/>
        <w:spacing w:line="360" w:lineRule="auto"/>
        <w:ind w:left="25" w:leftChars="12" w:firstLine="472" w:firstLineChars="197"/>
        <w:rPr>
          <w:rFonts w:hint="eastAsia" w:ascii="宋体" w:hAnsi="宋体" w:eastAsia="宋体" w:cs="宋体"/>
          <w:bCs/>
          <w:color w:val="auto"/>
          <w:sz w:val="24"/>
          <w:szCs w:val="24"/>
          <w:highlight w:val="none"/>
        </w:rPr>
      </w:pPr>
      <w:r>
        <w:rPr>
          <w:rFonts w:hint="eastAsia" w:ascii="宋体" w:hAnsi="宋体" w:eastAsia="宋体" w:cs="宋体"/>
          <w:color w:val="auto"/>
          <w:sz w:val="24"/>
          <w:szCs w:val="24"/>
          <w:highlight w:val="none"/>
        </w:rPr>
        <w:t xml:space="preserve">投诉事项2  </w:t>
      </w:r>
      <w:r>
        <w:rPr>
          <w:rFonts w:hint="eastAsia" w:ascii="宋体" w:hAnsi="宋体" w:eastAsia="宋体" w:cs="宋体"/>
          <w:bCs/>
          <w:color w:val="auto"/>
          <w:sz w:val="24"/>
          <w:szCs w:val="24"/>
          <w:highlight w:val="none"/>
        </w:rPr>
        <w:t xml:space="preserve">   </w:t>
      </w:r>
    </w:p>
    <w:p w14:paraId="70057BEC">
      <w:pPr>
        <w:pStyle w:val="20"/>
        <w:spacing w:line="360" w:lineRule="auto"/>
        <w:ind w:left="25" w:leftChars="12" w:firstLine="472" w:firstLineChars="197"/>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w:t>
      </w:r>
    </w:p>
    <w:p w14:paraId="20608DDA">
      <w:pPr>
        <w:pStyle w:val="20"/>
        <w:spacing w:line="360" w:lineRule="auto"/>
        <w:ind w:left="25" w:leftChars="12" w:firstLine="472" w:firstLineChars="196"/>
        <w:outlineLvl w:val="1"/>
        <w:rPr>
          <w:rFonts w:hint="eastAsia" w:ascii="宋体" w:hAnsi="宋体" w:eastAsia="宋体" w:cs="宋体"/>
          <w:b/>
          <w:color w:val="auto"/>
          <w:sz w:val="24"/>
          <w:szCs w:val="24"/>
          <w:highlight w:val="none"/>
        </w:rPr>
      </w:pPr>
      <w:bookmarkStart w:id="1814" w:name="_Toc1604"/>
      <w:bookmarkStart w:id="1815" w:name="_Toc31228"/>
      <w:bookmarkStart w:id="1816" w:name="_Toc21533"/>
      <w:bookmarkStart w:id="1817" w:name="_Toc8048"/>
      <w:r>
        <w:rPr>
          <w:rFonts w:hint="eastAsia" w:ascii="宋体" w:hAnsi="宋体" w:eastAsia="宋体" w:cs="宋体"/>
          <w:b/>
          <w:color w:val="auto"/>
          <w:sz w:val="24"/>
          <w:szCs w:val="24"/>
          <w:highlight w:val="none"/>
        </w:rPr>
        <w:t>五、与投诉事项相关的投诉请求：</w:t>
      </w:r>
      <w:bookmarkEnd w:id="1814"/>
      <w:bookmarkEnd w:id="1815"/>
      <w:bookmarkEnd w:id="1816"/>
      <w:bookmarkEnd w:id="1817"/>
    </w:p>
    <w:p w14:paraId="3EB8AA70">
      <w:pPr>
        <w:pStyle w:val="20"/>
        <w:spacing w:line="360" w:lineRule="auto"/>
        <w:ind w:left="25" w:leftChars="12" w:firstLine="472" w:firstLineChars="19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请求：</w:t>
      </w:r>
      <w:r>
        <w:rPr>
          <w:rFonts w:hint="eastAsia" w:ascii="宋体" w:hAnsi="宋体" w:eastAsia="宋体" w:cs="宋体"/>
          <w:bCs/>
          <w:color w:val="auto"/>
          <w:sz w:val="24"/>
          <w:szCs w:val="24"/>
          <w:highlight w:val="none"/>
          <w:u w:val="single"/>
        </w:rPr>
        <w:t xml:space="preserve">                                                                                 </w:t>
      </w:r>
    </w:p>
    <w:p w14:paraId="263CB8CD">
      <w:pPr>
        <w:pStyle w:val="2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签字（签章）：        公章：           日期：</w:t>
      </w:r>
    </w:p>
    <w:p w14:paraId="579F7D3C">
      <w:pPr>
        <w:pStyle w:val="20"/>
        <w:spacing w:line="360" w:lineRule="auto"/>
        <w:ind w:left="25" w:leftChars="12" w:firstLine="472" w:firstLineChars="197"/>
        <w:rPr>
          <w:rFonts w:hint="eastAsia" w:ascii="宋体" w:hAnsi="宋体" w:eastAsia="宋体" w:cs="宋体"/>
          <w:b/>
          <w:color w:val="auto"/>
          <w:sz w:val="24"/>
          <w:szCs w:val="24"/>
          <w:highlight w:val="none"/>
        </w:rPr>
      </w:pPr>
      <w:r>
        <w:rPr>
          <w:rFonts w:hint="eastAsia" w:ascii="宋体" w:hAnsi="宋体" w:eastAsia="宋体" w:cs="宋体"/>
          <w:bCs/>
          <w:color w:val="auto"/>
          <w:sz w:val="24"/>
          <w:szCs w:val="24"/>
          <w:highlight w:val="none"/>
        </w:rPr>
        <w:t xml:space="preserve">                                                                                 </w:t>
      </w:r>
    </w:p>
    <w:p w14:paraId="433EB53B">
      <w:pPr>
        <w:pStyle w:val="20"/>
        <w:snapToGrid w:val="0"/>
        <w:spacing w:line="360" w:lineRule="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说明：</w:t>
      </w:r>
    </w:p>
    <w:p w14:paraId="18E992CC">
      <w:pPr>
        <w:pStyle w:val="20"/>
        <w:spacing w:line="360" w:lineRule="auto"/>
        <w:ind w:left="25" w:leftChars="12" w:firstLine="354" w:firstLineChars="147"/>
        <w:rPr>
          <w:rFonts w:hint="eastAsia" w:ascii="宋体" w:hAnsi="宋体" w:eastAsia="宋体" w:cs="宋体"/>
          <w:b/>
          <w:bCs/>
          <w:color w:val="auto"/>
          <w:sz w:val="24"/>
          <w:szCs w:val="24"/>
          <w:highlight w:val="none"/>
        </w:rPr>
      </w:pPr>
      <w:r>
        <w:rPr>
          <w:rFonts w:hint="eastAsia" w:ascii="宋体" w:hAnsi="宋体" w:eastAsia="宋体" w:cs="宋体"/>
          <w:b/>
          <w:color w:val="auto"/>
          <w:sz w:val="24"/>
          <w:szCs w:val="24"/>
          <w:highlight w:val="none"/>
        </w:rPr>
        <w:t>1、投诉人提起投诉时，应当提交投诉书和必要的证明材料，并按照被投诉人和与投诉事项有关的供应商数量提供投诉书副本</w:t>
      </w:r>
      <w:r>
        <w:rPr>
          <w:rFonts w:hint="eastAsia" w:ascii="宋体" w:hAnsi="宋体" w:eastAsia="宋体" w:cs="宋体"/>
          <w:b/>
          <w:bCs/>
          <w:color w:val="auto"/>
          <w:sz w:val="24"/>
          <w:szCs w:val="24"/>
          <w:highlight w:val="none"/>
        </w:rPr>
        <w:t>。</w:t>
      </w:r>
    </w:p>
    <w:p w14:paraId="48217CB2">
      <w:pPr>
        <w:pStyle w:val="20"/>
        <w:spacing w:line="360" w:lineRule="auto"/>
        <w:ind w:left="25" w:leftChars="12" w:firstLine="354" w:firstLineChars="147"/>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402DC408">
      <w:pPr>
        <w:pStyle w:val="20"/>
        <w:spacing w:line="360" w:lineRule="auto"/>
        <w:ind w:left="25" w:leftChars="12" w:firstLine="354" w:firstLineChars="147"/>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3、投诉书应简要列明质疑事项，质疑函、质疑答复等作为附件材料提供。</w:t>
      </w:r>
    </w:p>
    <w:p w14:paraId="386B9F30">
      <w:pPr>
        <w:pStyle w:val="20"/>
        <w:spacing w:line="360" w:lineRule="auto"/>
        <w:ind w:left="25" w:leftChars="12" w:firstLine="354" w:firstLineChars="147"/>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4、投诉书的投诉事项应具体、明确，并有必要的事实依据和法律依据。</w:t>
      </w:r>
    </w:p>
    <w:p w14:paraId="58B9A195">
      <w:pPr>
        <w:pStyle w:val="20"/>
        <w:spacing w:line="360" w:lineRule="auto"/>
        <w:ind w:left="25" w:leftChars="12" w:firstLine="354" w:firstLineChars="147"/>
        <w:outlineLvl w:val="2"/>
        <w:rPr>
          <w:rFonts w:hint="eastAsia" w:ascii="宋体" w:hAnsi="宋体" w:eastAsia="宋体" w:cs="宋体"/>
          <w:b/>
          <w:color w:val="auto"/>
          <w:sz w:val="24"/>
          <w:szCs w:val="24"/>
          <w:highlight w:val="none"/>
        </w:rPr>
      </w:pPr>
      <w:bookmarkStart w:id="1818" w:name="_Toc11754"/>
      <w:bookmarkStart w:id="1819" w:name="_Toc32342"/>
      <w:bookmarkStart w:id="1820" w:name="_Toc14302"/>
      <w:bookmarkStart w:id="1821" w:name="_Toc32312"/>
      <w:r>
        <w:rPr>
          <w:rFonts w:hint="eastAsia" w:ascii="宋体" w:hAnsi="宋体" w:eastAsia="宋体" w:cs="宋体"/>
          <w:b/>
          <w:color w:val="auto"/>
          <w:sz w:val="24"/>
          <w:szCs w:val="24"/>
          <w:highlight w:val="none"/>
        </w:rPr>
        <w:t>5、投诉书的投诉请求应与投诉事项相关。</w:t>
      </w:r>
      <w:bookmarkEnd w:id="1818"/>
      <w:bookmarkEnd w:id="1819"/>
      <w:bookmarkEnd w:id="1820"/>
      <w:bookmarkEnd w:id="1821"/>
    </w:p>
    <w:p w14:paraId="6E2F2B81">
      <w:pPr>
        <w:pStyle w:val="20"/>
        <w:spacing w:line="360" w:lineRule="auto"/>
        <w:ind w:left="25" w:leftChars="12" w:firstLine="354" w:firstLineChars="147"/>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6、投诉人为法人或者其他组织的，投诉书应由法定代表人、主要负责人，或者其授权代表签字或者盖章，并加盖公章。</w:t>
      </w:r>
    </w:p>
    <w:bookmarkEnd w:id="374"/>
    <w:p w14:paraId="11C8EFA5">
      <w:pPr>
        <w:pStyle w:val="20"/>
        <w:spacing w:line="360" w:lineRule="auto"/>
        <w:rPr>
          <w:rFonts w:hint="eastAsia" w:ascii="宋体" w:hAnsi="宋体" w:eastAsia="宋体" w:cs="宋体"/>
          <w:b/>
          <w:color w:val="auto"/>
          <w:sz w:val="24"/>
          <w:szCs w:val="24"/>
          <w:highlight w:val="none"/>
        </w:rPr>
      </w:pPr>
    </w:p>
    <w:sectPr>
      <w:pgSz w:w="11906" w:h="16838"/>
      <w:pgMar w:top="1440" w:right="1080" w:bottom="1440" w:left="1080" w:header="851" w:footer="992" w:gutter="0"/>
      <w:pgNumType w:fmt="decimal"/>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moder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等线 Light">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monospace">
    <w:altName w:val="FFont-Family"/>
    <w:panose1 w:val="00000000000000000000"/>
    <w:charset w:val="00"/>
    <w:family w:val="auto"/>
    <w:pitch w:val="default"/>
    <w:sig w:usb0="00000000" w:usb1="00000000" w:usb2="00000000" w:usb3="00000000" w:csb0="00000001" w:csb1="00000000"/>
  </w:font>
  <w:font w:name="FFont-Family">
    <w:panose1 w:val="02000509000000000000"/>
    <w:charset w:val="00"/>
    <w:family w:val="auto"/>
    <w:pitch w:val="default"/>
    <w:sig w:usb0="00000001" w:usb1="00000000" w:usb2="00000000" w:usb3="00000000" w:csb0="00000001" w:csb1="00000000"/>
  </w:font>
  <w:font w:name="Tahoma">
    <w:panose1 w:val="020B0604030504040204"/>
    <w:charset w:val="00"/>
    <w:family w:val="swiss"/>
    <w:pitch w:val="default"/>
    <w:sig w:usb0="E1002EFF" w:usb1="C000605B" w:usb2="00000029" w:usb3="00000000" w:csb0="200101FF" w:csb1="20280000"/>
  </w:font>
  <w:font w:name="MingLiU">
    <w:altName w:val="PMingLiU-ExtB"/>
    <w:panose1 w:val="02010609000101010101"/>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Calibri Light">
    <w:panose1 w:val="020F0302020204030204"/>
    <w:charset w:val="00"/>
    <w:family w:val="swiss"/>
    <w:pitch w:val="default"/>
    <w:sig w:usb0="E4002EFF" w:usb1="C200247B" w:usb2="00000009" w:usb3="00000000" w:csb0="200001FF" w:csb1="00000000"/>
  </w:font>
  <w:font w:name="Arial Unicode MS">
    <w:panose1 w:val="020B0604020202020204"/>
    <w:charset w:val="86"/>
    <w:family w:val="roman"/>
    <w:pitch w:val="default"/>
    <w:sig w:usb0="FFFFFFFF" w:usb1="E9FFFFFF" w:usb2="0000003F" w:usb3="00000000" w:csb0="603F01FF" w:csb1="FFFF0000"/>
  </w:font>
  <w:font w:name="微软雅黑">
    <w:panose1 w:val="020B0503020204020204"/>
    <w:charset w:val="86"/>
    <w:family w:val="auto"/>
    <w:pitch w:val="default"/>
    <w:sig w:usb0="80000287" w:usb1="2ACF3C50" w:usb2="00000016" w:usb3="00000000" w:csb0="0004001F" w:csb1="00000000"/>
  </w:font>
  <w:font w:name="方正仿宋_GBK">
    <w:altName w:val="Arial Unicode MS"/>
    <w:panose1 w:val="02000000000000000000"/>
    <w:charset w:val="86"/>
    <w:family w:val="auto"/>
    <w:pitch w:val="default"/>
    <w:sig w:usb0="00000000" w:usb1="00000000" w:usb2="00000000" w:usb3="00000000" w:csb0="00040000" w:csb1="00000000"/>
  </w:font>
  <w:font w:name="方正小标宋简体">
    <w:altName w:val="Arial Unicode MS"/>
    <w:panose1 w:val="02000000000000000000"/>
    <w:charset w:val="86"/>
    <w:family w:val="auto"/>
    <w:pitch w:val="default"/>
    <w:sig w:usb0="00000000" w:usb1="00000000" w:usb2="00000012" w:usb3="00000000" w:csb0="00040001" w:csb1="00000000"/>
  </w:font>
  <w:font w:name="MingLiU_HKSCS">
    <w:altName w:val="PMingLiU-ExtB"/>
    <w:panose1 w:val="02020500000000000000"/>
    <w:charset w:val="88"/>
    <w:family w:val="roman"/>
    <w:pitch w:val="default"/>
    <w:sig w:usb0="00000000" w:usb1="00000000" w:usb2="00000016" w:usb3="00000000" w:csb0="00100001" w:csb1="00000000"/>
  </w:font>
  <w:font w:name="KSOF45024875">
    <w:panose1 w:val="02020500000000000000"/>
    <w:charset w:val="88"/>
    <w:family w:val="auto"/>
    <w:pitch w:val="default"/>
    <w:sig w:usb0="00000001" w:usb1="00000000" w:usb2="00000000" w:usb3="00000000" w:csb0="00100001" w:csb1="00000000"/>
  </w:font>
  <w:font w:name="KSOFE44F9426">
    <w:panose1 w:val="02010609060101010101"/>
    <w:charset w:val="86"/>
    <w:family w:val="auto"/>
    <w:pitch w:val="default"/>
    <w:sig w:usb0="00000001" w:usb1="00000000" w:usb2="00000000" w:usb3="00000000" w:csb0="00040001" w:csb1="00000000"/>
  </w:font>
  <w:font w:name="Microsoft YaHei UI">
    <w:panose1 w:val="020B0503020204020204"/>
    <w:charset w:val="86"/>
    <w:family w:val="auto"/>
    <w:pitch w:val="default"/>
    <w:sig w:usb0="80000287" w:usb1="2ACF3C50" w:usb2="00000016" w:usb3="00000000" w:csb0="0004001F" w:csb1="00000000"/>
  </w:font>
  <w:font w:name="KSOFF9CBECC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209B09">
    <w:pPr>
      <w:pStyle w:val="23"/>
      <w:tabs>
        <w:tab w:val="center" w:pos="4439"/>
        <w:tab w:val="clear" w:pos="4153"/>
      </w:tabs>
      <w:jc w:val="both"/>
    </w:pPr>
  </w:p>
  <w:p w14:paraId="110B9B1D">
    <w:pPr>
      <w:pStyle w:val="23"/>
      <w:tabs>
        <w:tab w:val="left" w:pos="7950"/>
        <w:tab w:val="clear" w:pos="4153"/>
        <w:tab w:val="clear" w:pos="8306"/>
      </w:tabs>
      <w:ind w:right="360"/>
      <w:jc w:val="right"/>
      <w:rPr>
        <w:rFonts w:hint="eastAsia" w:ascii="仿宋" w:hAnsi="仿宋" w:eastAsia="仿宋" w:cs="仿宋"/>
        <w:lang w:eastAsia="zh-CN"/>
      </w:rPr>
    </w:pPr>
    <w:r>
      <w:rPr>
        <w:rFonts w:hint="eastAsia" w:ascii="仿宋" w:hAnsi="仿宋" w:eastAsia="仿宋" w:cs="仿宋"/>
        <w:lang w:eastAsia="zh-CN"/>
      </w:rPr>
      <w:t>中奋工程设计咨询有限公司</w:t>
    </w:r>
  </w:p>
  <w:p w14:paraId="0AA1E545">
    <w:pPr>
      <w:pStyle w:val="2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CAAFB7">
    <w:pPr>
      <w:pStyle w:val="23"/>
      <w:tabs>
        <w:tab w:val="center" w:pos="4439"/>
        <w:tab w:val="clear" w:pos="4153"/>
      </w:tabs>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51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4A7AA79"/>
                      </w:txbxContent>
                    </wps:txbx>
                    <wps:bodyPr wrap="none" lIns="0" tIns="0" rIns="0" bIns="0" upright="1">
                      <a:spAutoFit/>
                    </wps:bodyPr>
                  </wps:wsp>
                </a:graphicData>
              </a:graphic>
            </wp:anchor>
          </w:drawing>
        </mc:Choice>
        <mc:Fallback>
          <w:pict>
            <v:shape id="文本框 5124"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VboTp8sBAACcAwAADgAAAGRycy9lMm9Eb2MueG1srVPNjtMwEL4j8Q6W&#10;79RptaAqaroCVYuQECAtPIDr2I0l/8njNukLwBtw4sKd5+pzMHaSLiyXPXBxxjPjb75vZrK5Hawh&#10;JxlBe9fQ5aKiRDrhW+0ODf3y+e7FmhJI3LXceCcbepZAb7fPn236UMuV77xpZSQI4qDuQ0O7lELN&#10;GIhOWg4LH6TDoPLR8oTXeGBt5D2iW8NWVfWK9T62IXohAdC7G4N0QoxPAfRKaSF3XhytdGlEjdLw&#10;hJKg0wHotrBVSor0USmQiZiGotJUTiyC9j6fbLvh9SHy0GkxUeBPofBIk+XaYdEr1I4nTo5R/wNl&#10;tYgevEoL4S0bhZSOoIpl9ag39x0PsmjBVkO4Nh3+H6z4cPoUiW4bekOJ4xYHfvn+7fLj1+XnV/Jy&#10;ubrJHeoD1Jh4HzA1DW/8gHsz+wGdWfigos1flEQwjv09X/srh0REfrRerdcVhgTG5gvis4fnIUJ6&#10;K70l2WhoxAGWvvLTe0hj6pySqzl/p40pQzTuLwdiZg/L3EeO2UrDfpgE7X17Rj09zr6hDledEvPO&#10;YWvzmsxGnI39bBxD1IcOqS0LLwivjwlJFG65wgg7FcahFXXTguWt+PNesh5+qu1v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FW6E6fLAQAAnAMAAA4AAAAAAAAAAQAgAAAAHgEAAGRycy9lMm9E&#10;b2MueG1sUEsFBgAAAAAGAAYAWQEAAFsFAAAAAA==&#10;">
              <v:fill on="f" focussize="0,0"/>
              <v:stroke on="f"/>
              <v:imagedata o:title=""/>
              <o:lock v:ext="edit" aspectratio="f"/>
              <v:textbox inset="0mm,0mm,0mm,0mm" style="mso-fit-shape-to-text:t;">
                <w:txbxContent>
                  <w:p w14:paraId="24A7AA79"/>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5E7055">
    <w:pPr>
      <w:pStyle w:val="23"/>
      <w:tabs>
        <w:tab w:val="center" w:pos="4439"/>
        <w:tab w:val="clear" w:pos="4153"/>
      </w:tabs>
      <w:jc w:val="both"/>
    </w:pPr>
  </w:p>
  <w:p w14:paraId="4A809AC4">
    <w:pPr>
      <w:pStyle w:val="23"/>
      <w:tabs>
        <w:tab w:val="left" w:pos="7950"/>
        <w:tab w:val="clear" w:pos="4153"/>
        <w:tab w:val="clear" w:pos="8306"/>
      </w:tabs>
      <w:ind w:right="360"/>
      <w:jc w:val="right"/>
      <w:rPr>
        <w:rFonts w:hint="eastAsia" w:ascii="仿宋" w:hAnsi="仿宋" w:eastAsia="仿宋" w:cs="仿宋"/>
        <w:lang w:eastAsia="zh-CN"/>
      </w:rPr>
    </w:pPr>
    <w:r>
      <w:rPr>
        <w:rFonts w:hint="eastAsia" w:ascii="仿宋" w:hAnsi="仿宋" w:eastAsia="仿宋" w:cs="仿宋"/>
        <w:lang w:eastAsia="zh-CN"/>
      </w:rPr>
      <w:t>中奋工程设计咨询有限公司</w:t>
    </w:r>
  </w:p>
  <w:p w14:paraId="03B3F101">
    <w:pPr>
      <w:pStyle w:val="23"/>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0B3D0E">
    <w:pPr>
      <w:pStyle w:val="23"/>
      <w:tabs>
        <w:tab w:val="center" w:pos="4439"/>
        <w:tab w:val="clear" w:pos="4153"/>
      </w:tabs>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1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F69C52F"/>
                      </w:txbxContent>
                    </wps:txbx>
                    <wps:bodyPr wrap="none" lIns="0" tIns="0" rIns="0" bIns="0" upright="1">
                      <a:spAutoFit/>
                    </wps:bodyPr>
                  </wps:wsp>
                </a:graphicData>
              </a:graphic>
            </wp:anchor>
          </w:drawing>
        </mc:Choice>
        <mc:Fallback>
          <w:pict>
            <v:shape id="文本框 5127"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T0uJ8sBAACcAwAADgAAAGRycy9lMm9Eb2MueG1srVPNjtMwEL4j8Q6W&#10;79RppYUqaroCVYuQECAtPIDr2I0l/8njNukLwBtw4sKd5+pzMHaSLiyXPXBxxjPjb75vZrK5Hawh&#10;JxlBe9fQ5aKiRDrhW+0ODf3y+e7FmhJI3LXceCcbepZAb7fPn236UMuV77xpZSQI4qDuQ0O7lELN&#10;GIhOWg4LH6TDoPLR8oTXeGBt5D2iW8NWVfWS9T62IXohAdC7G4N0QoxPAfRKaSF3XhytdGlEjdLw&#10;hJKg0wHotrBVSor0USmQiZiGotJUTiyC9j6fbLvh9SHy0GkxUeBPofBIk+XaYdEr1I4nTo5R/wNl&#10;tYgevEoL4S0bhZSOoIpl9ag39x0PsmjBVkO4Nh3+H6z4cPoUiW4bekOJ4xYHfvn+7fLj1+XnV3Kz&#10;XL3KHeoD1Jh4HzA1DW/8gHsz+wGdWfigos1flEQwjv09X/srh0REfrRerdcVhgTG5gvis4fnIUJ6&#10;K70l2WhoxAGWvvLTe0hj6pySqzl/p40pQzTuLwdiZg/L3EeO2UrDfpgE7X17Rj09zr6hDledEvPO&#10;YWvzmsxGnI39bBxD1IcOqS0LLwivjwlJFG65wgg7FcahFXXTguWt+PNesh5+qu1v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J09LifLAQAAnAMAAA4AAAAAAAAAAQAgAAAAHgEAAGRycy9lMm9E&#10;b2MueG1sUEsFBgAAAAAGAAYAWQEAAFsFAAAAAA==&#10;">
              <v:fill on="f" focussize="0,0"/>
              <v:stroke on="f"/>
              <v:imagedata o:title=""/>
              <o:lock v:ext="edit" aspectratio="f"/>
              <v:textbox inset="0mm,0mm,0mm,0mm" style="mso-fit-shape-to-text:t;">
                <w:txbxContent>
                  <w:p w14:paraId="1F69C52F"/>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FC6C6C">
    <w:pPr>
      <w:pStyle w:val="23"/>
      <w:tabs>
        <w:tab w:val="center" w:pos="4439"/>
        <w:tab w:val="clear" w:pos="4153"/>
      </w:tabs>
      <w:jc w:val="both"/>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60788BD">
                          <w:pPr>
                            <w:pStyle w:val="2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460788BD">
                    <w:pPr>
                      <w:pStyle w:val="2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8DA77B">
    <w:pPr>
      <w:snapToGrid w:val="0"/>
      <w:jc w:val="center"/>
      <w:rPr>
        <w:rFonts w:ascii="Times New Roman" w:hAnsi="Times New Roman"/>
        <w:kern w:val="0"/>
        <w:sz w:val="18"/>
        <w:szCs w:val="18"/>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6ADF9C2">
                          <w:pPr>
                            <w:pStyle w:val="23"/>
                          </w:pPr>
                          <w:r>
                            <w:fldChar w:fldCharType="begin"/>
                          </w:r>
                          <w:r>
                            <w:instrText xml:space="preserve"> PAGE  \* MERGEFORMAT </w:instrText>
                          </w:r>
                          <w:r>
                            <w:fldChar w:fldCharType="separate"/>
                          </w:r>
                          <w:r>
                            <w:t>56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26ADF9C2">
                    <w:pPr>
                      <w:pStyle w:val="23"/>
                    </w:pPr>
                    <w:r>
                      <w:fldChar w:fldCharType="begin"/>
                    </w:r>
                    <w:r>
                      <w:instrText xml:space="preserve"> PAGE  \* MERGEFORMAT </w:instrText>
                    </w:r>
                    <w:r>
                      <w:fldChar w:fldCharType="separate"/>
                    </w:r>
                    <w:r>
                      <w:t>56</w:t>
                    </w:r>
                    <w:r>
                      <w:fldChar w:fldCharType="end"/>
                    </w:r>
                  </w:p>
                </w:txbxContent>
              </v:textbox>
            </v:shape>
          </w:pict>
        </mc:Fallback>
      </mc:AlternateContent>
    </w:r>
  </w:p>
  <w:p w14:paraId="0E9451AC">
    <w:pPr>
      <w:snapToGrid w:val="0"/>
      <w:jc w:val="left"/>
      <w:rPr>
        <w:rFonts w:ascii="Times New Roman" w:hAnsi="Times New Roman"/>
        <w:kern w:val="0"/>
        <w:sz w:val="18"/>
        <w:szCs w:val="18"/>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5D1E68">
    <w:pPr>
      <w:pStyle w:val="23"/>
      <w:jc w:val="cente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B54E58C">
                          <w:pPr>
                            <w:pStyle w:val="23"/>
                          </w:pPr>
                          <w:r>
                            <w:fldChar w:fldCharType="begin"/>
                          </w:r>
                          <w:r>
                            <w:instrText xml:space="preserve"> PAGE  \* MERGEFORMAT </w:instrText>
                          </w:r>
                          <w:r>
                            <w:fldChar w:fldCharType="separate"/>
                          </w:r>
                          <w:r>
                            <w:t>74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0B54E58C">
                    <w:pPr>
                      <w:pStyle w:val="23"/>
                    </w:pPr>
                    <w:r>
                      <w:fldChar w:fldCharType="begin"/>
                    </w:r>
                    <w:r>
                      <w:instrText xml:space="preserve"> PAGE  \* MERGEFORMAT </w:instrText>
                    </w:r>
                    <w:r>
                      <w:fldChar w:fldCharType="separate"/>
                    </w:r>
                    <w:r>
                      <w:t>74</w:t>
                    </w:r>
                    <w:r>
                      <w:fldChar w:fldCharType="end"/>
                    </w:r>
                  </w:p>
                </w:txbxContent>
              </v:textbox>
            </v:shape>
          </w:pict>
        </mc:Fallback>
      </mc:AlternateContent>
    </w:r>
  </w:p>
  <w:p w14:paraId="075A31B3">
    <w:pPr>
      <w:pStyle w:val="23"/>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C2DEC4">
    <w:pPr>
      <w:pStyle w:val="23"/>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DC9ADED">
                          <w:pPr>
                            <w:pStyle w:val="23"/>
                          </w:pPr>
                          <w:r>
                            <w:fldChar w:fldCharType="begin"/>
                          </w:r>
                          <w:r>
                            <w:instrText xml:space="preserve"> PAGE  \* MERGEFORMAT </w:instrText>
                          </w:r>
                          <w:r>
                            <w:fldChar w:fldCharType="separate"/>
                          </w:r>
                          <w:r>
                            <w:t>72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14:paraId="0DC9ADED">
                    <w:pPr>
                      <w:pStyle w:val="23"/>
                    </w:pPr>
                    <w:r>
                      <w:fldChar w:fldCharType="begin"/>
                    </w:r>
                    <w:r>
                      <w:instrText xml:space="preserve"> PAGE  \* MERGEFORMAT </w:instrText>
                    </w:r>
                    <w:r>
                      <w:fldChar w:fldCharType="separate"/>
                    </w:r>
                    <w:r>
                      <w:t>72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185CC0">
    <w:pPr>
      <w:pStyle w:val="24"/>
      <w:pBdr>
        <w:bottom w:val="none" w:color="auto" w:sz="0" w:space="0"/>
      </w:pBdr>
      <w:jc w:val="lef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673AB5">
    <w:pPr>
      <w:pStyle w:val="24"/>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D882A3"/>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D95F05">
    <w:pPr>
      <w:pStyle w:val="24"/>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5F64B7E"/>
    <w:multiLevelType w:val="singleLevel"/>
    <w:tmpl w:val="B5F64B7E"/>
    <w:lvl w:ilvl="0" w:tentative="0">
      <w:start w:val="1"/>
      <w:numFmt w:val="decimal"/>
      <w:suff w:val="nothing"/>
      <w:lvlText w:val="（%1）"/>
      <w:lvlJc w:val="left"/>
    </w:lvl>
  </w:abstractNum>
  <w:abstractNum w:abstractNumId="1">
    <w:nsid w:val="C5275357"/>
    <w:multiLevelType w:val="singleLevel"/>
    <w:tmpl w:val="C5275357"/>
    <w:lvl w:ilvl="0" w:tentative="0">
      <w:start w:val="4"/>
      <w:numFmt w:val="decimal"/>
      <w:suff w:val="nothing"/>
      <w:lvlText w:val="（%1）"/>
      <w:lvlJc w:val="left"/>
    </w:lvl>
  </w:abstractNum>
  <w:abstractNum w:abstractNumId="2">
    <w:nsid w:val="00000003"/>
    <w:multiLevelType w:val="multilevel"/>
    <w:tmpl w:val="00000003"/>
    <w:lvl w:ilvl="0" w:tentative="0">
      <w:start w:val="1"/>
      <w:numFmt w:val="decimal"/>
      <w:lvlText w:val="（%1）"/>
      <w:lvlJc w:val="left"/>
      <w:pPr>
        <w:tabs>
          <w:tab w:val="left" w:pos="1140"/>
        </w:tabs>
        <w:ind w:left="1140" w:hanging="720"/>
      </w:p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3">
    <w:nsid w:val="0000000B"/>
    <w:multiLevelType w:val="multilevel"/>
    <w:tmpl w:val="0000000B"/>
    <w:lvl w:ilvl="0" w:tentative="0">
      <w:start w:val="1"/>
      <w:numFmt w:val="decimal"/>
      <w:lvlText w:val="（%1）"/>
      <w:lvlJc w:val="left"/>
      <w:pPr>
        <w:tabs>
          <w:tab w:val="left" w:pos="1140"/>
        </w:tabs>
        <w:ind w:left="1140" w:hanging="720"/>
      </w:pPr>
      <w:rPr>
        <w:rFonts w:ascii="宋体" w:hAnsi="宋体" w:eastAsia="宋体" w:cs="Times New Roman"/>
      </w:r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4">
    <w:nsid w:val="4B4A6DA8"/>
    <w:multiLevelType w:val="singleLevel"/>
    <w:tmpl w:val="4B4A6DA8"/>
    <w:lvl w:ilvl="0" w:tentative="0">
      <w:start w:val="1"/>
      <w:numFmt w:val="chineseCounting"/>
      <w:suff w:val="nothing"/>
      <w:lvlText w:val="%1、"/>
      <w:lvlJc w:val="left"/>
      <w:rPr>
        <w:rFonts w:hint="eastAsia"/>
      </w:rPr>
    </w:lvl>
  </w:abstractNum>
  <w:abstractNum w:abstractNumId="5">
    <w:nsid w:val="4E52D797"/>
    <w:multiLevelType w:val="singleLevel"/>
    <w:tmpl w:val="4E52D797"/>
    <w:lvl w:ilvl="0" w:tentative="0">
      <w:start w:val="1"/>
      <w:numFmt w:val="decimal"/>
      <w:suff w:val="space"/>
      <w:lvlText w:val="%1."/>
      <w:lvlJc w:val="left"/>
    </w:lvl>
  </w:abstractNum>
  <w:abstractNum w:abstractNumId="6">
    <w:nsid w:val="6EDD6596"/>
    <w:multiLevelType w:val="singleLevel"/>
    <w:tmpl w:val="6EDD6596"/>
    <w:lvl w:ilvl="0" w:tentative="0">
      <w:start w:val="1"/>
      <w:numFmt w:val="decimal"/>
      <w:suff w:val="space"/>
      <w:lvlText w:val="%1."/>
      <w:lvlJc w:val="left"/>
    </w:lvl>
  </w:abstractNum>
  <w:abstractNum w:abstractNumId="7">
    <w:nsid w:val="6EDD6597"/>
    <w:multiLevelType w:val="singleLevel"/>
    <w:tmpl w:val="6EDD6597"/>
    <w:lvl w:ilvl="0" w:tentative="0">
      <w:start w:val="1"/>
      <w:numFmt w:val="decimal"/>
      <w:suff w:val="space"/>
      <w:lvlText w:val="%1."/>
      <w:lvlJc w:val="left"/>
    </w:lvl>
  </w:abstractNum>
  <w:num w:numId="1">
    <w:abstractNumId w:val="4"/>
  </w:num>
  <w:num w:numId="2">
    <w:abstractNumId w:val="6"/>
  </w:num>
  <w:num w:numId="3">
    <w:abstractNumId w:val="5"/>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0"/>
  </w:num>
  <w:num w:numId="8">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法审部">
    <w15:presenceInfo w15:providerId="WPS Office" w15:userId="94222794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noLineBreaksAfter w:lang="zh-CN" w:val="$([{£¥·‘“〈《「『【〔〖〝﹙﹛﹝＄（．［｛￡￥"/>
  <w:noLineBreaksBefore w:lang="zh-CN" w:val="!%),.:;&gt;?]}¢¨°·ˇˉ―‖’”…‰′″›℃∶、。〃〉》」』】〕〗〞︶︺︾﹀﹄﹚﹜﹞！＂％＇），．：；？］｀｜｝～￠"/>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M4NDQxN2NiZDI4NWFjOTVlYjFlNjA2ZTEzMjAxYjIifQ=="/>
  </w:docVars>
  <w:rsids>
    <w:rsidRoot w:val="004833EC"/>
    <w:rsid w:val="002121CB"/>
    <w:rsid w:val="004833EC"/>
    <w:rsid w:val="005835CE"/>
    <w:rsid w:val="006911F9"/>
    <w:rsid w:val="006B5F6E"/>
    <w:rsid w:val="006D3562"/>
    <w:rsid w:val="00720789"/>
    <w:rsid w:val="00761AE0"/>
    <w:rsid w:val="00885B23"/>
    <w:rsid w:val="008C757A"/>
    <w:rsid w:val="00902C2A"/>
    <w:rsid w:val="00B22D12"/>
    <w:rsid w:val="00BC57CD"/>
    <w:rsid w:val="00C36B5B"/>
    <w:rsid w:val="00D366B0"/>
    <w:rsid w:val="00DC000C"/>
    <w:rsid w:val="00E17DE8"/>
    <w:rsid w:val="00ED3867"/>
    <w:rsid w:val="00F06358"/>
    <w:rsid w:val="00F907CF"/>
    <w:rsid w:val="01056986"/>
    <w:rsid w:val="01093411"/>
    <w:rsid w:val="010D45F7"/>
    <w:rsid w:val="012F15B0"/>
    <w:rsid w:val="013C690E"/>
    <w:rsid w:val="013D6A06"/>
    <w:rsid w:val="0159126E"/>
    <w:rsid w:val="015B5706"/>
    <w:rsid w:val="01675739"/>
    <w:rsid w:val="01B315B0"/>
    <w:rsid w:val="01C45B96"/>
    <w:rsid w:val="01EB73E4"/>
    <w:rsid w:val="02301FCF"/>
    <w:rsid w:val="023779A0"/>
    <w:rsid w:val="023C4E17"/>
    <w:rsid w:val="024535A0"/>
    <w:rsid w:val="024C2B81"/>
    <w:rsid w:val="02647ECA"/>
    <w:rsid w:val="027F6AB2"/>
    <w:rsid w:val="0292262A"/>
    <w:rsid w:val="03042099"/>
    <w:rsid w:val="035B0AFC"/>
    <w:rsid w:val="03917FAE"/>
    <w:rsid w:val="03BA0712"/>
    <w:rsid w:val="040A04C6"/>
    <w:rsid w:val="04172E3F"/>
    <w:rsid w:val="04704ED4"/>
    <w:rsid w:val="047B1E1C"/>
    <w:rsid w:val="048E122E"/>
    <w:rsid w:val="048E7480"/>
    <w:rsid w:val="049D062D"/>
    <w:rsid w:val="04B47762"/>
    <w:rsid w:val="04FA0A6E"/>
    <w:rsid w:val="050B0AD1"/>
    <w:rsid w:val="05355B4E"/>
    <w:rsid w:val="05571AD9"/>
    <w:rsid w:val="05640084"/>
    <w:rsid w:val="057B5C57"/>
    <w:rsid w:val="05832D5D"/>
    <w:rsid w:val="06510766"/>
    <w:rsid w:val="0653264B"/>
    <w:rsid w:val="067F1A65"/>
    <w:rsid w:val="06BA7D75"/>
    <w:rsid w:val="06EF520E"/>
    <w:rsid w:val="071D5B1A"/>
    <w:rsid w:val="07205EF4"/>
    <w:rsid w:val="0726409C"/>
    <w:rsid w:val="07524795"/>
    <w:rsid w:val="07596714"/>
    <w:rsid w:val="078D3A1F"/>
    <w:rsid w:val="07BC47C1"/>
    <w:rsid w:val="07BF4184"/>
    <w:rsid w:val="07CA6A21"/>
    <w:rsid w:val="07CF32A0"/>
    <w:rsid w:val="07F910B5"/>
    <w:rsid w:val="08404F36"/>
    <w:rsid w:val="085F347D"/>
    <w:rsid w:val="08633196"/>
    <w:rsid w:val="08676BB2"/>
    <w:rsid w:val="08882ED4"/>
    <w:rsid w:val="088D61CB"/>
    <w:rsid w:val="08E41D65"/>
    <w:rsid w:val="092B2994"/>
    <w:rsid w:val="09B4321D"/>
    <w:rsid w:val="09C056E8"/>
    <w:rsid w:val="09C53944"/>
    <w:rsid w:val="09C93433"/>
    <w:rsid w:val="09E33DCA"/>
    <w:rsid w:val="0A140428"/>
    <w:rsid w:val="0A1F4022"/>
    <w:rsid w:val="0A67326B"/>
    <w:rsid w:val="0A717628"/>
    <w:rsid w:val="0A7268CE"/>
    <w:rsid w:val="0A7B04A7"/>
    <w:rsid w:val="0AB47515"/>
    <w:rsid w:val="0ABD0ABF"/>
    <w:rsid w:val="0AFA0F60"/>
    <w:rsid w:val="0AFA5870"/>
    <w:rsid w:val="0B2B0285"/>
    <w:rsid w:val="0B2B3C7B"/>
    <w:rsid w:val="0B704D31"/>
    <w:rsid w:val="0BAB6B6A"/>
    <w:rsid w:val="0BCA6FEF"/>
    <w:rsid w:val="0C1071DD"/>
    <w:rsid w:val="0C4D0A43"/>
    <w:rsid w:val="0C6956D5"/>
    <w:rsid w:val="0C8A2C23"/>
    <w:rsid w:val="0CAD246E"/>
    <w:rsid w:val="0CC41D3E"/>
    <w:rsid w:val="0CCF6888"/>
    <w:rsid w:val="0CE82647"/>
    <w:rsid w:val="0D0471EE"/>
    <w:rsid w:val="0D0E20A0"/>
    <w:rsid w:val="0D2C5A88"/>
    <w:rsid w:val="0D4252AC"/>
    <w:rsid w:val="0D837A88"/>
    <w:rsid w:val="0D8E16C8"/>
    <w:rsid w:val="0DDF0D4D"/>
    <w:rsid w:val="0E243C9E"/>
    <w:rsid w:val="0E337F07"/>
    <w:rsid w:val="0E5526C6"/>
    <w:rsid w:val="0E611762"/>
    <w:rsid w:val="0E712D37"/>
    <w:rsid w:val="0E8D2557"/>
    <w:rsid w:val="0E953412"/>
    <w:rsid w:val="0EAD2B79"/>
    <w:rsid w:val="0F0536D8"/>
    <w:rsid w:val="0F350BF7"/>
    <w:rsid w:val="0F3C1993"/>
    <w:rsid w:val="0F5567CD"/>
    <w:rsid w:val="0FA60D76"/>
    <w:rsid w:val="100B5E29"/>
    <w:rsid w:val="101744CC"/>
    <w:rsid w:val="101822F4"/>
    <w:rsid w:val="10196798"/>
    <w:rsid w:val="101F318F"/>
    <w:rsid w:val="10240C99"/>
    <w:rsid w:val="103D4D65"/>
    <w:rsid w:val="10482BD9"/>
    <w:rsid w:val="107439CE"/>
    <w:rsid w:val="10CB1491"/>
    <w:rsid w:val="110F2AEF"/>
    <w:rsid w:val="11310148"/>
    <w:rsid w:val="11494E5B"/>
    <w:rsid w:val="114D1BF3"/>
    <w:rsid w:val="116E48C1"/>
    <w:rsid w:val="11701C78"/>
    <w:rsid w:val="11B76268"/>
    <w:rsid w:val="11DA0753"/>
    <w:rsid w:val="11E75F35"/>
    <w:rsid w:val="11F61AB8"/>
    <w:rsid w:val="121975B3"/>
    <w:rsid w:val="12635AA8"/>
    <w:rsid w:val="12B427A8"/>
    <w:rsid w:val="13070B2A"/>
    <w:rsid w:val="132474B0"/>
    <w:rsid w:val="132C5520"/>
    <w:rsid w:val="135E3A49"/>
    <w:rsid w:val="13710996"/>
    <w:rsid w:val="1379543F"/>
    <w:rsid w:val="13C46A1B"/>
    <w:rsid w:val="13CE7BC9"/>
    <w:rsid w:val="13DC09BF"/>
    <w:rsid w:val="13E363AF"/>
    <w:rsid w:val="140C434C"/>
    <w:rsid w:val="142479E7"/>
    <w:rsid w:val="145D47C2"/>
    <w:rsid w:val="14983A03"/>
    <w:rsid w:val="149A3C1F"/>
    <w:rsid w:val="14B24AC5"/>
    <w:rsid w:val="14C3448E"/>
    <w:rsid w:val="150F5245"/>
    <w:rsid w:val="15144087"/>
    <w:rsid w:val="15534DA4"/>
    <w:rsid w:val="1582093B"/>
    <w:rsid w:val="158E5532"/>
    <w:rsid w:val="15A675CA"/>
    <w:rsid w:val="15BB5BFB"/>
    <w:rsid w:val="15BD7BC5"/>
    <w:rsid w:val="15C73125"/>
    <w:rsid w:val="15CF16A7"/>
    <w:rsid w:val="15FA3081"/>
    <w:rsid w:val="16046D17"/>
    <w:rsid w:val="1628237A"/>
    <w:rsid w:val="16400D77"/>
    <w:rsid w:val="16562802"/>
    <w:rsid w:val="166E3C8B"/>
    <w:rsid w:val="16D231FD"/>
    <w:rsid w:val="16D24FDB"/>
    <w:rsid w:val="16DA3A46"/>
    <w:rsid w:val="175C1B2E"/>
    <w:rsid w:val="17820514"/>
    <w:rsid w:val="179764FD"/>
    <w:rsid w:val="17AD48C1"/>
    <w:rsid w:val="18185587"/>
    <w:rsid w:val="18297794"/>
    <w:rsid w:val="18340100"/>
    <w:rsid w:val="18342817"/>
    <w:rsid w:val="1847137D"/>
    <w:rsid w:val="188D1AD1"/>
    <w:rsid w:val="18A22FE3"/>
    <w:rsid w:val="18C5693E"/>
    <w:rsid w:val="18F71499"/>
    <w:rsid w:val="19235F91"/>
    <w:rsid w:val="192D6E10"/>
    <w:rsid w:val="194F6D87"/>
    <w:rsid w:val="198527A8"/>
    <w:rsid w:val="19936A82"/>
    <w:rsid w:val="19AF3CC9"/>
    <w:rsid w:val="19CC5697"/>
    <w:rsid w:val="19ED0C23"/>
    <w:rsid w:val="19F94F44"/>
    <w:rsid w:val="1A0D279E"/>
    <w:rsid w:val="1A512FD2"/>
    <w:rsid w:val="1A9162D4"/>
    <w:rsid w:val="1A9D6217"/>
    <w:rsid w:val="1B2455A4"/>
    <w:rsid w:val="1B634D6B"/>
    <w:rsid w:val="1B9413C8"/>
    <w:rsid w:val="1BA114EA"/>
    <w:rsid w:val="1BB16C4F"/>
    <w:rsid w:val="1BE532A6"/>
    <w:rsid w:val="1BF861B1"/>
    <w:rsid w:val="1C057D3B"/>
    <w:rsid w:val="1C0C12DF"/>
    <w:rsid w:val="1C0F16B9"/>
    <w:rsid w:val="1C164643"/>
    <w:rsid w:val="1C345CE7"/>
    <w:rsid w:val="1C517CFB"/>
    <w:rsid w:val="1C520276"/>
    <w:rsid w:val="1C967A9D"/>
    <w:rsid w:val="1CAC3E56"/>
    <w:rsid w:val="1D3D339A"/>
    <w:rsid w:val="1D4806BC"/>
    <w:rsid w:val="1D6152DA"/>
    <w:rsid w:val="1D651755"/>
    <w:rsid w:val="1D6975D8"/>
    <w:rsid w:val="1D6D3C7F"/>
    <w:rsid w:val="1D8E02D3"/>
    <w:rsid w:val="1D967817"/>
    <w:rsid w:val="1DD85AE6"/>
    <w:rsid w:val="1DE751FE"/>
    <w:rsid w:val="1E216D4D"/>
    <w:rsid w:val="1E2C4C88"/>
    <w:rsid w:val="1E391DB3"/>
    <w:rsid w:val="1E3D247C"/>
    <w:rsid w:val="1E450758"/>
    <w:rsid w:val="1E8229D7"/>
    <w:rsid w:val="1EBA1146"/>
    <w:rsid w:val="1EBE4E7B"/>
    <w:rsid w:val="1EDB10BC"/>
    <w:rsid w:val="1F1D3483"/>
    <w:rsid w:val="1F1E30AE"/>
    <w:rsid w:val="1F2A5B79"/>
    <w:rsid w:val="1F4B39FE"/>
    <w:rsid w:val="1F55541E"/>
    <w:rsid w:val="1F9F033C"/>
    <w:rsid w:val="1FA83694"/>
    <w:rsid w:val="1FCA4426"/>
    <w:rsid w:val="1FED1878"/>
    <w:rsid w:val="1FED72F9"/>
    <w:rsid w:val="2014042F"/>
    <w:rsid w:val="205B0707"/>
    <w:rsid w:val="20C932CD"/>
    <w:rsid w:val="20ED1901"/>
    <w:rsid w:val="21464F13"/>
    <w:rsid w:val="215108BD"/>
    <w:rsid w:val="2168459A"/>
    <w:rsid w:val="21B87493"/>
    <w:rsid w:val="21C36564"/>
    <w:rsid w:val="21F1596D"/>
    <w:rsid w:val="221244A3"/>
    <w:rsid w:val="22124DF5"/>
    <w:rsid w:val="22485C15"/>
    <w:rsid w:val="225278E7"/>
    <w:rsid w:val="227D2612"/>
    <w:rsid w:val="229C1498"/>
    <w:rsid w:val="22B1735A"/>
    <w:rsid w:val="22B97967"/>
    <w:rsid w:val="22C30F5F"/>
    <w:rsid w:val="22C5630B"/>
    <w:rsid w:val="22D016FD"/>
    <w:rsid w:val="22D63F2D"/>
    <w:rsid w:val="237869FA"/>
    <w:rsid w:val="23BB5E5B"/>
    <w:rsid w:val="23CB5BA3"/>
    <w:rsid w:val="23CD068F"/>
    <w:rsid w:val="23E26A49"/>
    <w:rsid w:val="240D3609"/>
    <w:rsid w:val="2435301D"/>
    <w:rsid w:val="24417C14"/>
    <w:rsid w:val="245412B8"/>
    <w:rsid w:val="246851A0"/>
    <w:rsid w:val="24861ACA"/>
    <w:rsid w:val="249D12EE"/>
    <w:rsid w:val="24AC077F"/>
    <w:rsid w:val="24AF1021"/>
    <w:rsid w:val="24B93C4E"/>
    <w:rsid w:val="24C10B1D"/>
    <w:rsid w:val="24CF7CB3"/>
    <w:rsid w:val="24D30950"/>
    <w:rsid w:val="24DF58C6"/>
    <w:rsid w:val="25101ACE"/>
    <w:rsid w:val="252D466B"/>
    <w:rsid w:val="253D487F"/>
    <w:rsid w:val="257A09C6"/>
    <w:rsid w:val="257F6C45"/>
    <w:rsid w:val="259A6D58"/>
    <w:rsid w:val="25FD569C"/>
    <w:rsid w:val="262B0B7B"/>
    <w:rsid w:val="263D7B18"/>
    <w:rsid w:val="26CD578F"/>
    <w:rsid w:val="26F10C50"/>
    <w:rsid w:val="27210587"/>
    <w:rsid w:val="27211C22"/>
    <w:rsid w:val="273D01B7"/>
    <w:rsid w:val="2742607D"/>
    <w:rsid w:val="27904864"/>
    <w:rsid w:val="27AF0F7C"/>
    <w:rsid w:val="27B626C7"/>
    <w:rsid w:val="27C2048D"/>
    <w:rsid w:val="28057800"/>
    <w:rsid w:val="28277FF0"/>
    <w:rsid w:val="284A035B"/>
    <w:rsid w:val="288179AD"/>
    <w:rsid w:val="28A87750"/>
    <w:rsid w:val="28B766F6"/>
    <w:rsid w:val="28C506D6"/>
    <w:rsid w:val="28D10B3C"/>
    <w:rsid w:val="28DE58B7"/>
    <w:rsid w:val="28ED5779"/>
    <w:rsid w:val="28F72F97"/>
    <w:rsid w:val="291853E7"/>
    <w:rsid w:val="291D0C4F"/>
    <w:rsid w:val="2923243C"/>
    <w:rsid w:val="292E202F"/>
    <w:rsid w:val="294A7C26"/>
    <w:rsid w:val="29934A6D"/>
    <w:rsid w:val="29A273A6"/>
    <w:rsid w:val="29A529F3"/>
    <w:rsid w:val="29B81495"/>
    <w:rsid w:val="29D11A3A"/>
    <w:rsid w:val="29FA689B"/>
    <w:rsid w:val="2A045622"/>
    <w:rsid w:val="2A0B1F84"/>
    <w:rsid w:val="2A155784"/>
    <w:rsid w:val="2A160628"/>
    <w:rsid w:val="2A4B17EC"/>
    <w:rsid w:val="2A634E70"/>
    <w:rsid w:val="2A830A7F"/>
    <w:rsid w:val="2A8970E6"/>
    <w:rsid w:val="2A8D770F"/>
    <w:rsid w:val="2A916152"/>
    <w:rsid w:val="2AAA6D3D"/>
    <w:rsid w:val="2AB40857"/>
    <w:rsid w:val="2B057BED"/>
    <w:rsid w:val="2B0D6AA1"/>
    <w:rsid w:val="2B230073"/>
    <w:rsid w:val="2B30453E"/>
    <w:rsid w:val="2B911481"/>
    <w:rsid w:val="2BFA0DD4"/>
    <w:rsid w:val="2C0606BD"/>
    <w:rsid w:val="2C2A7A86"/>
    <w:rsid w:val="2C387E60"/>
    <w:rsid w:val="2C5129BE"/>
    <w:rsid w:val="2C7D1CE9"/>
    <w:rsid w:val="2C8965FC"/>
    <w:rsid w:val="2C8A2DA7"/>
    <w:rsid w:val="2D025667"/>
    <w:rsid w:val="2D067C4C"/>
    <w:rsid w:val="2D1D31B5"/>
    <w:rsid w:val="2D7A766E"/>
    <w:rsid w:val="2DAC1733"/>
    <w:rsid w:val="2DD327AE"/>
    <w:rsid w:val="2E156399"/>
    <w:rsid w:val="2E2E1209"/>
    <w:rsid w:val="2E4F20D1"/>
    <w:rsid w:val="2E861045"/>
    <w:rsid w:val="2E9522BA"/>
    <w:rsid w:val="2EA66FF1"/>
    <w:rsid w:val="2EF53AD4"/>
    <w:rsid w:val="2EFD13A0"/>
    <w:rsid w:val="2F100B1F"/>
    <w:rsid w:val="2F2B6A41"/>
    <w:rsid w:val="2F3A351D"/>
    <w:rsid w:val="2F875074"/>
    <w:rsid w:val="2F891727"/>
    <w:rsid w:val="2FB84836"/>
    <w:rsid w:val="2FC33AD7"/>
    <w:rsid w:val="2FCE2CA3"/>
    <w:rsid w:val="30286F29"/>
    <w:rsid w:val="30331FCF"/>
    <w:rsid w:val="30430CFF"/>
    <w:rsid w:val="30455FF1"/>
    <w:rsid w:val="305807BF"/>
    <w:rsid w:val="30700DC4"/>
    <w:rsid w:val="308E41E1"/>
    <w:rsid w:val="30DB28B1"/>
    <w:rsid w:val="31291D49"/>
    <w:rsid w:val="312D1C4B"/>
    <w:rsid w:val="313B05B5"/>
    <w:rsid w:val="31515268"/>
    <w:rsid w:val="316B2774"/>
    <w:rsid w:val="316E2211"/>
    <w:rsid w:val="31872442"/>
    <w:rsid w:val="319A2511"/>
    <w:rsid w:val="31AF030B"/>
    <w:rsid w:val="31F52CBF"/>
    <w:rsid w:val="32092E0F"/>
    <w:rsid w:val="322E0FCE"/>
    <w:rsid w:val="32330E82"/>
    <w:rsid w:val="32417507"/>
    <w:rsid w:val="324B4193"/>
    <w:rsid w:val="328C0BF4"/>
    <w:rsid w:val="32E7293B"/>
    <w:rsid w:val="331F0EF6"/>
    <w:rsid w:val="332F0D60"/>
    <w:rsid w:val="333B36CC"/>
    <w:rsid w:val="333D3C9C"/>
    <w:rsid w:val="33D60378"/>
    <w:rsid w:val="340C6244"/>
    <w:rsid w:val="3429141C"/>
    <w:rsid w:val="342E5A17"/>
    <w:rsid w:val="34371E3E"/>
    <w:rsid w:val="34A37F29"/>
    <w:rsid w:val="34AD133D"/>
    <w:rsid w:val="34B23AF6"/>
    <w:rsid w:val="34BB30CA"/>
    <w:rsid w:val="34BE4682"/>
    <w:rsid w:val="35417CE9"/>
    <w:rsid w:val="35C67F79"/>
    <w:rsid w:val="363475D8"/>
    <w:rsid w:val="3645326C"/>
    <w:rsid w:val="364F61E1"/>
    <w:rsid w:val="36513CE6"/>
    <w:rsid w:val="366A3C87"/>
    <w:rsid w:val="3684580D"/>
    <w:rsid w:val="36945128"/>
    <w:rsid w:val="36AD06F4"/>
    <w:rsid w:val="36E077E0"/>
    <w:rsid w:val="36E763F9"/>
    <w:rsid w:val="3700570C"/>
    <w:rsid w:val="3701395E"/>
    <w:rsid w:val="37024FE0"/>
    <w:rsid w:val="370D15C8"/>
    <w:rsid w:val="373A7751"/>
    <w:rsid w:val="379F4F25"/>
    <w:rsid w:val="37B17592"/>
    <w:rsid w:val="37C72FE9"/>
    <w:rsid w:val="37C8622A"/>
    <w:rsid w:val="37EF6FDB"/>
    <w:rsid w:val="38072E43"/>
    <w:rsid w:val="381369DB"/>
    <w:rsid w:val="38613F89"/>
    <w:rsid w:val="387301B6"/>
    <w:rsid w:val="387D60DC"/>
    <w:rsid w:val="387E2D8D"/>
    <w:rsid w:val="388606FA"/>
    <w:rsid w:val="38975BFC"/>
    <w:rsid w:val="38A24CCD"/>
    <w:rsid w:val="38BA7927"/>
    <w:rsid w:val="38C56C0D"/>
    <w:rsid w:val="38CA6EFC"/>
    <w:rsid w:val="38F117B0"/>
    <w:rsid w:val="3917670D"/>
    <w:rsid w:val="393D2C48"/>
    <w:rsid w:val="39AF6F34"/>
    <w:rsid w:val="39EF7595"/>
    <w:rsid w:val="3A0379ED"/>
    <w:rsid w:val="3A05435F"/>
    <w:rsid w:val="3A07047E"/>
    <w:rsid w:val="3A271638"/>
    <w:rsid w:val="3A354836"/>
    <w:rsid w:val="3A3A0F35"/>
    <w:rsid w:val="3A3C4CAD"/>
    <w:rsid w:val="3A432F8B"/>
    <w:rsid w:val="3A5222C0"/>
    <w:rsid w:val="3B2D45F6"/>
    <w:rsid w:val="3B483DD9"/>
    <w:rsid w:val="3B656CF8"/>
    <w:rsid w:val="3B8763FC"/>
    <w:rsid w:val="3B941107"/>
    <w:rsid w:val="3B9A41F1"/>
    <w:rsid w:val="3BA1126C"/>
    <w:rsid w:val="3BA4251B"/>
    <w:rsid w:val="3BD66A3C"/>
    <w:rsid w:val="3C315E6E"/>
    <w:rsid w:val="3C552056"/>
    <w:rsid w:val="3C577B7C"/>
    <w:rsid w:val="3C6504EB"/>
    <w:rsid w:val="3C6A1773"/>
    <w:rsid w:val="3C847F8D"/>
    <w:rsid w:val="3CA06556"/>
    <w:rsid w:val="3CD25455"/>
    <w:rsid w:val="3CDA7DA7"/>
    <w:rsid w:val="3CEC29BB"/>
    <w:rsid w:val="3D126BB4"/>
    <w:rsid w:val="3D127F47"/>
    <w:rsid w:val="3D147C80"/>
    <w:rsid w:val="3D2959BD"/>
    <w:rsid w:val="3D677C85"/>
    <w:rsid w:val="3D69306B"/>
    <w:rsid w:val="3D7A72F5"/>
    <w:rsid w:val="3D7E201B"/>
    <w:rsid w:val="3D820C29"/>
    <w:rsid w:val="3D925068"/>
    <w:rsid w:val="3DA240B7"/>
    <w:rsid w:val="3DC456E6"/>
    <w:rsid w:val="3DD31485"/>
    <w:rsid w:val="3E246A27"/>
    <w:rsid w:val="3E2D328B"/>
    <w:rsid w:val="3E3143FD"/>
    <w:rsid w:val="3E432B60"/>
    <w:rsid w:val="3EBD4971"/>
    <w:rsid w:val="3EE84AE4"/>
    <w:rsid w:val="3EF21B1E"/>
    <w:rsid w:val="3EF254BF"/>
    <w:rsid w:val="3F2F6B8F"/>
    <w:rsid w:val="3F5B3E28"/>
    <w:rsid w:val="3F780536"/>
    <w:rsid w:val="3F794CBD"/>
    <w:rsid w:val="3FBF7F57"/>
    <w:rsid w:val="3FC269D0"/>
    <w:rsid w:val="3FD8004A"/>
    <w:rsid w:val="3FED6998"/>
    <w:rsid w:val="400C5122"/>
    <w:rsid w:val="4057561A"/>
    <w:rsid w:val="40D774DE"/>
    <w:rsid w:val="411642DA"/>
    <w:rsid w:val="413602A0"/>
    <w:rsid w:val="41961147"/>
    <w:rsid w:val="419C1772"/>
    <w:rsid w:val="41A2189A"/>
    <w:rsid w:val="41AE46E3"/>
    <w:rsid w:val="41BE5866"/>
    <w:rsid w:val="422C1F2D"/>
    <w:rsid w:val="42701998"/>
    <w:rsid w:val="428F7D86"/>
    <w:rsid w:val="429A5B71"/>
    <w:rsid w:val="42B43FBB"/>
    <w:rsid w:val="42BB3C75"/>
    <w:rsid w:val="42D20D66"/>
    <w:rsid w:val="42E102FD"/>
    <w:rsid w:val="433C7ACC"/>
    <w:rsid w:val="43721995"/>
    <w:rsid w:val="43D04F5D"/>
    <w:rsid w:val="43DB5A1E"/>
    <w:rsid w:val="43E560F1"/>
    <w:rsid w:val="43F86096"/>
    <w:rsid w:val="4427353E"/>
    <w:rsid w:val="44507CD3"/>
    <w:rsid w:val="448D3967"/>
    <w:rsid w:val="44B518E4"/>
    <w:rsid w:val="45097E82"/>
    <w:rsid w:val="452B604A"/>
    <w:rsid w:val="457B2E78"/>
    <w:rsid w:val="45CC3F16"/>
    <w:rsid w:val="460A3878"/>
    <w:rsid w:val="4654337F"/>
    <w:rsid w:val="46560EA5"/>
    <w:rsid w:val="46A55988"/>
    <w:rsid w:val="46BF5797"/>
    <w:rsid w:val="46F14D2D"/>
    <w:rsid w:val="46F20BAE"/>
    <w:rsid w:val="47053AEF"/>
    <w:rsid w:val="47217705"/>
    <w:rsid w:val="4729480B"/>
    <w:rsid w:val="477B1C4F"/>
    <w:rsid w:val="47EF7803"/>
    <w:rsid w:val="480C584B"/>
    <w:rsid w:val="486024AF"/>
    <w:rsid w:val="48A835F4"/>
    <w:rsid w:val="48CC092C"/>
    <w:rsid w:val="48FD7CFE"/>
    <w:rsid w:val="493319DD"/>
    <w:rsid w:val="495D77E7"/>
    <w:rsid w:val="49867CF3"/>
    <w:rsid w:val="4989333F"/>
    <w:rsid w:val="49935F6C"/>
    <w:rsid w:val="4994675E"/>
    <w:rsid w:val="49B760FE"/>
    <w:rsid w:val="49D219AC"/>
    <w:rsid w:val="49F42EAF"/>
    <w:rsid w:val="49FF1E3D"/>
    <w:rsid w:val="4A134949"/>
    <w:rsid w:val="4A531FD8"/>
    <w:rsid w:val="4A5B2F2E"/>
    <w:rsid w:val="4A6A6D04"/>
    <w:rsid w:val="4AA53BA6"/>
    <w:rsid w:val="4AA61969"/>
    <w:rsid w:val="4ABA40F8"/>
    <w:rsid w:val="4AC85D1A"/>
    <w:rsid w:val="4ADF3860"/>
    <w:rsid w:val="4B060B6C"/>
    <w:rsid w:val="4B0C4228"/>
    <w:rsid w:val="4B0E61F2"/>
    <w:rsid w:val="4B375749"/>
    <w:rsid w:val="4B701FFE"/>
    <w:rsid w:val="4B842010"/>
    <w:rsid w:val="4B8C0B57"/>
    <w:rsid w:val="4B9773C4"/>
    <w:rsid w:val="4B9F6E4A"/>
    <w:rsid w:val="4BA0785B"/>
    <w:rsid w:val="4BA10D4A"/>
    <w:rsid w:val="4BAA79A1"/>
    <w:rsid w:val="4BBC41E4"/>
    <w:rsid w:val="4BBE19C6"/>
    <w:rsid w:val="4BEB02E1"/>
    <w:rsid w:val="4C4F2324"/>
    <w:rsid w:val="4C6360CA"/>
    <w:rsid w:val="4C8F1D94"/>
    <w:rsid w:val="4CA80B5F"/>
    <w:rsid w:val="4CA96C54"/>
    <w:rsid w:val="4CED6C3F"/>
    <w:rsid w:val="4D41465D"/>
    <w:rsid w:val="4D533FB5"/>
    <w:rsid w:val="4D545731"/>
    <w:rsid w:val="4D566598"/>
    <w:rsid w:val="4D5D5A9B"/>
    <w:rsid w:val="4DA10BBC"/>
    <w:rsid w:val="4DB36C13"/>
    <w:rsid w:val="4DBA3FA2"/>
    <w:rsid w:val="4DC4703C"/>
    <w:rsid w:val="4E4D0DDF"/>
    <w:rsid w:val="4E726219"/>
    <w:rsid w:val="4E7C16C5"/>
    <w:rsid w:val="4EA03605"/>
    <w:rsid w:val="4EEA5C7B"/>
    <w:rsid w:val="4EEC1404"/>
    <w:rsid w:val="4F1027B2"/>
    <w:rsid w:val="4F1F29D1"/>
    <w:rsid w:val="4F477F24"/>
    <w:rsid w:val="4F530677"/>
    <w:rsid w:val="4F8E345D"/>
    <w:rsid w:val="50153583"/>
    <w:rsid w:val="50222C82"/>
    <w:rsid w:val="502F60D4"/>
    <w:rsid w:val="50605EEF"/>
    <w:rsid w:val="50632029"/>
    <w:rsid w:val="506D39BB"/>
    <w:rsid w:val="509A4DD8"/>
    <w:rsid w:val="50A82C45"/>
    <w:rsid w:val="50E1128D"/>
    <w:rsid w:val="50FD1257"/>
    <w:rsid w:val="50FF00E4"/>
    <w:rsid w:val="510026E9"/>
    <w:rsid w:val="51453FF0"/>
    <w:rsid w:val="51503D23"/>
    <w:rsid w:val="516626DF"/>
    <w:rsid w:val="520B6871"/>
    <w:rsid w:val="520B6FE7"/>
    <w:rsid w:val="523F3135"/>
    <w:rsid w:val="52495D62"/>
    <w:rsid w:val="52A21D64"/>
    <w:rsid w:val="52A86F2C"/>
    <w:rsid w:val="53281E1B"/>
    <w:rsid w:val="53312A7E"/>
    <w:rsid w:val="536A66F2"/>
    <w:rsid w:val="53972EEF"/>
    <w:rsid w:val="53A67B80"/>
    <w:rsid w:val="53E87463"/>
    <w:rsid w:val="53F47B19"/>
    <w:rsid w:val="53FF0706"/>
    <w:rsid w:val="54001957"/>
    <w:rsid w:val="541D740E"/>
    <w:rsid w:val="545B0C7A"/>
    <w:rsid w:val="546B3036"/>
    <w:rsid w:val="54746F71"/>
    <w:rsid w:val="54B42CEA"/>
    <w:rsid w:val="54B47F23"/>
    <w:rsid w:val="54D9517B"/>
    <w:rsid w:val="54F40B54"/>
    <w:rsid w:val="550D2C97"/>
    <w:rsid w:val="552C0199"/>
    <w:rsid w:val="55517F94"/>
    <w:rsid w:val="55562C6F"/>
    <w:rsid w:val="55C37DA2"/>
    <w:rsid w:val="55DA38A0"/>
    <w:rsid w:val="562A3917"/>
    <w:rsid w:val="56384123"/>
    <w:rsid w:val="56397DD1"/>
    <w:rsid w:val="569E48CE"/>
    <w:rsid w:val="56CC788D"/>
    <w:rsid w:val="56CD51B3"/>
    <w:rsid w:val="56D46542"/>
    <w:rsid w:val="56E30533"/>
    <w:rsid w:val="570A58E7"/>
    <w:rsid w:val="57246C80"/>
    <w:rsid w:val="57303174"/>
    <w:rsid w:val="57482ED5"/>
    <w:rsid w:val="57632C3D"/>
    <w:rsid w:val="57671164"/>
    <w:rsid w:val="576F04E3"/>
    <w:rsid w:val="578C0BCA"/>
    <w:rsid w:val="57DC6649"/>
    <w:rsid w:val="58355079"/>
    <w:rsid w:val="58372C70"/>
    <w:rsid w:val="5838665C"/>
    <w:rsid w:val="584D343E"/>
    <w:rsid w:val="58546F89"/>
    <w:rsid w:val="58784A31"/>
    <w:rsid w:val="588A1567"/>
    <w:rsid w:val="58A3650F"/>
    <w:rsid w:val="58AE3F90"/>
    <w:rsid w:val="58D1031B"/>
    <w:rsid w:val="5982003B"/>
    <w:rsid w:val="5991522C"/>
    <w:rsid w:val="599C65CF"/>
    <w:rsid w:val="59D96D1F"/>
    <w:rsid w:val="59EF7044"/>
    <w:rsid w:val="5A184997"/>
    <w:rsid w:val="5A5C5BED"/>
    <w:rsid w:val="5A843DDB"/>
    <w:rsid w:val="5AA004E9"/>
    <w:rsid w:val="5AA70CC9"/>
    <w:rsid w:val="5AB1297E"/>
    <w:rsid w:val="5AE433D9"/>
    <w:rsid w:val="5B246568"/>
    <w:rsid w:val="5B3D03A2"/>
    <w:rsid w:val="5B460F93"/>
    <w:rsid w:val="5B7040DA"/>
    <w:rsid w:val="5B87157E"/>
    <w:rsid w:val="5B995664"/>
    <w:rsid w:val="5BA25BE4"/>
    <w:rsid w:val="5BAA35EF"/>
    <w:rsid w:val="5BB20573"/>
    <w:rsid w:val="5BC22E0D"/>
    <w:rsid w:val="5BFC1C5C"/>
    <w:rsid w:val="5C043425"/>
    <w:rsid w:val="5C11169E"/>
    <w:rsid w:val="5C1D0043"/>
    <w:rsid w:val="5C37699E"/>
    <w:rsid w:val="5C3A6E47"/>
    <w:rsid w:val="5C822C2E"/>
    <w:rsid w:val="5C9A3B4A"/>
    <w:rsid w:val="5CF32B20"/>
    <w:rsid w:val="5CFF36D3"/>
    <w:rsid w:val="5D2B6790"/>
    <w:rsid w:val="5D341BD7"/>
    <w:rsid w:val="5D3F4364"/>
    <w:rsid w:val="5D4F02D5"/>
    <w:rsid w:val="5D7C1456"/>
    <w:rsid w:val="5D8B722E"/>
    <w:rsid w:val="5D8F31C2"/>
    <w:rsid w:val="5D9C53B2"/>
    <w:rsid w:val="5DA33DE2"/>
    <w:rsid w:val="5DE74DAC"/>
    <w:rsid w:val="5DF72B16"/>
    <w:rsid w:val="5E055F8C"/>
    <w:rsid w:val="5E4D6C03"/>
    <w:rsid w:val="5E930A90"/>
    <w:rsid w:val="5EBF6480"/>
    <w:rsid w:val="5EDF3CD6"/>
    <w:rsid w:val="5F257DAD"/>
    <w:rsid w:val="5F2848F4"/>
    <w:rsid w:val="5F2E6A0B"/>
    <w:rsid w:val="5F3546C9"/>
    <w:rsid w:val="5F5F6BC4"/>
    <w:rsid w:val="5F887EF5"/>
    <w:rsid w:val="5FB270C4"/>
    <w:rsid w:val="60002155"/>
    <w:rsid w:val="601E438A"/>
    <w:rsid w:val="605D5D23"/>
    <w:rsid w:val="60B00BF7"/>
    <w:rsid w:val="60DF1D6B"/>
    <w:rsid w:val="61051BBD"/>
    <w:rsid w:val="610A1015"/>
    <w:rsid w:val="61227EAA"/>
    <w:rsid w:val="61354081"/>
    <w:rsid w:val="61631404"/>
    <w:rsid w:val="61BD3B91"/>
    <w:rsid w:val="61E33ADD"/>
    <w:rsid w:val="61E61719"/>
    <w:rsid w:val="61E909C7"/>
    <w:rsid w:val="61EA6C19"/>
    <w:rsid w:val="62161164"/>
    <w:rsid w:val="621C2B4B"/>
    <w:rsid w:val="625B2B21"/>
    <w:rsid w:val="626D6116"/>
    <w:rsid w:val="62711AB7"/>
    <w:rsid w:val="629152E7"/>
    <w:rsid w:val="62EF6C5E"/>
    <w:rsid w:val="630C01F4"/>
    <w:rsid w:val="63226C5C"/>
    <w:rsid w:val="63285608"/>
    <w:rsid w:val="6383639C"/>
    <w:rsid w:val="63934E29"/>
    <w:rsid w:val="639C2195"/>
    <w:rsid w:val="63C416EC"/>
    <w:rsid w:val="63D6234D"/>
    <w:rsid w:val="64187FC6"/>
    <w:rsid w:val="641F6922"/>
    <w:rsid w:val="64292951"/>
    <w:rsid w:val="646F4A94"/>
    <w:rsid w:val="649C61C5"/>
    <w:rsid w:val="64A75ABD"/>
    <w:rsid w:val="64B66924"/>
    <w:rsid w:val="651227AB"/>
    <w:rsid w:val="651E1BA7"/>
    <w:rsid w:val="65271F32"/>
    <w:rsid w:val="655174A8"/>
    <w:rsid w:val="656C203B"/>
    <w:rsid w:val="658328CD"/>
    <w:rsid w:val="65A2780B"/>
    <w:rsid w:val="65D15EBA"/>
    <w:rsid w:val="65E54A22"/>
    <w:rsid w:val="65E9543A"/>
    <w:rsid w:val="66252916"/>
    <w:rsid w:val="663A5C95"/>
    <w:rsid w:val="666F1DE3"/>
    <w:rsid w:val="668E25A5"/>
    <w:rsid w:val="66BB2C83"/>
    <w:rsid w:val="670F7122"/>
    <w:rsid w:val="6714454E"/>
    <w:rsid w:val="673516CD"/>
    <w:rsid w:val="673F5780"/>
    <w:rsid w:val="67626691"/>
    <w:rsid w:val="6796339F"/>
    <w:rsid w:val="67CF3D21"/>
    <w:rsid w:val="67EE0AE5"/>
    <w:rsid w:val="683536BE"/>
    <w:rsid w:val="684D1E0D"/>
    <w:rsid w:val="685E3686"/>
    <w:rsid w:val="6886604D"/>
    <w:rsid w:val="688E4077"/>
    <w:rsid w:val="68A8338A"/>
    <w:rsid w:val="68AA2F52"/>
    <w:rsid w:val="68B60C72"/>
    <w:rsid w:val="68BC0BE4"/>
    <w:rsid w:val="690305C1"/>
    <w:rsid w:val="694F7CAA"/>
    <w:rsid w:val="69502454"/>
    <w:rsid w:val="697A7B00"/>
    <w:rsid w:val="69CB2AFD"/>
    <w:rsid w:val="69D32689"/>
    <w:rsid w:val="69D614F6"/>
    <w:rsid w:val="69FB153F"/>
    <w:rsid w:val="6A1B6306"/>
    <w:rsid w:val="6A2C0EC1"/>
    <w:rsid w:val="6A563696"/>
    <w:rsid w:val="6A941E18"/>
    <w:rsid w:val="6A955B90"/>
    <w:rsid w:val="6AB230C6"/>
    <w:rsid w:val="6B344D97"/>
    <w:rsid w:val="6B3B6CEF"/>
    <w:rsid w:val="6B5E5F82"/>
    <w:rsid w:val="6B721A2E"/>
    <w:rsid w:val="6B8A4FC9"/>
    <w:rsid w:val="6BA11F9E"/>
    <w:rsid w:val="6BAC263F"/>
    <w:rsid w:val="6BC90CA9"/>
    <w:rsid w:val="6BE4292B"/>
    <w:rsid w:val="6BF40F1B"/>
    <w:rsid w:val="6C077AEA"/>
    <w:rsid w:val="6C951E77"/>
    <w:rsid w:val="6C977AC7"/>
    <w:rsid w:val="6CB00A5F"/>
    <w:rsid w:val="6CD75CCB"/>
    <w:rsid w:val="6D0B038C"/>
    <w:rsid w:val="6D0D5164"/>
    <w:rsid w:val="6D215CA1"/>
    <w:rsid w:val="6D237483"/>
    <w:rsid w:val="6D293236"/>
    <w:rsid w:val="6D3E4484"/>
    <w:rsid w:val="6D4A4A10"/>
    <w:rsid w:val="6D7613B3"/>
    <w:rsid w:val="6D7A209A"/>
    <w:rsid w:val="6D9F7164"/>
    <w:rsid w:val="6DBD17FB"/>
    <w:rsid w:val="6DC30329"/>
    <w:rsid w:val="6DC363C8"/>
    <w:rsid w:val="6DDB7C5E"/>
    <w:rsid w:val="6DF36EF3"/>
    <w:rsid w:val="6E3E385F"/>
    <w:rsid w:val="6E407BC1"/>
    <w:rsid w:val="6E4A0A40"/>
    <w:rsid w:val="6E6715F2"/>
    <w:rsid w:val="6E6B10E2"/>
    <w:rsid w:val="6EAE0FCF"/>
    <w:rsid w:val="6EDC43BD"/>
    <w:rsid w:val="6EED7D49"/>
    <w:rsid w:val="6F060E0B"/>
    <w:rsid w:val="6F101C89"/>
    <w:rsid w:val="6F673597"/>
    <w:rsid w:val="6FC4797A"/>
    <w:rsid w:val="6FCB5614"/>
    <w:rsid w:val="6FED3D79"/>
    <w:rsid w:val="700F0193"/>
    <w:rsid w:val="701C38D4"/>
    <w:rsid w:val="706F2D9B"/>
    <w:rsid w:val="70700C31"/>
    <w:rsid w:val="70904E30"/>
    <w:rsid w:val="70A53D42"/>
    <w:rsid w:val="70C23577"/>
    <w:rsid w:val="714B4754"/>
    <w:rsid w:val="71501DF0"/>
    <w:rsid w:val="71853423"/>
    <w:rsid w:val="71924BD7"/>
    <w:rsid w:val="719E532A"/>
    <w:rsid w:val="71BC0777"/>
    <w:rsid w:val="71D07650"/>
    <w:rsid w:val="721053C6"/>
    <w:rsid w:val="72224300"/>
    <w:rsid w:val="72281098"/>
    <w:rsid w:val="72550E1D"/>
    <w:rsid w:val="72796BDF"/>
    <w:rsid w:val="727C48CE"/>
    <w:rsid w:val="72906B51"/>
    <w:rsid w:val="73612694"/>
    <w:rsid w:val="73612AB3"/>
    <w:rsid w:val="7372081D"/>
    <w:rsid w:val="73840550"/>
    <w:rsid w:val="738456D2"/>
    <w:rsid w:val="738B4A66"/>
    <w:rsid w:val="73AB7480"/>
    <w:rsid w:val="73BC588C"/>
    <w:rsid w:val="73D50144"/>
    <w:rsid w:val="73E765D7"/>
    <w:rsid w:val="73F80432"/>
    <w:rsid w:val="74303AFD"/>
    <w:rsid w:val="749E4913"/>
    <w:rsid w:val="74D75882"/>
    <w:rsid w:val="74D82876"/>
    <w:rsid w:val="74F23BB8"/>
    <w:rsid w:val="752124FA"/>
    <w:rsid w:val="75372F91"/>
    <w:rsid w:val="75474ECE"/>
    <w:rsid w:val="757D5E16"/>
    <w:rsid w:val="75B23A9A"/>
    <w:rsid w:val="75D05D09"/>
    <w:rsid w:val="761958C7"/>
    <w:rsid w:val="762D531E"/>
    <w:rsid w:val="76733229"/>
    <w:rsid w:val="769D3E02"/>
    <w:rsid w:val="76EE6C5D"/>
    <w:rsid w:val="77056A4E"/>
    <w:rsid w:val="77185A8F"/>
    <w:rsid w:val="77B51620"/>
    <w:rsid w:val="77E21E8F"/>
    <w:rsid w:val="781047D4"/>
    <w:rsid w:val="78144598"/>
    <w:rsid w:val="78191BAF"/>
    <w:rsid w:val="781D2FE7"/>
    <w:rsid w:val="782B493C"/>
    <w:rsid w:val="782D0F03"/>
    <w:rsid w:val="782E7A2F"/>
    <w:rsid w:val="783267CC"/>
    <w:rsid w:val="786F396C"/>
    <w:rsid w:val="787E7C64"/>
    <w:rsid w:val="78BD62B9"/>
    <w:rsid w:val="78C919C1"/>
    <w:rsid w:val="78D35D74"/>
    <w:rsid w:val="78E87437"/>
    <w:rsid w:val="791D4227"/>
    <w:rsid w:val="79557F39"/>
    <w:rsid w:val="7970130E"/>
    <w:rsid w:val="7978298D"/>
    <w:rsid w:val="79880773"/>
    <w:rsid w:val="799453CA"/>
    <w:rsid w:val="79962235"/>
    <w:rsid w:val="79A575F1"/>
    <w:rsid w:val="79E57A17"/>
    <w:rsid w:val="79E96FD3"/>
    <w:rsid w:val="79F01F75"/>
    <w:rsid w:val="7A236D15"/>
    <w:rsid w:val="7A256189"/>
    <w:rsid w:val="7A2834C1"/>
    <w:rsid w:val="7A2A2C28"/>
    <w:rsid w:val="7A3E7927"/>
    <w:rsid w:val="7AB6127D"/>
    <w:rsid w:val="7AB61937"/>
    <w:rsid w:val="7AC8166A"/>
    <w:rsid w:val="7ACF47A6"/>
    <w:rsid w:val="7B0703E4"/>
    <w:rsid w:val="7B1F265B"/>
    <w:rsid w:val="7B203254"/>
    <w:rsid w:val="7B3B62E0"/>
    <w:rsid w:val="7B6675DF"/>
    <w:rsid w:val="7B7F7F7B"/>
    <w:rsid w:val="7BDB712A"/>
    <w:rsid w:val="7BE61DA8"/>
    <w:rsid w:val="7BF208EB"/>
    <w:rsid w:val="7C0266C1"/>
    <w:rsid w:val="7C1A4147"/>
    <w:rsid w:val="7C1B1D6D"/>
    <w:rsid w:val="7C262AEC"/>
    <w:rsid w:val="7C27027D"/>
    <w:rsid w:val="7C2846B1"/>
    <w:rsid w:val="7C2C798D"/>
    <w:rsid w:val="7C3B11DA"/>
    <w:rsid w:val="7C43482E"/>
    <w:rsid w:val="7C8F0C60"/>
    <w:rsid w:val="7C972B94"/>
    <w:rsid w:val="7CAB4D9F"/>
    <w:rsid w:val="7CBE4AD3"/>
    <w:rsid w:val="7D250FF6"/>
    <w:rsid w:val="7D31799A"/>
    <w:rsid w:val="7D660EDA"/>
    <w:rsid w:val="7D732861"/>
    <w:rsid w:val="7D755603"/>
    <w:rsid w:val="7D8C4BD1"/>
    <w:rsid w:val="7DAD1076"/>
    <w:rsid w:val="7DB12006"/>
    <w:rsid w:val="7DBD3D3B"/>
    <w:rsid w:val="7DBF4FA6"/>
    <w:rsid w:val="7DF32EA2"/>
    <w:rsid w:val="7E0C568F"/>
    <w:rsid w:val="7E2552CD"/>
    <w:rsid w:val="7E301A00"/>
    <w:rsid w:val="7E30540E"/>
    <w:rsid w:val="7E96004D"/>
    <w:rsid w:val="7EA321D2"/>
    <w:rsid w:val="7EDA3C62"/>
    <w:rsid w:val="7EE148B6"/>
    <w:rsid w:val="7F1649CF"/>
    <w:rsid w:val="7F3C2FA6"/>
    <w:rsid w:val="7F665E7B"/>
    <w:rsid w:val="7FBC7738"/>
    <w:rsid w:val="7FF727F3"/>
    <w:rsid w:val="A7FC2DEE"/>
    <w:rsid w:val="BD5F745F"/>
    <w:rsid w:val="DB5F904B"/>
    <w:rsid w:val="DFD59B93"/>
    <w:rsid w:val="FED79AE0"/>
    <w:rsid w:val="FF9FB104"/>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ocked="1"/>
    <w:lsdException w:qFormat="1" w:unhideWhenUsed="0" w:uiPriority="99" w:semiHidden="0" w:name="heading 4"/>
    <w:lsdException w:qFormat="1" w:unhideWhenUsed="0" w:uiPriority="99" w:semiHidden="0" w:name="heading 5"/>
    <w:lsdException w:qFormat="1" w:uiPriority="9" w:name="heading 6" w:locked="1"/>
    <w:lsdException w:qFormat="1" w:uiPriority="9" w:name="heading 7" w:locked="1"/>
    <w:lsdException w:qFormat="1" w:unhideWhenUsed="0" w:uiPriority="99" w:semiHidden="0" w:name="heading 8"/>
    <w:lsdException w:qFormat="1" w:uiPriority="9" w:name="heading 9" w:locked="1"/>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qFormat="1" w:unhideWhenUsed="0" w:uiPriority="99" w:semiHidden="0" w:name="index 8"/>
    <w:lsdException w:uiPriority="99" w:name="index 9" w:locked="1"/>
    <w:lsdException w:qFormat="1" w:unhideWhenUsed="0" w:uiPriority="99" w:semiHidden="0" w:name="toc 1"/>
    <w:lsdException w:qFormat="1" w:unhideWhenUsed="0" w:uiPriority="99" w:semiHidden="0" w:name="toc 2"/>
    <w:lsdException w:qFormat="1"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qFormat="1" w:unhideWhenUsed="0" w:uiPriority="99" w:semiHidden="0" w:name="Normal Indent"/>
    <w:lsdException w:uiPriority="99" w:name="footnote text" w:locked="1"/>
    <w:lsdException w:qFormat="1" w:unhideWhenUsed="0" w:uiPriority="99" w:semiHidden="0" w:name="annotation text"/>
    <w:lsdException w:qFormat="1" w:unhideWhenUsed="0" w:uiPriority="99" w:semiHidden="0" w:name="header"/>
    <w:lsdException w:qFormat="1" w:unhideWhenUsed="0" w:uiPriority="99" w:semiHidden="0" w:name="footer"/>
    <w:lsdException w:uiPriority="99" w:name="index heading" w:locked="1"/>
    <w:lsdException w:qFormat="1" w:uiPriority="35" w:name="caption" w:locked="1"/>
    <w:lsdException w:uiPriority="99" w:name="table of figures" w:locked="1"/>
    <w:lsdException w:uiPriority="99" w:name="envelope address" w:locked="1"/>
    <w:lsdException w:qFormat="1" w:unhideWhenUsed="0" w:uiPriority="0" w:semiHidden="0" w:name="envelope return" w:locked="1"/>
    <w:lsdException w:uiPriority="99" w:name="footnote reference" w:locked="1"/>
    <w:lsdException w:qFormat="1" w:unhideWhenUsed="0" w:uiPriority="99" w:semiHidden="0" w:name="annotation reference"/>
    <w:lsdException w:uiPriority="99" w:name="line number" w:locked="1"/>
    <w:lsdException w:qFormat="1" w:unhideWhenUsed="0" w:uiPriority="0" w:semiHidden="0" w:name="page number" w:locked="1"/>
    <w:lsdException w:qFormat="1" w:unhideWhenUsed="0" w:uiPriority="99" w:semiHidden="0" w:name="endnote reference"/>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qFormat="1" w:unhideWhenUsed="0" w:uiPriority="99" w:semiHidden="0" w:name="List Number"/>
    <w:lsdException w:qFormat="1" w:unhideWhenUsed="0" w:uiPriority="99" w:semiHidden="0" w:name="List 2"/>
    <w:lsdException w:uiPriority="99" w:name="List 3" w:locked="1"/>
    <w:lsdException w:qFormat="1" w:unhideWhenUsed="0" w:uiPriority="99" w:semiHidden="0" w:name="List 4"/>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10" w:semiHidden="0" w:name="Title" w:locked="1"/>
    <w:lsdException w:uiPriority="99" w:name="Closing" w:locked="1"/>
    <w:lsdException w:uiPriority="99" w:name="Signature" w:locked="1"/>
    <w:lsdException w:qFormat="1" w:unhideWhenUsed="0" w:uiPriority="99" w:name="Default Paragraph Font"/>
    <w:lsdException w:qFormat="1" w:unhideWhenUsed="0" w:uiPriority="99" w:semiHidden="0" w:name="Body Text"/>
    <w:lsdException w:qFormat="1" w:unhideWhenUsed="0" w:uiPriority="99" w:semiHidden="0" w:name="Body Text Indent"/>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0" w:semiHidden="0" w:name="Subtitle" w:locked="1"/>
    <w:lsdException w:uiPriority="99" w:name="Salutation" w:locked="1"/>
    <w:lsdException w:qFormat="1" w:unhideWhenUsed="0" w:uiPriority="99" w:semiHidden="0" w:name="Date"/>
    <w:lsdException w:qFormat="1" w:unhideWhenUsed="0" w:uiPriority="0" w:semiHidden="0" w:name="Body Text First Indent" w:locked="1"/>
    <w:lsdException w:qFormat="1" w:unhideWhenUsed="0" w:uiPriority="99" w:semiHidden="0" w:name="Body Text First Indent 2"/>
    <w:lsdException w:uiPriority="99" w:name="Note Heading" w:locked="1"/>
    <w:lsdException w:qFormat="1" w:unhideWhenUsed="0" w:uiPriority="99" w:semiHidden="0" w:name="Body Text 2"/>
    <w:lsdException w:qFormat="1" w:unhideWhenUsed="0" w:uiPriority="99" w:semiHidden="0" w:name="Body Text 3"/>
    <w:lsdException w:uiPriority="99" w:name="Body Text Indent 2" w:locked="1"/>
    <w:lsdException w:uiPriority="99" w:name="Body Text Indent 3" w:locked="1"/>
    <w:lsdException w:uiPriority="99" w:name="Block Text" w:locked="1"/>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99" w:semiHidden="0" w:name="Emphasis"/>
    <w:lsdException w:uiPriority="99" w:name="Document Map" w:locked="1"/>
    <w:lsdException w:qFormat="1" w:unhideWhenUsed="0" w:uiPriority="99" w:semiHidden="0" w:name="Plain Text"/>
    <w:lsdException w:uiPriority="99" w:name="E-mail Signature" w:locked="1"/>
    <w:lsdException w:qFormat="1" w:unhideWhenUsed="0" w:uiPriority="99" w:semiHidden="0" w:name="Normal (Web)"/>
    <w:lsdException w:qFormat="1" w:unhideWhenUsed="0" w:uiPriority="99" w:semiHidden="0" w:name="HTML Acronym"/>
    <w:lsdException w:uiPriority="99" w:name="HTML Address" w:locked="1"/>
    <w:lsdException w:qFormat="1" w:unhideWhenUsed="0" w:uiPriority="99" w:semiHidden="0" w:name="HTML Cite"/>
    <w:lsdException w:qFormat="1" w:unhideWhenUsed="0" w:uiPriority="99" w:semiHidden="0" w:name="HTML Code"/>
    <w:lsdException w:qFormat="1" w:unhideWhenUsed="0" w:uiPriority="99" w:semiHidden="0" w:name="HTML Definition"/>
    <w:lsdException w:qFormat="1" w:unhideWhenUsed="0" w:uiPriority="99" w:semiHidden="0" w:name="HTML Keyboard"/>
    <w:lsdException w:uiPriority="99" w:name="HTML Preformatted" w:locked="1"/>
    <w:lsdException w:qFormat="1" w:unhideWhenUsed="0" w:uiPriority="99" w:semiHidden="0" w:name="HTML Sample"/>
    <w:lsdException w:qFormat="1" w:unhideWhenUsed="0" w:uiPriority="99" w:semiHidden="0" w:name="HTML Typewriter"/>
    <w:lsdException w:qFormat="1" w:unhideWhenUsed="0" w:uiPriority="99" w:semiHidden="0" w:name="HTML Variable"/>
    <w:lsdException w:qFormat="1" w:uiPriority="99" w:name="Normal Table"/>
    <w:lsdException w:qFormat="1" w:unhideWhenUsed="0" w:uiPriority="99" w:semiHidden="0"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name="Balloon Text"/>
    <w:lsdException w:qFormat="1" w:unhideWhenUsed="0" w:uiPriority="99"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70"/>
    <w:qFormat/>
    <w:uiPriority w:val="99"/>
    <w:pPr>
      <w:keepNext/>
      <w:keepLines/>
      <w:spacing w:before="340" w:after="330" w:line="578" w:lineRule="auto"/>
      <w:outlineLvl w:val="0"/>
    </w:pPr>
    <w:rPr>
      <w:kern w:val="44"/>
      <w:sz w:val="44"/>
      <w:szCs w:val="44"/>
    </w:rPr>
  </w:style>
  <w:style w:type="paragraph" w:styleId="4">
    <w:name w:val="heading 2"/>
    <w:basedOn w:val="1"/>
    <w:next w:val="1"/>
    <w:link w:val="52"/>
    <w:qFormat/>
    <w:uiPriority w:val="99"/>
    <w:pPr>
      <w:keepNext/>
      <w:keepLines/>
      <w:spacing w:before="260" w:after="260" w:line="416" w:lineRule="auto"/>
      <w:outlineLvl w:val="1"/>
    </w:pPr>
    <w:rPr>
      <w:rFonts w:ascii="Cambria" w:hAnsi="Cambria"/>
      <w:b/>
      <w:bCs/>
      <w:sz w:val="32"/>
      <w:szCs w:val="32"/>
    </w:rPr>
  </w:style>
  <w:style w:type="paragraph" w:styleId="5">
    <w:name w:val="heading 3"/>
    <w:basedOn w:val="1"/>
    <w:next w:val="1"/>
    <w:qFormat/>
    <w:locked/>
    <w:uiPriority w:val="99"/>
    <w:pPr>
      <w:keepNext/>
      <w:keepLines/>
      <w:spacing w:before="260" w:beforeLines="0" w:after="260" w:afterLines="0" w:line="416" w:lineRule="auto"/>
      <w:outlineLvl w:val="2"/>
    </w:pPr>
    <w:rPr>
      <w:b/>
      <w:bCs/>
      <w:sz w:val="32"/>
      <w:szCs w:val="32"/>
    </w:rPr>
  </w:style>
  <w:style w:type="paragraph" w:styleId="6">
    <w:name w:val="heading 4"/>
    <w:basedOn w:val="1"/>
    <w:next w:val="1"/>
    <w:link w:val="53"/>
    <w:qFormat/>
    <w:uiPriority w:val="99"/>
    <w:pPr>
      <w:keepNext/>
      <w:keepLines/>
      <w:spacing w:before="280" w:after="290" w:line="376" w:lineRule="auto"/>
      <w:outlineLvl w:val="3"/>
    </w:pPr>
    <w:rPr>
      <w:rFonts w:ascii="Arial" w:hAnsi="Arial" w:eastAsia="黑体"/>
      <w:b/>
      <w:bCs/>
      <w:sz w:val="28"/>
      <w:szCs w:val="28"/>
    </w:rPr>
  </w:style>
  <w:style w:type="paragraph" w:styleId="7">
    <w:name w:val="heading 5"/>
    <w:basedOn w:val="1"/>
    <w:next w:val="1"/>
    <w:link w:val="54"/>
    <w:qFormat/>
    <w:uiPriority w:val="99"/>
    <w:pPr>
      <w:keepNext/>
      <w:keepLines/>
      <w:spacing w:before="280" w:after="290" w:line="376" w:lineRule="auto"/>
      <w:outlineLvl w:val="4"/>
    </w:pPr>
    <w:rPr>
      <w:b/>
      <w:bCs/>
      <w:sz w:val="28"/>
      <w:szCs w:val="28"/>
    </w:rPr>
  </w:style>
  <w:style w:type="paragraph" w:styleId="8">
    <w:name w:val="heading 8"/>
    <w:basedOn w:val="1"/>
    <w:next w:val="1"/>
    <w:link w:val="55"/>
    <w:qFormat/>
    <w:uiPriority w:val="99"/>
    <w:pPr>
      <w:keepNext/>
      <w:keepLines/>
      <w:spacing w:before="240" w:after="64" w:line="320" w:lineRule="auto"/>
      <w:outlineLvl w:val="7"/>
    </w:pPr>
    <w:rPr>
      <w:rFonts w:ascii="等线 Light" w:hAnsi="等线 Light" w:eastAsia="等线 Light"/>
      <w:sz w:val="24"/>
    </w:rPr>
  </w:style>
  <w:style w:type="character" w:default="1" w:styleId="35">
    <w:name w:val="Default Paragraph Font"/>
    <w:semiHidden/>
    <w:qFormat/>
    <w:uiPriority w:val="99"/>
  </w:style>
  <w:style w:type="table" w:default="1" w:styleId="33">
    <w:name w:val="Normal Table"/>
    <w:semiHidden/>
    <w:unhideWhenUsed/>
    <w:qFormat/>
    <w:uiPriority w:val="99"/>
    <w:tblPr>
      <w:tblCellMar>
        <w:top w:w="0" w:type="dxa"/>
        <w:left w:w="108" w:type="dxa"/>
        <w:bottom w:w="0" w:type="dxa"/>
        <w:right w:w="108" w:type="dxa"/>
      </w:tblCellMar>
    </w:tblPr>
  </w:style>
  <w:style w:type="paragraph" w:customStyle="1" w:styleId="2">
    <w:name w:val="NormalIndent"/>
    <w:basedOn w:val="1"/>
    <w:qFormat/>
    <w:uiPriority w:val="0"/>
    <w:pPr>
      <w:ind w:firstLine="420"/>
    </w:pPr>
    <w:rPr>
      <w:sz w:val="20"/>
      <w:szCs w:val="20"/>
    </w:rPr>
  </w:style>
  <w:style w:type="paragraph" w:styleId="9">
    <w:name w:val="index 8"/>
    <w:basedOn w:val="1"/>
    <w:next w:val="1"/>
    <w:qFormat/>
    <w:uiPriority w:val="99"/>
    <w:pPr>
      <w:ind w:left="1400" w:leftChars="1400"/>
    </w:pPr>
  </w:style>
  <w:style w:type="paragraph" w:styleId="10">
    <w:name w:val="List Number"/>
    <w:basedOn w:val="1"/>
    <w:qFormat/>
    <w:uiPriority w:val="99"/>
    <w:pPr>
      <w:widowControl/>
      <w:tabs>
        <w:tab w:val="left" w:pos="454"/>
        <w:tab w:val="left" w:pos="720"/>
        <w:tab w:val="left" w:pos="840"/>
      </w:tabs>
      <w:spacing w:afterLines="50"/>
      <w:ind w:left="454" w:hanging="284"/>
      <w:jc w:val="left"/>
    </w:pPr>
    <w:rPr>
      <w:kern w:val="0"/>
      <w:sz w:val="24"/>
      <w:szCs w:val="20"/>
    </w:rPr>
  </w:style>
  <w:style w:type="paragraph" w:styleId="11">
    <w:name w:val="Normal Indent"/>
    <w:basedOn w:val="1"/>
    <w:qFormat/>
    <w:uiPriority w:val="99"/>
    <w:pPr>
      <w:ind w:firstLine="420"/>
    </w:pPr>
    <w:rPr>
      <w:szCs w:val="20"/>
    </w:rPr>
  </w:style>
  <w:style w:type="paragraph" w:styleId="12">
    <w:name w:val="annotation text"/>
    <w:basedOn w:val="1"/>
    <w:link w:val="56"/>
    <w:qFormat/>
    <w:uiPriority w:val="99"/>
    <w:pPr>
      <w:jc w:val="left"/>
    </w:pPr>
  </w:style>
  <w:style w:type="paragraph" w:styleId="13">
    <w:name w:val="Body Text 3"/>
    <w:basedOn w:val="1"/>
    <w:link w:val="57"/>
    <w:qFormat/>
    <w:uiPriority w:val="99"/>
    <w:pPr>
      <w:spacing w:after="120"/>
    </w:pPr>
    <w:rPr>
      <w:sz w:val="16"/>
      <w:szCs w:val="16"/>
    </w:rPr>
  </w:style>
  <w:style w:type="paragraph" w:styleId="14">
    <w:name w:val="Body Text"/>
    <w:basedOn w:val="1"/>
    <w:next w:val="15"/>
    <w:link w:val="58"/>
    <w:qFormat/>
    <w:uiPriority w:val="99"/>
    <w:pPr>
      <w:spacing w:after="120"/>
    </w:pPr>
  </w:style>
  <w:style w:type="paragraph" w:styleId="15">
    <w:name w:val="Subtitle"/>
    <w:basedOn w:val="1"/>
    <w:next w:val="1"/>
    <w:qFormat/>
    <w:locked/>
    <w:uiPriority w:val="0"/>
    <w:pPr>
      <w:spacing w:before="240" w:after="60" w:line="312" w:lineRule="auto"/>
      <w:jc w:val="center"/>
      <w:outlineLvl w:val="1"/>
    </w:pPr>
    <w:rPr>
      <w:rFonts w:ascii="Arial" w:hAnsi="Arial" w:cs="Arial"/>
      <w:b/>
      <w:bCs/>
      <w:kern w:val="28"/>
      <w:sz w:val="32"/>
      <w:szCs w:val="32"/>
    </w:rPr>
  </w:style>
  <w:style w:type="paragraph" w:styleId="16">
    <w:name w:val="Body Text Indent"/>
    <w:basedOn w:val="1"/>
    <w:next w:val="17"/>
    <w:link w:val="59"/>
    <w:qFormat/>
    <w:uiPriority w:val="99"/>
    <w:pPr>
      <w:ind w:firstLine="830" w:firstLineChars="352"/>
    </w:pPr>
    <w:rPr>
      <w:rFonts w:ascii="仿宋_GB2312" w:eastAsia="仿宋_GB2312"/>
      <w:kern w:val="0"/>
      <w:sz w:val="32"/>
      <w:szCs w:val="20"/>
    </w:rPr>
  </w:style>
  <w:style w:type="paragraph" w:styleId="17">
    <w:name w:val="envelope return"/>
    <w:basedOn w:val="1"/>
    <w:qFormat/>
    <w:locked/>
    <w:uiPriority w:val="0"/>
    <w:pPr>
      <w:snapToGrid w:val="0"/>
    </w:pPr>
    <w:rPr>
      <w:rFonts w:ascii="Arial" w:hAnsi="Arial"/>
    </w:rPr>
  </w:style>
  <w:style w:type="paragraph" w:styleId="18">
    <w:name w:val="List 2"/>
    <w:basedOn w:val="1"/>
    <w:qFormat/>
    <w:uiPriority w:val="99"/>
    <w:pPr>
      <w:ind w:left="100" w:leftChars="200" w:hanging="200" w:hangingChars="200"/>
      <w:contextualSpacing/>
    </w:pPr>
  </w:style>
  <w:style w:type="paragraph" w:styleId="19">
    <w:name w:val="toc 3"/>
    <w:basedOn w:val="1"/>
    <w:next w:val="1"/>
    <w:semiHidden/>
    <w:unhideWhenUsed/>
    <w:qFormat/>
    <w:locked/>
    <w:uiPriority w:val="39"/>
    <w:pPr>
      <w:ind w:left="840" w:leftChars="400"/>
    </w:pPr>
  </w:style>
  <w:style w:type="paragraph" w:styleId="20">
    <w:name w:val="Plain Text"/>
    <w:basedOn w:val="1"/>
    <w:next w:val="9"/>
    <w:link w:val="60"/>
    <w:qFormat/>
    <w:uiPriority w:val="99"/>
    <w:rPr>
      <w:rFonts w:ascii="宋体" w:hAnsi="Courier New"/>
      <w:kern w:val="0"/>
      <w:sz w:val="20"/>
      <w:szCs w:val="21"/>
    </w:rPr>
  </w:style>
  <w:style w:type="paragraph" w:styleId="21">
    <w:name w:val="Date"/>
    <w:basedOn w:val="1"/>
    <w:next w:val="1"/>
    <w:link w:val="61"/>
    <w:qFormat/>
    <w:uiPriority w:val="99"/>
    <w:pPr>
      <w:ind w:left="100" w:leftChars="2500"/>
    </w:pPr>
  </w:style>
  <w:style w:type="paragraph" w:styleId="22">
    <w:name w:val="Balloon Text"/>
    <w:basedOn w:val="1"/>
    <w:link w:val="62"/>
    <w:semiHidden/>
    <w:qFormat/>
    <w:uiPriority w:val="99"/>
    <w:rPr>
      <w:sz w:val="18"/>
      <w:szCs w:val="18"/>
    </w:rPr>
  </w:style>
  <w:style w:type="paragraph" w:styleId="23">
    <w:name w:val="footer"/>
    <w:basedOn w:val="1"/>
    <w:next w:val="24"/>
    <w:link w:val="63"/>
    <w:qFormat/>
    <w:uiPriority w:val="99"/>
    <w:pPr>
      <w:tabs>
        <w:tab w:val="center" w:pos="4153"/>
        <w:tab w:val="right" w:pos="8306"/>
      </w:tabs>
      <w:snapToGrid w:val="0"/>
      <w:jc w:val="left"/>
    </w:pPr>
    <w:rPr>
      <w:kern w:val="0"/>
      <w:sz w:val="18"/>
      <w:szCs w:val="18"/>
    </w:rPr>
  </w:style>
  <w:style w:type="paragraph" w:styleId="24">
    <w:name w:val="header"/>
    <w:basedOn w:val="1"/>
    <w:next w:val="1"/>
    <w:link w:val="64"/>
    <w:qFormat/>
    <w:uiPriority w:val="99"/>
    <w:pPr>
      <w:pBdr>
        <w:bottom w:val="single" w:color="auto" w:sz="6" w:space="1"/>
      </w:pBdr>
      <w:tabs>
        <w:tab w:val="center" w:pos="4153"/>
        <w:tab w:val="right" w:pos="8306"/>
      </w:tabs>
      <w:snapToGrid w:val="0"/>
      <w:jc w:val="center"/>
    </w:pPr>
    <w:rPr>
      <w:kern w:val="0"/>
      <w:sz w:val="18"/>
      <w:szCs w:val="18"/>
    </w:rPr>
  </w:style>
  <w:style w:type="paragraph" w:styleId="25">
    <w:name w:val="toc 1"/>
    <w:basedOn w:val="1"/>
    <w:next w:val="1"/>
    <w:qFormat/>
    <w:uiPriority w:val="99"/>
  </w:style>
  <w:style w:type="paragraph" w:styleId="26">
    <w:name w:val="toc 2"/>
    <w:basedOn w:val="1"/>
    <w:next w:val="1"/>
    <w:qFormat/>
    <w:uiPriority w:val="99"/>
    <w:pPr>
      <w:tabs>
        <w:tab w:val="right" w:leader="dot" w:pos="8296"/>
      </w:tabs>
      <w:ind w:left="420" w:leftChars="200"/>
    </w:pPr>
  </w:style>
  <w:style w:type="paragraph" w:styleId="27">
    <w:name w:val="Body Text 2"/>
    <w:basedOn w:val="1"/>
    <w:link w:val="65"/>
    <w:qFormat/>
    <w:uiPriority w:val="99"/>
    <w:rPr>
      <w:rFonts w:ascii="楷体_GB2312" w:eastAsia="楷体_GB2312"/>
      <w:sz w:val="32"/>
    </w:rPr>
  </w:style>
  <w:style w:type="paragraph" w:styleId="28">
    <w:name w:val="List 4"/>
    <w:basedOn w:val="1"/>
    <w:qFormat/>
    <w:uiPriority w:val="99"/>
    <w:pPr>
      <w:ind w:left="100" w:leftChars="600" w:hanging="200" w:hangingChars="200"/>
    </w:pPr>
  </w:style>
  <w:style w:type="paragraph" w:styleId="29">
    <w:name w:val="Normal (Web)"/>
    <w:basedOn w:val="1"/>
    <w:qFormat/>
    <w:uiPriority w:val="99"/>
    <w:rPr>
      <w:rFonts w:ascii="Calibri" w:hAnsi="Calibri"/>
      <w:kern w:val="0"/>
      <w:sz w:val="24"/>
    </w:rPr>
  </w:style>
  <w:style w:type="paragraph" w:styleId="30">
    <w:name w:val="annotation subject"/>
    <w:basedOn w:val="12"/>
    <w:next w:val="12"/>
    <w:link w:val="66"/>
    <w:qFormat/>
    <w:uiPriority w:val="99"/>
    <w:rPr>
      <w:b/>
      <w:bCs/>
    </w:rPr>
  </w:style>
  <w:style w:type="paragraph" w:styleId="31">
    <w:name w:val="Body Text First Indent"/>
    <w:basedOn w:val="14"/>
    <w:qFormat/>
    <w:locked/>
    <w:uiPriority w:val="0"/>
    <w:pPr>
      <w:widowControl w:val="0"/>
      <w:spacing w:before="0" w:after="120"/>
      <w:ind w:left="0" w:right="0" w:firstLine="420" w:firstLineChars="100"/>
      <w:jc w:val="both"/>
    </w:pPr>
    <w:rPr>
      <w:rFonts w:ascii="Times New Roman" w:hAnsi="Times New Roman" w:eastAsia="宋体" w:cs="Times New Roman"/>
      <w:kern w:val="2"/>
      <w:sz w:val="21"/>
      <w:szCs w:val="24"/>
      <w:lang w:val="en-US" w:eastAsia="zh-CN" w:bidi="ar-SA"/>
    </w:rPr>
  </w:style>
  <w:style w:type="paragraph" w:styleId="32">
    <w:name w:val="Body Text First Indent 2"/>
    <w:basedOn w:val="16"/>
    <w:link w:val="67"/>
    <w:qFormat/>
    <w:uiPriority w:val="99"/>
    <w:pPr>
      <w:ind w:firstLine="420" w:firstLineChars="200"/>
    </w:pPr>
  </w:style>
  <w:style w:type="table" w:styleId="34">
    <w:name w:val="Table Grid"/>
    <w:basedOn w:val="33"/>
    <w:qFormat/>
    <w:uiPriority w:val="99"/>
    <w:rPr>
      <w:kern w:val="0"/>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36">
    <w:name w:val="Strong"/>
    <w:basedOn w:val="35"/>
    <w:qFormat/>
    <w:uiPriority w:val="99"/>
    <w:rPr>
      <w:rFonts w:cs="Times New Roman"/>
      <w:b/>
      <w:bCs/>
    </w:rPr>
  </w:style>
  <w:style w:type="character" w:styleId="37">
    <w:name w:val="endnote reference"/>
    <w:basedOn w:val="35"/>
    <w:qFormat/>
    <w:uiPriority w:val="99"/>
    <w:rPr>
      <w:rFonts w:cs="Times New Roman"/>
      <w:vertAlign w:val="superscript"/>
    </w:rPr>
  </w:style>
  <w:style w:type="character" w:styleId="38">
    <w:name w:val="page number"/>
    <w:basedOn w:val="35"/>
    <w:qFormat/>
    <w:locked/>
    <w:uiPriority w:val="0"/>
  </w:style>
  <w:style w:type="character" w:styleId="39">
    <w:name w:val="FollowedHyperlink"/>
    <w:basedOn w:val="35"/>
    <w:qFormat/>
    <w:uiPriority w:val="99"/>
    <w:rPr>
      <w:rFonts w:cs="Times New Roman"/>
      <w:color w:val="800080"/>
      <w:u w:val="none"/>
    </w:rPr>
  </w:style>
  <w:style w:type="character" w:styleId="40">
    <w:name w:val="Emphasis"/>
    <w:basedOn w:val="35"/>
    <w:qFormat/>
    <w:uiPriority w:val="99"/>
    <w:rPr>
      <w:rFonts w:cs="Times New Roman"/>
      <w:b/>
      <w:bCs/>
    </w:rPr>
  </w:style>
  <w:style w:type="character" w:styleId="41">
    <w:name w:val="HTML Definition"/>
    <w:basedOn w:val="35"/>
    <w:qFormat/>
    <w:uiPriority w:val="99"/>
    <w:rPr>
      <w:rFonts w:cs="Times New Roman"/>
    </w:rPr>
  </w:style>
  <w:style w:type="character" w:styleId="42">
    <w:name w:val="HTML Typewriter"/>
    <w:basedOn w:val="35"/>
    <w:qFormat/>
    <w:uiPriority w:val="99"/>
    <w:rPr>
      <w:rFonts w:ascii="monospace" w:hAnsi="monospace" w:eastAsia="Times New Roman" w:cs="monospace"/>
      <w:sz w:val="20"/>
    </w:rPr>
  </w:style>
  <w:style w:type="character" w:styleId="43">
    <w:name w:val="HTML Acronym"/>
    <w:basedOn w:val="35"/>
    <w:qFormat/>
    <w:uiPriority w:val="99"/>
    <w:rPr>
      <w:rFonts w:cs="Times New Roman"/>
    </w:rPr>
  </w:style>
  <w:style w:type="character" w:styleId="44">
    <w:name w:val="HTML Variable"/>
    <w:basedOn w:val="35"/>
    <w:qFormat/>
    <w:uiPriority w:val="99"/>
    <w:rPr>
      <w:rFonts w:cs="Times New Roman"/>
    </w:rPr>
  </w:style>
  <w:style w:type="character" w:styleId="45">
    <w:name w:val="Hyperlink"/>
    <w:basedOn w:val="35"/>
    <w:qFormat/>
    <w:uiPriority w:val="99"/>
    <w:rPr>
      <w:rFonts w:cs="Times New Roman"/>
      <w:color w:val="0000FF"/>
      <w:u w:val="none"/>
    </w:rPr>
  </w:style>
  <w:style w:type="character" w:styleId="46">
    <w:name w:val="HTML Code"/>
    <w:basedOn w:val="35"/>
    <w:qFormat/>
    <w:uiPriority w:val="99"/>
    <w:rPr>
      <w:rFonts w:ascii="monospace" w:hAnsi="monospace" w:eastAsia="Times New Roman" w:cs="monospace"/>
      <w:sz w:val="20"/>
    </w:rPr>
  </w:style>
  <w:style w:type="character" w:styleId="47">
    <w:name w:val="annotation reference"/>
    <w:basedOn w:val="35"/>
    <w:qFormat/>
    <w:uiPriority w:val="99"/>
    <w:rPr>
      <w:rFonts w:cs="Times New Roman"/>
      <w:sz w:val="21"/>
    </w:rPr>
  </w:style>
  <w:style w:type="character" w:styleId="48">
    <w:name w:val="HTML Cite"/>
    <w:basedOn w:val="35"/>
    <w:qFormat/>
    <w:uiPriority w:val="99"/>
    <w:rPr>
      <w:rFonts w:cs="Times New Roman"/>
    </w:rPr>
  </w:style>
  <w:style w:type="character" w:styleId="49">
    <w:name w:val="HTML Keyboard"/>
    <w:basedOn w:val="35"/>
    <w:qFormat/>
    <w:uiPriority w:val="99"/>
    <w:rPr>
      <w:rFonts w:ascii="monospace" w:hAnsi="monospace" w:eastAsia="Times New Roman" w:cs="monospace"/>
      <w:sz w:val="20"/>
    </w:rPr>
  </w:style>
  <w:style w:type="character" w:styleId="50">
    <w:name w:val="HTML Sample"/>
    <w:basedOn w:val="35"/>
    <w:qFormat/>
    <w:uiPriority w:val="99"/>
    <w:rPr>
      <w:rFonts w:ascii="monospace" w:hAnsi="monospace" w:eastAsia="Times New Roman" w:cs="monospace"/>
    </w:rPr>
  </w:style>
  <w:style w:type="character" w:customStyle="1" w:styleId="51">
    <w:name w:val="Heading 1 Char"/>
    <w:basedOn w:val="35"/>
    <w:link w:val="3"/>
    <w:qFormat/>
    <w:locked/>
    <w:uiPriority w:val="99"/>
    <w:rPr>
      <w:b/>
      <w:kern w:val="44"/>
      <w:sz w:val="44"/>
    </w:rPr>
  </w:style>
  <w:style w:type="character" w:customStyle="1" w:styleId="52">
    <w:name w:val="Heading 2 Char"/>
    <w:basedOn w:val="35"/>
    <w:link w:val="4"/>
    <w:qFormat/>
    <w:locked/>
    <w:uiPriority w:val="99"/>
    <w:rPr>
      <w:rFonts w:ascii="Cambria" w:hAnsi="Cambria" w:eastAsia="宋体"/>
      <w:b/>
      <w:kern w:val="2"/>
      <w:sz w:val="32"/>
    </w:rPr>
  </w:style>
  <w:style w:type="character" w:customStyle="1" w:styleId="53">
    <w:name w:val="Heading 4 Char"/>
    <w:basedOn w:val="35"/>
    <w:link w:val="6"/>
    <w:semiHidden/>
    <w:qFormat/>
    <w:uiPriority w:val="9"/>
    <w:rPr>
      <w:rFonts w:asciiTheme="majorHAnsi" w:hAnsiTheme="majorHAnsi" w:eastAsiaTheme="majorEastAsia" w:cstheme="majorBidi"/>
      <w:b/>
      <w:bCs/>
      <w:sz w:val="28"/>
      <w:szCs w:val="28"/>
    </w:rPr>
  </w:style>
  <w:style w:type="character" w:customStyle="1" w:styleId="54">
    <w:name w:val="Heading 5 Char"/>
    <w:basedOn w:val="35"/>
    <w:link w:val="7"/>
    <w:semiHidden/>
    <w:qFormat/>
    <w:locked/>
    <w:uiPriority w:val="99"/>
    <w:rPr>
      <w:rFonts w:ascii="Times New Roman" w:hAnsi="Times New Roman"/>
      <w:b/>
      <w:kern w:val="2"/>
      <w:sz w:val="28"/>
    </w:rPr>
  </w:style>
  <w:style w:type="character" w:customStyle="1" w:styleId="55">
    <w:name w:val="Heading 8 Char"/>
    <w:basedOn w:val="35"/>
    <w:link w:val="8"/>
    <w:semiHidden/>
    <w:qFormat/>
    <w:locked/>
    <w:uiPriority w:val="99"/>
    <w:rPr>
      <w:rFonts w:ascii="等线 Light" w:hAnsi="等线 Light" w:eastAsia="等线 Light"/>
      <w:kern w:val="2"/>
      <w:sz w:val="24"/>
    </w:rPr>
  </w:style>
  <w:style w:type="character" w:customStyle="1" w:styleId="56">
    <w:name w:val="Comment Text Char"/>
    <w:basedOn w:val="35"/>
    <w:link w:val="12"/>
    <w:qFormat/>
    <w:locked/>
    <w:uiPriority w:val="99"/>
    <w:rPr>
      <w:rFonts w:ascii="Times New Roman" w:hAnsi="Times New Roman"/>
      <w:kern w:val="2"/>
      <w:sz w:val="24"/>
    </w:rPr>
  </w:style>
  <w:style w:type="character" w:customStyle="1" w:styleId="57">
    <w:name w:val="Body Text 3 Char"/>
    <w:basedOn w:val="35"/>
    <w:link w:val="13"/>
    <w:semiHidden/>
    <w:qFormat/>
    <w:locked/>
    <w:uiPriority w:val="99"/>
    <w:rPr>
      <w:kern w:val="2"/>
      <w:sz w:val="16"/>
    </w:rPr>
  </w:style>
  <w:style w:type="character" w:customStyle="1" w:styleId="58">
    <w:name w:val="Body Text Char"/>
    <w:basedOn w:val="35"/>
    <w:link w:val="14"/>
    <w:qFormat/>
    <w:locked/>
    <w:uiPriority w:val="99"/>
    <w:rPr>
      <w:rFonts w:ascii="Times New Roman" w:hAnsi="Times New Roman"/>
      <w:kern w:val="2"/>
      <w:sz w:val="24"/>
    </w:rPr>
  </w:style>
  <w:style w:type="character" w:customStyle="1" w:styleId="59">
    <w:name w:val="Body Text Indent Char"/>
    <w:basedOn w:val="35"/>
    <w:link w:val="16"/>
    <w:qFormat/>
    <w:locked/>
    <w:uiPriority w:val="99"/>
    <w:rPr>
      <w:rFonts w:ascii="仿宋_GB2312" w:hAnsi="Times New Roman" w:eastAsia="仿宋_GB2312"/>
      <w:sz w:val="20"/>
    </w:rPr>
  </w:style>
  <w:style w:type="character" w:customStyle="1" w:styleId="60">
    <w:name w:val="Plain Text Char"/>
    <w:basedOn w:val="35"/>
    <w:link w:val="20"/>
    <w:qFormat/>
    <w:locked/>
    <w:uiPriority w:val="99"/>
    <w:rPr>
      <w:rFonts w:ascii="宋体" w:hAnsi="Courier New" w:eastAsia="宋体"/>
      <w:sz w:val="21"/>
    </w:rPr>
  </w:style>
  <w:style w:type="character" w:customStyle="1" w:styleId="61">
    <w:name w:val="Date Char"/>
    <w:basedOn w:val="35"/>
    <w:link w:val="21"/>
    <w:semiHidden/>
    <w:qFormat/>
    <w:locked/>
    <w:uiPriority w:val="99"/>
    <w:rPr>
      <w:rFonts w:ascii="Times New Roman" w:hAnsi="Times New Roman"/>
      <w:kern w:val="2"/>
      <w:sz w:val="24"/>
    </w:rPr>
  </w:style>
  <w:style w:type="character" w:customStyle="1" w:styleId="62">
    <w:name w:val="Balloon Text Char"/>
    <w:basedOn w:val="35"/>
    <w:link w:val="22"/>
    <w:semiHidden/>
    <w:qFormat/>
    <w:uiPriority w:val="99"/>
    <w:rPr>
      <w:sz w:val="0"/>
      <w:szCs w:val="0"/>
    </w:rPr>
  </w:style>
  <w:style w:type="character" w:customStyle="1" w:styleId="63">
    <w:name w:val="Footer Char"/>
    <w:basedOn w:val="35"/>
    <w:link w:val="23"/>
    <w:qFormat/>
    <w:locked/>
    <w:uiPriority w:val="99"/>
    <w:rPr>
      <w:sz w:val="18"/>
    </w:rPr>
  </w:style>
  <w:style w:type="character" w:customStyle="1" w:styleId="64">
    <w:name w:val="Header Char"/>
    <w:basedOn w:val="35"/>
    <w:link w:val="24"/>
    <w:qFormat/>
    <w:locked/>
    <w:uiPriority w:val="99"/>
    <w:rPr>
      <w:sz w:val="18"/>
    </w:rPr>
  </w:style>
  <w:style w:type="character" w:customStyle="1" w:styleId="65">
    <w:name w:val="Body Text 2 Char"/>
    <w:basedOn w:val="35"/>
    <w:link w:val="27"/>
    <w:semiHidden/>
    <w:qFormat/>
    <w:uiPriority w:val="99"/>
    <w:rPr>
      <w:szCs w:val="24"/>
    </w:rPr>
  </w:style>
  <w:style w:type="character" w:customStyle="1" w:styleId="66">
    <w:name w:val="Comment Subject Char"/>
    <w:basedOn w:val="56"/>
    <w:link w:val="30"/>
    <w:qFormat/>
    <w:locked/>
    <w:uiPriority w:val="99"/>
    <w:rPr>
      <w:b/>
    </w:rPr>
  </w:style>
  <w:style w:type="character" w:customStyle="1" w:styleId="67">
    <w:name w:val="Body Text First Indent 2 Char"/>
    <w:basedOn w:val="59"/>
    <w:link w:val="32"/>
    <w:semiHidden/>
    <w:qFormat/>
    <w:uiPriority w:val="99"/>
    <w:rPr>
      <w:szCs w:val="24"/>
    </w:rPr>
  </w:style>
  <w:style w:type="paragraph" w:customStyle="1" w:styleId="68">
    <w:name w:val="首行缩进"/>
    <w:basedOn w:val="1"/>
    <w:qFormat/>
    <w:uiPriority w:val="99"/>
    <w:pPr>
      <w:spacing w:line="360" w:lineRule="auto"/>
      <w:ind w:firstLine="480" w:firstLineChars="200"/>
      <w:jc w:val="left"/>
    </w:pPr>
    <w:rPr>
      <w:rFonts w:ascii="宋体" w:hAnsi="宋体"/>
      <w:sz w:val="24"/>
    </w:rPr>
  </w:style>
  <w:style w:type="paragraph" w:customStyle="1" w:styleId="69">
    <w:name w:val="正文文本1"/>
    <w:basedOn w:val="1"/>
    <w:next w:val="1"/>
    <w:qFormat/>
    <w:uiPriority w:val="99"/>
    <w:pPr>
      <w:spacing w:after="120"/>
    </w:pPr>
    <w:rPr>
      <w:sz w:val="20"/>
    </w:rPr>
  </w:style>
  <w:style w:type="character" w:customStyle="1" w:styleId="70">
    <w:name w:val="标题 1 Char"/>
    <w:basedOn w:val="35"/>
    <w:link w:val="3"/>
    <w:qFormat/>
    <w:uiPriority w:val="99"/>
    <w:rPr>
      <w:rFonts w:cs="Times New Roman"/>
      <w:b/>
      <w:bCs/>
      <w:kern w:val="44"/>
      <w:sz w:val="44"/>
      <w:szCs w:val="44"/>
    </w:rPr>
  </w:style>
  <w:style w:type="paragraph" w:customStyle="1" w:styleId="71">
    <w:name w:val="Default"/>
    <w:next w:val="72"/>
    <w:qFormat/>
    <w:uiPriority w:val="99"/>
    <w:pPr>
      <w:autoSpaceDE w:val="0"/>
      <w:autoSpaceDN w:val="0"/>
      <w:adjustRightInd w:val="0"/>
    </w:pPr>
    <w:rPr>
      <w:rFonts w:ascii="Arial" w:hAnsi="Arial" w:eastAsia="宋体" w:cs="Arial"/>
      <w:color w:val="000000"/>
      <w:kern w:val="0"/>
      <w:sz w:val="24"/>
      <w:szCs w:val="24"/>
      <w:lang w:val="en-US" w:eastAsia="zh-CN" w:bidi="ar-SA"/>
    </w:rPr>
  </w:style>
  <w:style w:type="paragraph" w:customStyle="1" w:styleId="72">
    <w:name w:val="正文文字 6"/>
    <w:next w:val="1"/>
    <w:qFormat/>
    <w:uiPriority w:val="99"/>
    <w:pPr>
      <w:widowControl w:val="0"/>
      <w:ind w:left="240"/>
      <w:jc w:val="both"/>
    </w:pPr>
    <w:rPr>
      <w:rFonts w:ascii="宋体" w:hAnsi="Times New Roman" w:eastAsia="宋体" w:cs="Times New Roman"/>
      <w:b/>
      <w:bCs/>
      <w:kern w:val="2"/>
      <w:sz w:val="32"/>
      <w:szCs w:val="32"/>
      <w:lang w:val="en-US" w:eastAsia="zh-CN" w:bidi="ar-SA"/>
    </w:rPr>
  </w:style>
  <w:style w:type="character" w:customStyle="1" w:styleId="73">
    <w:name w:val="纯文本 字符2"/>
    <w:qFormat/>
    <w:uiPriority w:val="99"/>
    <w:rPr>
      <w:rFonts w:ascii="宋体" w:hAnsi="Courier New" w:eastAsia="宋体"/>
      <w:sz w:val="21"/>
    </w:rPr>
  </w:style>
  <w:style w:type="character" w:customStyle="1" w:styleId="74">
    <w:name w:val="apple-style-span"/>
    <w:basedOn w:val="35"/>
    <w:qFormat/>
    <w:uiPriority w:val="99"/>
    <w:rPr>
      <w:rFonts w:cs="Times New Roman"/>
    </w:rPr>
  </w:style>
  <w:style w:type="character" w:customStyle="1" w:styleId="75">
    <w:name w:val="标题 2 Char"/>
    <w:qFormat/>
    <w:uiPriority w:val="99"/>
    <w:rPr>
      <w:rFonts w:ascii="Cambria" w:hAnsi="Cambria" w:eastAsia="宋体"/>
      <w:b/>
      <w:kern w:val="2"/>
      <w:sz w:val="32"/>
    </w:rPr>
  </w:style>
  <w:style w:type="character" w:customStyle="1" w:styleId="76">
    <w:name w:val="纯文本 字符"/>
    <w:qFormat/>
    <w:uiPriority w:val="99"/>
    <w:rPr>
      <w:rFonts w:ascii="宋体" w:hAnsi="Courier New" w:eastAsia="宋体"/>
      <w:sz w:val="21"/>
    </w:rPr>
  </w:style>
  <w:style w:type="character" w:customStyle="1" w:styleId="77">
    <w:name w:val="纯文本 字符1"/>
    <w:qFormat/>
    <w:uiPriority w:val="99"/>
    <w:rPr>
      <w:rFonts w:ascii="宋体" w:hAnsi="Courier New"/>
    </w:rPr>
  </w:style>
  <w:style w:type="character" w:customStyle="1" w:styleId="78">
    <w:name w:val="标题 8 Char"/>
    <w:qFormat/>
    <w:uiPriority w:val="99"/>
    <w:rPr>
      <w:rFonts w:ascii="Arial" w:hAnsi="Arial" w:eastAsia="黑体"/>
      <w:kern w:val="2"/>
      <w:sz w:val="24"/>
    </w:rPr>
  </w:style>
  <w:style w:type="character" w:customStyle="1" w:styleId="79">
    <w:name w:val="纯文本 Char"/>
    <w:qFormat/>
    <w:uiPriority w:val="99"/>
    <w:rPr>
      <w:rFonts w:ascii="宋体" w:hAnsi="Courier New" w:eastAsia="宋体"/>
      <w:sz w:val="21"/>
    </w:rPr>
  </w:style>
  <w:style w:type="character" w:customStyle="1" w:styleId="80">
    <w:name w:val="正文文本 Char"/>
    <w:qFormat/>
    <w:uiPriority w:val="99"/>
    <w:rPr>
      <w:rFonts w:ascii="Times New Roman" w:hAnsi="Times New Roman"/>
      <w:kern w:val="2"/>
      <w:sz w:val="24"/>
    </w:rPr>
  </w:style>
  <w:style w:type="character" w:customStyle="1" w:styleId="81">
    <w:name w:val="批注文字 字符1"/>
    <w:qFormat/>
    <w:uiPriority w:val="99"/>
    <w:rPr>
      <w:rFonts w:ascii="Times New Roman" w:hAnsi="Times New Roman"/>
      <w:kern w:val="2"/>
      <w:sz w:val="24"/>
    </w:rPr>
  </w:style>
  <w:style w:type="character" w:customStyle="1" w:styleId="82">
    <w:name w:val="正文文本 (26) + 间距 0 pt"/>
    <w:qFormat/>
    <w:uiPriority w:val="99"/>
    <w:rPr>
      <w:rFonts w:ascii="宋体" w:hAnsi="宋体" w:eastAsia="宋体"/>
      <w:color w:val="000000"/>
      <w:spacing w:val="0"/>
      <w:w w:val="100"/>
      <w:position w:val="0"/>
      <w:sz w:val="22"/>
      <w:u w:val="none"/>
      <w:lang w:val="zh-CN" w:eastAsia="zh-CN"/>
    </w:rPr>
  </w:style>
  <w:style w:type="character" w:customStyle="1" w:styleId="83">
    <w:name w:val="正文文本 字符"/>
    <w:qFormat/>
    <w:uiPriority w:val="99"/>
    <w:rPr>
      <w:rFonts w:ascii="Times New Roman" w:hAnsi="Times New Roman"/>
      <w:kern w:val="2"/>
      <w:sz w:val="24"/>
    </w:rPr>
  </w:style>
  <w:style w:type="character" w:customStyle="1" w:styleId="84">
    <w:name w:val="批注文字 字符"/>
    <w:qFormat/>
    <w:uiPriority w:val="99"/>
    <w:rPr>
      <w:rFonts w:ascii="Times New Roman" w:hAnsi="Times New Roman"/>
      <w:kern w:val="2"/>
      <w:sz w:val="24"/>
    </w:rPr>
  </w:style>
  <w:style w:type="character" w:customStyle="1" w:styleId="85">
    <w:name w:val="textcontents"/>
    <w:basedOn w:val="35"/>
    <w:qFormat/>
    <w:uiPriority w:val="99"/>
    <w:rPr>
      <w:rFonts w:cs="Times New Roman"/>
    </w:rPr>
  </w:style>
  <w:style w:type="character" w:customStyle="1" w:styleId="86">
    <w:name w:val="批注文字 Char"/>
    <w:qFormat/>
    <w:uiPriority w:val="99"/>
    <w:rPr>
      <w:rFonts w:ascii="Times New Roman" w:hAnsi="Times New Roman"/>
      <w:kern w:val="2"/>
      <w:sz w:val="24"/>
    </w:rPr>
  </w:style>
  <w:style w:type="paragraph" w:customStyle="1" w:styleId="87">
    <w:name w:val="表内文字"/>
    <w:basedOn w:val="1"/>
    <w:qFormat/>
    <w:uiPriority w:val="99"/>
    <w:pPr>
      <w:snapToGrid w:val="0"/>
      <w:spacing w:before="50" w:after="50"/>
      <w:jc w:val="center"/>
    </w:pPr>
    <w:rPr>
      <w:rFonts w:ascii="仿宋_GB2312" w:hAnsi="宋体" w:eastAsia="仿宋_GB2312"/>
      <w:b/>
      <w:color w:val="000000"/>
      <w:sz w:val="32"/>
      <w:szCs w:val="32"/>
    </w:rPr>
  </w:style>
  <w:style w:type="paragraph" w:customStyle="1" w:styleId="88">
    <w:name w:val="List Paragraph1"/>
    <w:basedOn w:val="1"/>
    <w:qFormat/>
    <w:uiPriority w:val="99"/>
    <w:pPr>
      <w:ind w:firstLine="420" w:firstLineChars="200"/>
    </w:pPr>
  </w:style>
  <w:style w:type="paragraph" w:customStyle="1" w:styleId="89">
    <w:name w:val="默认段落字体 Para Char Char Char Char Char Char Char Char Char1 Char Char Char Char"/>
    <w:basedOn w:val="1"/>
    <w:qFormat/>
    <w:uiPriority w:val="99"/>
    <w:rPr>
      <w:rFonts w:ascii="Tahoma" w:hAnsi="Tahoma"/>
      <w:sz w:val="24"/>
      <w:szCs w:val="20"/>
    </w:rPr>
  </w:style>
  <w:style w:type="paragraph" w:customStyle="1" w:styleId="90">
    <w:name w:val="Table Paragraph"/>
    <w:basedOn w:val="1"/>
    <w:qFormat/>
    <w:uiPriority w:val="99"/>
    <w:pPr>
      <w:jc w:val="left"/>
    </w:pPr>
    <w:rPr>
      <w:rFonts w:ascii="Calibri" w:hAnsi="Calibri"/>
      <w:kern w:val="0"/>
      <w:sz w:val="22"/>
      <w:szCs w:val="22"/>
      <w:lang w:eastAsia="en-US"/>
    </w:rPr>
  </w:style>
  <w:style w:type="paragraph" w:customStyle="1" w:styleId="91">
    <w:name w:val="表格文字"/>
    <w:basedOn w:val="1"/>
    <w:next w:val="14"/>
    <w:qFormat/>
    <w:uiPriority w:val="99"/>
    <w:pPr>
      <w:spacing w:before="25" w:after="25"/>
      <w:jc w:val="left"/>
    </w:pPr>
    <w:rPr>
      <w:bCs/>
      <w:spacing w:val="10"/>
      <w:kern w:val="0"/>
      <w:sz w:val="24"/>
    </w:rPr>
  </w:style>
  <w:style w:type="paragraph" w:customStyle="1" w:styleId="92">
    <w:name w:val="p15"/>
    <w:basedOn w:val="1"/>
    <w:qFormat/>
    <w:uiPriority w:val="99"/>
    <w:pPr>
      <w:widowControl/>
    </w:pPr>
    <w:rPr>
      <w:kern w:val="0"/>
      <w:szCs w:val="21"/>
    </w:rPr>
  </w:style>
  <w:style w:type="paragraph" w:customStyle="1" w:styleId="93">
    <w:name w:val="pa-1"/>
    <w:basedOn w:val="1"/>
    <w:qFormat/>
    <w:uiPriority w:val="99"/>
    <w:pPr>
      <w:widowControl/>
      <w:spacing w:line="280" w:lineRule="atLeast"/>
    </w:pPr>
    <w:rPr>
      <w:rFonts w:ascii="宋体" w:hAnsi="宋体" w:cs="宋体"/>
      <w:kern w:val="0"/>
      <w:sz w:val="24"/>
    </w:rPr>
  </w:style>
  <w:style w:type="character" w:customStyle="1" w:styleId="94">
    <w:name w:val="ca-21"/>
    <w:qFormat/>
    <w:uiPriority w:val="99"/>
    <w:rPr>
      <w:rFonts w:ascii="宋体" w:hAnsi="宋体" w:eastAsia="宋体"/>
      <w:sz w:val="21"/>
    </w:rPr>
  </w:style>
  <w:style w:type="paragraph" w:customStyle="1" w:styleId="95">
    <w:name w:val="pa-3"/>
    <w:basedOn w:val="1"/>
    <w:qFormat/>
    <w:uiPriority w:val="99"/>
    <w:pPr>
      <w:widowControl/>
      <w:spacing w:line="240" w:lineRule="atLeast"/>
    </w:pPr>
    <w:rPr>
      <w:rFonts w:ascii="宋体" w:hAnsi="宋体" w:cs="宋体"/>
      <w:kern w:val="0"/>
      <w:sz w:val="24"/>
    </w:rPr>
  </w:style>
  <w:style w:type="character" w:customStyle="1" w:styleId="96">
    <w:name w:val="ca-41"/>
    <w:qFormat/>
    <w:uiPriority w:val="99"/>
    <w:rPr>
      <w:rFonts w:ascii="宋体" w:hAnsi="宋体" w:eastAsia="宋体"/>
      <w:color w:val="FF0000"/>
      <w:sz w:val="21"/>
    </w:rPr>
  </w:style>
  <w:style w:type="paragraph" w:customStyle="1" w:styleId="97">
    <w:name w:val="正文文本首行缩进 21"/>
    <w:basedOn w:val="98"/>
    <w:qFormat/>
    <w:uiPriority w:val="99"/>
    <w:pPr>
      <w:ind w:firstLine="420"/>
    </w:pPr>
  </w:style>
  <w:style w:type="paragraph" w:customStyle="1" w:styleId="98">
    <w:name w:val="Body Text Indent1"/>
    <w:basedOn w:val="1"/>
    <w:qFormat/>
    <w:uiPriority w:val="99"/>
    <w:pPr>
      <w:adjustRightInd w:val="0"/>
      <w:snapToGrid w:val="0"/>
      <w:spacing w:line="400" w:lineRule="exact"/>
      <w:ind w:firstLine="560" w:firstLineChars="200"/>
    </w:pPr>
    <w:rPr>
      <w:sz w:val="28"/>
    </w:rPr>
  </w:style>
  <w:style w:type="character" w:customStyle="1" w:styleId="99">
    <w:name w:val="hover1"/>
    <w:basedOn w:val="35"/>
    <w:qFormat/>
    <w:uiPriority w:val="99"/>
    <w:rPr>
      <w:rFonts w:cs="Times New Roman"/>
      <w:color w:val="2590EB"/>
    </w:rPr>
  </w:style>
  <w:style w:type="character" w:customStyle="1" w:styleId="100">
    <w:name w:val="hover2"/>
    <w:basedOn w:val="35"/>
    <w:qFormat/>
    <w:uiPriority w:val="99"/>
    <w:rPr>
      <w:rFonts w:cs="Times New Roman"/>
      <w:color w:val="2590EB"/>
    </w:rPr>
  </w:style>
  <w:style w:type="character" w:customStyle="1" w:styleId="101">
    <w:name w:val="hover3"/>
    <w:basedOn w:val="35"/>
    <w:qFormat/>
    <w:uiPriority w:val="99"/>
    <w:rPr>
      <w:rFonts w:cs="Times New Roman"/>
    </w:rPr>
  </w:style>
  <w:style w:type="character" w:customStyle="1" w:styleId="102">
    <w:name w:val="hover"/>
    <w:basedOn w:val="35"/>
    <w:qFormat/>
    <w:uiPriority w:val="99"/>
    <w:rPr>
      <w:rFonts w:cs="Times New Roman"/>
      <w:color w:val="2590EB"/>
    </w:rPr>
  </w:style>
  <w:style w:type="paragraph" w:customStyle="1" w:styleId="103">
    <w:name w:val="Other|1"/>
    <w:basedOn w:val="1"/>
    <w:qFormat/>
    <w:uiPriority w:val="99"/>
    <w:pPr>
      <w:spacing w:line="480" w:lineRule="auto"/>
      <w:ind w:firstLine="400"/>
    </w:pPr>
    <w:rPr>
      <w:rFonts w:ascii="宋体" w:hAnsi="宋体" w:cs="宋体"/>
      <w:sz w:val="19"/>
      <w:szCs w:val="19"/>
      <w:lang w:val="zh-TW" w:eastAsia="zh-TW"/>
    </w:rPr>
  </w:style>
  <w:style w:type="table" w:customStyle="1" w:styleId="104">
    <w:name w:val="Table Normal1"/>
    <w:qFormat/>
    <w:uiPriority w:val="99"/>
    <w:pPr>
      <w:widowControl w:val="0"/>
      <w:autoSpaceDE w:val="0"/>
      <w:autoSpaceDN w:val="0"/>
    </w:pPr>
    <w:rPr>
      <w:kern w:val="0"/>
      <w:sz w:val="22"/>
      <w:szCs w:val="20"/>
      <w:lang w:eastAsia="en-US"/>
    </w:rPr>
    <w:tblPr>
      <w:tblCellMar>
        <w:top w:w="0" w:type="dxa"/>
        <w:left w:w="0" w:type="dxa"/>
        <w:bottom w:w="0" w:type="dxa"/>
        <w:right w:w="0" w:type="dxa"/>
      </w:tblCellMar>
    </w:tblPr>
  </w:style>
  <w:style w:type="character" w:customStyle="1" w:styleId="105">
    <w:name w:val="font01"/>
    <w:basedOn w:val="35"/>
    <w:qFormat/>
    <w:uiPriority w:val="99"/>
    <w:rPr>
      <w:rFonts w:ascii="宋体" w:hAnsi="宋体" w:eastAsia="宋体" w:cs="宋体"/>
      <w:color w:val="000000"/>
      <w:sz w:val="22"/>
      <w:szCs w:val="22"/>
      <w:u w:val="none"/>
    </w:rPr>
  </w:style>
  <w:style w:type="paragraph" w:customStyle="1" w:styleId="106">
    <w:name w:val="WPSOffice手动目录 1"/>
    <w:qFormat/>
    <w:uiPriority w:val="99"/>
    <w:rPr>
      <w:rFonts w:ascii="Times New Roman" w:hAnsi="Times New Roman" w:eastAsia="宋体" w:cs="Times New Roman"/>
      <w:kern w:val="0"/>
      <w:sz w:val="20"/>
      <w:szCs w:val="20"/>
      <w:lang w:val="en-US" w:eastAsia="zh-CN" w:bidi="ar-SA"/>
    </w:rPr>
  </w:style>
  <w:style w:type="paragraph" w:customStyle="1" w:styleId="107">
    <w:name w:val="Table Text"/>
    <w:basedOn w:val="1"/>
    <w:semiHidden/>
    <w:qFormat/>
    <w:uiPriority w:val="99"/>
    <w:rPr>
      <w:rFonts w:ascii="宋体" w:hAnsi="宋体" w:cs="宋体"/>
      <w:sz w:val="20"/>
      <w:szCs w:val="20"/>
      <w:lang w:eastAsia="en-US"/>
    </w:rPr>
  </w:style>
  <w:style w:type="table" w:customStyle="1" w:styleId="108">
    <w:name w:val="Table Normal2"/>
    <w:semiHidden/>
    <w:qFormat/>
    <w:uiPriority w:val="99"/>
    <w:rPr>
      <w:kern w:val="0"/>
      <w:sz w:val="20"/>
      <w:szCs w:val="20"/>
    </w:rPr>
    <w:tblPr>
      <w:tblCellMar>
        <w:top w:w="0" w:type="dxa"/>
        <w:left w:w="0" w:type="dxa"/>
        <w:bottom w:w="0" w:type="dxa"/>
        <w:right w:w="0" w:type="dxa"/>
      </w:tblCellMar>
    </w:tblPr>
  </w:style>
  <w:style w:type="paragraph" w:customStyle="1" w:styleId="109">
    <w:name w:val="Char"/>
    <w:basedOn w:val="1"/>
    <w:qFormat/>
    <w:uiPriority w:val="99"/>
    <w:pPr>
      <w:widowControl/>
      <w:adjustRightInd w:val="0"/>
      <w:snapToGrid w:val="0"/>
      <w:spacing w:after="160" w:line="240" w:lineRule="exact"/>
      <w:jc w:val="left"/>
    </w:pPr>
    <w:rPr>
      <w:szCs w:val="20"/>
    </w:rPr>
  </w:style>
  <w:style w:type="table" w:customStyle="1" w:styleId="110">
    <w:name w:val="Table Normal"/>
    <w:unhideWhenUsed/>
    <w:qFormat/>
    <w:uiPriority w:val="0"/>
    <w:tblPr>
      <w:tblCellMar>
        <w:top w:w="0" w:type="dxa"/>
        <w:left w:w="0" w:type="dxa"/>
        <w:bottom w:w="0" w:type="dxa"/>
        <w:right w:w="0" w:type="dxa"/>
      </w:tblCellMar>
    </w:tblPr>
  </w:style>
  <w:style w:type="paragraph" w:customStyle="1" w:styleId="111">
    <w:name w:val="*正文"/>
    <w:basedOn w:val="1"/>
    <w:qFormat/>
    <w:uiPriority w:val="0"/>
    <w:pPr>
      <w:spacing w:line="360" w:lineRule="auto"/>
      <w:ind w:firstLine="200" w:firstLineChars="200"/>
    </w:pPr>
    <w:rPr>
      <w:rFonts w:ascii="宋体" w:hAnsi="宋体"/>
    </w:rPr>
  </w:style>
  <w:style w:type="character" w:customStyle="1" w:styleId="112">
    <w:name w:val="font11"/>
    <w:qFormat/>
    <w:uiPriority w:val="0"/>
    <w:rPr>
      <w:rFonts w:hint="eastAsia" w:ascii="仿宋" w:hAnsi="仿宋" w:eastAsia="仿宋" w:cs="仿宋"/>
      <w:b/>
      <w:bCs/>
      <w:color w:val="000000"/>
      <w:sz w:val="21"/>
      <w:szCs w:val="21"/>
      <w:u w:val="none"/>
    </w:rPr>
  </w:style>
  <w:style w:type="paragraph" w:customStyle="1" w:styleId="113">
    <w:name w:val="列出段落1"/>
    <w:basedOn w:val="1"/>
    <w:qFormat/>
    <w:uiPriority w:val="0"/>
    <w:pPr>
      <w:ind w:firstLine="420" w:firstLineChars="200"/>
    </w:pPr>
    <w:rPr>
      <w:rFonts w:ascii="Times New Roman" w:hAnsi="Times New Roman"/>
    </w:rPr>
  </w:style>
  <w:style w:type="paragraph" w:customStyle="1" w:styleId="114">
    <w:name w:val="Normal_0"/>
    <w:basedOn w:val="115"/>
    <w:qFormat/>
    <w:uiPriority w:val="0"/>
    <w:pPr>
      <w:widowControl/>
      <w:spacing w:line="384" w:lineRule="auto"/>
      <w:jc w:val="left"/>
    </w:pPr>
    <w:rPr>
      <w:rFonts w:ascii="宋体" w:hAnsi="宋体" w:cs="宋体"/>
      <w:kern w:val="0"/>
      <w:sz w:val="24"/>
      <w:szCs w:val="24"/>
    </w:rPr>
  </w:style>
  <w:style w:type="paragraph" w:customStyle="1" w:styleId="115">
    <w:name w:val="正文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6">
    <w:name w:val="正文_2"/>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7">
    <w:name w:val="正文_3"/>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8">
    <w:name w:val="正文_6"/>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9">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0">
    <w:name w:val="无间隔1"/>
    <w:qFormat/>
    <w:uiPriority w:val="99"/>
    <w:pPr>
      <w:widowControl w:val="0"/>
      <w:jc w:val="both"/>
    </w:pPr>
    <w:rPr>
      <w:rFonts w:ascii="Times New Roman" w:hAnsi="Times New Roman" w:eastAsia="宋体" w:cs="Times New Roman"/>
      <w:kern w:val="2"/>
      <w:sz w:val="21"/>
      <w:szCs w:val="21"/>
      <w:lang w:val="en-US" w:eastAsia="zh-CN" w:bidi="ar-SA"/>
    </w:rPr>
  </w:style>
  <w:style w:type="paragraph" w:customStyle="1" w:styleId="121">
    <w:name w:val="正文_1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2">
    <w:name w:val="正文_1"/>
    <w:qFormat/>
    <w:uiPriority w:val="99"/>
    <w:pPr>
      <w:widowControl w:val="0"/>
      <w:jc w:val="both"/>
    </w:pPr>
    <w:rPr>
      <w:rFonts w:ascii="Times New Roman" w:hAnsi="Times New Roman" w:eastAsia="宋体" w:cs="Times New Roman"/>
      <w:kern w:val="2"/>
      <w:sz w:val="21"/>
      <w:szCs w:val="24"/>
      <w:lang w:val="en-US" w:eastAsia="zh-CN" w:bidi="ar-SA"/>
    </w:rPr>
  </w:style>
  <w:style w:type="character" w:customStyle="1" w:styleId="123">
    <w:name w:val="样式 宋体 小四 加粗 黑色"/>
    <w:qFormat/>
    <w:uiPriority w:val="0"/>
    <w:rPr>
      <w:rFonts w:ascii="宋体" w:hAnsi="宋体"/>
      <w:b/>
      <w:bCs/>
      <w:color w:val="000000"/>
      <w:sz w:val="24"/>
    </w:rPr>
  </w:style>
  <w:style w:type="paragraph" w:customStyle="1" w:styleId="124">
    <w:name w:val="正文文本 (19)"/>
    <w:basedOn w:val="1"/>
    <w:qFormat/>
    <w:uiPriority w:val="0"/>
    <w:pPr>
      <w:shd w:val="clear" w:color="auto" w:fill="FFFFFF"/>
      <w:autoSpaceDE/>
      <w:autoSpaceDN/>
      <w:adjustRightInd/>
      <w:spacing w:line="559" w:lineRule="exact"/>
    </w:pPr>
    <w:rPr>
      <w:rFonts w:hint="default" w:ascii="MingLiU" w:hAnsi="MingLiU" w:eastAsia="MingLiU"/>
      <w:b/>
      <w:bCs/>
      <w:spacing w:val="10"/>
      <w:sz w:val="22"/>
      <w:szCs w:val="22"/>
      <w:shd w:val="clear" w:color="auto" w:fill="FFFFFF"/>
    </w:rPr>
  </w:style>
  <w:style w:type="character" w:customStyle="1" w:styleId="125">
    <w:name w:val="正文文本 (19) + 间距 0 pt"/>
    <w:qFormat/>
    <w:uiPriority w:val="0"/>
    <w:rPr>
      <w:rFonts w:ascii="MingLiU" w:hAnsi="MingLiU" w:eastAsia="MingLiU" w:cs="MingLiU"/>
      <w:b/>
      <w:bCs/>
      <w:color w:val="000000"/>
      <w:spacing w:val="0"/>
      <w:w w:val="100"/>
      <w:position w:val="0"/>
      <w:sz w:val="22"/>
      <w:szCs w:val="22"/>
      <w:u w:val="none"/>
      <w:lang w:val="zh-CN" w:eastAsia="zh-CN" w:bidi="zh-CN"/>
    </w:rPr>
  </w:style>
  <w:style w:type="character" w:customStyle="1" w:styleId="126">
    <w:name w:val="正文文本 (2) + 间距 0 pt"/>
    <w:qFormat/>
    <w:uiPriority w:val="0"/>
    <w:rPr>
      <w:rFonts w:ascii="MingLiU" w:hAnsi="MingLiU" w:eastAsia="MingLiU" w:cs="MingLiU"/>
      <w:color w:val="000000"/>
      <w:spacing w:val="0"/>
      <w:w w:val="100"/>
      <w:position w:val="0"/>
      <w:sz w:val="22"/>
      <w:szCs w:val="22"/>
      <w:u w:val="none"/>
      <w:shd w:val="clear" w:color="auto" w:fill="FFFFFF"/>
      <w:lang w:val="zh-CN" w:eastAsia="zh-CN" w:bidi="ar-SA"/>
    </w:rPr>
  </w:style>
  <w:style w:type="paragraph" w:customStyle="1" w:styleId="127">
    <w:name w:val="正文_4"/>
    <w:qFormat/>
    <w:uiPriority w:val="0"/>
    <w:pPr>
      <w:widowControl w:val="0"/>
      <w:jc w:val="both"/>
    </w:pPr>
    <w:rPr>
      <w:rFonts w:ascii="Calibri" w:hAnsi="Calibri" w:eastAsia="宋体" w:cs="Times New Roman"/>
      <w:kern w:val="2"/>
      <w:sz w:val="21"/>
      <w:szCs w:val="22"/>
      <w:lang w:val="en-US" w:eastAsia="zh-CN" w:bidi="ar-SA"/>
    </w:rPr>
  </w:style>
  <w:style w:type="paragraph" w:customStyle="1" w:styleId="128">
    <w:name w:val="正文文本 (2)4"/>
    <w:basedOn w:val="1"/>
    <w:qFormat/>
    <w:uiPriority w:val="0"/>
    <w:pPr>
      <w:shd w:val="clear" w:color="auto" w:fill="FFFFFF"/>
      <w:spacing w:before="300" w:line="439" w:lineRule="exact"/>
      <w:jc w:val="distribute"/>
    </w:pPr>
    <w:rPr>
      <w:rFonts w:ascii="MingLiU" w:hAnsi="MingLiU" w:eastAsia="MingLiU"/>
      <w:spacing w:val="20"/>
      <w:kern w:val="0"/>
      <w:sz w:val="22"/>
      <w:szCs w:val="22"/>
    </w:rPr>
  </w:style>
  <w:style w:type="paragraph" w:customStyle="1" w:styleId="129">
    <w:name w:val="正文2"/>
    <w:basedOn w:val="1"/>
    <w:qFormat/>
    <w:uiPriority w:val="0"/>
    <w:pPr>
      <w:adjustRightInd w:val="0"/>
      <w:spacing w:before="156" w:line="360" w:lineRule="auto"/>
      <w:ind w:firstLine="510" w:firstLineChars="200"/>
    </w:pPr>
    <w:rPr>
      <w:kern w:val="0"/>
      <w:sz w:val="24"/>
      <w:szCs w:val="20"/>
    </w:rPr>
  </w:style>
  <w:style w:type="paragraph" w:customStyle="1" w:styleId="130">
    <w:name w:val="Title1"/>
    <w:basedOn w:val="1"/>
    <w:next w:val="1"/>
    <w:qFormat/>
    <w:uiPriority w:val="0"/>
    <w:pPr>
      <w:jc w:val="center"/>
      <w:outlineLvl w:val="0"/>
    </w:pPr>
    <w:rPr>
      <w:rFonts w:ascii="Calibri Light" w:hAnsi="Calibri Light" w:eastAsia="Arial Unicode MS"/>
      <w:b/>
    </w:rPr>
  </w:style>
  <w:style w:type="paragraph" w:customStyle="1" w:styleId="131">
    <w:name w:val="Normal_3"/>
    <w:qFormat/>
    <w:uiPriority w:val="0"/>
    <w:rPr>
      <w:rFonts w:ascii="Times New Roman" w:hAnsi="Times New Roman" w:eastAsia="Times New Roman" w:cs="Times New Roman"/>
      <w:sz w:val="24"/>
      <w:szCs w:val="24"/>
    </w:rPr>
  </w:style>
  <w:style w:type="paragraph" w:customStyle="1" w:styleId="132">
    <w:name w:val="正文_3_0"/>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133">
    <w:name w:val="List Paragraph"/>
    <w:basedOn w:val="1"/>
    <w:qFormat/>
    <w:uiPriority w:val="34"/>
    <w:pPr>
      <w:ind w:left="424" w:firstLine="480"/>
    </w:pPr>
  </w:style>
  <w:style w:type="paragraph" w:customStyle="1" w:styleId="134">
    <w:name w:val="1"/>
    <w:basedOn w:val="1"/>
    <w:next w:val="20"/>
    <w:qFormat/>
    <w:uiPriority w:val="0"/>
    <w:rPr>
      <w:rFonts w:ascii="宋体" w:hAnsi="Courier New"/>
      <w:szCs w:val="20"/>
    </w:rPr>
  </w:style>
  <w:style w:type="paragraph" w:customStyle="1" w:styleId="135">
    <w:name w:val="正文_2_0_0"/>
    <w:basedOn w:val="136"/>
    <w:qFormat/>
    <w:uiPriority w:val="0"/>
    <w:rPr>
      <w:rFonts w:ascii="Calibri" w:hAnsi="Calibri" w:eastAsia="微软雅黑"/>
    </w:rPr>
  </w:style>
  <w:style w:type="paragraph" w:customStyle="1" w:styleId="136">
    <w:name w:val="正文_2_1"/>
    <w:basedOn w:val="117"/>
    <w:qFormat/>
    <w:uiPriority w:val="0"/>
    <w:rPr>
      <w:rFonts w:ascii="Calibri" w:hAnsi="Calibri" w:cs="宋体"/>
      <w:szCs w:val="21"/>
    </w:rPr>
  </w:style>
  <w:style w:type="paragraph" w:customStyle="1" w:styleId="137">
    <w:name w:val="正文_2_1_0"/>
    <w:basedOn w:val="117"/>
    <w:qFormat/>
    <w:uiPriority w:val="0"/>
    <w:rPr>
      <w:rFonts w:ascii="Calibri" w:hAnsi="Calibri" w:cs="宋体"/>
      <w:szCs w:val="21"/>
    </w:rPr>
  </w:style>
  <w:style w:type="paragraph" w:customStyle="1" w:styleId="138">
    <w:name w:val="正文_2_2"/>
    <w:qFormat/>
    <w:uiPriority w:val="0"/>
    <w:pPr>
      <w:widowControl w:val="0"/>
      <w:jc w:val="both"/>
    </w:pPr>
    <w:rPr>
      <w:rFonts w:ascii="Calibri" w:hAnsi="Calibri" w:eastAsia="宋体" w:cs="Times New Roman"/>
      <w:kern w:val="2"/>
      <w:sz w:val="21"/>
      <w:szCs w:val="22"/>
      <w:lang w:val="en-US" w:eastAsia="zh-CN" w:bidi="ar-SA"/>
    </w:rPr>
  </w:style>
  <w:style w:type="paragraph" w:customStyle="1" w:styleId="139">
    <w:name w:val="普通(网站)_0_0_0"/>
    <w:basedOn w:val="140"/>
    <w:qFormat/>
    <w:uiPriority w:val="0"/>
    <w:pPr>
      <w:widowControl/>
      <w:spacing w:before="100" w:beforeAutospacing="1" w:after="100" w:afterAutospacing="1" w:line="320" w:lineRule="atLeast"/>
      <w:jc w:val="left"/>
    </w:pPr>
    <w:rPr>
      <w:rFonts w:ascii="宋体" w:hAnsi="宋体"/>
      <w:kern w:val="0"/>
      <w:sz w:val="18"/>
      <w:szCs w:val="18"/>
    </w:rPr>
  </w:style>
  <w:style w:type="paragraph" w:customStyle="1" w:styleId="140">
    <w:name w:val="正文_5"/>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41">
    <w:name w:val="正文_2_3_0"/>
    <w:basedOn w:val="140"/>
    <w:qFormat/>
    <w:uiPriority w:val="0"/>
    <w:rPr>
      <w:rFonts w:ascii="Calibri" w:hAnsi="Calibri"/>
      <w:szCs w:val="21"/>
    </w:rPr>
  </w:style>
  <w:style w:type="paragraph" w:customStyle="1" w:styleId="142">
    <w:name w:val="2ji"/>
    <w:basedOn w:val="140"/>
    <w:qFormat/>
    <w:uiPriority w:val="0"/>
    <w:pPr>
      <w:keepNext/>
      <w:keepLines/>
      <w:adjustRightInd w:val="0"/>
      <w:spacing w:line="360" w:lineRule="auto"/>
      <w:outlineLvl w:val="1"/>
    </w:pPr>
    <w:rPr>
      <w:rFonts w:ascii="宋体" w:hAnsi="宋体"/>
      <w:b/>
      <w:kern w:val="0"/>
      <w:szCs w:val="21"/>
    </w:rPr>
  </w:style>
  <w:style w:type="paragraph" w:customStyle="1" w:styleId="143">
    <w:name w:val="普通(网站)_0"/>
    <w:basedOn w:val="140"/>
    <w:qFormat/>
    <w:uiPriority w:val="0"/>
    <w:pPr>
      <w:widowControl/>
      <w:spacing w:before="100" w:beforeAutospacing="1" w:after="100" w:afterAutospacing="1" w:line="320" w:lineRule="atLeast"/>
      <w:jc w:val="left"/>
    </w:pPr>
    <w:rPr>
      <w:rFonts w:ascii="宋体" w:hAnsi="宋体"/>
      <w:kern w:val="0"/>
      <w:sz w:val="18"/>
      <w:szCs w:val="18"/>
    </w:rPr>
  </w:style>
  <w:style w:type="paragraph" w:customStyle="1" w:styleId="144">
    <w:name w:val="正文_7"/>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3" Type="http://schemas.microsoft.com/office/2011/relationships/people" Target="people.xml"/><Relationship Id="rId22" Type="http://schemas.openxmlformats.org/officeDocument/2006/relationships/fontTable" Target="fontTable.xml"/><Relationship Id="rId21" Type="http://schemas.openxmlformats.org/officeDocument/2006/relationships/numbering" Target="numbering.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image" Target="media/image4.png"/><Relationship Id="rId18" Type="http://schemas.openxmlformats.org/officeDocument/2006/relationships/image" Target="media/image3.png"/><Relationship Id="rId17" Type="http://schemas.openxmlformats.org/officeDocument/2006/relationships/image" Target="media/image2.png"/><Relationship Id="rId16" Type="http://schemas.openxmlformats.org/officeDocument/2006/relationships/image" Target="media/image1.png"/><Relationship Id="rId15" Type="http://schemas.openxmlformats.org/officeDocument/2006/relationships/theme" Target="theme/theme1.xml"/><Relationship Id="rId14" Type="http://schemas.openxmlformats.org/officeDocument/2006/relationships/footer" Target="footer8.xml"/><Relationship Id="rId13" Type="http://schemas.openxmlformats.org/officeDocument/2006/relationships/footer" Target="footer7.xml"/><Relationship Id="rId12" Type="http://schemas.openxmlformats.org/officeDocument/2006/relationships/header" Target="header4.xml"/><Relationship Id="rId11" Type="http://schemas.openxmlformats.org/officeDocument/2006/relationships/header" Target="header3.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Company>广西云龙招标有限公司</Company>
  <Pages>158</Pages>
  <Words>12801</Words>
  <Characters>13790</Characters>
  <Lines>0</Lines>
  <Paragraphs>0</Paragraphs>
  <TotalTime>61</TotalTime>
  <ScaleCrop>false</ScaleCrop>
  <LinksUpToDate>false</LinksUpToDate>
  <CharactersWithSpaces>14180</CharactersWithSpaces>
  <Application>WPS Office_12.1.0.28599_F1E327BC-269C-435d-A152-05C5408002CA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2024-02-28T08:35:00Z</dcterms:created>
  <dc:creator>唐冰</dc:creator>
  <cp:lastModifiedBy>Lenovo</cp:lastModifiedBy>
  <cp:lastPrinted>2022-08-03T16:53:00Z</cp:lastPrinted>
  <dcterms:modified xsi:type="dcterms:W3CDTF">2026-09-11T08:32:17Z</dcterms:modified>
  <dc:title>竞争性谈判文件规范</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2052-12.1.0.28599</vt:lpwstr>
  </property>
  <property fmtid="{D5CDD505-2E9C-101B-9397-08002B2CF9AE}" pid="3" name="ICV">
    <vt:lpwstr>9982BA9E616C426D82B02F085DE9204D_13</vt:lpwstr>
  </property>
  <property fmtid="{D5CDD505-2E9C-101B-9397-08002B2CF9AE}" pid="4" name="KSOTemplateDocerSaveRecord">
    <vt:lpwstr>eyJoZGlkIjoiMjFiN2M0YTBmMGRiNWVmYzY1ZWZlZjlkMjRiM2I0MTAiLCJ1c2VySWQiOiI1OTY2ODY3MzcifQ==</vt:lpwstr>
  </property>
</Properties>
</file>