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D10C2A">
      <w:pPr>
        <w:pStyle w:val="15"/>
        <w:jc w:val="center"/>
        <w:rPr>
          <w:rFonts w:hint="eastAsia" w:ascii="宋体" w:hAnsi="宋体" w:eastAsia="宋体" w:cs="宋体"/>
          <w:color w:val="auto"/>
          <w:spacing w:val="30"/>
          <w:kern w:val="52"/>
          <w:sz w:val="64"/>
          <w:szCs w:val="64"/>
          <w:highlight w:val="none"/>
        </w:rPr>
      </w:pPr>
      <w:r>
        <w:rPr>
          <w:rFonts w:hint="eastAsia" w:ascii="宋体" w:hAnsi="宋体" w:eastAsia="宋体" w:cs="宋体"/>
          <w:color w:val="auto"/>
          <w:sz w:val="72"/>
          <w:szCs w:val="72"/>
          <w:highlight w:val="none"/>
          <w:lang w:val="en-US" w:eastAsia="zh-CN"/>
        </w:rPr>
        <w:drawing>
          <wp:inline distT="0" distB="0" distL="114300" distR="114300">
            <wp:extent cx="1798320" cy="1678940"/>
            <wp:effectExtent l="0" t="0" r="11430" b="16510"/>
            <wp:docPr id="1" name="图片 1" descr="公司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图标"/>
                    <pic:cNvPicPr>
                      <a:picLocks noChangeAspect="1"/>
                    </pic:cNvPicPr>
                  </pic:nvPicPr>
                  <pic:blipFill>
                    <a:blip r:embed="rId11"/>
                    <a:stretch>
                      <a:fillRect/>
                    </a:stretch>
                  </pic:blipFill>
                  <pic:spPr>
                    <a:xfrm>
                      <a:off x="0" y="0"/>
                      <a:ext cx="1798320" cy="1678940"/>
                    </a:xfrm>
                    <a:prstGeom prst="rect">
                      <a:avLst/>
                    </a:prstGeom>
                    <a:noFill/>
                    <a:ln>
                      <a:noFill/>
                    </a:ln>
                  </pic:spPr>
                </pic:pic>
              </a:graphicData>
            </a:graphic>
          </wp:inline>
        </w:drawing>
      </w:r>
    </w:p>
    <w:p w14:paraId="3F4866B2">
      <w:pPr>
        <w:jc w:val="center"/>
        <w:rPr>
          <w:rFonts w:hint="eastAsia" w:ascii="仿宋_GB2312" w:hAnsi="宋体" w:eastAsia="仿宋_GB2312" w:cs="Times New Roman"/>
          <w:b/>
          <w:bCs/>
          <w:color w:val="000000" w:themeColor="text1"/>
          <w:kern w:val="0"/>
          <w:sz w:val="56"/>
          <w:szCs w:val="56"/>
          <w:highlight w:val="none"/>
          <w:lang w:val="en-US" w:eastAsia="zh-CN" w:bidi="ar-SA"/>
          <w14:textFill>
            <w14:solidFill>
              <w14:schemeClr w14:val="tx1"/>
            </w14:solidFill>
          </w14:textFill>
        </w:rPr>
      </w:pPr>
      <w:r>
        <w:rPr>
          <w:rFonts w:hint="eastAsia" w:ascii="仿宋_GB2312" w:hAnsi="宋体" w:eastAsia="仿宋_GB2312" w:cs="Times New Roman"/>
          <w:b/>
          <w:bCs/>
          <w:color w:val="000000" w:themeColor="text1"/>
          <w:kern w:val="0"/>
          <w:sz w:val="56"/>
          <w:szCs w:val="56"/>
          <w:highlight w:val="none"/>
          <w:lang w:val="en-US" w:eastAsia="zh-CN" w:bidi="ar-SA"/>
          <w14:textFill>
            <w14:solidFill>
              <w14:schemeClr w14:val="tx1"/>
            </w14:solidFill>
          </w14:textFill>
        </w:rPr>
        <w:t>广东新正工程咨询有限公司</w:t>
      </w:r>
    </w:p>
    <w:p w14:paraId="06EEAB21">
      <w:pPr>
        <w:spacing w:line="360" w:lineRule="auto"/>
        <w:rPr>
          <w:rFonts w:ascii="方正小标宋简体" w:hAnsi="方正小标宋简体" w:eastAsia="方正小标宋简体" w:cs="方正小标宋简体"/>
          <w:b/>
          <w:color w:val="000000" w:themeColor="text1"/>
          <w:sz w:val="44"/>
          <w:szCs w:val="44"/>
          <w:highlight w:val="none"/>
          <w14:textFill>
            <w14:solidFill>
              <w14:schemeClr w14:val="tx1"/>
            </w14:solidFill>
          </w14:textFill>
        </w:rPr>
      </w:pPr>
    </w:p>
    <w:p w14:paraId="08AD4F01">
      <w:pPr>
        <w:pStyle w:val="75"/>
        <w:rPr>
          <w:highlight w:val="none"/>
        </w:rPr>
      </w:pPr>
    </w:p>
    <w:p w14:paraId="3E7F8E83">
      <w:pPr>
        <w:snapToGrid w:val="0"/>
        <w:spacing w:before="156" w:beforeLines="50" w:line="360" w:lineRule="auto"/>
        <w:jc w:val="center"/>
        <w:rPr>
          <w:rFonts w:ascii="华文新魏" w:hAnsi="宋体" w:eastAsia="华文新魏"/>
          <w:color w:val="000000" w:themeColor="text1"/>
          <w:sz w:val="120"/>
          <w:szCs w:val="120"/>
          <w:highlight w:val="none"/>
          <w14:textFill>
            <w14:solidFill>
              <w14:schemeClr w14:val="tx1"/>
            </w14:solidFill>
          </w14:textFill>
        </w:rPr>
      </w:pPr>
      <w:r>
        <w:rPr>
          <w:rFonts w:hint="eastAsia" w:ascii="华文新魏" w:hAnsi="宋体" w:eastAsia="华文新魏"/>
          <w:color w:val="000000" w:themeColor="text1"/>
          <w:sz w:val="120"/>
          <w:szCs w:val="120"/>
          <w:highlight w:val="none"/>
          <w14:textFill>
            <w14:solidFill>
              <w14:schemeClr w14:val="tx1"/>
            </w14:solidFill>
          </w14:textFill>
        </w:rPr>
        <w:t>竞争性谈判文件</w:t>
      </w:r>
    </w:p>
    <w:p w14:paraId="3E8AFC73">
      <w:pPr>
        <w:snapToGrid w:val="0"/>
        <w:spacing w:before="156" w:beforeLines="50" w:line="360" w:lineRule="auto"/>
        <w:jc w:val="center"/>
        <w:rPr>
          <w:rFonts w:ascii="仿宋_GB2312" w:hAnsi="宋体" w:eastAsia="仿宋_GB2312"/>
          <w:b/>
          <w:color w:val="000000" w:themeColor="text1"/>
          <w:sz w:val="30"/>
          <w:szCs w:val="72"/>
          <w:highlight w:val="none"/>
          <w14:textFill>
            <w14:solidFill>
              <w14:schemeClr w14:val="tx1"/>
            </w14:solidFill>
          </w14:textFill>
        </w:rPr>
      </w:pPr>
      <w:r>
        <w:rPr>
          <w:rFonts w:hint="eastAsia" w:ascii="仿宋_GB2312" w:hAnsi="宋体" w:eastAsia="仿宋_GB2312"/>
          <w:b/>
          <w:color w:val="000000" w:themeColor="text1"/>
          <w:sz w:val="48"/>
          <w:szCs w:val="48"/>
          <w:highlight w:val="none"/>
          <w14:textFill>
            <w14:solidFill>
              <w14:schemeClr w14:val="tx1"/>
            </w14:solidFill>
          </w14:textFill>
        </w:rPr>
        <w:t>（全流程电子化采购）</w:t>
      </w:r>
    </w:p>
    <w:p w14:paraId="75039ED7">
      <w:pPr>
        <w:snapToGrid w:val="0"/>
        <w:spacing w:line="360" w:lineRule="auto"/>
        <w:rPr>
          <w:rFonts w:ascii="仿宋_GB2312" w:hAnsi="宋体" w:eastAsia="仿宋_GB2312"/>
          <w:color w:val="000000" w:themeColor="text1"/>
          <w:sz w:val="30"/>
          <w:szCs w:val="72"/>
          <w:highlight w:val="none"/>
          <w14:textFill>
            <w14:solidFill>
              <w14:schemeClr w14:val="tx1"/>
            </w14:solidFill>
          </w14:textFill>
        </w:rPr>
      </w:pPr>
    </w:p>
    <w:p w14:paraId="36CBE60A">
      <w:pPr>
        <w:pStyle w:val="75"/>
        <w:rPr>
          <w:highlight w:val="none"/>
        </w:rPr>
      </w:pPr>
    </w:p>
    <w:p w14:paraId="26F1A0DB">
      <w:pPr>
        <w:pStyle w:val="15"/>
        <w:snapToGrid w:val="0"/>
        <w:spacing w:line="360" w:lineRule="auto"/>
        <w:rPr>
          <w:rFonts w:hint="eastAsia" w:ascii="仿宋_GB2312" w:hAnsi="宋体" w:eastAsia="仿宋_GB2312"/>
          <w:b/>
          <w:bCs/>
          <w:color w:val="000000" w:themeColor="text1"/>
          <w:sz w:val="32"/>
          <w:szCs w:val="32"/>
          <w:highlight w:val="none"/>
          <w:lang w:eastAsia="zh-CN"/>
          <w14:textFill>
            <w14:solidFill>
              <w14:schemeClr w14:val="tx1"/>
            </w14:solidFill>
          </w14:textFill>
        </w:rPr>
      </w:pPr>
      <w:r>
        <w:rPr>
          <w:rFonts w:hint="eastAsia" w:ascii="仿宋_GB2312" w:hAnsi="宋体" w:eastAsia="仿宋_GB2312"/>
          <w:b/>
          <w:bCs/>
          <w:color w:val="000000" w:themeColor="text1"/>
          <w:sz w:val="32"/>
          <w:szCs w:val="32"/>
          <w:highlight w:val="none"/>
          <w14:textFill>
            <w14:solidFill>
              <w14:schemeClr w14:val="tx1"/>
            </w14:solidFill>
          </w14:textFill>
        </w:rPr>
        <w:t>项目</w:t>
      </w:r>
      <w:r>
        <w:rPr>
          <w:rFonts w:hint="eastAsia" w:ascii="仿宋_GB2312" w:hAnsi="宋体" w:eastAsia="仿宋_GB2312" w:cs="Courier New"/>
          <w:b/>
          <w:bCs/>
          <w:color w:val="000000" w:themeColor="text1"/>
          <w:w w:val="95"/>
          <w:sz w:val="32"/>
          <w:szCs w:val="32"/>
          <w:highlight w:val="none"/>
          <w14:textFill>
            <w14:solidFill>
              <w14:schemeClr w14:val="tx1"/>
            </w14:solidFill>
          </w14:textFill>
        </w:rPr>
        <w:t>名</w:t>
      </w:r>
      <w:r>
        <w:rPr>
          <w:rFonts w:hint="eastAsia" w:ascii="仿宋_GB2312" w:hAnsi="宋体" w:eastAsia="仿宋_GB2312"/>
          <w:b/>
          <w:bCs/>
          <w:color w:val="000000" w:themeColor="text1"/>
          <w:sz w:val="32"/>
          <w:szCs w:val="32"/>
          <w:highlight w:val="none"/>
          <w14:textFill>
            <w14:solidFill>
              <w14:schemeClr w14:val="tx1"/>
            </w14:solidFill>
          </w14:textFill>
        </w:rPr>
        <w:t>称：</w:t>
      </w:r>
      <w:r>
        <w:rPr>
          <w:rFonts w:hint="eastAsia" w:ascii="仿宋_GB2312" w:hAnsi="宋体" w:eastAsia="仿宋_GB2312"/>
          <w:b/>
          <w:bCs/>
          <w:color w:val="000000" w:themeColor="text1"/>
          <w:sz w:val="32"/>
          <w:szCs w:val="32"/>
          <w:highlight w:val="none"/>
          <w:lang w:eastAsia="zh-CN"/>
          <w14:textFill>
            <w14:solidFill>
              <w14:schemeClr w14:val="tx1"/>
            </w14:solidFill>
          </w14:textFill>
        </w:rPr>
        <w:t>2026年材料与化学工程学院高原学科设备采购项目</w:t>
      </w:r>
    </w:p>
    <w:p w14:paraId="1EB4CA0D">
      <w:pPr>
        <w:pStyle w:val="15"/>
        <w:snapToGrid w:val="0"/>
        <w:spacing w:line="360" w:lineRule="auto"/>
        <w:rPr>
          <w:rFonts w:hint="eastAsia" w:ascii="仿宋_GB2312" w:hAnsi="宋体" w:eastAsia="仿宋_GB2312"/>
          <w:b/>
          <w:bCs/>
          <w:color w:val="000000" w:themeColor="text1"/>
          <w:sz w:val="32"/>
          <w:szCs w:val="32"/>
          <w:highlight w:val="none"/>
          <w14:textFill>
            <w14:solidFill>
              <w14:schemeClr w14:val="tx1"/>
            </w14:solidFill>
          </w14:textFill>
        </w:rPr>
      </w:pPr>
      <w:r>
        <w:rPr>
          <w:rFonts w:hint="eastAsia" w:ascii="仿宋_GB2312" w:hAnsi="宋体" w:eastAsia="仿宋_GB2312"/>
          <w:b/>
          <w:bCs/>
          <w:color w:val="000000" w:themeColor="text1"/>
          <w:sz w:val="32"/>
          <w:szCs w:val="32"/>
          <w:highlight w:val="none"/>
          <w14:textFill>
            <w14:solidFill>
              <w14:schemeClr w14:val="tx1"/>
            </w14:solidFill>
          </w14:textFill>
        </w:rPr>
        <w:t>项目编号</w:t>
      </w:r>
      <w:r>
        <w:rPr>
          <w:rFonts w:hint="eastAsia" w:ascii="仿宋_GB2312" w:hAnsi="宋体" w:eastAsia="仿宋_GB2312"/>
          <w:b/>
          <w:bCs/>
          <w:color w:val="000000" w:themeColor="text1"/>
          <w:sz w:val="32"/>
          <w:szCs w:val="32"/>
          <w:highlight w:val="none"/>
          <w:lang w:eastAsia="zh-CN"/>
          <w14:textFill>
            <w14:solidFill>
              <w14:schemeClr w14:val="tx1"/>
            </w14:solidFill>
          </w14:textFill>
        </w:rPr>
        <w:t>：GXZC2026-J1-002662-GDXZ</w:t>
      </w:r>
    </w:p>
    <w:p w14:paraId="18B81C0F">
      <w:pPr>
        <w:pStyle w:val="15"/>
        <w:snapToGrid w:val="0"/>
        <w:spacing w:line="360" w:lineRule="auto"/>
        <w:rPr>
          <w:rFonts w:hint="eastAsia" w:ascii="仿宋_GB2312" w:hAnsi="宋体" w:eastAsia="仿宋_GB2312"/>
          <w:b/>
          <w:bCs/>
          <w:color w:val="000000" w:themeColor="text1"/>
          <w:sz w:val="32"/>
          <w:szCs w:val="32"/>
          <w:highlight w:val="none"/>
          <w14:textFill>
            <w14:solidFill>
              <w14:schemeClr w14:val="tx1"/>
            </w14:solidFill>
          </w14:textFill>
        </w:rPr>
      </w:pPr>
      <w:r>
        <w:rPr>
          <w:rFonts w:hint="eastAsia" w:ascii="仿宋_GB2312" w:hAnsi="宋体" w:eastAsia="仿宋_GB2312"/>
          <w:b/>
          <w:bCs/>
          <w:color w:val="000000" w:themeColor="text1"/>
          <w:sz w:val="32"/>
          <w:szCs w:val="32"/>
          <w:highlight w:val="none"/>
          <w14:textFill>
            <w14:solidFill>
              <w14:schemeClr w14:val="tx1"/>
            </w14:solidFill>
          </w14:textFill>
        </w:rPr>
        <w:t>采购</w:t>
      </w:r>
      <w:r>
        <w:rPr>
          <w:rFonts w:hint="eastAsia" w:ascii="仿宋_GB2312" w:hAnsi="宋体" w:eastAsia="仿宋_GB2312" w:cs="Times New Roman"/>
          <w:b/>
          <w:bCs/>
          <w:color w:val="000000" w:themeColor="text1"/>
          <w:sz w:val="32"/>
          <w:szCs w:val="32"/>
          <w:highlight w:val="none"/>
          <w:lang w:val="ru-RU" w:eastAsia="zh-CN"/>
          <w14:textFill>
            <w14:solidFill>
              <w14:schemeClr w14:val="tx1"/>
            </w14:solidFill>
          </w14:textFill>
        </w:rPr>
        <w:t>人：贺州学院</w:t>
      </w:r>
    </w:p>
    <w:p w14:paraId="6A191BED">
      <w:pPr>
        <w:pStyle w:val="15"/>
        <w:snapToGrid w:val="0"/>
        <w:spacing w:line="360" w:lineRule="auto"/>
        <w:rPr>
          <w:rFonts w:hint="eastAsia" w:ascii="仿宋_GB2312" w:hAnsi="宋体" w:eastAsia="仿宋_GB2312"/>
          <w:b/>
          <w:bCs/>
          <w:color w:val="000000" w:themeColor="text1"/>
          <w:sz w:val="32"/>
          <w:szCs w:val="32"/>
          <w:highlight w:val="none"/>
          <w14:textFill>
            <w14:solidFill>
              <w14:schemeClr w14:val="tx1"/>
            </w14:solidFill>
          </w14:textFill>
        </w:rPr>
      </w:pPr>
      <w:r>
        <w:rPr>
          <w:rFonts w:hint="eastAsia" w:ascii="仿宋_GB2312" w:hAnsi="宋体" w:eastAsia="仿宋_GB2312"/>
          <w:b/>
          <w:bCs/>
          <w:color w:val="000000" w:themeColor="text1"/>
          <w:sz w:val="32"/>
          <w:szCs w:val="32"/>
          <w:highlight w:val="none"/>
          <w14:textFill>
            <w14:solidFill>
              <w14:schemeClr w14:val="tx1"/>
            </w14:solidFill>
          </w14:textFill>
        </w:rPr>
        <w:t>采购代理机构：</w:t>
      </w:r>
      <w:r>
        <w:rPr>
          <w:rFonts w:hint="eastAsia" w:ascii="仿宋_GB2312" w:hAnsi="宋体" w:eastAsia="仿宋_GB2312"/>
          <w:b/>
          <w:bCs/>
          <w:color w:val="000000" w:themeColor="text1"/>
          <w:sz w:val="32"/>
          <w:szCs w:val="32"/>
          <w:highlight w:val="none"/>
          <w:lang w:val="ru-RU" w:eastAsia="zh-CN"/>
          <w14:textFill>
            <w14:solidFill>
              <w14:schemeClr w14:val="tx1"/>
            </w14:solidFill>
          </w14:textFill>
        </w:rPr>
        <w:t>广东新正工程咨询有限公司</w:t>
      </w:r>
    </w:p>
    <w:p w14:paraId="5D46426D">
      <w:pPr>
        <w:pStyle w:val="15"/>
        <w:snapToGrid w:val="0"/>
        <w:spacing w:line="360" w:lineRule="auto"/>
        <w:jc w:val="center"/>
        <w:rPr>
          <w:rFonts w:hint="eastAsia" w:ascii="仿宋_GB2312" w:hAnsi="宋体" w:eastAsia="仿宋_GB2312" w:cs="Times New Roman"/>
          <w:b/>
          <w:bCs/>
          <w:color w:val="000000" w:themeColor="text1"/>
          <w:sz w:val="32"/>
          <w:szCs w:val="32"/>
          <w:highlight w:val="none"/>
          <w:lang w:val="ru-RU" w:eastAsia="zh-CN"/>
          <w14:textFill>
            <w14:solidFill>
              <w14:schemeClr w14:val="tx1"/>
            </w14:solidFill>
          </w14:textFill>
        </w:rPr>
      </w:pPr>
      <w:r>
        <w:rPr>
          <w:rFonts w:hint="eastAsia" w:ascii="仿宋_GB2312" w:hAnsi="宋体" w:eastAsia="仿宋_GB2312" w:cs="Times New Roman"/>
          <w:b/>
          <w:bCs/>
          <w:color w:val="000000" w:themeColor="text1"/>
          <w:sz w:val="32"/>
          <w:szCs w:val="32"/>
          <w:highlight w:val="none"/>
          <w:lang w:val="ru-RU" w:eastAsia="zh-CN"/>
          <w14:textFill>
            <w14:solidFill>
              <w14:schemeClr w14:val="tx1"/>
            </w14:solidFill>
          </w14:textFill>
        </w:rPr>
        <w:t>202</w:t>
      </w:r>
      <w:r>
        <w:rPr>
          <w:rFonts w:hint="eastAsia" w:ascii="仿宋_GB2312" w:hAnsi="宋体" w:eastAsia="仿宋_GB2312" w:cs="Times New Roman"/>
          <w:b/>
          <w:bCs/>
          <w:color w:val="000000" w:themeColor="text1"/>
          <w:sz w:val="32"/>
          <w:szCs w:val="32"/>
          <w:highlight w:val="none"/>
          <w:lang w:val="en-US" w:eastAsia="zh-CN"/>
          <w14:textFill>
            <w14:solidFill>
              <w14:schemeClr w14:val="tx1"/>
            </w14:solidFill>
          </w14:textFill>
        </w:rPr>
        <w:t>6</w:t>
      </w:r>
      <w:r>
        <w:rPr>
          <w:rFonts w:hint="eastAsia" w:ascii="仿宋_GB2312" w:hAnsi="宋体" w:eastAsia="仿宋_GB2312" w:cs="Times New Roman"/>
          <w:b/>
          <w:bCs/>
          <w:color w:val="000000" w:themeColor="text1"/>
          <w:sz w:val="32"/>
          <w:szCs w:val="32"/>
          <w:highlight w:val="none"/>
          <w:lang w:val="ru-RU" w:eastAsia="zh-CN"/>
          <w14:textFill>
            <w14:solidFill>
              <w14:schemeClr w14:val="tx1"/>
            </w14:solidFill>
          </w14:textFill>
        </w:rPr>
        <w:t>年</w:t>
      </w:r>
      <w:r>
        <w:rPr>
          <w:rFonts w:hint="eastAsia" w:ascii="仿宋_GB2312" w:hAnsi="宋体" w:eastAsia="仿宋_GB2312" w:cs="Times New Roman"/>
          <w:b/>
          <w:bCs/>
          <w:color w:val="000000" w:themeColor="text1"/>
          <w:sz w:val="32"/>
          <w:szCs w:val="32"/>
          <w:highlight w:val="none"/>
          <w:lang w:val="en-US" w:eastAsia="zh-CN"/>
          <w14:textFill>
            <w14:solidFill>
              <w14:schemeClr w14:val="tx1"/>
            </w14:solidFill>
          </w14:textFill>
        </w:rPr>
        <w:t>8</w:t>
      </w:r>
      <w:r>
        <w:rPr>
          <w:rFonts w:hint="eastAsia" w:ascii="仿宋_GB2312" w:hAnsi="宋体" w:eastAsia="仿宋_GB2312" w:cs="Times New Roman"/>
          <w:b/>
          <w:bCs/>
          <w:color w:val="000000" w:themeColor="text1"/>
          <w:sz w:val="32"/>
          <w:szCs w:val="32"/>
          <w:highlight w:val="none"/>
          <w:lang w:val="ru-RU" w:eastAsia="zh-CN"/>
          <w14:textFill>
            <w14:solidFill>
              <w14:schemeClr w14:val="tx1"/>
            </w14:solidFill>
          </w14:textFill>
        </w:rPr>
        <w:t>月</w:t>
      </w:r>
      <w:r>
        <w:rPr>
          <w:rFonts w:hint="eastAsia" w:ascii="仿宋_GB2312" w:hAnsi="宋体" w:eastAsia="仿宋_GB2312" w:cs="Times New Roman"/>
          <w:b/>
          <w:bCs/>
          <w:color w:val="000000" w:themeColor="text1"/>
          <w:sz w:val="32"/>
          <w:szCs w:val="32"/>
          <w:highlight w:val="none"/>
          <w:lang w:val="en-US" w:eastAsia="zh-CN"/>
          <w14:textFill>
            <w14:solidFill>
              <w14:schemeClr w14:val="tx1"/>
            </w14:solidFill>
          </w14:textFill>
        </w:rPr>
        <w:t>13</w:t>
      </w:r>
      <w:r>
        <w:rPr>
          <w:rFonts w:hint="eastAsia" w:ascii="仿宋_GB2312" w:hAnsi="宋体" w:eastAsia="仿宋_GB2312" w:cs="Times New Roman"/>
          <w:b/>
          <w:bCs/>
          <w:color w:val="000000" w:themeColor="text1"/>
          <w:sz w:val="32"/>
          <w:szCs w:val="32"/>
          <w:highlight w:val="none"/>
          <w:lang w:val="ru-RU" w:eastAsia="zh-CN"/>
          <w14:textFill>
            <w14:solidFill>
              <w14:schemeClr w14:val="tx1"/>
            </w14:solidFill>
          </w14:textFill>
        </w:rPr>
        <w:t>日</w:t>
      </w:r>
    </w:p>
    <w:p w14:paraId="61F2A79A">
      <w:pPr>
        <w:spacing w:line="360" w:lineRule="auto"/>
        <w:jc w:val="center"/>
        <w:rPr>
          <w:rFonts w:hint="eastAsia" w:ascii="宋体" w:hAnsi="宋体"/>
          <w:b/>
          <w:color w:val="000000" w:themeColor="text1"/>
          <w:sz w:val="44"/>
          <w:szCs w:val="44"/>
          <w:highlight w:val="none"/>
          <w14:textFill>
            <w14:solidFill>
              <w14:schemeClr w14:val="tx1"/>
            </w14:solidFill>
          </w14:textFill>
        </w:rPr>
        <w:sectPr>
          <w:headerReference r:id="rId3" w:type="default"/>
          <w:footerReference r:id="rId4" w:type="default"/>
          <w:pgSz w:w="11906" w:h="16838"/>
          <w:pgMar w:top="1440" w:right="1304" w:bottom="1440" w:left="1417" w:header="851" w:footer="992" w:gutter="0"/>
          <w:pgNumType w:start="0"/>
          <w:cols w:space="720" w:num="1"/>
          <w:titlePg/>
          <w:docGrid w:type="lines" w:linePitch="312" w:charSpace="0"/>
        </w:sectPr>
      </w:pPr>
    </w:p>
    <w:p w14:paraId="7F97D4FF">
      <w:pPr>
        <w:spacing w:line="360" w:lineRule="auto"/>
        <w:jc w:val="center"/>
        <w:rPr>
          <w:rFonts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目录</w:t>
      </w:r>
    </w:p>
    <w:p w14:paraId="7ED3276E">
      <w:pPr>
        <w:spacing w:line="400" w:lineRule="exact"/>
        <w:jc w:val="center"/>
        <w:rPr>
          <w:rFonts w:ascii="宋体" w:hAnsi="宋体"/>
          <w:b/>
          <w:color w:val="000000" w:themeColor="text1"/>
          <w:sz w:val="44"/>
          <w:szCs w:val="44"/>
          <w:highlight w:val="none"/>
          <w14:textFill>
            <w14:solidFill>
              <w14:schemeClr w14:val="tx1"/>
            </w14:solidFill>
          </w14:textFill>
        </w:rPr>
      </w:pPr>
    </w:p>
    <w:p w14:paraId="2D7CA597">
      <w:pPr>
        <w:pStyle w:val="20"/>
        <w:tabs>
          <w:tab w:val="right" w:leader="dot" w:pos="9185"/>
        </w:tabs>
        <w:spacing w:line="480" w:lineRule="auto"/>
        <w:rPr>
          <w:rFonts w:hint="eastAsia" w:ascii="宋体" w:hAnsi="宋体" w:eastAsia="宋体" w:cs="宋体"/>
          <w:sz w:val="24"/>
          <w:szCs w:val="24"/>
          <w:highlight w:val="none"/>
        </w:rPr>
      </w:pPr>
      <w:r>
        <w:rPr>
          <w:rFonts w:hint="eastAsia" w:ascii="宋体" w:hAnsi="宋体" w:eastAsia="宋体" w:cs="宋体"/>
          <w:b/>
          <w:color w:val="000000" w:themeColor="text1"/>
          <w:sz w:val="24"/>
          <w:szCs w:val="24"/>
          <w:highlight w:val="none"/>
          <w14:textFill>
            <w14:solidFill>
              <w14:schemeClr w14:val="tx1"/>
            </w14:solidFill>
          </w14:textFill>
        </w:rPr>
        <w:fldChar w:fldCharType="begin"/>
      </w:r>
      <w:r>
        <w:rPr>
          <w:rFonts w:hint="eastAsia" w:ascii="宋体" w:hAnsi="宋体" w:eastAsia="宋体" w:cs="宋体"/>
          <w:b/>
          <w:color w:val="000000" w:themeColor="text1"/>
          <w:sz w:val="24"/>
          <w:szCs w:val="24"/>
          <w:highlight w:val="none"/>
          <w14:textFill>
            <w14:solidFill>
              <w14:schemeClr w14:val="tx1"/>
            </w14:solidFill>
          </w14:textFill>
        </w:rPr>
        <w:instrText xml:space="preserve">TOC \o "1-3" \h \z \u</w:instrText>
      </w:r>
      <w:r>
        <w:rPr>
          <w:rFonts w:hint="eastAsia" w:ascii="宋体" w:hAnsi="宋体" w:eastAsia="宋体" w:cs="宋体"/>
          <w:b/>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sz w:val="24"/>
          <w:szCs w:val="24"/>
          <w:highlight w:val="none"/>
        </w:rPr>
        <w:instrText xml:space="preserve"> HYPERLINK \l _Toc6814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第一章</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竞争性谈判公告</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_Toc6814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3A62FAED">
      <w:pPr>
        <w:pStyle w:val="20"/>
        <w:tabs>
          <w:tab w:val="right" w:leader="dot" w:pos="9185"/>
        </w:tabs>
        <w:spacing w:line="480" w:lineRule="auto"/>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sz w:val="24"/>
          <w:szCs w:val="24"/>
          <w:highlight w:val="none"/>
        </w:rPr>
        <w:instrText xml:space="preserve"> HYPERLINK \l _Toc25530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第二章</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供应商须知</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_Toc25530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w:t>
      </w:r>
      <w:r>
        <w:rPr>
          <w:rFonts w:hint="eastAsia" w:ascii="宋体" w:hAnsi="宋体" w:eastAsia="宋体" w:cs="宋体"/>
          <w:sz w:val="24"/>
          <w:szCs w:val="24"/>
          <w:highlight w:val="none"/>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5303C244">
      <w:pPr>
        <w:pStyle w:val="20"/>
        <w:tabs>
          <w:tab w:val="right" w:leader="dot" w:pos="9185"/>
        </w:tabs>
        <w:spacing w:line="480" w:lineRule="auto"/>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sz w:val="24"/>
          <w:szCs w:val="24"/>
          <w:highlight w:val="none"/>
        </w:rPr>
        <w:instrText xml:space="preserve"> HYPERLINK \l _Toc23118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第三章</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采购需求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_Toc23118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22</w:t>
      </w:r>
      <w:r>
        <w:rPr>
          <w:rFonts w:hint="eastAsia" w:ascii="宋体" w:hAnsi="宋体" w:eastAsia="宋体" w:cs="宋体"/>
          <w:sz w:val="24"/>
          <w:szCs w:val="24"/>
          <w:highlight w:val="none"/>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4A2778A0">
      <w:pPr>
        <w:pStyle w:val="20"/>
        <w:tabs>
          <w:tab w:val="right" w:leader="dot" w:pos="9185"/>
        </w:tabs>
        <w:spacing w:line="480" w:lineRule="auto"/>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sz w:val="24"/>
          <w:szCs w:val="24"/>
          <w:highlight w:val="none"/>
        </w:rPr>
        <w:instrText xml:space="preserve"> HYPERLINK \l _Toc9795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第四章</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评审程序和评定成交的标准</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_Toc9795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108</w:t>
      </w:r>
      <w:r>
        <w:rPr>
          <w:rFonts w:hint="eastAsia" w:ascii="宋体" w:hAnsi="宋体" w:eastAsia="宋体" w:cs="宋体"/>
          <w:sz w:val="24"/>
          <w:szCs w:val="24"/>
          <w:highlight w:val="none"/>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54118F74">
      <w:pPr>
        <w:pStyle w:val="20"/>
        <w:tabs>
          <w:tab w:val="right" w:leader="dot" w:pos="9185"/>
        </w:tabs>
        <w:spacing w:line="480" w:lineRule="auto"/>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sz w:val="24"/>
          <w:szCs w:val="24"/>
          <w:highlight w:val="none"/>
        </w:rPr>
        <w:instrText xml:space="preserve"> HYPERLINK \l _Toc773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第五章</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响应文件格式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_Toc773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115</w:t>
      </w:r>
      <w:r>
        <w:rPr>
          <w:rFonts w:hint="eastAsia" w:ascii="宋体" w:hAnsi="宋体" w:eastAsia="宋体" w:cs="宋体"/>
          <w:sz w:val="24"/>
          <w:szCs w:val="24"/>
          <w:highlight w:val="none"/>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ADC78CB">
      <w:pPr>
        <w:pStyle w:val="20"/>
        <w:tabs>
          <w:tab w:val="right" w:leader="dot" w:pos="9185"/>
        </w:tabs>
        <w:spacing w:line="480" w:lineRule="auto"/>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sz w:val="24"/>
          <w:szCs w:val="24"/>
          <w:highlight w:val="none"/>
        </w:rPr>
        <w:instrText xml:space="preserve"> HYPERLINK \l _Toc31695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第六章</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合同文本</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_Toc31695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143</w:t>
      </w:r>
      <w:r>
        <w:rPr>
          <w:rFonts w:hint="eastAsia" w:ascii="宋体" w:hAnsi="宋体" w:eastAsia="宋体" w:cs="宋体"/>
          <w:sz w:val="24"/>
          <w:szCs w:val="24"/>
          <w:highlight w:val="none"/>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2276A9DE">
      <w:pPr>
        <w:pStyle w:val="21"/>
        <w:tabs>
          <w:tab w:val="right" w:leader="dot" w:pos="8931"/>
          <w:tab w:val="clear" w:pos="8296"/>
        </w:tabs>
        <w:snapToGrid w:val="0"/>
        <w:spacing w:line="480" w:lineRule="auto"/>
        <w:ind w:left="0" w:leftChars="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3D5F7028">
      <w:pPr>
        <w:spacing w:line="400" w:lineRule="exact"/>
        <w:jc w:val="left"/>
        <w:rPr>
          <w:rFonts w:ascii="宋体" w:hAnsi="宋体"/>
          <w:b/>
          <w:color w:val="000000" w:themeColor="text1"/>
          <w:sz w:val="32"/>
          <w:szCs w:val="32"/>
          <w:highlight w:val="none"/>
          <w14:textFill>
            <w14:solidFill>
              <w14:schemeClr w14:val="tx1"/>
            </w14:solidFill>
          </w14:textFill>
        </w:rPr>
      </w:pPr>
    </w:p>
    <w:p w14:paraId="115E8574">
      <w:pPr>
        <w:spacing w:line="400" w:lineRule="exact"/>
        <w:jc w:val="center"/>
        <w:rPr>
          <w:rFonts w:ascii="宋体" w:hAnsi="宋体"/>
          <w:b/>
          <w:color w:val="000000" w:themeColor="text1"/>
          <w:sz w:val="32"/>
          <w:szCs w:val="32"/>
          <w:highlight w:val="none"/>
          <w14:textFill>
            <w14:solidFill>
              <w14:schemeClr w14:val="tx1"/>
            </w14:solidFill>
          </w14:textFill>
        </w:rPr>
      </w:pPr>
    </w:p>
    <w:p w14:paraId="72325B39">
      <w:pPr>
        <w:spacing w:line="400" w:lineRule="exact"/>
        <w:jc w:val="center"/>
        <w:rPr>
          <w:rFonts w:ascii="宋体" w:hAnsi="宋体"/>
          <w:b/>
          <w:color w:val="000000" w:themeColor="text1"/>
          <w:sz w:val="32"/>
          <w:szCs w:val="32"/>
          <w:highlight w:val="none"/>
          <w14:textFill>
            <w14:solidFill>
              <w14:schemeClr w14:val="tx1"/>
            </w14:solidFill>
          </w14:textFill>
        </w:rPr>
      </w:pPr>
    </w:p>
    <w:p w14:paraId="10E2A0BB">
      <w:pPr>
        <w:spacing w:line="400" w:lineRule="exact"/>
        <w:jc w:val="center"/>
        <w:rPr>
          <w:rFonts w:ascii="宋体" w:hAnsi="宋体"/>
          <w:b/>
          <w:color w:val="000000" w:themeColor="text1"/>
          <w:sz w:val="32"/>
          <w:szCs w:val="32"/>
          <w:highlight w:val="none"/>
          <w14:textFill>
            <w14:solidFill>
              <w14:schemeClr w14:val="tx1"/>
            </w14:solidFill>
          </w14:textFill>
        </w:rPr>
      </w:pPr>
    </w:p>
    <w:p w14:paraId="613CE5B2">
      <w:pPr>
        <w:spacing w:line="400" w:lineRule="exact"/>
        <w:jc w:val="center"/>
        <w:rPr>
          <w:rFonts w:ascii="宋体" w:hAnsi="宋体"/>
          <w:b/>
          <w:color w:val="000000" w:themeColor="text1"/>
          <w:sz w:val="32"/>
          <w:szCs w:val="32"/>
          <w:highlight w:val="none"/>
          <w14:textFill>
            <w14:solidFill>
              <w14:schemeClr w14:val="tx1"/>
            </w14:solidFill>
          </w14:textFill>
        </w:rPr>
      </w:pPr>
    </w:p>
    <w:p w14:paraId="272976B4">
      <w:pPr>
        <w:spacing w:line="400" w:lineRule="exact"/>
        <w:rPr>
          <w:rFonts w:ascii="宋体" w:hAnsi="宋体"/>
          <w:b/>
          <w:color w:val="000000" w:themeColor="text1"/>
          <w:sz w:val="32"/>
          <w:szCs w:val="32"/>
          <w:highlight w:val="none"/>
          <w14:textFill>
            <w14:solidFill>
              <w14:schemeClr w14:val="tx1"/>
            </w14:solidFill>
          </w14:textFill>
        </w:rPr>
        <w:sectPr>
          <w:footerReference r:id="rId6" w:type="first"/>
          <w:footerReference r:id="rId5" w:type="default"/>
          <w:pgSz w:w="11906" w:h="16838"/>
          <w:pgMar w:top="1440" w:right="1304" w:bottom="1440" w:left="1417" w:header="851" w:footer="992" w:gutter="0"/>
          <w:pgNumType w:start="0"/>
          <w:cols w:space="720" w:num="1"/>
          <w:titlePg/>
          <w:docGrid w:type="lines" w:linePitch="312" w:charSpace="0"/>
        </w:sectPr>
      </w:pPr>
    </w:p>
    <w:p w14:paraId="02909B63">
      <w:pPr>
        <w:pStyle w:val="2"/>
        <w:spacing w:after="100" w:line="240" w:lineRule="auto"/>
        <w:jc w:val="center"/>
        <w:rPr>
          <w:color w:val="000000" w:themeColor="text1"/>
          <w:highlight w:val="none"/>
          <w14:textFill>
            <w14:solidFill>
              <w14:schemeClr w14:val="tx1"/>
            </w14:solidFill>
          </w14:textFill>
        </w:rPr>
      </w:pPr>
      <w:bookmarkStart w:id="0" w:name="_Toc6814"/>
      <w:r>
        <w:rPr>
          <w:rFonts w:hint="eastAsia"/>
          <w:color w:val="000000" w:themeColor="text1"/>
          <w:highlight w:val="none"/>
          <w14:textFill>
            <w14:solidFill>
              <w14:schemeClr w14:val="tx1"/>
            </w14:solidFill>
          </w14:textFill>
        </w:rPr>
        <w:t>第一章竞争性谈判公告</w:t>
      </w:r>
      <w:bookmarkEnd w:id="0"/>
    </w:p>
    <w:p w14:paraId="00A5E3FC">
      <w:pPr>
        <w:spacing w:line="400" w:lineRule="exact"/>
        <w:jc w:val="center"/>
        <w:rPr>
          <w:rFonts w:hint="eastAsia" w:ascii="宋体" w:hAnsi="宋体" w:eastAsia="宋体" w:cs="宋体"/>
          <w:b/>
          <w:bCs/>
          <w:color w:val="000000" w:themeColor="text1"/>
          <w:sz w:val="28"/>
          <w:szCs w:val="28"/>
          <w:highlight w:val="none"/>
          <w:lang w:eastAsia="zh-CN"/>
          <w14:textFill>
            <w14:solidFill>
              <w14:schemeClr w14:val="tx1"/>
            </w14:solidFill>
          </w14:textFill>
        </w:rPr>
      </w:pPr>
      <w:r>
        <w:rPr>
          <w:rFonts w:hint="eastAsia" w:ascii="宋体" w:hAnsi="宋体" w:eastAsia="宋体" w:cs="宋体"/>
          <w:b/>
          <w:bCs/>
          <w:color w:val="000000" w:themeColor="text1"/>
          <w:sz w:val="28"/>
          <w:szCs w:val="28"/>
          <w:highlight w:val="none"/>
          <w:lang w:eastAsia="zh-CN"/>
          <w14:textFill>
            <w14:solidFill>
              <w14:schemeClr w14:val="tx1"/>
            </w14:solidFill>
          </w14:textFill>
        </w:rPr>
        <w:t>广东新正工程咨询有限公司</w:t>
      </w:r>
      <w:r>
        <w:rPr>
          <w:rFonts w:hint="eastAsia" w:ascii="宋体" w:hAnsi="宋体" w:eastAsia="宋体" w:cs="宋体"/>
          <w:b/>
          <w:bCs/>
          <w:color w:val="000000" w:themeColor="text1"/>
          <w:sz w:val="28"/>
          <w:szCs w:val="28"/>
          <w:highlight w:val="none"/>
          <w14:textFill>
            <w14:solidFill>
              <w14:schemeClr w14:val="tx1"/>
            </w14:solidFill>
          </w14:textFill>
        </w:rPr>
        <w:t>关于</w:t>
      </w:r>
      <w:r>
        <w:rPr>
          <w:rFonts w:hint="eastAsia" w:ascii="宋体" w:hAnsi="宋体" w:cs="宋体"/>
          <w:b/>
          <w:bCs/>
          <w:color w:val="000000" w:themeColor="text1"/>
          <w:sz w:val="28"/>
          <w:szCs w:val="28"/>
          <w:highlight w:val="none"/>
          <w:lang w:eastAsia="zh-CN"/>
          <w14:textFill>
            <w14:solidFill>
              <w14:schemeClr w14:val="tx1"/>
            </w14:solidFill>
          </w14:textFill>
        </w:rPr>
        <w:t>2026年材料与化学工程学院高原学科设备采购项目</w:t>
      </w:r>
      <w:r>
        <w:rPr>
          <w:rFonts w:hint="eastAsia" w:ascii="宋体" w:hAnsi="宋体" w:eastAsia="宋体" w:cs="宋体"/>
          <w:b/>
          <w:bCs/>
          <w:color w:val="000000" w:themeColor="text1"/>
          <w:sz w:val="28"/>
          <w:szCs w:val="28"/>
          <w:highlight w:val="none"/>
          <w:lang w:eastAsia="zh-CN"/>
          <w14:textFill>
            <w14:solidFill>
              <w14:schemeClr w14:val="tx1"/>
            </w14:solidFill>
          </w14:textFill>
        </w:rPr>
        <w:t>（</w:t>
      </w:r>
      <w:r>
        <w:rPr>
          <w:rFonts w:hint="eastAsia" w:ascii="宋体" w:hAnsi="宋体" w:cs="宋体"/>
          <w:b/>
          <w:bCs/>
          <w:color w:val="000000" w:themeColor="text1"/>
          <w:sz w:val="28"/>
          <w:szCs w:val="28"/>
          <w:highlight w:val="none"/>
          <w:lang w:eastAsia="zh-CN"/>
          <w14:textFill>
            <w14:solidFill>
              <w14:schemeClr w14:val="tx1"/>
            </w14:solidFill>
          </w14:textFill>
        </w:rPr>
        <w:t>GXZC2026-J1-002662-GDXZ</w:t>
      </w:r>
      <w:r>
        <w:rPr>
          <w:rFonts w:hint="eastAsia" w:ascii="宋体" w:hAnsi="宋体" w:eastAsia="宋体" w:cs="宋体"/>
          <w:b/>
          <w:bCs/>
          <w:color w:val="000000" w:themeColor="text1"/>
          <w:sz w:val="28"/>
          <w:szCs w:val="28"/>
          <w:highlight w:val="none"/>
          <w:lang w:eastAsia="zh-CN"/>
          <w14:textFill>
            <w14:solidFill>
              <w14:schemeClr w14:val="tx1"/>
            </w14:solidFill>
          </w14:textFill>
        </w:rPr>
        <w:t>）竞</w:t>
      </w:r>
      <w:r>
        <w:rPr>
          <w:rFonts w:hint="eastAsia" w:ascii="宋体" w:hAnsi="宋体" w:eastAsia="宋体" w:cs="宋体"/>
          <w:b/>
          <w:bCs/>
          <w:color w:val="000000" w:themeColor="text1"/>
          <w:sz w:val="28"/>
          <w:szCs w:val="28"/>
          <w:highlight w:val="none"/>
          <w14:textFill>
            <w14:solidFill>
              <w14:schemeClr w14:val="tx1"/>
            </w14:solidFill>
          </w14:textFill>
        </w:rPr>
        <w:t>争性谈判公告</w:t>
      </w:r>
    </w:p>
    <w:p w14:paraId="7727E4CE">
      <w:pPr>
        <w:spacing w:line="360" w:lineRule="auto"/>
        <w:rPr>
          <w:rFonts w:ascii="宋体" w:hAnsi="宋体"/>
          <w:color w:val="000000" w:themeColor="text1"/>
          <w:szCs w:val="21"/>
          <w:highlight w:val="none"/>
          <w14:textFill>
            <w14:solidFill>
              <w14:schemeClr w14:val="tx1"/>
            </w14:solidFill>
          </w14:textFill>
        </w:rPr>
      </w:pPr>
    </w:p>
    <w:p w14:paraId="5081B4C1">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themeColor="text1"/>
          <w:szCs w:val="21"/>
          <w:highlight w:val="none"/>
          <w14:textFill>
            <w14:solidFill>
              <w14:schemeClr w14:val="tx1"/>
            </w14:solidFill>
          </w14:textFill>
        </w:rPr>
      </w:pPr>
      <w:bookmarkStart w:id="1" w:name="_Hlk37430271"/>
      <w:r>
        <w:rPr>
          <w:rFonts w:hint="eastAsia" w:ascii="宋体" w:hAnsi="宋体"/>
          <w:color w:val="000000" w:themeColor="text1"/>
          <w:szCs w:val="21"/>
          <w:highlight w:val="none"/>
          <w14:textFill>
            <w14:solidFill>
              <w14:schemeClr w14:val="tx1"/>
            </w14:solidFill>
          </w14:textFill>
        </w:rPr>
        <w:t>项目概况</w:t>
      </w:r>
    </w:p>
    <w:p w14:paraId="1B003BF0">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lang w:eastAsia="zh-CN"/>
          <w14:textFill>
            <w14:solidFill>
              <w14:schemeClr w14:val="tx1"/>
            </w14:solidFill>
          </w14:textFill>
        </w:rPr>
        <w:t>2026年材料与化学工程学院高原学科设备采购项目</w:t>
      </w:r>
      <w:r>
        <w:rPr>
          <w:rFonts w:hint="eastAsia" w:ascii="宋体" w:hAnsi="宋体"/>
          <w:color w:val="000000" w:themeColor="text1"/>
          <w:szCs w:val="21"/>
          <w:highlight w:val="none"/>
          <w14:textFill>
            <w14:solidFill>
              <w14:schemeClr w14:val="tx1"/>
            </w14:solidFill>
          </w14:textFill>
        </w:rPr>
        <w:t>的潜在供应商应在“广西政府采购云”平台（https://www.gcy.zfcg.gxzf.gov.cn/）获取</w:t>
      </w:r>
      <w:r>
        <w:rPr>
          <w:rFonts w:hint="eastAsia" w:ascii="宋体" w:hAnsi="宋体"/>
          <w:color w:val="000000" w:themeColor="text1"/>
          <w:szCs w:val="21"/>
          <w:highlight w:val="none"/>
          <w:lang w:val="en-US" w:eastAsia="zh-CN"/>
          <w14:textFill>
            <w14:solidFill>
              <w14:schemeClr w14:val="tx1"/>
            </w14:solidFill>
          </w14:textFill>
        </w:rPr>
        <w:t>采购</w:t>
      </w:r>
      <w:r>
        <w:rPr>
          <w:rFonts w:hint="eastAsia" w:ascii="宋体" w:hAnsi="宋体"/>
          <w:color w:val="000000" w:themeColor="text1"/>
          <w:szCs w:val="21"/>
          <w:highlight w:val="none"/>
          <w14:textFill>
            <w14:solidFill>
              <w14:schemeClr w14:val="tx1"/>
            </w14:solidFill>
          </w14:textFill>
        </w:rPr>
        <w:t>文件，并于</w:t>
      </w:r>
      <w:r>
        <w:rPr>
          <w:rFonts w:hint="eastAsia" w:ascii="宋体" w:hAnsi="宋体"/>
          <w:color w:val="000000" w:themeColor="text1"/>
          <w:szCs w:val="21"/>
          <w:highlight w:val="none"/>
          <w:u w:val="single"/>
          <w14:textFill>
            <w14:solidFill>
              <w14:schemeClr w14:val="tx1"/>
            </w14:solidFill>
          </w14:textFill>
        </w:rPr>
        <w:t>2</w:t>
      </w:r>
      <w:r>
        <w:rPr>
          <w:rFonts w:ascii="宋体" w:hAnsi="宋体"/>
          <w:color w:val="000000" w:themeColor="text1"/>
          <w:szCs w:val="21"/>
          <w:highlight w:val="none"/>
          <w:u w:val="single"/>
          <w14:textFill>
            <w14:solidFill>
              <w14:schemeClr w14:val="tx1"/>
            </w14:solidFill>
          </w14:textFill>
        </w:rPr>
        <w:t>02</w:t>
      </w:r>
      <w:r>
        <w:rPr>
          <w:rFonts w:hint="eastAsia" w:ascii="宋体" w:hAnsi="宋体"/>
          <w:color w:val="000000" w:themeColor="text1"/>
          <w:szCs w:val="21"/>
          <w:highlight w:val="none"/>
          <w:u w:val="single"/>
          <w:lang w:val="en-US" w:eastAsia="zh-CN"/>
          <w14:textFill>
            <w14:solidFill>
              <w14:schemeClr w14:val="tx1"/>
            </w14:solidFill>
          </w14:textFill>
        </w:rPr>
        <w:t>6</w:t>
      </w:r>
      <w:r>
        <w:rPr>
          <w:rFonts w:hint="eastAsia" w:ascii="宋体" w:hAnsi="宋体"/>
          <w:bCs/>
          <w:color w:val="000000" w:themeColor="text1"/>
          <w:szCs w:val="21"/>
          <w:highlight w:val="none"/>
          <w:u w:val="single"/>
          <w14:textFill>
            <w14:solidFill>
              <w14:schemeClr w14:val="tx1"/>
            </w14:solidFill>
          </w14:textFill>
        </w:rPr>
        <w:t>年</w:t>
      </w:r>
      <w:r>
        <w:rPr>
          <w:rFonts w:hint="eastAsia" w:ascii="宋体" w:hAnsi="宋体"/>
          <w:bCs/>
          <w:color w:val="000000" w:themeColor="text1"/>
          <w:szCs w:val="21"/>
          <w:highlight w:val="none"/>
          <w:u w:val="single"/>
          <w:lang w:val="en-US" w:eastAsia="zh-CN"/>
          <w14:textFill>
            <w14:solidFill>
              <w14:schemeClr w14:val="tx1"/>
            </w14:solidFill>
          </w14:textFill>
        </w:rPr>
        <w:t>8</w:t>
      </w:r>
      <w:r>
        <w:rPr>
          <w:rFonts w:hint="eastAsia" w:ascii="宋体" w:hAnsi="宋体"/>
          <w:bCs/>
          <w:color w:val="000000" w:themeColor="text1"/>
          <w:szCs w:val="21"/>
          <w:highlight w:val="none"/>
          <w:u w:val="single"/>
          <w14:textFill>
            <w14:solidFill>
              <w14:schemeClr w14:val="tx1"/>
            </w14:solidFill>
          </w14:textFill>
        </w:rPr>
        <w:t>月</w:t>
      </w:r>
      <w:r>
        <w:rPr>
          <w:rFonts w:hint="eastAsia" w:ascii="宋体" w:hAnsi="宋体"/>
          <w:bCs/>
          <w:color w:val="000000" w:themeColor="text1"/>
          <w:szCs w:val="21"/>
          <w:highlight w:val="none"/>
          <w:u w:val="single"/>
          <w:lang w:val="en-US" w:eastAsia="zh-CN"/>
          <w14:textFill>
            <w14:solidFill>
              <w14:schemeClr w14:val="tx1"/>
            </w14:solidFill>
          </w14:textFill>
        </w:rPr>
        <w:t>19</w:t>
      </w:r>
      <w:r>
        <w:rPr>
          <w:rFonts w:hint="eastAsia" w:ascii="宋体" w:hAnsi="宋体"/>
          <w:bCs/>
          <w:color w:val="000000" w:themeColor="text1"/>
          <w:szCs w:val="21"/>
          <w:highlight w:val="none"/>
          <w:u w:val="single"/>
          <w14:textFill>
            <w14:solidFill>
              <w14:schemeClr w14:val="tx1"/>
            </w14:solidFill>
          </w14:textFill>
        </w:rPr>
        <w:t>日</w:t>
      </w:r>
      <w:r>
        <w:rPr>
          <w:rFonts w:ascii="宋体" w:hAnsi="宋体"/>
          <w:bCs/>
          <w:color w:val="000000" w:themeColor="text1"/>
          <w:szCs w:val="21"/>
          <w:highlight w:val="none"/>
          <w:u w:val="single"/>
          <w14:textFill>
            <w14:solidFill>
              <w14:schemeClr w14:val="tx1"/>
            </w14:solidFill>
          </w14:textFill>
        </w:rPr>
        <w:t>9</w:t>
      </w:r>
      <w:r>
        <w:rPr>
          <w:rFonts w:hint="eastAsia" w:ascii="宋体" w:hAnsi="宋体"/>
          <w:bCs/>
          <w:color w:val="000000" w:themeColor="text1"/>
          <w:szCs w:val="21"/>
          <w:highlight w:val="none"/>
          <w:u w:val="single"/>
          <w14:textFill>
            <w14:solidFill>
              <w14:schemeClr w14:val="tx1"/>
            </w14:solidFill>
          </w14:textFill>
        </w:rPr>
        <w:t>时</w:t>
      </w:r>
      <w:r>
        <w:rPr>
          <w:rFonts w:hint="eastAsia" w:ascii="宋体" w:hAnsi="宋体"/>
          <w:bCs/>
          <w:color w:val="000000" w:themeColor="text1"/>
          <w:szCs w:val="21"/>
          <w:highlight w:val="none"/>
          <w:u w:val="single"/>
          <w:lang w:val="en-US" w:eastAsia="zh-CN"/>
          <w14:textFill>
            <w14:solidFill>
              <w14:schemeClr w14:val="tx1"/>
            </w14:solidFill>
          </w14:textFill>
        </w:rPr>
        <w:t>0</w:t>
      </w:r>
      <w:r>
        <w:rPr>
          <w:rFonts w:ascii="宋体" w:hAnsi="宋体"/>
          <w:bCs/>
          <w:color w:val="000000" w:themeColor="text1"/>
          <w:szCs w:val="21"/>
          <w:highlight w:val="none"/>
          <w:u w:val="single"/>
          <w14:textFill>
            <w14:solidFill>
              <w14:schemeClr w14:val="tx1"/>
            </w14:solidFill>
          </w14:textFill>
        </w:rPr>
        <w:t>0</w:t>
      </w:r>
      <w:r>
        <w:rPr>
          <w:rFonts w:hint="eastAsia" w:ascii="宋体" w:hAnsi="宋体"/>
          <w:bCs/>
          <w:color w:val="000000" w:themeColor="text1"/>
          <w:szCs w:val="21"/>
          <w:highlight w:val="none"/>
          <w:u w:val="single"/>
          <w14:textFill>
            <w14:solidFill>
              <w14:schemeClr w14:val="tx1"/>
            </w14:solidFill>
          </w14:textFill>
        </w:rPr>
        <w:t>分（</w:t>
      </w:r>
      <w:r>
        <w:rPr>
          <w:rFonts w:hint="eastAsia" w:ascii="宋体" w:hAnsi="宋体"/>
          <w:bCs/>
          <w:color w:val="000000" w:themeColor="text1"/>
          <w:szCs w:val="21"/>
          <w:highlight w:val="none"/>
          <w14:textFill>
            <w14:solidFill>
              <w14:schemeClr w14:val="tx1"/>
            </w14:solidFill>
          </w14:textFill>
        </w:rPr>
        <w:t>北京时间）前提交</w:t>
      </w:r>
      <w:r>
        <w:rPr>
          <w:rFonts w:hint="eastAsia" w:ascii="宋体" w:hAnsi="宋体"/>
          <w:color w:val="000000" w:themeColor="text1"/>
          <w:szCs w:val="21"/>
          <w:highlight w:val="none"/>
          <w14:textFill>
            <w14:solidFill>
              <w14:schemeClr w14:val="tx1"/>
            </w14:solidFill>
          </w14:textFill>
        </w:rPr>
        <w:t>响应</w:t>
      </w:r>
      <w:r>
        <w:rPr>
          <w:rFonts w:ascii="宋体" w:hAnsi="宋体"/>
          <w:bCs/>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14:textFill>
            <w14:solidFill>
              <w14:schemeClr w14:val="tx1"/>
            </w14:solidFill>
          </w14:textFill>
        </w:rPr>
        <w:t>。</w:t>
      </w:r>
    </w:p>
    <w:p w14:paraId="1AFDE737">
      <w:pPr>
        <w:spacing w:line="360" w:lineRule="auto"/>
        <w:ind w:firstLine="361" w:firstLineChars="150"/>
        <w:rPr>
          <w:rFonts w:hint="eastAsia" w:ascii="黑体" w:hAnsi="黑体" w:eastAsia="黑体"/>
          <w:b/>
          <w:color w:val="000000" w:themeColor="text1"/>
          <w:sz w:val="24"/>
          <w:highlight w:val="none"/>
          <w14:textFill>
            <w14:solidFill>
              <w14:schemeClr w14:val="tx1"/>
            </w14:solidFill>
          </w14:textFill>
        </w:rPr>
      </w:pPr>
      <w:bookmarkStart w:id="2" w:name="_Toc71366040"/>
      <w:bookmarkStart w:id="3" w:name="_Toc71365362"/>
      <w:bookmarkStart w:id="4" w:name="_Toc28359012"/>
      <w:bookmarkStart w:id="5" w:name="_Toc35393798"/>
      <w:bookmarkStart w:id="6" w:name="_Toc28359089"/>
      <w:bookmarkStart w:id="7" w:name="_Toc35393629"/>
      <w:r>
        <w:rPr>
          <w:rFonts w:hint="eastAsia" w:ascii="黑体" w:hAnsi="黑体" w:eastAsia="黑体"/>
          <w:b/>
          <w:color w:val="000000" w:themeColor="text1"/>
          <w:sz w:val="24"/>
          <w:highlight w:val="none"/>
          <w14:textFill>
            <w14:solidFill>
              <w14:schemeClr w14:val="tx1"/>
            </w14:solidFill>
          </w14:textFill>
        </w:rPr>
        <w:t>一、项目基本情况</w:t>
      </w:r>
      <w:bookmarkEnd w:id="2"/>
      <w:bookmarkEnd w:id="3"/>
      <w:bookmarkEnd w:id="4"/>
      <w:bookmarkEnd w:id="5"/>
      <w:bookmarkEnd w:id="6"/>
      <w:bookmarkEnd w:id="7"/>
    </w:p>
    <w:p w14:paraId="199BDE1B">
      <w:pPr>
        <w:spacing w:line="360" w:lineRule="auto"/>
        <w:ind w:firstLine="420" w:firstLineChars="20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w:t>
      </w:r>
      <w:r>
        <w:rPr>
          <w:rFonts w:hint="eastAsia"/>
          <w:color w:val="000000" w:themeColor="text1"/>
          <w:highlight w:val="none"/>
          <w:lang w:eastAsia="zh-CN"/>
          <w14:textFill>
            <w14:solidFill>
              <w14:schemeClr w14:val="tx1"/>
            </w14:solidFill>
          </w14:textFill>
        </w:rPr>
        <w:t>目编号：</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GXZC2026-J1-002662-GDXZ</w:t>
      </w:r>
    </w:p>
    <w:p w14:paraId="0BA48356">
      <w:pPr>
        <w:spacing w:line="360" w:lineRule="auto"/>
        <w:ind w:firstLine="420" w:firstLineChars="200"/>
        <w:rPr>
          <w:rFonts w:hint="eastAsia" w:ascii="宋体" w:hAnsi="宋体" w:eastAsia="宋体"/>
          <w:color w:val="000000" w:themeColor="text1"/>
          <w:szCs w:val="21"/>
          <w:highlight w:val="none"/>
          <w:u w:val="singl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color w:val="000000" w:themeColor="text1"/>
          <w:highlight w:val="none"/>
          <w:lang w:eastAsia="zh-CN"/>
          <w14:textFill>
            <w14:solidFill>
              <w14:schemeClr w14:val="tx1"/>
            </w14:solidFill>
          </w14:textFill>
        </w:rPr>
        <w:t>2026年材料与化学工程学院高原学科设备采购项目</w:t>
      </w:r>
    </w:p>
    <w:p w14:paraId="414F1F5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采购方式：竞争性谈判</w:t>
      </w:r>
    </w:p>
    <w:p w14:paraId="1371D659">
      <w:pPr>
        <w:spacing w:line="360" w:lineRule="auto"/>
        <w:ind w:firstLine="420" w:firstLineChars="200"/>
        <w:rPr>
          <w:rFonts w:hint="eastAsia" w:ascii="宋体" w:hAnsi="宋体" w:eastAsia="宋体" w:cs="Times New Roman"/>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预算金额：</w:t>
      </w:r>
      <w:r>
        <w:rPr>
          <w:rFonts w:hint="eastAsia" w:ascii="宋体" w:hAnsi="宋体"/>
          <w:color w:val="000000" w:themeColor="text1"/>
          <w:szCs w:val="21"/>
          <w:highlight w:val="none"/>
          <w:lang w:val="en-US" w:eastAsia="zh-CN"/>
          <w14:textFill>
            <w14:solidFill>
              <w14:schemeClr w14:val="tx1"/>
            </w14:solidFill>
          </w14:textFill>
        </w:rPr>
        <w:t>贰佰柒拾柒万伍仟伍佰陆拾柒元整</w:t>
      </w:r>
      <w:r>
        <w:rPr>
          <w:rFonts w:hint="eastAsia" w:ascii="宋体" w:hAnsi="宋体" w:eastAsia="宋体" w:cs="Times New Roman"/>
          <w:color w:val="000000" w:themeColor="text1"/>
          <w:szCs w:val="21"/>
          <w:highlight w:val="none"/>
          <w:lang w:val="en-US" w:eastAsia="zh-CN"/>
          <w14:textFill>
            <w14:solidFill>
              <w14:schemeClr w14:val="tx1"/>
            </w14:solidFill>
          </w14:textFill>
        </w:rPr>
        <w:t>（</w:t>
      </w:r>
      <w:r>
        <w:rPr>
          <w:rFonts w:hint="default" w:ascii="宋体" w:hAnsi="宋体" w:eastAsia="宋体" w:cs="Times New Roman"/>
          <w:color w:val="000000" w:themeColor="text1"/>
          <w:szCs w:val="21"/>
          <w:highlight w:val="none"/>
          <w:lang w:val="en-US" w:eastAsia="zh-CN"/>
          <w14:textFill>
            <w14:solidFill>
              <w14:schemeClr w14:val="tx1"/>
            </w14:solidFill>
          </w14:textFill>
        </w:rPr>
        <w:t>¥2775567</w:t>
      </w:r>
      <w:r>
        <w:rPr>
          <w:rFonts w:hint="eastAsia" w:ascii="宋体" w:hAnsi="宋体" w:eastAsia="宋体" w:cs="Times New Roman"/>
          <w:color w:val="000000" w:themeColor="text1"/>
          <w:szCs w:val="21"/>
          <w:highlight w:val="none"/>
          <w:lang w:val="en-US" w:eastAsia="zh-CN"/>
          <w14:textFill>
            <w14:solidFill>
              <w14:schemeClr w14:val="tx1"/>
            </w14:solidFill>
          </w14:textFill>
        </w:rPr>
        <w:t>.00）</w:t>
      </w:r>
    </w:p>
    <w:p w14:paraId="06960F2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最高限价：</w:t>
      </w:r>
      <w:r>
        <w:rPr>
          <w:rFonts w:hint="eastAsia" w:ascii="宋体" w:hAnsi="宋体"/>
          <w:color w:val="000000" w:themeColor="text1"/>
          <w:szCs w:val="21"/>
          <w:highlight w:val="none"/>
          <w:lang w:val="en-US" w:eastAsia="zh-CN"/>
          <w14:textFill>
            <w14:solidFill>
              <w14:schemeClr w14:val="tx1"/>
            </w14:solidFill>
          </w14:textFill>
        </w:rPr>
        <w:t>贰佰柒拾柒万伍仟伍佰陆拾柒元整</w:t>
      </w:r>
      <w:r>
        <w:rPr>
          <w:rFonts w:hint="eastAsia" w:ascii="宋体" w:hAnsi="宋体" w:eastAsia="宋体" w:cs="Times New Roman"/>
          <w:color w:val="000000" w:themeColor="text1"/>
          <w:szCs w:val="21"/>
          <w:highlight w:val="none"/>
          <w:lang w:val="en-US" w:eastAsia="zh-CN"/>
          <w14:textFill>
            <w14:solidFill>
              <w14:schemeClr w14:val="tx1"/>
            </w14:solidFill>
          </w14:textFill>
        </w:rPr>
        <w:t>（</w:t>
      </w:r>
      <w:r>
        <w:rPr>
          <w:rFonts w:hint="default" w:ascii="宋体" w:hAnsi="宋体" w:eastAsia="宋体" w:cs="Times New Roman"/>
          <w:color w:val="000000" w:themeColor="text1"/>
          <w:szCs w:val="21"/>
          <w:highlight w:val="none"/>
          <w:lang w:val="en-US" w:eastAsia="zh-CN"/>
          <w14:textFill>
            <w14:solidFill>
              <w14:schemeClr w14:val="tx1"/>
            </w14:solidFill>
          </w14:textFill>
        </w:rPr>
        <w:t>¥2775567</w:t>
      </w:r>
      <w:r>
        <w:rPr>
          <w:rFonts w:hint="eastAsia" w:ascii="宋体" w:hAnsi="宋体" w:eastAsia="宋体" w:cs="Times New Roman"/>
          <w:color w:val="000000" w:themeColor="text1"/>
          <w:szCs w:val="21"/>
          <w:highlight w:val="none"/>
          <w:lang w:val="en-US" w:eastAsia="zh-CN"/>
          <w14:textFill>
            <w14:solidFill>
              <w14:schemeClr w14:val="tx1"/>
            </w14:solidFill>
          </w14:textFill>
        </w:rPr>
        <w:t>.00）</w:t>
      </w:r>
    </w:p>
    <w:p w14:paraId="2A499026">
      <w:pPr>
        <w:keepNext w:val="0"/>
        <w:keepLines w:val="0"/>
        <w:pageBreakBefore w:val="0"/>
        <w:kinsoku/>
        <w:wordWrap/>
        <w:overflowPunct/>
        <w:autoSpaceDE/>
        <w:autoSpaceDN/>
        <w:bidi w:val="0"/>
        <w:adjustRightInd/>
        <w:snapToGrid/>
        <w:spacing w:line="360" w:lineRule="auto"/>
        <w:ind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采购需求：</w:t>
      </w:r>
      <w:bookmarkStart w:id="8" w:name="_Toc71365363"/>
      <w:bookmarkStart w:id="9" w:name="_Toc35393630"/>
      <w:bookmarkStart w:id="10" w:name="_Toc71366041"/>
      <w:bookmarkStart w:id="11" w:name="_Toc35393799"/>
      <w:bookmarkStart w:id="12" w:name="_Toc28359090"/>
      <w:bookmarkStart w:id="13" w:name="_Toc28359013"/>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双光束紫外-可见漫反射分光光度计、500ml四工位立式行星球磨机、箱式炉、</w:t>
      </w:r>
      <w:r>
        <w:rPr>
          <w:rFonts w:hint="eastAsia" w:asciiTheme="minorEastAsia" w:hAnsiTheme="minorEastAsia" w:eastAsiaTheme="minorEastAsia" w:cstheme="minorEastAsia"/>
          <w:color w:val="000000"/>
          <w:kern w:val="0"/>
          <w:sz w:val="21"/>
          <w:szCs w:val="21"/>
          <w:highlight w:val="none"/>
          <w:lang w:val="en-US" w:eastAsia="zh-CN" w:bidi="ar-SA"/>
        </w:rPr>
        <w:t>脱泡搅拌机、分散机</w:t>
      </w:r>
      <w:r>
        <w:rPr>
          <w:rFonts w:hint="eastAsia" w:ascii="宋体" w:hAnsi="宋体" w:eastAsia="宋体" w:cs="宋体"/>
          <w:i w:val="0"/>
          <w:iCs w:val="0"/>
          <w:caps w:val="0"/>
          <w:color w:val="000000"/>
          <w:spacing w:val="0"/>
          <w:sz w:val="21"/>
          <w:szCs w:val="21"/>
          <w:highlight w:val="none"/>
          <w:shd w:val="clear" w:fill="FFFFFF"/>
        </w:rPr>
        <w:t>等仪器设备一批。如需进一步了解详细内容，详见竞争性谈判文件。</w:t>
      </w:r>
    </w:p>
    <w:p w14:paraId="6B3FF3B6">
      <w:pPr>
        <w:spacing w:line="360" w:lineRule="auto"/>
        <w:ind w:firstLine="420"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合同履行期限：所有货物自合同签订之日起30工作日内交付使用。</w:t>
      </w:r>
    </w:p>
    <w:p w14:paraId="293A514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本项目（是</w:t>
      </w:r>
      <w:r>
        <w:rPr>
          <w:rFonts w:ascii="宋体" w:hAnsi="宋体"/>
          <w:color w:val="000000" w:themeColor="text1"/>
          <w:szCs w:val="21"/>
          <w:highlight w:val="none"/>
          <w14:textFill>
            <w14:solidFill>
              <w14:schemeClr w14:val="tx1"/>
            </w14:solidFill>
          </w14:textFill>
        </w:rPr>
        <w:t>/</w:t>
      </w:r>
      <w:r>
        <w:rPr>
          <w:rFonts w:ascii="Segoe UI Symbol" w:hAnsi="Segoe UI Symbol" w:cs="Segoe UI Symbol"/>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否</w:t>
      </w:r>
      <w:r>
        <w:rPr>
          <w:rFonts w:hint="eastAsia" w:ascii="宋体" w:hAnsi="宋体"/>
          <w:color w:val="000000" w:themeColor="text1"/>
          <w:szCs w:val="21"/>
          <w:highlight w:val="none"/>
          <w14:textFill>
            <w14:solidFill>
              <w14:schemeClr w14:val="tx1"/>
            </w14:solidFill>
          </w14:textFill>
        </w:rPr>
        <w:t>）接受联合体。</w:t>
      </w:r>
    </w:p>
    <w:p w14:paraId="3D4DCEA4">
      <w:pPr>
        <w:spacing w:line="360" w:lineRule="auto"/>
        <w:ind w:firstLine="361" w:firstLineChars="150"/>
        <w:rPr>
          <w:rFonts w:hint="eastAsia" w:ascii="黑体" w:hAnsi="黑体" w:eastAsia="黑体"/>
          <w:b/>
          <w:color w:val="000000" w:themeColor="text1"/>
          <w:sz w:val="24"/>
          <w:highlight w:val="none"/>
          <w14:textFill>
            <w14:solidFill>
              <w14:schemeClr w14:val="tx1"/>
            </w14:solidFill>
          </w14:textFill>
        </w:rPr>
      </w:pPr>
      <w:r>
        <w:rPr>
          <w:rFonts w:hint="eastAsia" w:ascii="黑体" w:hAnsi="黑体" w:eastAsia="黑体"/>
          <w:b/>
          <w:color w:val="000000" w:themeColor="text1"/>
          <w:sz w:val="24"/>
          <w:highlight w:val="none"/>
          <w14:textFill>
            <w14:solidFill>
              <w14:schemeClr w14:val="tx1"/>
            </w14:solidFill>
          </w14:textFill>
        </w:rPr>
        <w:t>二、供应商的资格条件：</w:t>
      </w:r>
      <w:bookmarkEnd w:id="8"/>
      <w:bookmarkEnd w:id="9"/>
      <w:bookmarkEnd w:id="10"/>
      <w:bookmarkEnd w:id="11"/>
      <w:bookmarkEnd w:id="12"/>
      <w:bookmarkEnd w:id="13"/>
    </w:p>
    <w:p w14:paraId="6CFD30FB">
      <w:pPr>
        <w:spacing w:line="360" w:lineRule="auto"/>
        <w:ind w:firstLine="420" w:firstLineChars="200"/>
        <w:rPr>
          <w:rFonts w:ascii="宋体" w:hAnsi="宋体"/>
          <w:color w:val="000000" w:themeColor="text1"/>
          <w:szCs w:val="21"/>
          <w:highlight w:val="none"/>
          <w14:textFill>
            <w14:solidFill>
              <w14:schemeClr w14:val="tx1"/>
            </w14:solidFill>
          </w14:textFill>
        </w:rPr>
      </w:pPr>
      <w:bookmarkStart w:id="14" w:name="_Toc28359091"/>
      <w:bookmarkStart w:id="15" w:name="_Toc28359014"/>
      <w:r>
        <w:rPr>
          <w:rFonts w:hint="eastAsia" w:ascii="宋体" w:hAnsi="宋体"/>
          <w:color w:val="000000" w:themeColor="text1"/>
          <w:szCs w:val="21"/>
          <w:highlight w:val="none"/>
          <w14:textFill>
            <w14:solidFill>
              <w14:schemeClr w14:val="tx1"/>
            </w14:solidFill>
          </w14:textFill>
        </w:rPr>
        <w:t>1.满足《中华人民共和国政府采购法》第二十二条规定；</w:t>
      </w:r>
    </w:p>
    <w:p w14:paraId="484D115B">
      <w:pPr>
        <w:spacing w:line="360" w:lineRule="auto"/>
        <w:ind w:firstLine="420" w:firstLineChars="200"/>
        <w:rPr>
          <w:rFonts w:hint="eastAsia" w:ascii="宋体" w:hAnsi="宋体" w:eastAsia="宋体"/>
          <w:b/>
          <w:color w:val="000000" w:themeColor="text1"/>
          <w:szCs w:val="21"/>
          <w:highlight w:val="none"/>
          <w:lang w:eastAsia="zh-CN"/>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.落实政府采购政策需满足的资格要求：</w:t>
      </w:r>
      <w:r>
        <w:rPr>
          <w:rFonts w:hint="eastAsia" w:ascii="宋体" w:hAnsi="宋体" w:cs="宋体"/>
          <w:color w:val="auto"/>
          <w:szCs w:val="21"/>
          <w:highlight w:val="none"/>
          <w:lang w:val="en-US" w:eastAsia="zh-CN"/>
        </w:rPr>
        <w:t>无</w:t>
      </w:r>
      <w:r>
        <w:rPr>
          <w:rFonts w:hint="eastAsia" w:ascii="宋体" w:hAnsi="宋体" w:eastAsia="宋体" w:cs="宋体"/>
          <w:color w:val="auto"/>
          <w:szCs w:val="21"/>
          <w:highlight w:val="none"/>
          <w:lang w:eastAsia="zh-CN"/>
        </w:rPr>
        <w:t>；</w:t>
      </w:r>
    </w:p>
    <w:p w14:paraId="4F9FB9C8">
      <w:pPr>
        <w:spacing w:line="360" w:lineRule="auto"/>
        <w:ind w:firstLine="420" w:firstLineChars="200"/>
        <w:rPr>
          <w:color w:val="000000" w:themeColor="text1"/>
          <w:kern w:val="0"/>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3.本项目的特定资格要求：</w:t>
      </w:r>
      <w:bookmarkStart w:id="16" w:name="_Toc35393800"/>
      <w:bookmarkStart w:id="17" w:name="_Toc71365364"/>
      <w:bookmarkStart w:id="18" w:name="_Toc35393631"/>
      <w:bookmarkStart w:id="19" w:name="_Toc71366042"/>
      <w:r>
        <w:rPr>
          <w:rFonts w:hint="eastAsia" w:ascii="宋体" w:hAnsi="宋体"/>
          <w:color w:val="000000" w:themeColor="text1"/>
          <w:szCs w:val="21"/>
          <w:highlight w:val="none"/>
          <w14:textFill>
            <w14:solidFill>
              <w14:schemeClr w14:val="tx1"/>
            </w14:solidFill>
          </w14:textFill>
        </w:rPr>
        <w:t>无</w:t>
      </w:r>
    </w:p>
    <w:p w14:paraId="3DA712CF">
      <w:pPr>
        <w:spacing w:line="360" w:lineRule="auto"/>
        <w:ind w:firstLine="361" w:firstLineChars="150"/>
        <w:rPr>
          <w:rFonts w:hint="eastAsia" w:ascii="黑体" w:hAnsi="黑体" w:eastAsia="黑体"/>
          <w:b/>
          <w:color w:val="000000" w:themeColor="text1"/>
          <w:sz w:val="24"/>
          <w:highlight w:val="none"/>
          <w14:textFill>
            <w14:solidFill>
              <w14:schemeClr w14:val="tx1"/>
            </w14:solidFill>
          </w14:textFill>
        </w:rPr>
      </w:pPr>
      <w:r>
        <w:rPr>
          <w:rFonts w:hint="eastAsia" w:ascii="黑体" w:hAnsi="黑体" w:eastAsia="黑体"/>
          <w:b/>
          <w:color w:val="000000" w:themeColor="text1"/>
          <w:sz w:val="24"/>
          <w:highlight w:val="none"/>
          <w14:textFill>
            <w14:solidFill>
              <w14:schemeClr w14:val="tx1"/>
            </w14:solidFill>
          </w14:textFill>
        </w:rPr>
        <w:t>三、获取竞争性谈判文件</w:t>
      </w:r>
      <w:bookmarkEnd w:id="14"/>
      <w:bookmarkEnd w:id="15"/>
      <w:bookmarkEnd w:id="16"/>
      <w:bookmarkEnd w:id="17"/>
      <w:bookmarkEnd w:id="18"/>
      <w:bookmarkEnd w:id="19"/>
    </w:p>
    <w:p w14:paraId="4D897148">
      <w:pPr>
        <w:spacing w:line="360" w:lineRule="auto"/>
        <w:ind w:firstLine="420" w:firstLineChars="200"/>
        <w:rPr>
          <w:rFonts w:ascii="宋体" w:hAnsi="宋体" w:cs="宋体"/>
          <w:bCs/>
          <w:color w:val="000000" w:themeColor="text1"/>
          <w:kern w:val="0"/>
          <w:szCs w:val="21"/>
          <w:highlight w:val="none"/>
          <w14:textFill>
            <w14:solidFill>
              <w14:schemeClr w14:val="tx1"/>
            </w14:solidFill>
          </w14:textFill>
        </w:rPr>
      </w:pPr>
      <w:bookmarkStart w:id="20" w:name="_Toc71365365"/>
      <w:bookmarkStart w:id="21" w:name="_Toc28359092"/>
      <w:bookmarkStart w:id="22" w:name="_Toc35393632"/>
      <w:bookmarkStart w:id="23" w:name="_Toc28359015"/>
      <w:bookmarkStart w:id="24" w:name="_Toc35393801"/>
      <w:bookmarkStart w:id="25" w:name="_Toc71366043"/>
      <w:r>
        <w:rPr>
          <w:rFonts w:hint="eastAsia" w:ascii="宋体" w:hAnsi="宋体" w:cs="宋体"/>
          <w:bCs/>
          <w:color w:val="000000" w:themeColor="text1"/>
          <w:kern w:val="0"/>
          <w:szCs w:val="21"/>
          <w:highlight w:val="none"/>
          <w14:textFill>
            <w14:solidFill>
              <w14:schemeClr w14:val="tx1"/>
            </w14:solidFill>
          </w14:textFill>
        </w:rPr>
        <w:t>时间：202</w:t>
      </w:r>
      <w:r>
        <w:rPr>
          <w:rFonts w:hint="eastAsia" w:ascii="宋体" w:hAnsi="宋体" w:cs="宋体"/>
          <w:bCs/>
          <w:color w:val="000000" w:themeColor="text1"/>
          <w:kern w:val="0"/>
          <w:szCs w:val="21"/>
          <w:highlight w:val="none"/>
          <w:lang w:val="en-US" w:eastAsia="zh-CN"/>
          <w14:textFill>
            <w14:solidFill>
              <w14:schemeClr w14:val="tx1"/>
            </w14:solidFill>
          </w14:textFill>
        </w:rPr>
        <w:t>6</w:t>
      </w:r>
      <w:r>
        <w:rPr>
          <w:rFonts w:hint="eastAsia" w:ascii="宋体" w:hAnsi="宋体" w:cs="宋体"/>
          <w:bCs/>
          <w:color w:val="000000" w:themeColor="text1"/>
          <w:kern w:val="0"/>
          <w:szCs w:val="21"/>
          <w:highlight w:val="none"/>
          <w14:textFill>
            <w14:solidFill>
              <w14:schemeClr w14:val="tx1"/>
            </w14:solidFill>
          </w14:textFill>
        </w:rPr>
        <w:t>年</w:t>
      </w:r>
      <w:r>
        <w:rPr>
          <w:rFonts w:hint="eastAsia" w:ascii="宋体" w:hAnsi="宋体" w:cs="宋体"/>
          <w:bCs/>
          <w:color w:val="000000" w:themeColor="text1"/>
          <w:kern w:val="0"/>
          <w:szCs w:val="21"/>
          <w:highlight w:val="none"/>
          <w:lang w:val="en-US" w:eastAsia="zh-CN"/>
          <w14:textFill>
            <w14:solidFill>
              <w14:schemeClr w14:val="tx1"/>
            </w14:solidFill>
          </w14:textFill>
        </w:rPr>
        <w:t>8</w:t>
      </w:r>
      <w:r>
        <w:rPr>
          <w:rFonts w:hint="eastAsia" w:ascii="宋体" w:hAnsi="宋体" w:cs="宋体"/>
          <w:bCs/>
          <w:color w:val="000000" w:themeColor="text1"/>
          <w:kern w:val="0"/>
          <w:szCs w:val="21"/>
          <w:highlight w:val="none"/>
          <w14:textFill>
            <w14:solidFill>
              <w14:schemeClr w14:val="tx1"/>
            </w14:solidFill>
          </w14:textFill>
        </w:rPr>
        <w:t>月</w:t>
      </w:r>
      <w:r>
        <w:rPr>
          <w:rFonts w:hint="eastAsia" w:ascii="宋体" w:hAnsi="宋体" w:cs="宋体"/>
          <w:bCs/>
          <w:color w:val="000000" w:themeColor="text1"/>
          <w:kern w:val="0"/>
          <w:szCs w:val="21"/>
          <w:highlight w:val="none"/>
          <w:lang w:val="en-US" w:eastAsia="zh-CN"/>
          <w14:textFill>
            <w14:solidFill>
              <w14:schemeClr w14:val="tx1"/>
            </w14:solidFill>
          </w14:textFill>
        </w:rPr>
        <w:t>13</w:t>
      </w:r>
      <w:r>
        <w:rPr>
          <w:rFonts w:hint="eastAsia" w:ascii="宋体" w:hAnsi="宋体" w:cs="宋体"/>
          <w:bCs/>
          <w:color w:val="000000" w:themeColor="text1"/>
          <w:kern w:val="0"/>
          <w:szCs w:val="21"/>
          <w:highlight w:val="none"/>
          <w14:textFill>
            <w14:solidFill>
              <w14:schemeClr w14:val="tx1"/>
            </w14:solidFill>
          </w14:textFill>
        </w:rPr>
        <w:t>日至202</w:t>
      </w:r>
      <w:r>
        <w:rPr>
          <w:rFonts w:hint="eastAsia" w:ascii="宋体" w:hAnsi="宋体" w:cs="宋体"/>
          <w:bCs/>
          <w:color w:val="000000" w:themeColor="text1"/>
          <w:kern w:val="0"/>
          <w:szCs w:val="21"/>
          <w:highlight w:val="none"/>
          <w:lang w:val="en-US" w:eastAsia="zh-CN"/>
          <w14:textFill>
            <w14:solidFill>
              <w14:schemeClr w14:val="tx1"/>
            </w14:solidFill>
          </w14:textFill>
        </w:rPr>
        <w:t>6</w:t>
      </w:r>
      <w:r>
        <w:rPr>
          <w:rFonts w:hint="eastAsia" w:ascii="宋体" w:hAnsi="宋体" w:cs="宋体"/>
          <w:bCs/>
          <w:color w:val="000000" w:themeColor="text1"/>
          <w:kern w:val="0"/>
          <w:szCs w:val="21"/>
          <w:highlight w:val="none"/>
          <w14:textFill>
            <w14:solidFill>
              <w14:schemeClr w14:val="tx1"/>
            </w14:solidFill>
          </w14:textFill>
        </w:rPr>
        <w:t>年</w:t>
      </w:r>
      <w:r>
        <w:rPr>
          <w:rFonts w:hint="eastAsia" w:ascii="宋体" w:hAnsi="宋体" w:cs="宋体"/>
          <w:bCs/>
          <w:color w:val="000000" w:themeColor="text1"/>
          <w:kern w:val="0"/>
          <w:szCs w:val="21"/>
          <w:highlight w:val="none"/>
          <w:lang w:val="en-US" w:eastAsia="zh-CN"/>
          <w14:textFill>
            <w14:solidFill>
              <w14:schemeClr w14:val="tx1"/>
            </w14:solidFill>
          </w14:textFill>
        </w:rPr>
        <w:t>8</w:t>
      </w:r>
      <w:r>
        <w:rPr>
          <w:rFonts w:hint="eastAsia" w:ascii="宋体" w:hAnsi="宋体" w:cs="宋体"/>
          <w:bCs/>
          <w:color w:val="000000" w:themeColor="text1"/>
          <w:kern w:val="0"/>
          <w:szCs w:val="21"/>
          <w:highlight w:val="none"/>
          <w14:textFill>
            <w14:solidFill>
              <w14:schemeClr w14:val="tx1"/>
            </w14:solidFill>
          </w14:textFill>
        </w:rPr>
        <w:t>月</w:t>
      </w:r>
      <w:r>
        <w:rPr>
          <w:rFonts w:hint="eastAsia" w:ascii="宋体" w:hAnsi="宋体" w:cs="宋体"/>
          <w:bCs/>
          <w:color w:val="000000" w:themeColor="text1"/>
          <w:kern w:val="0"/>
          <w:szCs w:val="21"/>
          <w:highlight w:val="none"/>
          <w:lang w:val="en-US" w:eastAsia="zh-CN"/>
          <w14:textFill>
            <w14:solidFill>
              <w14:schemeClr w14:val="tx1"/>
            </w14:solidFill>
          </w14:textFill>
        </w:rPr>
        <w:t>18</w:t>
      </w:r>
      <w:r>
        <w:rPr>
          <w:rFonts w:hint="eastAsia" w:ascii="宋体" w:hAnsi="宋体" w:cs="宋体"/>
          <w:bCs/>
          <w:color w:val="000000" w:themeColor="text1"/>
          <w:kern w:val="0"/>
          <w:szCs w:val="21"/>
          <w:highlight w:val="none"/>
          <w14:textFill>
            <w14:solidFill>
              <w14:schemeClr w14:val="tx1"/>
            </w14:solidFill>
          </w14:textFill>
        </w:rPr>
        <w:t>日，每天上午</w:t>
      </w:r>
      <w:r>
        <w:rPr>
          <w:rFonts w:hint="eastAsia" w:ascii="宋体" w:hAnsi="宋体" w:cs="宋体"/>
          <w:bCs/>
          <w:color w:val="000000" w:themeColor="text1"/>
          <w:kern w:val="0"/>
          <w:szCs w:val="21"/>
          <w:highlight w:val="none"/>
          <w:lang w:val="en-US" w:eastAsia="zh-CN"/>
          <w14:textFill>
            <w14:solidFill>
              <w14:schemeClr w14:val="tx1"/>
            </w14:solidFill>
          </w14:textFill>
        </w:rPr>
        <w:t>08</w:t>
      </w:r>
      <w:r>
        <w:rPr>
          <w:rFonts w:hint="eastAsia" w:ascii="宋体" w:hAnsi="宋体" w:cs="宋体"/>
          <w:bCs/>
          <w:color w:val="000000" w:themeColor="text1"/>
          <w:kern w:val="0"/>
          <w:szCs w:val="21"/>
          <w:highlight w:val="none"/>
          <w14:textFill>
            <w14:solidFill>
              <w14:schemeClr w14:val="tx1"/>
            </w14:solidFill>
          </w14:textFill>
        </w:rPr>
        <w:t>:00至12:00，下午</w:t>
      </w:r>
      <w:r>
        <w:rPr>
          <w:rFonts w:hint="eastAsia" w:ascii="宋体" w:hAnsi="宋体" w:cs="宋体"/>
          <w:bCs/>
          <w:color w:val="000000" w:themeColor="text1"/>
          <w:kern w:val="0"/>
          <w:szCs w:val="21"/>
          <w:highlight w:val="none"/>
          <w:lang w:val="en-US" w:eastAsia="zh-CN"/>
          <w14:textFill>
            <w14:solidFill>
              <w14:schemeClr w14:val="tx1"/>
            </w14:solidFill>
          </w14:textFill>
        </w:rPr>
        <w:t>15</w:t>
      </w:r>
      <w:r>
        <w:rPr>
          <w:rFonts w:hint="eastAsia" w:ascii="宋体" w:hAnsi="宋体" w:cs="宋体"/>
          <w:bCs/>
          <w:color w:val="000000" w:themeColor="text1"/>
          <w:kern w:val="0"/>
          <w:szCs w:val="21"/>
          <w:highlight w:val="none"/>
          <w14:textFill>
            <w14:solidFill>
              <w14:schemeClr w14:val="tx1"/>
            </w14:solidFill>
          </w14:textFill>
        </w:rPr>
        <w:t>:00至</w:t>
      </w:r>
      <w:r>
        <w:rPr>
          <w:rFonts w:hint="eastAsia" w:ascii="宋体" w:hAnsi="宋体" w:cs="宋体"/>
          <w:bCs/>
          <w:color w:val="000000" w:themeColor="text1"/>
          <w:kern w:val="0"/>
          <w:szCs w:val="21"/>
          <w:highlight w:val="none"/>
          <w:lang w:val="en-US" w:eastAsia="zh-CN"/>
          <w14:textFill>
            <w14:solidFill>
              <w14:schemeClr w14:val="tx1"/>
            </w14:solidFill>
          </w14:textFill>
        </w:rPr>
        <w:t>18</w:t>
      </w:r>
      <w:r>
        <w:rPr>
          <w:rFonts w:hint="eastAsia" w:ascii="宋体" w:hAnsi="宋体" w:cs="宋体"/>
          <w:bCs/>
          <w:color w:val="000000" w:themeColor="text1"/>
          <w:kern w:val="0"/>
          <w:szCs w:val="21"/>
          <w:highlight w:val="none"/>
          <w14:textFill>
            <w14:solidFill>
              <w14:schemeClr w14:val="tx1"/>
            </w14:solidFill>
          </w14:textFill>
        </w:rPr>
        <w:t>:</w:t>
      </w:r>
      <w:r>
        <w:rPr>
          <w:rFonts w:hint="eastAsia" w:ascii="宋体" w:hAnsi="宋体" w:cs="宋体"/>
          <w:bCs/>
          <w:color w:val="000000" w:themeColor="text1"/>
          <w:kern w:val="0"/>
          <w:szCs w:val="21"/>
          <w:highlight w:val="none"/>
          <w:lang w:val="en-US" w:eastAsia="zh-CN"/>
          <w14:textFill>
            <w14:solidFill>
              <w14:schemeClr w14:val="tx1"/>
            </w14:solidFill>
          </w14:textFill>
        </w:rPr>
        <w:t>00</w:t>
      </w:r>
      <w:r>
        <w:rPr>
          <w:rFonts w:hint="eastAsia" w:ascii="宋体" w:hAnsi="宋体" w:cs="宋体"/>
          <w:bCs/>
          <w:color w:val="000000" w:themeColor="text1"/>
          <w:kern w:val="0"/>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北京时间</w:t>
      </w:r>
      <w:r>
        <w:rPr>
          <w:rFonts w:hint="eastAsia" w:ascii="宋体" w:hAnsi="宋体" w:cs="宋体"/>
          <w:bCs/>
          <w:color w:val="000000" w:themeColor="text1"/>
          <w:kern w:val="0"/>
          <w:szCs w:val="21"/>
          <w:highlight w:val="none"/>
          <w14:textFill>
            <w14:solidFill>
              <w14:schemeClr w14:val="tx1"/>
            </w14:solidFill>
          </w14:textFill>
        </w:rPr>
        <w:t>，法定节假日除外）</w:t>
      </w:r>
    </w:p>
    <w:p w14:paraId="2CCBA81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获取地点：“广西政府采购云”平台（https://www.gcy.zfcg.gxzf.gov.cn/）</w:t>
      </w:r>
    </w:p>
    <w:p w14:paraId="1BFBE7B3">
      <w:pPr>
        <w:spacing w:line="360" w:lineRule="auto"/>
        <w:ind w:firstLine="420" w:firstLineChars="200"/>
        <w:rPr>
          <w:rFonts w:ascii="Arial" w:hAnsi="Arial" w:cs="Arial"/>
          <w:color w:val="000000" w:themeColor="text1"/>
          <w:kern w:val="0"/>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获取方式:网上下载。本项目不发放纸质采购文件，</w:t>
      </w:r>
      <w:r>
        <w:rPr>
          <w:rFonts w:hint="eastAsia" w:ascii="宋体" w:hAnsi="宋体" w:cs="宋体"/>
          <w:bCs/>
          <w:color w:val="000000" w:themeColor="text1"/>
          <w:kern w:val="0"/>
          <w:szCs w:val="21"/>
          <w:highlight w:val="none"/>
          <w14:textFill>
            <w14:solidFill>
              <w14:schemeClr w14:val="tx1"/>
            </w14:solidFill>
          </w14:textFill>
        </w:rPr>
        <w:t>潜在</w:t>
      </w:r>
      <w:r>
        <w:rPr>
          <w:rFonts w:hint="eastAsia" w:ascii="宋体" w:hAnsi="宋体"/>
          <w:color w:val="000000" w:themeColor="text1"/>
          <w:szCs w:val="21"/>
          <w:highlight w:val="none"/>
          <w14:textFill>
            <w14:solidFill>
              <w14:schemeClr w14:val="tx1"/>
            </w14:solidFill>
          </w14:textFill>
        </w:rPr>
        <w:t>供应商可自行在</w:t>
      </w:r>
      <w:r>
        <w:rPr>
          <w:highlight w:val="none"/>
        </w:rPr>
        <w:fldChar w:fldCharType="begin"/>
      </w:r>
      <w:r>
        <w:rPr>
          <w:highlight w:val="none"/>
        </w:rPr>
        <w:instrText xml:space="preserve"> HYPERLINK </w:instrText>
      </w:r>
      <w:r>
        <w:rPr>
          <w:highlight w:val="none"/>
        </w:rPr>
        <w:fldChar w:fldCharType="separate"/>
      </w:r>
      <w:r>
        <w:rPr>
          <w:highlight w:val="none"/>
        </w:rPr>
        <w:fldChar w:fldCharType="end"/>
      </w:r>
      <w:r>
        <w:rPr>
          <w:rFonts w:hint="eastAsia" w:ascii="宋体" w:hAnsi="宋体"/>
          <w:color w:val="000000" w:themeColor="text1"/>
          <w:szCs w:val="21"/>
          <w:highlight w:val="none"/>
          <w14:textFill>
            <w14:solidFill>
              <w14:schemeClr w14:val="tx1"/>
            </w14:solidFill>
          </w14:textFill>
        </w:rPr>
        <w:t>“广西政府采购云”平台（https://www.gcy.zfcg.gxzf.gov.cn/）下载采购文件（操作路径：登录“广西政府采购云”平台-项目采购-获取采购文件-找到本项目-点击“申请获取采购文件”，</w:t>
      </w:r>
      <w:r>
        <w:rPr>
          <w:rFonts w:hint="eastAsia" w:ascii="Arial" w:hAnsi="Arial" w:cs="Arial"/>
          <w:color w:val="000000" w:themeColor="text1"/>
          <w:kern w:val="0"/>
          <w:szCs w:val="21"/>
          <w:highlight w:val="none"/>
          <w14:textFill>
            <w14:solidFill>
              <w14:schemeClr w14:val="tx1"/>
            </w14:solidFill>
          </w14:textFill>
        </w:rPr>
        <w:t>并按系统操作获取采购文件。电子响应文件制作需要基于“</w:t>
      </w:r>
      <w:r>
        <w:rPr>
          <w:rFonts w:hint="eastAsia" w:ascii="宋体" w:hAnsi="宋体"/>
          <w:color w:val="000000" w:themeColor="text1"/>
          <w:szCs w:val="21"/>
          <w:highlight w:val="none"/>
          <w14:textFill>
            <w14:solidFill>
              <w14:schemeClr w14:val="tx1"/>
            </w14:solidFill>
          </w14:textFill>
        </w:rPr>
        <w:t>广西政府采购云</w:t>
      </w:r>
      <w:r>
        <w:rPr>
          <w:rFonts w:hint="eastAsia" w:ascii="Arial" w:hAnsi="Arial" w:cs="Arial"/>
          <w:color w:val="000000" w:themeColor="text1"/>
          <w:kern w:val="0"/>
          <w:szCs w:val="21"/>
          <w:highlight w:val="none"/>
          <w14:textFill>
            <w14:solidFill>
              <w14:schemeClr w14:val="tx1"/>
            </w14:solidFill>
          </w14:textFill>
        </w:rPr>
        <w:t>”平台获取的采购文件编制，通过其他方式获取采购文件的，将有可能导致供应商无法在广西政府采购云平台编制及上传响应文件。</w:t>
      </w:r>
    </w:p>
    <w:p w14:paraId="29F48F1A">
      <w:pPr>
        <w:snapToGrid w:val="0"/>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采购文件售价：</w:t>
      </w:r>
      <w:r>
        <w:rPr>
          <w:rFonts w:ascii="宋体" w:hAnsi="宋体"/>
          <w:color w:val="000000" w:themeColor="text1"/>
          <w:szCs w:val="21"/>
          <w:highlight w:val="none"/>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元。</w:t>
      </w:r>
    </w:p>
    <w:p w14:paraId="2622A074">
      <w:pPr>
        <w:spacing w:line="360" w:lineRule="auto"/>
        <w:ind w:firstLine="361" w:firstLineChars="150"/>
        <w:rPr>
          <w:rFonts w:hint="eastAsia" w:ascii="黑体" w:hAnsi="黑体" w:eastAsia="黑体"/>
          <w:b/>
          <w:color w:val="000000" w:themeColor="text1"/>
          <w:sz w:val="24"/>
          <w:highlight w:val="none"/>
          <w14:textFill>
            <w14:solidFill>
              <w14:schemeClr w14:val="tx1"/>
            </w14:solidFill>
          </w14:textFill>
        </w:rPr>
      </w:pPr>
      <w:r>
        <w:rPr>
          <w:rFonts w:hint="eastAsia" w:ascii="黑体" w:hAnsi="黑体" w:eastAsia="黑体"/>
          <w:b/>
          <w:color w:val="000000" w:themeColor="text1"/>
          <w:sz w:val="24"/>
          <w:highlight w:val="none"/>
          <w14:textFill>
            <w14:solidFill>
              <w14:schemeClr w14:val="tx1"/>
            </w14:solidFill>
          </w14:textFill>
        </w:rPr>
        <w:t>四、响应文件提交</w:t>
      </w:r>
      <w:bookmarkEnd w:id="20"/>
      <w:bookmarkEnd w:id="21"/>
      <w:bookmarkEnd w:id="22"/>
      <w:bookmarkEnd w:id="23"/>
      <w:bookmarkEnd w:id="24"/>
      <w:bookmarkEnd w:id="25"/>
    </w:p>
    <w:p w14:paraId="19724AF9">
      <w:pPr>
        <w:spacing w:line="360" w:lineRule="auto"/>
        <w:ind w:firstLine="420" w:firstLineChars="200"/>
        <w:rPr>
          <w:rFonts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截止时间：</w:t>
      </w:r>
      <w:r>
        <w:rPr>
          <w:rFonts w:ascii="宋体" w:hAnsi="宋体"/>
          <w:bCs/>
          <w:color w:val="000000" w:themeColor="text1"/>
          <w:szCs w:val="21"/>
          <w:highlight w:val="none"/>
          <w:u w:val="single"/>
          <w14:textFill>
            <w14:solidFill>
              <w14:schemeClr w14:val="tx1"/>
            </w14:solidFill>
          </w14:textFill>
        </w:rPr>
        <w:t>202</w:t>
      </w:r>
      <w:r>
        <w:rPr>
          <w:rFonts w:hint="eastAsia" w:ascii="宋体" w:hAnsi="宋体"/>
          <w:bCs/>
          <w:color w:val="000000" w:themeColor="text1"/>
          <w:szCs w:val="21"/>
          <w:highlight w:val="none"/>
          <w:u w:val="single"/>
          <w:lang w:val="en-US" w:eastAsia="zh-CN"/>
          <w14:textFill>
            <w14:solidFill>
              <w14:schemeClr w14:val="tx1"/>
            </w14:solidFill>
          </w14:textFill>
        </w:rPr>
        <w:t>6</w:t>
      </w:r>
      <w:r>
        <w:rPr>
          <w:rFonts w:hint="eastAsia" w:ascii="宋体" w:hAnsi="宋体"/>
          <w:bCs/>
          <w:color w:val="000000" w:themeColor="text1"/>
          <w:szCs w:val="21"/>
          <w:highlight w:val="none"/>
          <w:u w:val="single"/>
          <w14:textFill>
            <w14:solidFill>
              <w14:schemeClr w14:val="tx1"/>
            </w14:solidFill>
          </w14:textFill>
        </w:rPr>
        <w:t>年</w:t>
      </w:r>
      <w:r>
        <w:rPr>
          <w:rFonts w:hint="eastAsia" w:ascii="宋体" w:hAnsi="宋体"/>
          <w:bCs/>
          <w:color w:val="000000" w:themeColor="text1"/>
          <w:szCs w:val="21"/>
          <w:highlight w:val="none"/>
          <w:u w:val="single"/>
          <w:lang w:val="en-US" w:eastAsia="zh-CN"/>
          <w14:textFill>
            <w14:solidFill>
              <w14:schemeClr w14:val="tx1"/>
            </w14:solidFill>
          </w14:textFill>
        </w:rPr>
        <w:t>8</w:t>
      </w:r>
      <w:r>
        <w:rPr>
          <w:rFonts w:hint="eastAsia" w:ascii="宋体" w:hAnsi="宋体"/>
          <w:bCs/>
          <w:color w:val="000000" w:themeColor="text1"/>
          <w:szCs w:val="21"/>
          <w:highlight w:val="none"/>
          <w:u w:val="single"/>
          <w14:textFill>
            <w14:solidFill>
              <w14:schemeClr w14:val="tx1"/>
            </w14:solidFill>
          </w14:textFill>
        </w:rPr>
        <w:t>月</w:t>
      </w:r>
      <w:r>
        <w:rPr>
          <w:rFonts w:hint="eastAsia" w:ascii="宋体" w:hAnsi="宋体"/>
          <w:bCs/>
          <w:color w:val="000000" w:themeColor="text1"/>
          <w:szCs w:val="21"/>
          <w:highlight w:val="none"/>
          <w:u w:val="single"/>
          <w:lang w:val="en-US" w:eastAsia="zh-CN"/>
          <w14:textFill>
            <w14:solidFill>
              <w14:schemeClr w14:val="tx1"/>
            </w14:solidFill>
          </w14:textFill>
        </w:rPr>
        <w:t>19</w:t>
      </w:r>
      <w:r>
        <w:rPr>
          <w:rFonts w:hint="eastAsia" w:ascii="宋体" w:hAnsi="宋体"/>
          <w:bCs/>
          <w:color w:val="000000" w:themeColor="text1"/>
          <w:szCs w:val="21"/>
          <w:highlight w:val="none"/>
          <w:u w:val="single"/>
          <w14:textFill>
            <w14:solidFill>
              <w14:schemeClr w14:val="tx1"/>
            </w14:solidFill>
          </w14:textFill>
        </w:rPr>
        <w:t>日</w:t>
      </w:r>
      <w:r>
        <w:rPr>
          <w:rFonts w:ascii="宋体" w:hAnsi="宋体"/>
          <w:bCs/>
          <w:color w:val="000000" w:themeColor="text1"/>
          <w:szCs w:val="21"/>
          <w:highlight w:val="none"/>
          <w:u w:val="single"/>
          <w14:textFill>
            <w14:solidFill>
              <w14:schemeClr w14:val="tx1"/>
            </w14:solidFill>
          </w14:textFill>
        </w:rPr>
        <w:t>9</w:t>
      </w:r>
      <w:r>
        <w:rPr>
          <w:rFonts w:hint="eastAsia" w:ascii="宋体" w:hAnsi="宋体"/>
          <w:bCs/>
          <w:color w:val="000000" w:themeColor="text1"/>
          <w:szCs w:val="21"/>
          <w:highlight w:val="none"/>
          <w:u w:val="single"/>
          <w14:textFill>
            <w14:solidFill>
              <w14:schemeClr w14:val="tx1"/>
            </w14:solidFill>
          </w14:textFill>
        </w:rPr>
        <w:t>时</w:t>
      </w:r>
      <w:r>
        <w:rPr>
          <w:rFonts w:hint="eastAsia" w:ascii="宋体" w:hAnsi="宋体"/>
          <w:bCs/>
          <w:color w:val="000000" w:themeColor="text1"/>
          <w:szCs w:val="21"/>
          <w:highlight w:val="none"/>
          <w:u w:val="single"/>
          <w:lang w:val="en-US" w:eastAsia="zh-CN"/>
          <w14:textFill>
            <w14:solidFill>
              <w14:schemeClr w14:val="tx1"/>
            </w14:solidFill>
          </w14:textFill>
        </w:rPr>
        <w:t>0</w:t>
      </w:r>
      <w:r>
        <w:rPr>
          <w:rFonts w:ascii="宋体" w:hAnsi="宋体"/>
          <w:bCs/>
          <w:color w:val="000000" w:themeColor="text1"/>
          <w:szCs w:val="21"/>
          <w:highlight w:val="none"/>
          <w:u w:val="single"/>
          <w14:textFill>
            <w14:solidFill>
              <w14:schemeClr w14:val="tx1"/>
            </w14:solidFill>
          </w14:textFill>
        </w:rPr>
        <w:t>0</w:t>
      </w:r>
      <w:r>
        <w:rPr>
          <w:rFonts w:hint="eastAsia" w:ascii="宋体" w:hAnsi="宋体"/>
          <w:bCs/>
          <w:color w:val="000000" w:themeColor="text1"/>
          <w:szCs w:val="21"/>
          <w:highlight w:val="none"/>
          <w:u w:val="single"/>
          <w14:textFill>
            <w14:solidFill>
              <w14:schemeClr w14:val="tx1"/>
            </w14:solidFill>
          </w14:textFill>
        </w:rPr>
        <w:t>分</w:t>
      </w:r>
      <w:r>
        <w:rPr>
          <w:rFonts w:hint="eastAsia" w:ascii="宋体" w:hAnsi="宋体"/>
          <w:bCs/>
          <w:color w:val="000000" w:themeColor="text1"/>
          <w:szCs w:val="21"/>
          <w:highlight w:val="none"/>
          <w14:textFill>
            <w14:solidFill>
              <w14:schemeClr w14:val="tx1"/>
            </w14:solidFill>
          </w14:textFill>
        </w:rPr>
        <w:t>（北京时间）</w:t>
      </w:r>
    </w:p>
    <w:p w14:paraId="50B2FB36">
      <w:pPr>
        <w:spacing w:line="360" w:lineRule="auto"/>
        <w:ind w:left="422"/>
        <w:rPr>
          <w:rFonts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地点：“广西政府采购云”平台（https://www.gcy.zfcg.gxzf.gov.cn/）</w:t>
      </w:r>
    </w:p>
    <w:p w14:paraId="7D5C2EC4">
      <w:pPr>
        <w:spacing w:line="360" w:lineRule="auto"/>
        <w:ind w:firstLine="361" w:firstLineChars="150"/>
        <w:rPr>
          <w:rFonts w:hint="eastAsia" w:ascii="黑体" w:hAnsi="黑体" w:eastAsia="黑体"/>
          <w:b/>
          <w:color w:val="000000" w:themeColor="text1"/>
          <w:sz w:val="24"/>
          <w:highlight w:val="none"/>
          <w14:textFill>
            <w14:solidFill>
              <w14:schemeClr w14:val="tx1"/>
            </w14:solidFill>
          </w14:textFill>
        </w:rPr>
      </w:pPr>
      <w:bookmarkStart w:id="26" w:name="_Toc28359093"/>
      <w:bookmarkStart w:id="27" w:name="_Toc35393633"/>
      <w:bookmarkStart w:id="28" w:name="_Toc71365366"/>
      <w:bookmarkStart w:id="29" w:name="_Toc71366044"/>
      <w:bookmarkStart w:id="30" w:name="_Toc28359016"/>
      <w:bookmarkStart w:id="31" w:name="_Toc35393802"/>
      <w:r>
        <w:rPr>
          <w:rFonts w:hint="eastAsia" w:ascii="黑体" w:hAnsi="黑体" w:eastAsia="黑体"/>
          <w:b/>
          <w:color w:val="000000" w:themeColor="text1"/>
          <w:sz w:val="24"/>
          <w:highlight w:val="none"/>
          <w14:textFill>
            <w14:solidFill>
              <w14:schemeClr w14:val="tx1"/>
            </w14:solidFill>
          </w14:textFill>
        </w:rPr>
        <w:t>五、开启</w:t>
      </w:r>
      <w:bookmarkEnd w:id="26"/>
      <w:bookmarkEnd w:id="27"/>
      <w:bookmarkEnd w:id="28"/>
      <w:bookmarkEnd w:id="29"/>
      <w:bookmarkEnd w:id="30"/>
      <w:bookmarkEnd w:id="31"/>
    </w:p>
    <w:p w14:paraId="547B0179">
      <w:pPr>
        <w:spacing w:line="360" w:lineRule="auto"/>
        <w:ind w:firstLine="420" w:firstLineChars="200"/>
        <w:rPr>
          <w:rFonts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时间：</w:t>
      </w:r>
      <w:r>
        <w:rPr>
          <w:rFonts w:ascii="宋体" w:hAnsi="宋体"/>
          <w:bCs/>
          <w:color w:val="000000" w:themeColor="text1"/>
          <w:szCs w:val="21"/>
          <w:highlight w:val="none"/>
          <w:u w:val="single"/>
          <w14:textFill>
            <w14:solidFill>
              <w14:schemeClr w14:val="tx1"/>
            </w14:solidFill>
          </w14:textFill>
        </w:rPr>
        <w:t>202</w:t>
      </w:r>
      <w:r>
        <w:rPr>
          <w:rFonts w:hint="eastAsia" w:ascii="宋体" w:hAnsi="宋体"/>
          <w:bCs/>
          <w:color w:val="000000" w:themeColor="text1"/>
          <w:szCs w:val="21"/>
          <w:highlight w:val="none"/>
          <w:u w:val="single"/>
          <w:lang w:val="en-US" w:eastAsia="zh-CN"/>
          <w14:textFill>
            <w14:solidFill>
              <w14:schemeClr w14:val="tx1"/>
            </w14:solidFill>
          </w14:textFill>
        </w:rPr>
        <w:t>6</w:t>
      </w:r>
      <w:r>
        <w:rPr>
          <w:rFonts w:hint="eastAsia" w:ascii="宋体" w:hAnsi="宋体"/>
          <w:bCs/>
          <w:color w:val="000000" w:themeColor="text1"/>
          <w:szCs w:val="21"/>
          <w:highlight w:val="none"/>
          <w:u w:val="single"/>
          <w14:textFill>
            <w14:solidFill>
              <w14:schemeClr w14:val="tx1"/>
            </w14:solidFill>
          </w14:textFill>
        </w:rPr>
        <w:t>年</w:t>
      </w:r>
      <w:r>
        <w:rPr>
          <w:rFonts w:hint="eastAsia" w:ascii="宋体" w:hAnsi="宋体"/>
          <w:bCs/>
          <w:color w:val="000000" w:themeColor="text1"/>
          <w:szCs w:val="21"/>
          <w:highlight w:val="none"/>
          <w:u w:val="single"/>
          <w:lang w:val="en-US" w:eastAsia="zh-CN"/>
          <w14:textFill>
            <w14:solidFill>
              <w14:schemeClr w14:val="tx1"/>
            </w14:solidFill>
          </w14:textFill>
        </w:rPr>
        <w:t>8</w:t>
      </w:r>
      <w:r>
        <w:rPr>
          <w:rFonts w:hint="eastAsia" w:ascii="宋体" w:hAnsi="宋体"/>
          <w:bCs/>
          <w:color w:val="000000" w:themeColor="text1"/>
          <w:szCs w:val="21"/>
          <w:highlight w:val="none"/>
          <w:u w:val="single"/>
          <w14:textFill>
            <w14:solidFill>
              <w14:schemeClr w14:val="tx1"/>
            </w14:solidFill>
          </w14:textFill>
        </w:rPr>
        <w:t>月</w:t>
      </w:r>
      <w:r>
        <w:rPr>
          <w:rFonts w:hint="eastAsia" w:ascii="宋体" w:hAnsi="宋体"/>
          <w:bCs/>
          <w:color w:val="000000" w:themeColor="text1"/>
          <w:szCs w:val="21"/>
          <w:highlight w:val="none"/>
          <w:u w:val="single"/>
          <w:lang w:val="en-US" w:eastAsia="zh-CN"/>
          <w14:textFill>
            <w14:solidFill>
              <w14:schemeClr w14:val="tx1"/>
            </w14:solidFill>
          </w14:textFill>
        </w:rPr>
        <w:t>19</w:t>
      </w:r>
      <w:r>
        <w:rPr>
          <w:rFonts w:hint="eastAsia" w:ascii="宋体" w:hAnsi="宋体"/>
          <w:bCs/>
          <w:color w:val="000000" w:themeColor="text1"/>
          <w:szCs w:val="21"/>
          <w:highlight w:val="none"/>
          <w:u w:val="single"/>
          <w14:textFill>
            <w14:solidFill>
              <w14:schemeClr w14:val="tx1"/>
            </w14:solidFill>
          </w14:textFill>
        </w:rPr>
        <w:t>日</w:t>
      </w:r>
      <w:r>
        <w:rPr>
          <w:rFonts w:ascii="宋体" w:hAnsi="宋体"/>
          <w:bCs/>
          <w:color w:val="000000" w:themeColor="text1"/>
          <w:szCs w:val="21"/>
          <w:highlight w:val="none"/>
          <w:u w:val="single"/>
          <w14:textFill>
            <w14:solidFill>
              <w14:schemeClr w14:val="tx1"/>
            </w14:solidFill>
          </w14:textFill>
        </w:rPr>
        <w:t>9</w:t>
      </w:r>
      <w:r>
        <w:rPr>
          <w:rFonts w:hint="eastAsia" w:ascii="宋体" w:hAnsi="宋体"/>
          <w:bCs/>
          <w:color w:val="000000" w:themeColor="text1"/>
          <w:szCs w:val="21"/>
          <w:highlight w:val="none"/>
          <w:u w:val="single"/>
          <w14:textFill>
            <w14:solidFill>
              <w14:schemeClr w14:val="tx1"/>
            </w14:solidFill>
          </w14:textFill>
        </w:rPr>
        <w:t>时</w:t>
      </w:r>
      <w:r>
        <w:rPr>
          <w:rFonts w:hint="eastAsia" w:ascii="宋体" w:hAnsi="宋体"/>
          <w:bCs/>
          <w:color w:val="000000" w:themeColor="text1"/>
          <w:szCs w:val="21"/>
          <w:highlight w:val="none"/>
          <w:u w:val="single"/>
          <w:lang w:val="en-US" w:eastAsia="zh-CN"/>
          <w14:textFill>
            <w14:solidFill>
              <w14:schemeClr w14:val="tx1"/>
            </w14:solidFill>
          </w14:textFill>
        </w:rPr>
        <w:t>00</w:t>
      </w:r>
      <w:r>
        <w:rPr>
          <w:rFonts w:hint="eastAsia" w:ascii="宋体" w:hAnsi="宋体"/>
          <w:bCs/>
          <w:color w:val="000000" w:themeColor="text1"/>
          <w:szCs w:val="21"/>
          <w:highlight w:val="none"/>
          <w:u w:val="single"/>
          <w14:textFill>
            <w14:solidFill>
              <w14:schemeClr w14:val="tx1"/>
            </w14:solidFill>
          </w14:textFill>
        </w:rPr>
        <w:t>分（北京时间）</w:t>
      </w:r>
    </w:p>
    <w:p w14:paraId="0DF46AEF">
      <w:pPr>
        <w:spacing w:line="360" w:lineRule="auto"/>
        <w:ind w:firstLine="420" w:firstLineChars="200"/>
        <w:rPr>
          <w:rFonts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地点：“广西政府采购云”平台（https://www.gcy.zfcg.gxzf.gov.cn/）</w:t>
      </w:r>
    </w:p>
    <w:p w14:paraId="74B6FC7B">
      <w:pPr>
        <w:spacing w:line="360" w:lineRule="auto"/>
        <w:ind w:firstLine="361" w:firstLineChars="150"/>
        <w:rPr>
          <w:rFonts w:hint="eastAsia" w:ascii="黑体" w:hAnsi="黑体" w:eastAsia="黑体"/>
          <w:b/>
          <w:color w:val="000000" w:themeColor="text1"/>
          <w:sz w:val="24"/>
          <w:highlight w:val="none"/>
          <w14:textFill>
            <w14:solidFill>
              <w14:schemeClr w14:val="tx1"/>
            </w14:solidFill>
          </w14:textFill>
        </w:rPr>
      </w:pPr>
      <w:bookmarkStart w:id="32" w:name="_Toc28359017"/>
      <w:bookmarkStart w:id="33" w:name="_Toc28359094"/>
      <w:bookmarkStart w:id="34" w:name="_Toc71365367"/>
      <w:bookmarkStart w:id="35" w:name="_Toc35393803"/>
      <w:bookmarkStart w:id="36" w:name="_Toc35393634"/>
      <w:bookmarkStart w:id="37" w:name="_Toc71366045"/>
      <w:r>
        <w:rPr>
          <w:rFonts w:hint="eastAsia" w:ascii="黑体" w:hAnsi="黑体" w:eastAsia="黑体"/>
          <w:b/>
          <w:color w:val="000000" w:themeColor="text1"/>
          <w:sz w:val="24"/>
          <w:highlight w:val="none"/>
          <w14:textFill>
            <w14:solidFill>
              <w14:schemeClr w14:val="tx1"/>
            </w14:solidFill>
          </w14:textFill>
        </w:rPr>
        <w:t>六、公告期限</w:t>
      </w:r>
      <w:bookmarkEnd w:id="32"/>
      <w:bookmarkEnd w:id="33"/>
      <w:bookmarkEnd w:id="34"/>
      <w:bookmarkEnd w:id="35"/>
      <w:bookmarkEnd w:id="36"/>
      <w:bookmarkEnd w:id="37"/>
    </w:p>
    <w:p w14:paraId="2B00FA96">
      <w:pPr>
        <w:spacing w:line="360" w:lineRule="auto"/>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自本公告发布之日起3个工作日。</w:t>
      </w:r>
    </w:p>
    <w:p w14:paraId="5F9A28BA">
      <w:pPr>
        <w:spacing w:line="360" w:lineRule="auto"/>
        <w:ind w:firstLine="361" w:firstLineChars="150"/>
        <w:rPr>
          <w:rFonts w:ascii="黑体" w:hAnsi="黑体" w:eastAsia="黑体"/>
          <w:b/>
          <w:color w:val="000000" w:themeColor="text1"/>
          <w:sz w:val="24"/>
          <w:highlight w:val="none"/>
          <w14:textFill>
            <w14:solidFill>
              <w14:schemeClr w14:val="tx1"/>
            </w14:solidFill>
          </w14:textFill>
        </w:rPr>
      </w:pPr>
      <w:bookmarkStart w:id="38" w:name="_Toc35393635"/>
      <w:bookmarkStart w:id="39" w:name="_Toc35393804"/>
      <w:bookmarkStart w:id="40" w:name="_Toc71365289"/>
      <w:bookmarkStart w:id="41" w:name="_Hlk37429674"/>
      <w:bookmarkStart w:id="42" w:name="_Toc28359018"/>
      <w:bookmarkStart w:id="43" w:name="_Toc71365369"/>
      <w:bookmarkStart w:id="44" w:name="_Toc35393636"/>
      <w:bookmarkStart w:id="45" w:name="_Toc71366047"/>
      <w:bookmarkStart w:id="46" w:name="_Toc35393805"/>
      <w:bookmarkStart w:id="47" w:name="_Toc28359095"/>
      <w:r>
        <w:rPr>
          <w:rFonts w:hint="eastAsia" w:ascii="黑体" w:hAnsi="黑体" w:eastAsia="黑体"/>
          <w:b/>
          <w:color w:val="000000" w:themeColor="text1"/>
          <w:sz w:val="24"/>
          <w:highlight w:val="none"/>
          <w14:textFill>
            <w14:solidFill>
              <w14:schemeClr w14:val="tx1"/>
            </w14:solidFill>
          </w14:textFill>
        </w:rPr>
        <w:t>七、其他补充事宜</w:t>
      </w:r>
      <w:bookmarkEnd w:id="38"/>
      <w:bookmarkEnd w:id="39"/>
      <w:bookmarkEnd w:id="40"/>
    </w:p>
    <w:p w14:paraId="3819586A">
      <w:pPr>
        <w:spacing w:line="360" w:lineRule="auto"/>
        <w:ind w:firstLine="420" w:firstLineChars="200"/>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1.网上查询地址</w:t>
      </w:r>
    </w:p>
    <w:p w14:paraId="3F61A31D">
      <w:pPr>
        <w:spacing w:line="360" w:lineRule="auto"/>
        <w:ind w:left="420" w:leftChars="200"/>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highlight w:val="none"/>
          <w14:textFill>
            <w14:solidFill>
              <w14:schemeClr w14:val="tx1"/>
            </w14:solidFill>
          </w14:textFill>
        </w:rPr>
        <w:t>中国政府采购网（http://www.ccgp.gov.cn）</w:t>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kern w:val="0"/>
          <w:highlight w:val="none"/>
          <w14:textFill>
            <w14:solidFill>
              <w14:schemeClr w14:val="tx1"/>
            </w14:solidFill>
          </w14:textFill>
        </w:rPr>
        <w:t>广西壮族自治区政府采购网（http://zfcg.gxzf.gov.cn）</w:t>
      </w:r>
    </w:p>
    <w:p w14:paraId="1FBB69C0">
      <w:pPr>
        <w:spacing w:line="360" w:lineRule="auto"/>
        <w:ind w:firstLine="424" w:firstLineChars="202"/>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本项目需要落实的政府采购政策</w:t>
      </w:r>
    </w:p>
    <w:p w14:paraId="73D4B8E6">
      <w:pPr>
        <w:spacing w:line="360" w:lineRule="auto"/>
        <w:ind w:firstLine="420" w:firstLineChars="200"/>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（1）政府采购促进中小企业发展</w:t>
      </w:r>
      <w:r>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t>；</w:t>
      </w:r>
    </w:p>
    <w:p w14:paraId="42C63AB4">
      <w:pPr>
        <w:spacing w:line="360" w:lineRule="auto"/>
        <w:ind w:firstLine="420" w:firstLineChars="200"/>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（2）政府采购支持采用本国产品的政策</w:t>
      </w:r>
      <w:r>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t>；</w:t>
      </w:r>
    </w:p>
    <w:p w14:paraId="49C6DBA3">
      <w:pPr>
        <w:spacing w:line="360" w:lineRule="auto"/>
        <w:ind w:firstLine="420" w:firstLineChars="200"/>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（3）强制采购节能产品；优先采购节能产品、环境标志产品</w:t>
      </w:r>
      <w:r>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t>；</w:t>
      </w:r>
    </w:p>
    <w:p w14:paraId="6CE4EAA8">
      <w:pPr>
        <w:spacing w:line="360" w:lineRule="auto"/>
        <w:ind w:firstLine="420" w:firstLineChars="200"/>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（4）政府采购促进残疾人就业政策</w:t>
      </w:r>
      <w:r>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t>；</w:t>
      </w:r>
    </w:p>
    <w:p w14:paraId="250B2532">
      <w:pPr>
        <w:spacing w:line="360" w:lineRule="auto"/>
        <w:ind w:firstLine="420" w:firstLineChars="200"/>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（5）政府采购支持监狱企业发展</w:t>
      </w:r>
      <w:r>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t>。</w:t>
      </w:r>
    </w:p>
    <w:p w14:paraId="6148F586">
      <w:pPr>
        <w:numPr>
          <w:ilvl w:val="0"/>
          <w:numId w:val="0"/>
        </w:numPr>
        <w:spacing w:line="348" w:lineRule="auto"/>
        <w:ind w:firstLine="420" w:firstLineChars="20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val="en-US" w:eastAsia="zh-CN"/>
        </w:rPr>
        <w:t>3.</w:t>
      </w:r>
      <w:r>
        <w:rPr>
          <w:rFonts w:hint="eastAsia" w:asciiTheme="minorEastAsia" w:hAnsiTheme="minorEastAsia" w:eastAsiaTheme="minorEastAsia" w:cstheme="minorEastAsia"/>
          <w:szCs w:val="21"/>
          <w:highlight w:val="none"/>
        </w:rPr>
        <w:t>谈判保证金(人民币)：</w:t>
      </w: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壹万元整（¥10000.00）</w:t>
      </w:r>
    </w:p>
    <w:p w14:paraId="269EDC59">
      <w:pPr>
        <w:spacing w:line="348" w:lineRule="auto"/>
        <w:ind w:firstLine="420" w:firstLineChars="20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谈判供应商应于响应文件递交截止时间前将谈判保证金以支票、汇票、本票、电汇或网上支付、银行转账或者金融机构、担保机构出具的保函等非现金形式提交。采用保函方式的，必须为无条件保函，保函有效期不得低于竞标有效期；采用电汇或网上支付、银行转账的，必须从谈判供应商的基本账户转账或电汇到以下指定的谈判保证金账户；采用支票、汇票、本票方式提交的，交款人必须是谈判供应商。办理谈判保证金手续时，需在交纳凭据上注明项目名称或项目编号。</w:t>
      </w:r>
    </w:p>
    <w:p w14:paraId="65E8E817">
      <w:pPr>
        <w:spacing w:line="348" w:lineRule="auto"/>
        <w:ind w:firstLine="420" w:firstLineChars="20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账户名称：广东新正工程咨询有限公司贺州分公司 </w:t>
      </w:r>
    </w:p>
    <w:p w14:paraId="5F5DB118">
      <w:pPr>
        <w:spacing w:line="348" w:lineRule="auto"/>
        <w:ind w:firstLine="420" w:firstLineChars="20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开户银行：中国建设银行贺州城西支行              </w:t>
      </w:r>
    </w:p>
    <w:p w14:paraId="79FD8D6B">
      <w:pPr>
        <w:spacing w:line="348" w:lineRule="auto"/>
        <w:ind w:firstLine="420" w:firstLineChars="20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Cs w:val="21"/>
          <w:highlight w:val="none"/>
        </w:rPr>
        <w:t>银行账号：4505 0110 2588 0000 1386</w:t>
      </w:r>
    </w:p>
    <w:p w14:paraId="379EB3E0">
      <w:pPr>
        <w:widowControl/>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竞标注意事项</w:t>
      </w:r>
    </w:p>
    <w:p w14:paraId="5E676181">
      <w:pPr>
        <w:widowControl/>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（1）本项目为全流程电子化采购项目，通过“广西政府采购云”平台（https://www.gcy.zfcg.gxzf.gov.cn/）实行在线电子竞标，供应商应先安装“广西政府采购云</w:t>
      </w: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平台</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客户端”（请自行前往“广西政府采购云”平台进行下载），并按照本项目竞争性谈判文件和“广西政府采购云”平台的要求编制、加密后在提交响应文件截止时间前通过网络上传至“广西政府采购云”平台（加密的电子响应文件是指</w:t>
      </w:r>
      <w:r>
        <w:rPr>
          <w:rFonts w:hint="eastAsia" w:asciiTheme="minorEastAsia" w:hAnsiTheme="minorEastAsia" w:eastAsiaTheme="minorEastAsia" w:cstheme="minorEastAsia"/>
          <w:color w:val="000000" w:themeColor="text1"/>
          <w:highlight w:val="none"/>
          <w14:textFill>
            <w14:solidFill>
              <w14:schemeClr w14:val="tx1"/>
            </w14:solidFill>
          </w14:textFill>
        </w:rPr>
        <w:t>后缀名为“jmbs”的文件</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供应商在“广西政府采购云”平台提交电子响应文件时，请填写参加远程采购活动经办人联系方式。</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供应商登录“广西政府采购云”平台，依次进入“服务中心-项目采购-操作流程-电子招投标-</w:t>
      </w:r>
      <w:r>
        <w:rPr>
          <w:rFonts w:hint="eastAsia" w:asciiTheme="minorEastAsia" w:hAnsiTheme="minorEastAsia" w:eastAsiaTheme="minorEastAsia" w:cstheme="minorEastAsia"/>
          <w:color w:val="000000" w:themeColor="text1"/>
          <w:highlight w:val="none"/>
          <w14:textFill>
            <w14:solidFill>
              <w14:schemeClr w14:val="tx1"/>
            </w14:solidFill>
          </w14:textFill>
        </w:rPr>
        <w:t>政府采购项目电子交易管理操作指南-供应商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”查看电子竞标具体操作流程。</w:t>
      </w:r>
    </w:p>
    <w:p w14:paraId="3F14767E">
      <w:pPr>
        <w:widowControl/>
        <w:spacing w:line="360" w:lineRule="auto"/>
        <w:ind w:firstLine="420" w:firstLineChars="200"/>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“广西政府采购云”平台，</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依次进入“服务中心-入驻与配置”中查看CA数字证书办理操作流程。</w:t>
      </w:r>
      <w:r>
        <w:rPr>
          <w:rFonts w:hint="eastAsia" w:asciiTheme="minorEastAsia" w:hAnsiTheme="minorEastAsia" w:eastAsiaTheme="minorEastAsia" w:cstheme="minorEastAsia"/>
          <w:bCs/>
          <w:color w:val="000000" w:themeColor="text1"/>
          <w:kern w:val="0"/>
          <w:szCs w:val="21"/>
          <w:highlight w:val="none"/>
          <w14:textFill>
            <w14:solidFill>
              <w14:schemeClr w14:val="tx1"/>
            </w14:solidFill>
          </w14:textFill>
        </w:rPr>
        <w:t>如在操作过程中遇到问题或者需要技术支持，请致电</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广西政府采购云</w:t>
      </w:r>
      <w:r>
        <w:rPr>
          <w:rFonts w:hint="eastAsia" w:asciiTheme="minorEastAsia" w:hAnsiTheme="minorEastAsia" w:eastAsiaTheme="minorEastAsia" w:cstheme="minorEastAsia"/>
          <w:bCs/>
          <w:color w:val="000000" w:themeColor="text1"/>
          <w:kern w:val="0"/>
          <w:szCs w:val="21"/>
          <w:highlight w:val="none"/>
          <w14:textFill>
            <w14:solidFill>
              <w14:schemeClr w14:val="tx1"/>
            </w14:solidFill>
          </w14:textFill>
        </w:rPr>
        <w:t>客服热线：95763或0771-3381253</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p w14:paraId="0F129771">
      <w:pPr>
        <w:snapToGrid w:val="0"/>
        <w:spacing w:line="360" w:lineRule="auto"/>
        <w:ind w:firstLine="420" w:firstLineChars="200"/>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（3）CA证书在线解密：首次响应文件开启时，需携带制作响应文件时用来加密的有效数字证书（CA认证）登录“</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广西政府采购云</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”平台电子开标大厅现场按规定时间对加密的响应文件进行解密，否则后果自负。</w:t>
      </w:r>
    </w:p>
    <w:p w14:paraId="57489175">
      <w:pPr>
        <w:widowControl/>
        <w:spacing w:line="360" w:lineRule="auto"/>
        <w:ind w:firstLine="420" w:firstLineChars="200"/>
        <w:jc w:val="left"/>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广西政府采购云</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”平台将予以拒收。</w:t>
      </w:r>
    </w:p>
    <w:p w14:paraId="16011351">
      <w:pPr>
        <w:numPr>
          <w:ilvl w:val="0"/>
          <w:numId w:val="1"/>
        </w:numPr>
        <w:snapToGrid w:val="0"/>
        <w:spacing w:line="360" w:lineRule="auto"/>
        <w:ind w:firstLine="420" w:firstLineChars="200"/>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供应商需要在具备有摄像头及语音功能且互联网网络状况良好的电脑登录“</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广西政府采购云</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”平台远程开标大厅参与本次谈判，否则后果自负。</w:t>
      </w:r>
    </w:p>
    <w:p w14:paraId="7235283D">
      <w:pPr>
        <w:pageBreakBefore w:val="0"/>
        <w:kinsoku/>
        <w:wordWrap/>
        <w:overflowPunct/>
        <w:topLinePunct w:val="0"/>
        <w:autoSpaceDE/>
        <w:autoSpaceDN/>
        <w:bidi w:val="0"/>
        <w:snapToGrid/>
        <w:spacing w:line="360" w:lineRule="auto"/>
        <w:ind w:firstLine="420" w:firstLineChars="200"/>
        <w:rPr>
          <w:rFonts w:hint="eastAsia" w:asciiTheme="minorEastAsia" w:hAnsiTheme="minorEastAsia" w:eastAsiaTheme="minorEastAsia" w:cstheme="minorEastAsia"/>
          <w:color w:val="auto"/>
          <w:szCs w:val="21"/>
          <w:highlight w:val="none"/>
          <w:lang w:bidi="ar"/>
        </w:rPr>
      </w:pPr>
      <w:r>
        <w:rPr>
          <w:rFonts w:hint="eastAsia" w:asciiTheme="minorEastAsia" w:hAnsiTheme="minorEastAsia" w:eastAsiaTheme="minorEastAsia" w:cstheme="minorEastAsia"/>
          <w:color w:val="auto"/>
          <w:szCs w:val="21"/>
          <w:highlight w:val="none"/>
          <w:lang w:val="en-US" w:eastAsia="zh-CN" w:bidi="ar"/>
        </w:rPr>
        <w:t>5.</w:t>
      </w:r>
      <w:r>
        <w:rPr>
          <w:rFonts w:hint="eastAsia" w:asciiTheme="minorEastAsia" w:hAnsiTheme="minorEastAsia" w:eastAsiaTheme="minorEastAsia" w:cstheme="minorEastAsia"/>
          <w:color w:val="auto"/>
          <w:szCs w:val="21"/>
          <w:highlight w:val="none"/>
          <w:lang w:bidi="ar"/>
        </w:rPr>
        <w:t>监督部门：</w:t>
      </w:r>
      <w:r>
        <w:rPr>
          <w:rFonts w:hint="eastAsia" w:asciiTheme="minorEastAsia" w:hAnsiTheme="minorEastAsia" w:eastAsiaTheme="minorEastAsia" w:cstheme="minorEastAsia"/>
          <w:b w:val="0"/>
          <w:bCs/>
          <w:color w:val="000000"/>
          <w:kern w:val="2"/>
          <w:sz w:val="21"/>
          <w:szCs w:val="21"/>
          <w:highlight w:val="none"/>
          <w:lang w:val="en-US" w:eastAsia="zh-CN" w:bidi="ar-SA"/>
        </w:rPr>
        <w:t>广西壮族自治区财政厅政府采购监督管理处   电话：0771-5331544</w:t>
      </w:r>
    </w:p>
    <w:bookmarkEnd w:id="41"/>
    <w:p w14:paraId="424ECDC9">
      <w:pPr>
        <w:spacing w:line="360" w:lineRule="auto"/>
        <w:ind w:firstLine="361" w:firstLineChars="150"/>
        <w:rPr>
          <w:rFonts w:hint="eastAsia" w:ascii="黑体" w:hAnsi="黑体" w:eastAsia="黑体"/>
          <w:b/>
          <w:color w:val="000000" w:themeColor="text1"/>
          <w:sz w:val="24"/>
          <w:highlight w:val="none"/>
          <w14:textFill>
            <w14:solidFill>
              <w14:schemeClr w14:val="tx1"/>
            </w14:solidFill>
          </w14:textFill>
        </w:rPr>
      </w:pPr>
      <w:r>
        <w:rPr>
          <w:rFonts w:hint="eastAsia" w:ascii="黑体" w:hAnsi="黑体" w:eastAsia="黑体"/>
          <w:b/>
          <w:color w:val="000000" w:themeColor="text1"/>
          <w:sz w:val="24"/>
          <w:highlight w:val="none"/>
          <w14:textFill>
            <w14:solidFill>
              <w14:schemeClr w14:val="tx1"/>
            </w14:solidFill>
          </w14:textFill>
        </w:rPr>
        <w:t>八、凡对本次采购提出询问，请按以下方式联系。</w:t>
      </w:r>
      <w:bookmarkEnd w:id="42"/>
      <w:bookmarkEnd w:id="43"/>
      <w:bookmarkEnd w:id="44"/>
      <w:bookmarkEnd w:id="45"/>
      <w:bookmarkEnd w:id="46"/>
      <w:bookmarkEnd w:id="47"/>
    </w:p>
    <w:p w14:paraId="64397D2C">
      <w:pPr>
        <w:spacing w:line="360" w:lineRule="auto"/>
        <w:ind w:firstLine="420" w:firstLineChars="200"/>
        <w:rPr>
          <w:rFonts w:ascii="宋体" w:hAnsi="宋体" w:cs="仿宋"/>
          <w:color w:val="000000" w:themeColor="text1"/>
          <w:kern w:val="0"/>
          <w:szCs w:val="21"/>
          <w:highlight w:val="none"/>
          <w14:textFill>
            <w14:solidFill>
              <w14:schemeClr w14:val="tx1"/>
            </w14:solidFill>
          </w14:textFill>
        </w:rPr>
      </w:pPr>
      <w:bookmarkStart w:id="48" w:name="_Toc28359019"/>
      <w:bookmarkStart w:id="49" w:name="_Toc28359096"/>
      <w:bookmarkStart w:id="50" w:name="_Toc35393806"/>
      <w:bookmarkStart w:id="51" w:name="_Toc35393637"/>
      <w:bookmarkStart w:id="52" w:name="_Toc35393807"/>
      <w:bookmarkStart w:id="53" w:name="_Toc35393638"/>
      <w:bookmarkStart w:id="54" w:name="_Toc28359020"/>
      <w:bookmarkStart w:id="55" w:name="_Toc28359097"/>
      <w:r>
        <w:rPr>
          <w:rFonts w:hint="eastAsia" w:ascii="宋体" w:hAnsi="宋体" w:cs="仿宋"/>
          <w:color w:val="000000" w:themeColor="text1"/>
          <w:kern w:val="0"/>
          <w:szCs w:val="21"/>
          <w:highlight w:val="none"/>
          <w14:textFill>
            <w14:solidFill>
              <w14:schemeClr w14:val="tx1"/>
            </w14:solidFill>
          </w14:textFill>
        </w:rPr>
        <w:t>1.采购人信息</w:t>
      </w:r>
      <w:bookmarkEnd w:id="48"/>
      <w:bookmarkEnd w:id="49"/>
      <w:bookmarkEnd w:id="50"/>
      <w:bookmarkEnd w:id="51"/>
    </w:p>
    <w:p w14:paraId="0C83E312">
      <w:pPr>
        <w:spacing w:line="360" w:lineRule="auto"/>
        <w:ind w:firstLine="420" w:firstLineChars="200"/>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名称：</w:t>
      </w:r>
      <w:r>
        <w:rPr>
          <w:rFonts w:hint="eastAsia" w:ascii="宋体" w:hAnsi="宋体" w:eastAsia="宋体" w:cs="宋体"/>
          <w:color w:val="000000"/>
          <w:szCs w:val="21"/>
          <w:highlight w:val="none"/>
          <w:lang w:eastAsia="zh-CN"/>
        </w:rPr>
        <w:t>贺州学院</w:t>
      </w:r>
    </w:p>
    <w:p w14:paraId="3AAAD419">
      <w:pPr>
        <w:spacing w:line="360" w:lineRule="auto"/>
        <w:ind w:firstLine="420" w:firstLineChars="200"/>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地址：</w:t>
      </w:r>
      <w:r>
        <w:rPr>
          <w:rFonts w:hint="eastAsia" w:ascii="宋体" w:hAnsi="宋体" w:eastAsia="宋体" w:cs="宋体"/>
          <w:szCs w:val="21"/>
          <w:highlight w:val="none"/>
        </w:rPr>
        <w:t xml:space="preserve">广西贺州市八步区潇贺大道3261号 </w:t>
      </w:r>
    </w:p>
    <w:p w14:paraId="4697A384">
      <w:pPr>
        <w:spacing w:line="360" w:lineRule="auto"/>
        <w:ind w:firstLine="420" w:firstLineChars="200"/>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联系方式：</w:t>
      </w:r>
      <w:r>
        <w:rPr>
          <w:rFonts w:hint="eastAsia" w:ascii="宋体" w:hAnsi="宋体" w:cs="仿宋"/>
          <w:color w:val="000000" w:themeColor="text1"/>
          <w:szCs w:val="21"/>
          <w:highlight w:val="none"/>
          <w:lang w:val="en-US" w:eastAsia="zh-CN"/>
          <w14:textFill>
            <w14:solidFill>
              <w14:schemeClr w14:val="tx1"/>
            </w14:solidFill>
          </w14:textFill>
        </w:rPr>
        <w:t>李老师，</w:t>
      </w:r>
      <w:r>
        <w:rPr>
          <w:rFonts w:hint="eastAsia" w:ascii="宋体" w:hAnsi="宋体" w:eastAsia="宋体" w:cs="宋体"/>
          <w:szCs w:val="21"/>
          <w:highlight w:val="none"/>
        </w:rPr>
        <w:t>0774-5228681</w:t>
      </w:r>
    </w:p>
    <w:p w14:paraId="4268D007">
      <w:pPr>
        <w:spacing w:line="360" w:lineRule="auto"/>
        <w:ind w:firstLine="420" w:firstLineChars="200"/>
        <w:rPr>
          <w:rFonts w:ascii="宋体" w:hAnsi="宋体" w:cs="仿宋"/>
          <w:color w:val="000000" w:themeColor="text1"/>
          <w:kern w:val="0"/>
          <w:szCs w:val="21"/>
          <w:highlight w:val="none"/>
          <w14:textFill>
            <w14:solidFill>
              <w14:schemeClr w14:val="tx1"/>
            </w14:solidFill>
          </w14:textFill>
        </w:rPr>
      </w:pPr>
      <w:r>
        <w:rPr>
          <w:rFonts w:hint="eastAsia" w:ascii="宋体" w:hAnsi="宋体" w:cs="仿宋"/>
          <w:color w:val="000000" w:themeColor="text1"/>
          <w:kern w:val="0"/>
          <w:szCs w:val="21"/>
          <w:highlight w:val="none"/>
          <w14:textFill>
            <w14:solidFill>
              <w14:schemeClr w14:val="tx1"/>
            </w14:solidFill>
          </w14:textFill>
        </w:rPr>
        <w:t>2.采购代理机构信息</w:t>
      </w:r>
      <w:bookmarkEnd w:id="52"/>
      <w:bookmarkEnd w:id="53"/>
      <w:bookmarkEnd w:id="54"/>
      <w:bookmarkEnd w:id="55"/>
    </w:p>
    <w:p w14:paraId="4A01648C">
      <w:pPr>
        <w:spacing w:line="360" w:lineRule="auto"/>
        <w:ind w:firstLine="420" w:firstLineChars="200"/>
        <w:rPr>
          <w:rFonts w:ascii="宋体" w:hAnsi="宋体" w:cs="仿宋"/>
          <w:color w:val="000000" w:themeColor="text1"/>
          <w:szCs w:val="21"/>
          <w:highlight w:val="none"/>
          <w14:textFill>
            <w14:solidFill>
              <w14:schemeClr w14:val="tx1"/>
            </w14:solidFill>
          </w14:textFill>
        </w:rPr>
      </w:pPr>
      <w:bookmarkStart w:id="56" w:name="_Toc28359098"/>
      <w:bookmarkStart w:id="57" w:name="_Toc28359021"/>
      <w:bookmarkStart w:id="58" w:name="_Toc35393639"/>
      <w:bookmarkStart w:id="59" w:name="_Toc35393808"/>
      <w:r>
        <w:rPr>
          <w:rFonts w:hint="eastAsia" w:ascii="宋体" w:hAnsi="宋体" w:cs="仿宋"/>
          <w:color w:val="000000" w:themeColor="text1"/>
          <w:szCs w:val="21"/>
          <w:highlight w:val="none"/>
          <w14:textFill>
            <w14:solidFill>
              <w14:schemeClr w14:val="tx1"/>
            </w14:solidFill>
          </w14:textFill>
        </w:rPr>
        <w:t>名称：</w:t>
      </w:r>
      <w:r>
        <w:rPr>
          <w:rFonts w:hint="eastAsia" w:ascii="宋体" w:hAnsi="宋体" w:cs="仿宋"/>
          <w:color w:val="000000" w:themeColor="text1"/>
          <w:szCs w:val="21"/>
          <w:highlight w:val="none"/>
          <w:u w:val="none"/>
          <w:lang w:eastAsia="zh-CN"/>
          <w14:textFill>
            <w14:solidFill>
              <w14:schemeClr w14:val="tx1"/>
            </w14:solidFill>
          </w14:textFill>
        </w:rPr>
        <w:t>广东新正工程咨询有限公司</w:t>
      </w:r>
      <w:r>
        <w:rPr>
          <w:rFonts w:hint="eastAsia" w:ascii="宋体" w:hAnsi="宋体" w:cs="仿宋"/>
          <w:color w:val="000000" w:themeColor="text1"/>
          <w:szCs w:val="21"/>
          <w:highlight w:val="none"/>
          <w:u w:val="none"/>
          <w14:textFill>
            <w14:solidFill>
              <w14:schemeClr w14:val="tx1"/>
            </w14:solidFill>
          </w14:textFill>
        </w:rPr>
        <w:t>　　</w:t>
      </w:r>
    </w:p>
    <w:p w14:paraId="327B3E0E">
      <w:pPr>
        <w:spacing w:line="360" w:lineRule="auto"/>
        <w:ind w:firstLine="420" w:firstLineChars="200"/>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地　　址：</w:t>
      </w:r>
      <w:r>
        <w:rPr>
          <w:rFonts w:hint="eastAsia" w:ascii="宋体" w:hAnsi="宋体" w:eastAsia="宋体" w:cs="宋体"/>
          <w:color w:val="auto"/>
          <w:szCs w:val="21"/>
          <w:highlight w:val="none"/>
          <w:lang w:eastAsia="zh-CN"/>
        </w:rPr>
        <w:t>贺州市万兴路恒康嘉园西区13栋5单元201</w:t>
      </w:r>
    </w:p>
    <w:p w14:paraId="3D0867D8">
      <w:pPr>
        <w:spacing w:line="360" w:lineRule="auto"/>
        <w:ind w:firstLine="420" w:firstLineChars="200"/>
        <w:rPr>
          <w:rFonts w:ascii="宋体" w:hAnsi="宋体" w:cs="仿宋"/>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联系电话：</w:t>
      </w:r>
      <w:r>
        <w:rPr>
          <w:rFonts w:hint="eastAsia" w:ascii="宋体" w:hAnsi="宋体" w:eastAsia="宋体" w:cs="宋体"/>
          <w:color w:val="auto"/>
          <w:szCs w:val="21"/>
          <w:highlight w:val="none"/>
          <w:lang w:eastAsia="zh-CN"/>
        </w:rPr>
        <w:t>0774-5282277</w:t>
      </w:r>
    </w:p>
    <w:p w14:paraId="06848B42">
      <w:pPr>
        <w:spacing w:line="360" w:lineRule="auto"/>
        <w:ind w:firstLine="420" w:firstLineChars="200"/>
        <w:rPr>
          <w:rFonts w:ascii="宋体" w:hAnsi="宋体" w:cs="仿宋"/>
          <w:color w:val="000000" w:themeColor="text1"/>
          <w:kern w:val="0"/>
          <w:szCs w:val="21"/>
          <w:highlight w:val="none"/>
          <w14:textFill>
            <w14:solidFill>
              <w14:schemeClr w14:val="tx1"/>
            </w14:solidFill>
          </w14:textFill>
        </w:rPr>
      </w:pPr>
      <w:r>
        <w:rPr>
          <w:rFonts w:hint="eastAsia" w:ascii="宋体" w:hAnsi="宋体" w:cs="仿宋"/>
          <w:color w:val="000000" w:themeColor="text1"/>
          <w:kern w:val="0"/>
          <w:szCs w:val="21"/>
          <w:highlight w:val="none"/>
          <w14:textFill>
            <w14:solidFill>
              <w14:schemeClr w14:val="tx1"/>
            </w14:solidFill>
          </w14:textFill>
        </w:rPr>
        <w:t>3.项目联系方式</w:t>
      </w:r>
      <w:bookmarkEnd w:id="56"/>
      <w:bookmarkEnd w:id="57"/>
      <w:bookmarkEnd w:id="58"/>
      <w:bookmarkEnd w:id="59"/>
    </w:p>
    <w:p w14:paraId="25DF28E3">
      <w:pPr>
        <w:spacing w:line="360" w:lineRule="auto"/>
        <w:ind w:firstLine="420" w:firstLineChars="200"/>
        <w:rPr>
          <w:rFonts w:ascii="宋体" w:hAnsi="宋体" w:cs="仿宋"/>
          <w:color w:val="000000" w:themeColor="text1"/>
          <w:kern w:val="0"/>
          <w:szCs w:val="21"/>
          <w:highlight w:val="none"/>
          <w14:textFill>
            <w14:solidFill>
              <w14:schemeClr w14:val="tx1"/>
            </w14:solidFill>
          </w14:textFill>
        </w:rPr>
      </w:pPr>
      <w:r>
        <w:rPr>
          <w:rFonts w:hint="eastAsia" w:ascii="宋体" w:hAnsi="宋体" w:cs="仿宋"/>
          <w:color w:val="000000" w:themeColor="text1"/>
          <w:kern w:val="0"/>
          <w:szCs w:val="21"/>
          <w:highlight w:val="none"/>
          <w14:textFill>
            <w14:solidFill>
              <w14:schemeClr w14:val="tx1"/>
            </w14:solidFill>
          </w14:textFill>
        </w:rPr>
        <w:t>项目联系人：</w:t>
      </w:r>
      <w:r>
        <w:rPr>
          <w:rFonts w:hint="eastAsia" w:ascii="宋体" w:hAnsi="宋体" w:cs="仿宋"/>
          <w:color w:val="000000" w:themeColor="text1"/>
          <w:kern w:val="0"/>
          <w:szCs w:val="21"/>
          <w:highlight w:val="none"/>
          <w:lang w:val="en-US" w:eastAsia="zh-CN"/>
          <w14:textFill>
            <w14:solidFill>
              <w14:schemeClr w14:val="tx1"/>
            </w14:solidFill>
          </w14:textFill>
        </w:rPr>
        <w:t>陈雪贤、</w:t>
      </w:r>
      <w:r>
        <w:rPr>
          <w:rFonts w:hint="eastAsia" w:ascii="宋体" w:hAnsi="宋体" w:eastAsia="宋体" w:cs="宋体"/>
          <w:color w:val="auto"/>
          <w:sz w:val="21"/>
          <w:highlight w:val="none"/>
          <w:lang w:val="en-US" w:eastAsia="zh-CN"/>
        </w:rPr>
        <w:t>钟群珍</w:t>
      </w:r>
    </w:p>
    <w:p w14:paraId="7D3051FF">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仿宋"/>
          <w:color w:val="000000" w:themeColor="text1"/>
          <w:kern w:val="0"/>
          <w:szCs w:val="21"/>
          <w:highlight w:val="none"/>
          <w14:textFill>
            <w14:solidFill>
              <w14:schemeClr w14:val="tx1"/>
            </w14:solidFill>
          </w14:textFill>
        </w:rPr>
        <w:t>电　　话：</w:t>
      </w:r>
      <w:r>
        <w:rPr>
          <w:rFonts w:hint="eastAsia" w:ascii="宋体" w:hAnsi="宋体" w:eastAsia="宋体" w:cs="宋体"/>
          <w:color w:val="auto"/>
          <w:szCs w:val="21"/>
          <w:highlight w:val="none"/>
          <w:lang w:eastAsia="zh-CN"/>
        </w:rPr>
        <w:t>0774-5282277</w:t>
      </w:r>
    </w:p>
    <w:p w14:paraId="2B754A57">
      <w:pPr>
        <w:pStyle w:val="81"/>
        <w:rPr>
          <w:rFonts w:hint="eastAsia" w:ascii="宋体" w:hAnsi="宋体" w:eastAsia="宋体" w:cs="宋体"/>
          <w:color w:val="auto"/>
          <w:szCs w:val="21"/>
          <w:highlight w:val="none"/>
          <w:lang w:eastAsia="zh-CN"/>
        </w:rPr>
      </w:pPr>
    </w:p>
    <w:p w14:paraId="45DAF671">
      <w:pPr>
        <w:pStyle w:val="81"/>
        <w:rPr>
          <w:rFonts w:hint="eastAsia" w:ascii="宋体" w:hAnsi="宋体" w:eastAsia="宋体" w:cs="宋体"/>
          <w:color w:val="auto"/>
          <w:szCs w:val="21"/>
          <w:highlight w:val="none"/>
          <w:lang w:eastAsia="zh-CN"/>
        </w:rPr>
      </w:pPr>
    </w:p>
    <w:p w14:paraId="446D14C2">
      <w:pPr>
        <w:pStyle w:val="81"/>
        <w:rPr>
          <w:rFonts w:hint="eastAsia" w:ascii="宋体" w:hAnsi="宋体" w:eastAsia="宋体" w:cs="宋体"/>
          <w:color w:val="auto"/>
          <w:szCs w:val="21"/>
          <w:highlight w:val="none"/>
          <w:lang w:eastAsia="zh-CN"/>
        </w:rPr>
      </w:pPr>
    </w:p>
    <w:p w14:paraId="7AE677D0">
      <w:pPr>
        <w:pStyle w:val="81"/>
        <w:rPr>
          <w:rFonts w:hint="eastAsia" w:ascii="宋体" w:hAnsi="宋体" w:eastAsia="宋体" w:cs="宋体"/>
          <w:color w:val="auto"/>
          <w:szCs w:val="21"/>
          <w:highlight w:val="none"/>
          <w:lang w:eastAsia="zh-CN"/>
        </w:rPr>
      </w:pPr>
    </w:p>
    <w:p w14:paraId="31ED4676">
      <w:pPr>
        <w:pStyle w:val="81"/>
        <w:rPr>
          <w:rFonts w:hint="eastAsia" w:ascii="宋体" w:hAnsi="宋体" w:eastAsia="宋体" w:cs="宋体"/>
          <w:color w:val="auto"/>
          <w:szCs w:val="21"/>
          <w:highlight w:val="none"/>
          <w:lang w:eastAsia="zh-CN"/>
        </w:rPr>
      </w:pPr>
    </w:p>
    <w:p w14:paraId="4AD520E5">
      <w:pPr>
        <w:pStyle w:val="81"/>
        <w:rPr>
          <w:rFonts w:hint="eastAsia" w:ascii="宋体" w:hAnsi="宋体" w:eastAsia="宋体" w:cs="宋体"/>
          <w:color w:val="auto"/>
          <w:szCs w:val="21"/>
          <w:highlight w:val="none"/>
          <w:lang w:eastAsia="zh-CN"/>
        </w:rPr>
      </w:pPr>
    </w:p>
    <w:bookmarkEnd w:id="1"/>
    <w:p w14:paraId="1D76EAF2">
      <w:pPr>
        <w:pStyle w:val="2"/>
        <w:spacing w:line="240" w:lineRule="auto"/>
        <w:jc w:val="center"/>
        <w:rPr>
          <w:color w:val="000000" w:themeColor="text1"/>
          <w:highlight w:val="none"/>
          <w14:textFill>
            <w14:solidFill>
              <w14:schemeClr w14:val="tx1"/>
            </w14:solidFill>
          </w14:textFill>
        </w:rPr>
      </w:pPr>
      <w:bookmarkStart w:id="60" w:name="_Toc25530"/>
      <w:r>
        <w:rPr>
          <w:rFonts w:hint="eastAsia"/>
          <w:color w:val="000000" w:themeColor="text1"/>
          <w:highlight w:val="none"/>
          <w14:textFill>
            <w14:solidFill>
              <w14:schemeClr w14:val="tx1"/>
            </w14:solidFill>
          </w14:textFill>
        </w:rPr>
        <w:t>第二章供应商须知</w:t>
      </w:r>
      <w:bookmarkEnd w:id="60"/>
    </w:p>
    <w:p w14:paraId="761FF710">
      <w:pPr>
        <w:spacing w:line="400" w:lineRule="exact"/>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供应商须知前附表</w:t>
      </w:r>
    </w:p>
    <w:p w14:paraId="43562702">
      <w:pPr>
        <w:spacing w:line="400" w:lineRule="exact"/>
        <w:jc w:val="center"/>
        <w:rPr>
          <w:rFonts w:ascii="宋体" w:hAnsi="宋体"/>
          <w:b/>
          <w:color w:val="000000" w:themeColor="text1"/>
          <w:sz w:val="32"/>
          <w:szCs w:val="32"/>
          <w:highlight w:val="none"/>
          <w14:textFill>
            <w14:solidFill>
              <w14:schemeClr w14:val="tx1"/>
            </w14:solidFill>
          </w14:textFill>
        </w:rPr>
      </w:pPr>
    </w:p>
    <w:tbl>
      <w:tblPr>
        <w:tblStyle w:val="28"/>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4D127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5B235DDA">
            <w:pPr>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条款号</w:t>
            </w:r>
          </w:p>
        </w:tc>
        <w:tc>
          <w:tcPr>
            <w:tcW w:w="7912" w:type="dxa"/>
          </w:tcPr>
          <w:p w14:paraId="76D46423">
            <w:pPr>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内容</w:t>
            </w:r>
          </w:p>
        </w:tc>
      </w:tr>
      <w:tr w14:paraId="5A65E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8FD7CC2">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7912" w:type="dxa"/>
            <w:vAlign w:val="center"/>
          </w:tcPr>
          <w:p w14:paraId="0FA81577">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1.供应商的资格条件：详见竞争性谈判公告</w:t>
            </w:r>
          </w:p>
          <w:p w14:paraId="3E4C3ACA">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bCs/>
                <w:color w:val="000000" w:themeColor="text1"/>
                <w:szCs w:val="21"/>
                <w:highlight w:val="none"/>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出现下列情形之一的，不得参加政府采购活动：</w:t>
            </w:r>
          </w:p>
          <w:p w14:paraId="0D7838F1">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82D3C0F">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28AA4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1A9FE9A">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w:t>
            </w:r>
          </w:p>
        </w:tc>
        <w:tc>
          <w:tcPr>
            <w:tcW w:w="7912" w:type="dxa"/>
            <w:vAlign w:val="center"/>
          </w:tcPr>
          <w:p w14:paraId="4199143D">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是否接受联合体竞标</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详见竞争性谈判公告</w:t>
            </w:r>
          </w:p>
        </w:tc>
      </w:tr>
      <w:tr w14:paraId="1D31A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88476B9">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.2</w:t>
            </w:r>
          </w:p>
        </w:tc>
        <w:tc>
          <w:tcPr>
            <w:tcW w:w="7912" w:type="dxa"/>
            <w:vAlign w:val="center"/>
          </w:tcPr>
          <w:p w14:paraId="7CCB6128">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如接受联合体竞标，联合体竞标要求如下：</w:t>
            </w:r>
          </w:p>
          <w:p w14:paraId="215B4673">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两个以上供应商可以组成一个竞标联合体，以一个供应商的身份共同参加竞标。联合体竞标的，须提供《联合体竞标协议书》（格式后附）。</w:t>
            </w:r>
          </w:p>
          <w:p w14:paraId="45AA7AA0">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以联合体形式参加竞标的，联合体各方均须具备《中华人民共和国政府采购法》第二十二条第一款规定的基本条件（涉及行政许可范围的内容，联合体各方均应具备相应资质）。本项目有特殊要求规定供应商特定条件的，联合体各方中至少有一方必须符合谈判文件规定的特定条件。</w:t>
            </w:r>
          </w:p>
          <w:p w14:paraId="382F2597">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联合体各方之间必须签订联合竞标协议，协议书必须明确主体方（或者牵头方）并明确约定联合体各方承担的工作和相应的责任（各方承担责任与义务的分工必须符合采购需求，否则，联合体竞标无效），并将联合竞标协议连同响应文件一并提交采购代理机构。联合体各方必须共同与采购人签订采购合同，就采购合同约定的事项对采购人承担连带责任。</w:t>
            </w:r>
          </w:p>
          <w:p w14:paraId="03C1E70E">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以联合体形式参加政府采购活动的，联合体各方不得再单独参加或者与其他供应商另外组成联合体参加同一合同项下的政府采购活动。</w:t>
            </w:r>
          </w:p>
          <w:p w14:paraId="40C9A55B">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联合体中有同类资质的供应商按照联合体分工承担相同工作的，应当按照资质等级较低的供应商确定资质等级。</w:t>
            </w:r>
          </w:p>
          <w:p w14:paraId="12D9606A">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联合体竞标业绩、履约能力按照联合体各方中较高的一方认定并计算。</w:t>
            </w:r>
          </w:p>
          <w:p w14:paraId="38547982">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供应商为联合体的，可以由联合体中的一方或者多方共同交纳保证金，其交纳的保证金对联合体各方均具有约束力。</w:t>
            </w:r>
          </w:p>
          <w:p w14:paraId="1BC63025">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联合体各方均应按照谈判文件的规定分别提交资格证明文件。</w:t>
            </w:r>
          </w:p>
        </w:tc>
      </w:tr>
      <w:tr w14:paraId="190A5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5B7230E">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w:t>
            </w:r>
          </w:p>
        </w:tc>
        <w:tc>
          <w:tcPr>
            <w:tcW w:w="7912" w:type="dxa"/>
            <w:vAlign w:val="center"/>
          </w:tcPr>
          <w:p w14:paraId="205FDF68">
            <w:pPr>
              <w:pStyle w:val="10"/>
              <w:spacing w:line="360" w:lineRule="auto"/>
              <w:rPr>
                <w:color w:val="000000" w:themeColor="text1"/>
                <w:highlight w:val="none"/>
                <w:u w:val="single"/>
                <w14:textFill>
                  <w14:solidFill>
                    <w14:schemeClr w14:val="tx1"/>
                  </w14:solidFill>
                </w14:textFill>
              </w:rPr>
            </w:pPr>
            <w:r>
              <w:rPr>
                <w:rFonts w:ascii="Segoe UI Symbol" w:hAnsi="Segoe UI Symbol" w:cs="Segoe UI Symbol"/>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不允许分包</w:t>
            </w:r>
          </w:p>
        </w:tc>
      </w:tr>
      <w:tr w14:paraId="42B53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D260A2D">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7.1</w:t>
            </w:r>
          </w:p>
        </w:tc>
        <w:tc>
          <w:tcPr>
            <w:tcW w:w="7912" w:type="dxa"/>
            <w:vAlign w:val="center"/>
          </w:tcPr>
          <w:p w14:paraId="776139D9">
            <w:pPr>
              <w:autoSpaceDE w:val="0"/>
              <w:autoSpaceDN w:val="0"/>
              <w:snapToGrid w:val="0"/>
              <w:spacing w:line="360" w:lineRule="auto"/>
              <w:textAlignment w:val="bottom"/>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提供相同品牌产品（非单一产品采购项目的，指核心产品）的不同供应商最后报价相同时，按照下列方式确定一个供应商获得成交人推荐资格：</w:t>
            </w:r>
          </w:p>
          <w:p w14:paraId="2A0568D9">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□随机抽取；</w:t>
            </w:r>
          </w:p>
          <w:p w14:paraId="4ACEA49F">
            <w:pPr>
              <w:autoSpaceDE w:val="0"/>
              <w:autoSpaceDN w:val="0"/>
              <w:snapToGrid w:val="0"/>
              <w:spacing w:line="360" w:lineRule="auto"/>
              <w:textAlignment w:val="bottom"/>
              <w:rPr>
                <w:rFonts w:hint="eastAsia" w:ascii="宋体" w:hAnsi="宋体"/>
                <w:color w:val="000000" w:themeColor="text1"/>
                <w:szCs w:val="21"/>
                <w:highlight w:val="none"/>
                <w14:textFill>
                  <w14:solidFill>
                    <w14:schemeClr w14:val="tx1"/>
                  </w14:solidFill>
                </w14:textFill>
              </w:rPr>
            </w:pPr>
            <w:r>
              <w:rPr>
                <w:rFonts w:ascii="Wingdings 2" w:hAnsi="Wingdings 2"/>
                <w:color w:val="auto"/>
                <w:szCs w:val="21"/>
                <w:highlight w:val="none"/>
              </w:rPr>
              <w:t></w:t>
            </w:r>
            <w:r>
              <w:rPr>
                <w:rFonts w:hint="eastAsia" w:ascii="宋体" w:hAnsi="宋体"/>
                <w:color w:val="auto"/>
                <w:szCs w:val="21"/>
                <w:highlight w:val="none"/>
              </w:rPr>
              <w:t>依次按最后报价低的优先、节能、环保产品累计金额高的优先、正偏离项数多的优先、保修期长优先、交付时间短优先、故障响应时间短优先的顺序推荐。</w:t>
            </w:r>
          </w:p>
        </w:tc>
      </w:tr>
      <w:tr w14:paraId="3EF46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E64AA92">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w:t>
            </w:r>
            <w:r>
              <w:rPr>
                <w:rFonts w:ascii="宋体" w:hAnsi="宋体" w:cs="宋体"/>
                <w:color w:val="000000" w:themeColor="text1"/>
                <w:szCs w:val="21"/>
                <w:highlight w:val="none"/>
                <w14:textFill>
                  <w14:solidFill>
                    <w14:schemeClr w14:val="tx1"/>
                  </w14:solidFill>
                </w14:textFill>
              </w:rPr>
              <w:t>.1</w:t>
            </w:r>
          </w:p>
        </w:tc>
        <w:tc>
          <w:tcPr>
            <w:tcW w:w="7912" w:type="dxa"/>
            <w:vAlign w:val="center"/>
          </w:tcPr>
          <w:p w14:paraId="36F07ED4">
            <w:pPr>
              <w:snapToGrid w:val="0"/>
              <w:spacing w:line="360" w:lineRule="auto"/>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资格证明文件</w:t>
            </w:r>
          </w:p>
          <w:p w14:paraId="160A10E1">
            <w:pPr>
              <w:snapToGrid w:val="0"/>
              <w:spacing w:line="360" w:lineRule="auto"/>
              <w:ind w:firstLine="411" w:firstLineChars="196"/>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1.供应商为法人或者其他组织的，提供营业执照等证明文件（如营业执照或者事业单位法人证书或者执业许可证或者登记证书等），供应商为自然人的提供其身份证复印件；（</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14:paraId="618B9DEE">
            <w:pPr>
              <w:snapToGrid w:val="0"/>
              <w:spacing w:line="360" w:lineRule="auto"/>
              <w:ind w:firstLine="411" w:firstLineChars="196"/>
              <w:contextualSpacing/>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2.供应商依法缴纳税收的相关材料（</w:t>
            </w:r>
            <w:r>
              <w:rPr>
                <w:rFonts w:hint="eastAsia" w:ascii="宋体" w:hAnsi="宋体" w:eastAsia="宋体" w:cs="宋体"/>
                <w:color w:val="000000"/>
                <w:szCs w:val="21"/>
                <w:highlight w:val="none"/>
                <w:u w:val="single"/>
              </w:rPr>
              <w:t>竞标截止时间半年内任意一个月</w:t>
            </w:r>
            <w:r>
              <w:rPr>
                <w:rFonts w:hint="eastAsia" w:ascii="宋体" w:hAnsi="宋体" w:eastAsia="宋体" w:cs="宋体"/>
                <w:color w:val="000000"/>
                <w:szCs w:val="21"/>
                <w:highlight w:val="none"/>
                <w:u w:val="none"/>
                <w:lang w:val="en-US" w:eastAsia="zh-CN"/>
              </w:rPr>
              <w:t>的</w:t>
            </w:r>
            <w:r>
              <w:rPr>
                <w:rFonts w:hint="eastAsia" w:ascii="宋体" w:hAnsi="宋体" w:eastAsia="宋体" w:cs="宋体"/>
                <w:color w:val="000000"/>
                <w:szCs w:val="21"/>
                <w:highlight w:val="none"/>
              </w:rPr>
              <w:t>依法缴纳税收的凭据复印件；</w:t>
            </w:r>
            <w:r>
              <w:rPr>
                <w:rFonts w:hint="eastAsia" w:ascii="宋体" w:hAnsi="宋体" w:eastAsia="宋体" w:cs="宋体"/>
                <w:color w:val="000000"/>
                <w:highlight w:val="none"/>
              </w:rPr>
              <w:t>依法免税的，必须提供相应文件证明其依法免税。</w:t>
            </w:r>
            <w:r>
              <w:rPr>
                <w:rFonts w:hint="eastAsia" w:ascii="宋体" w:hAnsi="宋体" w:eastAsia="宋体" w:cs="宋体"/>
                <w:color w:val="000000"/>
                <w:szCs w:val="21"/>
                <w:highlight w:val="none"/>
              </w:rPr>
              <w:t>从成立之日起到响应文件提交截止时间止不足要求月数的，只需提供从成立之日起的依法缴纳税收</w:t>
            </w:r>
            <w:r>
              <w:rPr>
                <w:rFonts w:hint="eastAsia" w:ascii="宋体" w:hAnsi="宋体" w:eastAsia="宋体" w:cs="宋体"/>
                <w:color w:val="000000"/>
                <w:highlight w:val="none"/>
              </w:rPr>
              <w:t>相应证明文件</w:t>
            </w:r>
            <w:r>
              <w:rPr>
                <w:rFonts w:hint="eastAsia" w:ascii="宋体" w:hAnsi="宋体" w:eastAsia="宋体" w:cs="宋体"/>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14:paraId="510F08F3">
            <w:pPr>
              <w:snapToGrid w:val="0"/>
              <w:spacing w:line="360" w:lineRule="auto"/>
              <w:ind w:firstLine="411" w:firstLineChars="196"/>
              <w:contextualSpacing/>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3.供应商依法缴纳社会保障资金的相关材料[</w:t>
            </w:r>
            <w:r>
              <w:rPr>
                <w:rFonts w:hint="eastAsia" w:ascii="宋体" w:hAnsi="宋体" w:eastAsia="宋体" w:cs="宋体"/>
                <w:color w:val="000000"/>
                <w:szCs w:val="21"/>
                <w:highlight w:val="none"/>
                <w:u w:val="single"/>
              </w:rPr>
              <w:t>竞标截止时间半年内任意一个月</w:t>
            </w:r>
            <w:r>
              <w:rPr>
                <w:rFonts w:hint="eastAsia" w:ascii="宋体" w:hAnsi="宋体" w:eastAsia="宋体" w:cs="宋体"/>
                <w:color w:val="000000"/>
                <w:szCs w:val="21"/>
                <w:highlight w:val="none"/>
              </w:rPr>
              <w:t>的依法缴纳社会保障资金的缴费凭证（</w:t>
            </w:r>
            <w:r>
              <w:rPr>
                <w:rFonts w:hint="eastAsia" w:ascii="宋体" w:hAnsi="宋体" w:eastAsia="宋体" w:cs="宋体"/>
                <w:color w:val="000000"/>
                <w:highlight w:val="none"/>
              </w:rPr>
              <w:t>如：</w:t>
            </w:r>
            <w:r>
              <w:rPr>
                <w:rFonts w:hint="eastAsia" w:ascii="宋体" w:hAnsi="宋体" w:eastAsia="宋体" w:cs="宋体"/>
                <w:color w:val="000000"/>
                <w:szCs w:val="21"/>
                <w:highlight w:val="none"/>
              </w:rPr>
              <w:t>专用收据、社会保险缴纳清单或者社保部门的证明）复印件；</w:t>
            </w:r>
            <w:r>
              <w:rPr>
                <w:rFonts w:hint="eastAsia" w:ascii="宋体" w:hAnsi="宋体" w:eastAsia="宋体" w:cs="宋体"/>
                <w:color w:val="000000"/>
                <w:highlight w:val="none"/>
              </w:rPr>
              <w:t>依法不需要缴纳社会保障资金的，必须提供相应文件证明不需要缴纳社会保障资金。</w:t>
            </w:r>
            <w:r>
              <w:rPr>
                <w:rFonts w:hint="eastAsia" w:ascii="宋体" w:hAnsi="宋体" w:eastAsia="宋体" w:cs="宋体"/>
                <w:color w:val="000000"/>
                <w:szCs w:val="21"/>
                <w:highlight w:val="none"/>
              </w:rPr>
              <w:t>从成立之日起到响应文件提交截止时间止不足要求月数的只需提供从成立之日起的依法缴纳社会保障资金的</w:t>
            </w:r>
            <w:r>
              <w:rPr>
                <w:rFonts w:hint="eastAsia" w:ascii="宋体" w:hAnsi="宋体" w:eastAsia="宋体" w:cs="宋体"/>
                <w:color w:val="000000"/>
                <w:highlight w:val="none"/>
              </w:rPr>
              <w:t>相应证明文件</w:t>
            </w:r>
            <w:r>
              <w:rPr>
                <w:rFonts w:hint="eastAsia" w:ascii="宋体" w:hAnsi="宋体" w:eastAsia="宋体" w:cs="宋体"/>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14:paraId="47A1A2C0">
            <w:pPr>
              <w:spacing w:line="360" w:lineRule="auto"/>
              <w:ind w:firstLine="420" w:firstLineChars="200"/>
              <w:contextualSpacing/>
              <w:jc w:val="left"/>
              <w:rPr>
                <w:rFonts w:hint="eastAsia" w:ascii="宋体" w:hAnsi="宋体" w:eastAsia="宋体" w:cs="宋体"/>
                <w:b/>
                <w:color w:val="auto"/>
                <w:sz w:val="21"/>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年财务状况报告</w:t>
            </w:r>
            <w:r>
              <w:rPr>
                <w:rFonts w:hint="eastAsia" w:ascii="宋体" w:hAnsi="宋体" w:eastAsia="宋体" w:cs="宋体"/>
                <w:color w:val="auto"/>
                <w:szCs w:val="21"/>
                <w:highlight w:val="none"/>
                <w:lang w:eastAsia="zh-CN"/>
              </w:rPr>
              <w:t>（</w:t>
            </w:r>
            <w:r>
              <w:rPr>
                <w:rFonts w:hint="eastAsia" w:ascii="宋体" w:hAnsi="宋体" w:eastAsia="宋体" w:cs="宋体"/>
                <w:szCs w:val="21"/>
                <w:highlight w:val="none"/>
                <w:u w:val="single"/>
              </w:rPr>
              <w:t>202</w:t>
            </w:r>
            <w:r>
              <w:rPr>
                <w:rFonts w:hint="eastAsia" w:ascii="宋体" w:hAnsi="宋体" w:eastAsia="宋体" w:cs="宋体"/>
                <w:szCs w:val="21"/>
                <w:highlight w:val="none"/>
                <w:u w:val="single"/>
                <w:lang w:val="en-US" w:eastAsia="zh-CN"/>
              </w:rPr>
              <w:t>5</w:t>
            </w:r>
            <w:r>
              <w:rPr>
                <w:rFonts w:hint="eastAsia" w:ascii="宋体" w:hAnsi="宋体" w:eastAsia="宋体" w:cs="宋体"/>
                <w:szCs w:val="21"/>
                <w:highlight w:val="none"/>
              </w:rPr>
              <w:t>年度财务报表复印件</w:t>
            </w:r>
            <w:r>
              <w:rPr>
                <w:rFonts w:hint="eastAsia" w:ascii="宋体" w:hAnsi="宋体" w:eastAsia="宋体" w:cs="宋体"/>
                <w:b/>
                <w:bCs/>
                <w:szCs w:val="21"/>
                <w:highlight w:val="none"/>
              </w:rPr>
              <w:t>（可以是</w:t>
            </w:r>
            <w:r>
              <w:rPr>
                <w:rFonts w:hint="eastAsia" w:ascii="宋体" w:hAnsi="宋体" w:eastAsia="宋体" w:cs="宋体"/>
                <w:b/>
                <w:bCs/>
                <w:szCs w:val="21"/>
                <w:highlight w:val="none"/>
                <w:lang w:val="en-US" w:eastAsia="zh-CN"/>
              </w:rPr>
              <w:t>供应商</w:t>
            </w:r>
            <w:r>
              <w:rPr>
                <w:rFonts w:hint="eastAsia" w:ascii="宋体" w:hAnsi="宋体" w:eastAsia="宋体" w:cs="宋体"/>
                <w:b/>
                <w:bCs/>
                <w:szCs w:val="21"/>
                <w:highlight w:val="none"/>
              </w:rPr>
              <w:t>自行编制的财务报表或第三方审计报告）</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或者</w:t>
            </w:r>
            <w:r>
              <w:rPr>
                <w:rFonts w:hint="eastAsia" w:ascii="宋体" w:hAnsi="宋体" w:cs="宋体"/>
                <w:color w:val="auto"/>
                <w:szCs w:val="21"/>
                <w:highlight w:val="none"/>
                <w:lang w:val="en-US" w:eastAsia="zh-CN"/>
              </w:rPr>
              <w:t>谈判</w:t>
            </w:r>
            <w:r>
              <w:rPr>
                <w:rFonts w:hint="eastAsia" w:ascii="宋体" w:hAnsi="宋体" w:eastAsia="宋体" w:cs="宋体"/>
                <w:color w:val="auto"/>
                <w:szCs w:val="21"/>
                <w:highlight w:val="none"/>
              </w:rPr>
              <w:t>公告日期后</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基本开户银行出具的资信证明复印件；</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供应商属于</w:t>
            </w:r>
            <w:r>
              <w:rPr>
                <w:rFonts w:hint="eastAsia" w:ascii="宋体" w:hAnsi="宋体" w:eastAsia="宋体" w:cs="宋体"/>
                <w:color w:val="auto"/>
                <w:highlight w:val="none"/>
              </w:rPr>
              <w:t>成立时间</w:t>
            </w:r>
            <w:r>
              <w:rPr>
                <w:rFonts w:hint="eastAsia" w:ascii="宋体" w:hAnsi="宋体" w:eastAsia="宋体" w:cs="宋体"/>
                <w:color w:val="auto"/>
                <w:kern w:val="0"/>
                <w:highlight w:val="none"/>
              </w:rPr>
              <w:t>在规定年度之后</w:t>
            </w:r>
            <w:r>
              <w:rPr>
                <w:rFonts w:hint="eastAsia" w:ascii="宋体" w:hAnsi="宋体" w:eastAsia="宋体" w:cs="宋体"/>
                <w:color w:val="auto"/>
                <w:highlight w:val="none"/>
              </w:rPr>
              <w:t>的</w:t>
            </w:r>
            <w:r>
              <w:rPr>
                <w:rFonts w:hint="eastAsia" w:ascii="宋体" w:hAnsi="宋体" w:eastAsia="宋体" w:cs="宋体"/>
                <w:color w:val="auto"/>
                <w:szCs w:val="21"/>
                <w:highlight w:val="none"/>
                <w:lang w:val="en-US" w:eastAsia="zh-CN"/>
              </w:rPr>
              <w:t>法人或其他组织</w:t>
            </w:r>
            <w:r>
              <w:rPr>
                <w:rFonts w:hint="eastAsia" w:ascii="宋体" w:hAnsi="宋体" w:eastAsia="宋体" w:cs="宋体"/>
                <w:color w:val="auto"/>
                <w:highlight w:val="none"/>
              </w:rPr>
              <w:t>，需提供成立之日起至</w:t>
            </w:r>
            <w:r>
              <w:rPr>
                <w:rFonts w:hint="eastAsia" w:ascii="宋体" w:hAnsi="宋体" w:eastAsia="宋体" w:cs="宋体"/>
                <w:color w:val="auto"/>
                <w:highlight w:val="none"/>
                <w:lang w:val="en-US" w:eastAsia="zh-CN"/>
              </w:rPr>
              <w:t>竞</w:t>
            </w:r>
            <w:r>
              <w:rPr>
                <w:rFonts w:hint="eastAsia" w:ascii="宋体" w:hAnsi="宋体" w:eastAsia="宋体" w:cs="宋体"/>
                <w:color w:val="auto"/>
                <w:highlight w:val="none"/>
              </w:rPr>
              <w:t>标截止时间前的月报表</w:t>
            </w:r>
            <w:r>
              <w:rPr>
                <w:rFonts w:hint="eastAsia" w:ascii="宋体" w:hAnsi="宋体" w:eastAsia="宋体" w:cs="宋体"/>
                <w:color w:val="auto"/>
                <w:szCs w:val="21"/>
                <w:highlight w:val="none"/>
              </w:rPr>
              <w:t>或银行出具的资信证明</w:t>
            </w:r>
            <w:r>
              <w:rPr>
                <w:rFonts w:hint="eastAsia" w:ascii="宋体" w:hAnsi="宋体" w:eastAsia="宋体" w:cs="宋体"/>
                <w:color w:val="auto"/>
                <w:szCs w:val="21"/>
                <w:highlight w:val="none"/>
                <w:lang w:eastAsia="zh-CN"/>
              </w:rPr>
              <w:t>，</w:t>
            </w:r>
            <w:r>
              <w:rPr>
                <w:rFonts w:hint="eastAsia" w:ascii="宋体" w:hAnsi="宋体" w:eastAsia="宋体" w:cs="宋体"/>
                <w:b/>
                <w:bCs/>
                <w:color w:val="000000"/>
                <w:szCs w:val="21"/>
                <w:highlight w:val="none"/>
              </w:rPr>
              <w:t>财务报表至少要包含资产负债表、现金流量表及利润表</w:t>
            </w:r>
            <w:r>
              <w:rPr>
                <w:rFonts w:hint="eastAsia" w:ascii="宋体" w:hAnsi="宋体" w:eastAsia="宋体" w:cs="宋体"/>
                <w:b/>
                <w:bCs/>
                <w:color w:val="000000"/>
                <w:szCs w:val="21"/>
                <w:highlight w:val="none"/>
                <w:lang w:eastAsia="zh-CN"/>
              </w:rPr>
              <w:t>），（</w:t>
            </w:r>
            <w:r>
              <w:rPr>
                <w:rFonts w:hint="eastAsia" w:ascii="宋体" w:hAnsi="宋体" w:eastAsia="宋体" w:cs="宋体"/>
                <w:b/>
                <w:color w:val="auto"/>
                <w:szCs w:val="21"/>
                <w:highlight w:val="none"/>
              </w:rPr>
              <w:t>除自然人外必须提供，否则按无效投标处理）</w:t>
            </w:r>
          </w:p>
          <w:p w14:paraId="561E97B6">
            <w:pPr>
              <w:snapToGrid w:val="0"/>
              <w:spacing w:line="360" w:lineRule="auto"/>
              <w:ind w:firstLine="411" w:firstLineChars="196"/>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5.供应商直接控股信息表（格式后附）；（</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14:paraId="25F35589">
            <w:pPr>
              <w:snapToGrid w:val="0"/>
              <w:spacing w:line="360" w:lineRule="auto"/>
              <w:ind w:firstLine="411" w:firstLineChars="196"/>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6.供应商直接管理关系信息表（格式后附）；（</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14:paraId="57AE87FF">
            <w:pPr>
              <w:snapToGrid w:val="0"/>
              <w:spacing w:line="360" w:lineRule="auto"/>
              <w:ind w:firstLine="411" w:firstLineChars="196"/>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7.竞标声明（格式后附）；（</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14:paraId="4D7A244E">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w:t>
            </w:r>
            <w:r>
              <w:rPr>
                <w:rFonts w:hint="eastAsia" w:ascii="宋体" w:hAnsi="宋体" w:eastAsia="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除</w:t>
            </w:r>
            <w:r>
              <w:rPr>
                <w:rFonts w:hint="eastAsia" w:ascii="宋体" w:hAnsi="宋体" w:cs="宋体"/>
                <w:color w:val="000000"/>
                <w:szCs w:val="21"/>
                <w:highlight w:val="none"/>
                <w:lang w:val="en-US" w:eastAsia="zh-CN"/>
              </w:rPr>
              <w:t>谈判</w:t>
            </w:r>
            <w:r>
              <w:rPr>
                <w:rFonts w:hint="eastAsia" w:ascii="宋体" w:hAnsi="宋体" w:eastAsia="宋体" w:cs="宋体"/>
                <w:color w:val="000000"/>
                <w:szCs w:val="21"/>
                <w:highlight w:val="none"/>
              </w:rPr>
              <w:t>文件规定必须提供以外，供应商认为需要提供的其他证明材料；</w:t>
            </w:r>
          </w:p>
          <w:p w14:paraId="08135A1B">
            <w:pPr>
              <w:snapToGrid w:val="0"/>
              <w:spacing w:line="360" w:lineRule="auto"/>
              <w:ind w:firstLine="413" w:firstLineChars="196"/>
              <w:jc w:val="left"/>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注：</w:t>
            </w:r>
          </w:p>
          <w:p w14:paraId="0F6EAAE7">
            <w:pPr>
              <w:snapToGrid w:val="0"/>
              <w:spacing w:line="360" w:lineRule="auto"/>
              <w:jc w:val="left"/>
              <w:rPr>
                <w:rFonts w:ascii="宋体" w:hAnsi="宋体" w:cs="宋体"/>
                <w:b/>
                <w:color w:val="000000" w:themeColor="text1"/>
                <w:szCs w:val="21"/>
                <w:highlight w:val="none"/>
                <w14:textFill>
                  <w14:solidFill>
                    <w14:schemeClr w14:val="tx1"/>
                  </w14:solidFill>
                </w14:textFill>
              </w:rPr>
            </w:pPr>
            <w:r>
              <w:rPr>
                <w:rFonts w:hint="eastAsia" w:ascii="宋体" w:hAnsi="宋体" w:eastAsia="宋体" w:cs="宋体"/>
                <w:b/>
                <w:color w:val="000000"/>
                <w:szCs w:val="21"/>
                <w:highlight w:val="none"/>
              </w:rPr>
              <w:t>1.以上标明“必须提供”的材料属于复印件的，必须加盖供应商</w:t>
            </w:r>
            <w:r>
              <w:rPr>
                <w:rFonts w:hint="eastAsia" w:ascii="宋体" w:hAnsi="宋体" w:eastAsia="宋体" w:cs="宋体"/>
                <w:b/>
                <w:color w:val="000000"/>
                <w:highlight w:val="none"/>
              </w:rPr>
              <w:t>电子签章</w:t>
            </w:r>
            <w:r>
              <w:rPr>
                <w:rFonts w:hint="eastAsia" w:ascii="宋体" w:hAnsi="宋体" w:eastAsia="宋体" w:cs="宋体"/>
                <w:b/>
                <w:color w:val="000000"/>
                <w:szCs w:val="21"/>
                <w:highlight w:val="none"/>
              </w:rPr>
              <w:t>，否则响应文件按无效处理。</w:t>
            </w:r>
          </w:p>
          <w:p w14:paraId="47B67D5E">
            <w:pPr>
              <w:snapToGrid w:val="0"/>
              <w:spacing w:line="360" w:lineRule="auto"/>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2.联合体竞标时，第1-</w:t>
            </w:r>
            <w:r>
              <w:rPr>
                <w:rFonts w:hint="eastAsia" w:ascii="宋体" w:hAnsi="宋体" w:cs="宋体"/>
                <w:b/>
                <w:color w:val="000000" w:themeColor="text1"/>
                <w:szCs w:val="21"/>
                <w:highlight w:val="none"/>
                <w:lang w:val="en-US" w:eastAsia="zh-CN"/>
                <w14:textFill>
                  <w14:solidFill>
                    <w14:schemeClr w14:val="tx1"/>
                  </w14:solidFill>
                </w14:textFill>
              </w:rPr>
              <w:t>3</w:t>
            </w:r>
            <w:r>
              <w:rPr>
                <w:rFonts w:hint="eastAsia" w:ascii="宋体" w:hAnsi="宋体" w:cs="宋体"/>
                <w:b/>
                <w:color w:val="000000" w:themeColor="text1"/>
                <w:szCs w:val="21"/>
                <w:highlight w:val="none"/>
                <w14:textFill>
                  <w14:solidFill>
                    <w14:schemeClr w14:val="tx1"/>
                  </w14:solidFill>
                </w14:textFill>
              </w:rPr>
              <w:t>项资格证明文件联合体各方均必须分别提供，</w:t>
            </w:r>
            <w:r>
              <w:rPr>
                <w:rFonts w:hint="eastAsia"/>
                <w:b/>
                <w:color w:val="000000" w:themeColor="text1"/>
                <w:highlight w:val="none"/>
                <w14:textFill>
                  <w14:solidFill>
                    <w14:schemeClr w14:val="tx1"/>
                  </w14:solidFill>
                </w14:textFill>
              </w:rPr>
              <w:t>并由</w:t>
            </w:r>
            <w:r>
              <w:rPr>
                <w:rFonts w:hint="eastAsia" w:ascii="宋体" w:hAnsi="宋体" w:cs="宋体"/>
                <w:b/>
                <w:color w:val="000000" w:themeColor="text1"/>
                <w:szCs w:val="21"/>
                <w:highlight w:val="none"/>
                <w14:textFill>
                  <w14:solidFill>
                    <w14:schemeClr w14:val="tx1"/>
                  </w14:solidFill>
                </w14:textFill>
              </w:rPr>
              <w:t>联合体</w:t>
            </w:r>
            <w:r>
              <w:rPr>
                <w:rFonts w:hint="eastAsia"/>
                <w:b/>
                <w:color w:val="000000" w:themeColor="text1"/>
                <w:highlight w:val="none"/>
                <w14:textFill>
                  <w14:solidFill>
                    <w14:schemeClr w14:val="tx1"/>
                  </w14:solidFill>
                </w14:textFill>
              </w:rPr>
              <w:t>牵头人加盖电子签章</w:t>
            </w:r>
            <w:r>
              <w:rPr>
                <w:rFonts w:hint="eastAsia" w:ascii="宋体" w:hAnsi="宋体" w:cs="宋体"/>
                <w:b/>
                <w:color w:val="000000" w:themeColor="text1"/>
                <w:szCs w:val="21"/>
                <w:highlight w:val="none"/>
                <w14:textFill>
                  <w14:solidFill>
                    <w14:schemeClr w14:val="tx1"/>
                  </w14:solidFill>
                </w14:textFill>
              </w:rPr>
              <w:t>，</w:t>
            </w:r>
            <w:r>
              <w:rPr>
                <w:rFonts w:hint="eastAsia"/>
                <w:b/>
                <w:color w:val="000000" w:themeColor="text1"/>
                <w:highlight w:val="none"/>
                <w14:textFill>
                  <w14:solidFill>
                    <w14:schemeClr w14:val="tx1"/>
                  </w14:solidFill>
                </w14:textFill>
              </w:rPr>
              <w:t>规定签字</w:t>
            </w:r>
            <w:r>
              <w:rPr>
                <w:rFonts w:hint="eastAsia" w:ascii="宋体" w:hAnsi="宋体" w:cs="宋体"/>
                <w:b/>
                <w:color w:val="000000" w:themeColor="text1"/>
                <w:szCs w:val="21"/>
                <w:highlight w:val="none"/>
                <w14:textFill>
                  <w14:solidFill>
                    <w14:schemeClr w14:val="tx1"/>
                  </w14:solidFill>
                </w14:textFill>
              </w:rPr>
              <w:t>处签字</w:t>
            </w:r>
            <w:r>
              <w:rPr>
                <w:rFonts w:hint="eastAsia" w:ascii="宋体" w:hAnsi="宋体"/>
                <w:b/>
                <w:bCs/>
                <w:color w:val="000000" w:themeColor="text1"/>
                <w:szCs w:val="21"/>
                <w:highlight w:val="none"/>
                <w14:textFill>
                  <w14:solidFill>
                    <w14:schemeClr w14:val="tx1"/>
                  </w14:solidFill>
                </w14:textFill>
              </w:rPr>
              <w:t>（或者电子签名）</w:t>
            </w:r>
            <w:r>
              <w:rPr>
                <w:rFonts w:hint="eastAsia" w:ascii="宋体" w:hAnsi="宋体" w:cs="宋体"/>
                <w:b/>
                <w:color w:val="000000" w:themeColor="text1"/>
                <w:szCs w:val="21"/>
                <w:highlight w:val="none"/>
                <w14:textFill>
                  <w14:solidFill>
                    <w14:schemeClr w14:val="tx1"/>
                  </w14:solidFill>
                </w14:textFill>
              </w:rPr>
              <w:t>，否则响应文件按无效处理。</w:t>
            </w:r>
          </w:p>
        </w:tc>
      </w:tr>
      <w:tr w14:paraId="64FA9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1317A9F">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w:t>
            </w:r>
          </w:p>
        </w:tc>
        <w:tc>
          <w:tcPr>
            <w:tcW w:w="7912" w:type="dxa"/>
            <w:vAlign w:val="center"/>
          </w:tcPr>
          <w:p w14:paraId="223A096B">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报价文件</w:t>
            </w:r>
          </w:p>
          <w:p w14:paraId="278817AD">
            <w:pPr>
              <w:pStyle w:val="57"/>
              <w:numPr>
                <w:ilvl w:val="0"/>
                <w:numId w:val="2"/>
              </w:numPr>
              <w:spacing w:line="360" w:lineRule="auto"/>
              <w:ind w:firstLineChars="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竞标报价表（格式后附）；（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7ABA5CB3">
            <w:pPr>
              <w:pStyle w:val="57"/>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bookmarkStart w:id="61" w:name="OLE_LINK7"/>
            <w:r>
              <w:rPr>
                <w:rFonts w:hint="eastAsia" w:ascii="宋体" w:hAnsi="宋体" w:eastAsia="宋体" w:cs="宋体"/>
                <w:color w:val="000000" w:themeColor="text1"/>
                <w:szCs w:val="21"/>
                <w:highlight w:val="none"/>
                <w14:textFill>
                  <w14:solidFill>
                    <w14:schemeClr w14:val="tx1"/>
                  </w14:solidFill>
                </w14:textFill>
              </w:rPr>
              <w:t>《关于符合本国产品标准的声明函》或者财政部会同有关部门规定的有关证明文件；（供应商根据自身响应情况出具）</w:t>
            </w:r>
            <w:bookmarkEnd w:id="61"/>
          </w:p>
          <w:p w14:paraId="2B011E77">
            <w:pPr>
              <w:pStyle w:val="57"/>
              <w:numPr>
                <w:ilvl w:val="0"/>
                <w:numId w:val="2"/>
              </w:numPr>
              <w:spacing w:line="360" w:lineRule="auto"/>
              <w:ind w:firstLineChars="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供应商认为需要提供的其他有关资料。</w:t>
            </w:r>
          </w:p>
        </w:tc>
      </w:tr>
      <w:tr w14:paraId="0EEBD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C1326C2">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3</w:t>
            </w:r>
          </w:p>
        </w:tc>
        <w:tc>
          <w:tcPr>
            <w:tcW w:w="7912" w:type="dxa"/>
            <w:vAlign w:val="center"/>
          </w:tcPr>
          <w:p w14:paraId="05C2EB53">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商务技术文件</w:t>
            </w:r>
          </w:p>
          <w:p w14:paraId="21CA7298">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1.无串通竞标行为的承诺函（格式后附）；（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6E9B07D5">
            <w:pPr>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2.法定代表人身份证明书及法定代表人有效身份证正反面复印件（格式后附）；（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4C8875AE">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3.授权委托书及委托代理人有效身份证正反面复印件（格式后附）；（</w:t>
            </w:r>
            <w:r>
              <w:rPr>
                <w:rFonts w:hint="eastAsia" w:ascii="宋体" w:hAnsi="宋体" w:cs="宋体"/>
                <w:b/>
                <w:color w:val="000000" w:themeColor="text1"/>
                <w:szCs w:val="21"/>
                <w:highlight w:val="none"/>
                <w14:textFill>
                  <w14:solidFill>
                    <w14:schemeClr w14:val="tx1"/>
                  </w14:solidFill>
                </w14:textFill>
              </w:rPr>
              <w:t>委托时必须提供，否则响应文件按无效处理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2A17856E">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4.竞标保证金提交凭证；（</w:t>
            </w:r>
            <w:r>
              <w:rPr>
                <w:rFonts w:hint="eastAsia"/>
                <w:b/>
                <w:bCs/>
                <w:color w:val="000000" w:themeColor="text1"/>
                <w:highlight w:val="none"/>
                <w14:textFill>
                  <w14:solidFill>
                    <w14:schemeClr w14:val="tx1"/>
                  </w14:solidFill>
                </w14:textFill>
              </w:rPr>
              <w:t>必须提供</w:t>
            </w:r>
            <w:r>
              <w:rPr>
                <w:rFonts w:hint="eastAsia" w:ascii="宋体" w:hAnsi="宋体" w:cs="宋体"/>
                <w:b/>
                <w:color w:val="000000" w:themeColor="text1"/>
                <w:szCs w:val="21"/>
                <w:highlight w:val="none"/>
                <w14:textFill>
                  <w14:solidFill>
                    <w14:schemeClr w14:val="tx1"/>
                  </w14:solidFill>
                </w14:textFill>
              </w:rPr>
              <w:t>，否则响应文件按无效处理</w:t>
            </w:r>
            <w:r>
              <w:rPr>
                <w:rFonts w:hint="eastAsia" w:ascii="宋体" w:hAnsi="宋体" w:cs="宋体"/>
                <w:color w:val="000000" w:themeColor="text1"/>
                <w:szCs w:val="21"/>
                <w:highlight w:val="none"/>
                <w14:textFill>
                  <w14:solidFill>
                    <w14:schemeClr w14:val="tx1"/>
                  </w14:solidFill>
                </w14:textFill>
              </w:rPr>
              <w:t>）</w:t>
            </w:r>
          </w:p>
          <w:p w14:paraId="6366920B">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5.商务要求偏离表（格式后附）；（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70FD9BF7">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6.售后服务承诺（格式自拟）；（</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4C55491E">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7.货物配置清单（均不含报价）（格式后附）；（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7EE2DD6F">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8.技术要求偏离表（格式后附）；（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6055EDD9">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9.对应采购需求的技术要求、商务要求提供的其他文件资料（格式自拟）；</w:t>
            </w:r>
          </w:p>
          <w:p w14:paraId="5B9287DB">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10.供应商认为需要提供的其他有关资料。</w:t>
            </w:r>
          </w:p>
          <w:p w14:paraId="1F72B739">
            <w:pPr>
              <w:snapToGrid w:val="0"/>
              <w:spacing w:line="360" w:lineRule="auto"/>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注：以上标明“必须提供”材料复印件的，必须加盖供应商</w:t>
            </w:r>
            <w:r>
              <w:rPr>
                <w:rFonts w:hint="eastAsia" w:ascii="宋体" w:hAnsi="宋体"/>
                <w:b/>
                <w:bCs/>
                <w:color w:val="000000" w:themeColor="text1"/>
                <w:szCs w:val="21"/>
                <w:highlight w:val="none"/>
                <w14:textFill>
                  <w14:solidFill>
                    <w14:schemeClr w14:val="tx1"/>
                  </w14:solidFill>
                </w14:textFill>
              </w:rPr>
              <w:t>电子签章</w:t>
            </w:r>
            <w:r>
              <w:rPr>
                <w:rFonts w:hint="eastAsia" w:ascii="宋体" w:hAnsi="宋体" w:cs="宋体"/>
                <w:b/>
                <w:color w:val="000000" w:themeColor="text1"/>
                <w:szCs w:val="21"/>
                <w:highlight w:val="none"/>
                <w14:textFill>
                  <w14:solidFill>
                    <w14:schemeClr w14:val="tx1"/>
                  </w14:solidFill>
                </w14:textFill>
              </w:rPr>
              <w:t>，否则响应文件按无效处理。</w:t>
            </w:r>
          </w:p>
        </w:tc>
      </w:tr>
      <w:tr w14:paraId="4E896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8AF9DC3">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w:t>
            </w:r>
          </w:p>
        </w:tc>
        <w:tc>
          <w:tcPr>
            <w:tcW w:w="7912" w:type="dxa"/>
            <w:vAlign w:val="center"/>
          </w:tcPr>
          <w:p w14:paraId="5443EDD2">
            <w:pPr>
              <w:spacing w:line="360" w:lineRule="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竞标报价包括</w:t>
            </w:r>
            <w:r>
              <w:rPr>
                <w:rFonts w:hint="eastAsia" w:ascii="宋体" w:hAnsi="宋体" w:eastAsia="宋体" w:cs="宋体"/>
                <w:color w:val="000000" w:themeColor="text1"/>
                <w:szCs w:val="21"/>
                <w:highlight w:val="none"/>
                <w:lang w:eastAsia="zh-CN"/>
                <w14:textFill>
                  <w14:solidFill>
                    <w14:schemeClr w14:val="tx1"/>
                  </w14:solidFill>
                </w14:textFill>
              </w:rPr>
              <w:t>：</w:t>
            </w:r>
          </w:p>
          <w:p w14:paraId="4D078308">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1.采购内容中所有货物和服务的价格；</w:t>
            </w:r>
          </w:p>
          <w:p w14:paraId="343A9968">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2.货物的标准附件、备品备件、专用工具的价格；</w:t>
            </w:r>
          </w:p>
          <w:p w14:paraId="471BF9E8">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3.运输、装卸、安装（含安装材料）、调试、培训、技术支持、售后服务的费用，质保期内免费维修、养护、软件升级等费用；</w:t>
            </w:r>
          </w:p>
          <w:p w14:paraId="174F0BEE">
            <w:pPr>
              <w:spacing w:line="360" w:lineRule="auto"/>
              <w:rPr>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4.必要的保险、检测费用和各项税费等。</w:t>
            </w:r>
          </w:p>
        </w:tc>
      </w:tr>
      <w:tr w14:paraId="57A3A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8C1BDB7">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w:t>
            </w:r>
            <w:r>
              <w:rPr>
                <w:rFonts w:ascii="宋体" w:hAnsi="宋体" w:cs="宋体"/>
                <w:color w:val="000000" w:themeColor="text1"/>
                <w:szCs w:val="21"/>
                <w:highlight w:val="none"/>
                <w14:textFill>
                  <w14:solidFill>
                    <w14:schemeClr w14:val="tx1"/>
                  </w14:solidFill>
                </w14:textFill>
              </w:rPr>
              <w:t>2</w:t>
            </w:r>
          </w:p>
        </w:tc>
        <w:tc>
          <w:tcPr>
            <w:tcW w:w="7912" w:type="dxa"/>
            <w:vAlign w:val="center"/>
          </w:tcPr>
          <w:p w14:paraId="0B97BFBE">
            <w:pPr>
              <w:pStyle w:val="9"/>
              <w:widowControl w:val="0"/>
              <w:tabs>
                <w:tab w:val="clear" w:pos="454"/>
              </w:tabs>
              <w:snapToGrid w:val="0"/>
              <w:spacing w:afterLines="0" w:line="360" w:lineRule="auto"/>
              <w:ind w:left="283" w:hanging="283" w:hangingChars="135"/>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kern w:val="2"/>
                <w:sz w:val="21"/>
                <w:szCs w:val="21"/>
                <w:highlight w:val="none"/>
                <w14:textFill>
                  <w14:solidFill>
                    <w14:schemeClr w14:val="tx1"/>
                  </w14:solidFill>
                </w14:textFill>
              </w:rPr>
              <w:t>竞标有效期：自首次响应文件提交截止之日起</w:t>
            </w:r>
            <w:r>
              <w:rPr>
                <w:rFonts w:ascii="宋体" w:hAnsi="宋体" w:cs="宋体"/>
                <w:color w:val="000000" w:themeColor="text1"/>
                <w:kern w:val="2"/>
                <w:sz w:val="21"/>
                <w:szCs w:val="21"/>
                <w:highlight w:val="none"/>
                <w:u w:val="single"/>
                <w14:textFill>
                  <w14:solidFill>
                    <w14:schemeClr w14:val="tx1"/>
                  </w14:solidFill>
                </w14:textFill>
              </w:rPr>
              <w:t xml:space="preserve"> 90 </w:t>
            </w:r>
            <w:r>
              <w:rPr>
                <w:rFonts w:hint="eastAsia" w:ascii="宋体" w:hAnsi="宋体" w:cs="宋体"/>
                <w:color w:val="000000" w:themeColor="text1"/>
                <w:kern w:val="2"/>
                <w:sz w:val="21"/>
                <w:szCs w:val="21"/>
                <w:highlight w:val="none"/>
                <w14:textFill>
                  <w14:solidFill>
                    <w14:schemeClr w14:val="tx1"/>
                  </w14:solidFill>
                </w14:textFill>
              </w:rPr>
              <w:t>日。</w:t>
            </w:r>
          </w:p>
        </w:tc>
      </w:tr>
      <w:tr w14:paraId="3D759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B5455B0">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w:t>
            </w:r>
          </w:p>
        </w:tc>
        <w:tc>
          <w:tcPr>
            <w:tcW w:w="7912" w:type="dxa"/>
            <w:vAlign w:val="center"/>
          </w:tcPr>
          <w:p w14:paraId="2D680772">
            <w:pPr>
              <w:autoSpaceDE w:val="0"/>
              <w:autoSpaceDN w:val="0"/>
              <w:snapToGrid w:val="0"/>
              <w:spacing w:line="360" w:lineRule="auto"/>
              <w:textAlignment w:val="bottom"/>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□本项目不收取竞标保证金。</w:t>
            </w:r>
          </w:p>
          <w:p w14:paraId="0AF27756">
            <w:pPr>
              <w:snapToGrid w:val="0"/>
              <w:spacing w:line="360" w:lineRule="auto"/>
              <w:rPr>
                <w:rFonts w:ascii="宋体" w:hAnsi="宋体"/>
                <w:color w:val="000000" w:themeColor="text1"/>
                <w:szCs w:val="21"/>
                <w:highlight w:val="none"/>
                <w14:textFill>
                  <w14:solidFill>
                    <w14:schemeClr w14:val="tx1"/>
                  </w14:solidFill>
                </w14:textFill>
              </w:rPr>
            </w:pPr>
            <w:r>
              <w:rPr>
                <w:rFonts w:ascii="Segoe UI Symbol" w:hAnsi="Segoe UI Symbol" w:cs="Segoe UI Symbol"/>
                <w:color w:val="000000" w:themeColor="text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本项目收取竞标保证金，具体规定如下：</w:t>
            </w:r>
          </w:p>
          <w:p w14:paraId="12D8C655">
            <w:pPr>
              <w:snapToGrid w:val="0"/>
              <w:spacing w:line="360" w:lineRule="auto"/>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竞标保证金人民币</w:t>
            </w:r>
            <w:r>
              <w:rPr>
                <w:rFonts w:hint="eastAsia" w:ascii="宋体" w:hAnsi="宋体" w:cs="宋体"/>
                <w:color w:val="000000" w:themeColor="text1"/>
                <w:kern w:val="0"/>
                <w:szCs w:val="21"/>
                <w:highlight w:val="none"/>
                <w:u w:val="single"/>
                <w:lang w:val="en-US" w:eastAsia="zh-CN"/>
                <w14:textFill>
                  <w14:solidFill>
                    <w14:schemeClr w14:val="tx1"/>
                  </w14:solidFill>
                </w14:textFill>
              </w:rPr>
              <w:t>壹万元整（</w:t>
            </w:r>
            <w:r>
              <w:rPr>
                <w:rFonts w:hint="default" w:ascii="宋体" w:hAnsi="宋体" w:cs="宋体"/>
                <w:color w:val="000000" w:themeColor="text1"/>
                <w:kern w:val="0"/>
                <w:szCs w:val="21"/>
                <w:highlight w:val="none"/>
                <w:u w:val="single"/>
                <w:lang w:val="en-US" w:eastAsia="zh-CN"/>
                <w14:textFill>
                  <w14:solidFill>
                    <w14:schemeClr w14:val="tx1"/>
                  </w14:solidFill>
                </w14:textFill>
              </w:rPr>
              <w:t>¥</w:t>
            </w:r>
            <w:r>
              <w:rPr>
                <w:rFonts w:hint="eastAsia" w:ascii="宋体" w:hAnsi="宋体" w:cs="宋体"/>
                <w:color w:val="000000" w:themeColor="text1"/>
                <w:kern w:val="0"/>
                <w:szCs w:val="21"/>
                <w:highlight w:val="none"/>
                <w:u w:val="single"/>
                <w:lang w:val="en-US" w:eastAsia="zh-CN"/>
                <w14:textFill>
                  <w14:solidFill>
                    <w14:schemeClr w14:val="tx1"/>
                  </w14:solidFill>
                </w14:textFill>
              </w:rPr>
              <w:t>10000.00）</w:t>
            </w:r>
            <w:r>
              <w:rPr>
                <w:rFonts w:hint="eastAsia" w:ascii="宋体" w:hAnsi="宋体" w:cs="宋体"/>
                <w:color w:val="000000" w:themeColor="text1"/>
                <w:kern w:val="0"/>
                <w:szCs w:val="21"/>
                <w:highlight w:val="none"/>
                <w14:textFill>
                  <w14:solidFill>
                    <w14:schemeClr w14:val="tx1"/>
                  </w14:solidFill>
                </w14:textFill>
              </w:rPr>
              <w:t>。</w:t>
            </w:r>
          </w:p>
          <w:p w14:paraId="2338ADD5">
            <w:pPr>
              <w:snapToGrid w:val="0"/>
              <w:spacing w:line="360" w:lineRule="auto"/>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竞标保证金的交纳方式：银行转账、支票、汇票、本票或者银行、保险机构出具的保函（含电子保函），禁止采用现钞方式。采用银行转账方式的，在响应文件提交截止时间前交至指定账户并且到账（办理竞标保证金手续时，请务必在银行进账单或电汇单的用途或空白栏上注明项目编号）【开户名称：</w:t>
            </w:r>
            <w:r>
              <w:rPr>
                <w:rFonts w:hint="eastAsia" w:ascii="宋体" w:hAnsi="宋体" w:eastAsia="宋体" w:cs="宋体"/>
                <w:bCs w:val="0"/>
                <w:color w:val="auto"/>
                <w:spacing w:val="0"/>
                <w:kern w:val="2"/>
                <w:sz w:val="21"/>
                <w:szCs w:val="21"/>
                <w:highlight w:val="none"/>
                <w:lang w:val="en-US" w:eastAsia="zh-CN" w:bidi="ar-SA"/>
              </w:rPr>
              <w:t>广东新正工程咨询有限公司贺州分公司，</w:t>
            </w:r>
            <w:r>
              <w:rPr>
                <w:rFonts w:hint="eastAsia" w:ascii="宋体" w:hAnsi="宋体" w:eastAsia="宋体" w:cs="宋体"/>
                <w:color w:val="000000"/>
                <w:kern w:val="0"/>
                <w:szCs w:val="21"/>
                <w:highlight w:val="none"/>
              </w:rPr>
              <w:t>银行账号：</w:t>
            </w:r>
            <w:r>
              <w:rPr>
                <w:rFonts w:hint="eastAsia" w:ascii="宋体" w:hAnsi="宋体" w:eastAsia="宋体" w:cs="宋体"/>
                <w:bCs w:val="0"/>
                <w:color w:val="auto"/>
                <w:spacing w:val="0"/>
                <w:kern w:val="2"/>
                <w:sz w:val="21"/>
                <w:szCs w:val="21"/>
                <w:highlight w:val="none"/>
                <w:lang w:val="en-US" w:eastAsia="zh-CN" w:bidi="ar-SA"/>
              </w:rPr>
              <w:t>4505 0110 2588 0000 1386，</w:t>
            </w:r>
            <w:r>
              <w:rPr>
                <w:rFonts w:hint="eastAsia" w:ascii="宋体" w:hAnsi="宋体" w:eastAsia="宋体" w:cs="宋体"/>
                <w:color w:val="000000"/>
                <w:kern w:val="0"/>
                <w:szCs w:val="21"/>
                <w:highlight w:val="none"/>
              </w:rPr>
              <w:t>开户银行：</w:t>
            </w:r>
            <w:r>
              <w:rPr>
                <w:rFonts w:hint="eastAsia" w:ascii="宋体" w:hAnsi="宋体" w:eastAsia="宋体" w:cs="宋体"/>
                <w:bCs w:val="0"/>
                <w:color w:val="auto"/>
                <w:spacing w:val="0"/>
                <w:kern w:val="2"/>
                <w:sz w:val="21"/>
                <w:szCs w:val="21"/>
                <w:highlight w:val="none"/>
                <w:lang w:val="en-US" w:eastAsia="zh-CN" w:bidi="ar-SA"/>
              </w:rPr>
              <w:t>中国建设银行贺州城西支行</w:t>
            </w:r>
            <w:r>
              <w:rPr>
                <w:rFonts w:hint="eastAsia" w:ascii="宋体" w:hAnsi="宋体" w:cs="宋体"/>
                <w:color w:val="000000" w:themeColor="text1"/>
                <w:kern w:val="0"/>
                <w:szCs w:val="21"/>
                <w:highlight w:val="none"/>
                <w14:textFill>
                  <w14:solidFill>
                    <w14:schemeClr w14:val="tx1"/>
                  </w14:solidFill>
                </w14:textFill>
              </w:rPr>
              <w:t>】；采用支票、汇票、本票或者保函等方式的，在响应文件提交截止时间前，供应商必须提交单独密封的支票、汇票、本票或者保函原件。否则视为无效竞标保证金。</w:t>
            </w:r>
          </w:p>
          <w:p w14:paraId="50718292">
            <w:pPr>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相关要求：</w:t>
            </w:r>
          </w:p>
          <w:p w14:paraId="2DAAEBBD">
            <w:pPr>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1.竞标保证金采用银行转账交纳方式的，在响应文件提交截止时间前交至指定账户并且到账，供应商应将银行转账底单的复印件作为竞标保证金提交凭证，放置于商务技术文件中，</w:t>
            </w:r>
            <w:r>
              <w:rPr>
                <w:rFonts w:hint="eastAsia" w:ascii="宋体" w:hAnsi="宋体" w:cs="宋体"/>
                <w:b/>
                <w:color w:val="000000" w:themeColor="text1"/>
                <w:szCs w:val="21"/>
                <w:highlight w:val="none"/>
                <w14:textFill>
                  <w14:solidFill>
                    <w14:schemeClr w14:val="tx1"/>
                  </w14:solidFill>
                </w14:textFill>
              </w:rPr>
              <w:t>否则响应文件按无效处理</w:t>
            </w:r>
            <w:r>
              <w:rPr>
                <w:rFonts w:hint="eastAsia" w:ascii="宋体" w:hAnsi="宋体" w:cs="宋体"/>
                <w:color w:val="000000" w:themeColor="text1"/>
                <w:szCs w:val="21"/>
                <w:highlight w:val="none"/>
                <w14:textFill>
                  <w14:solidFill>
                    <w14:schemeClr w14:val="tx1"/>
                  </w14:solidFill>
                </w14:textFill>
              </w:rPr>
              <w:t>。</w:t>
            </w:r>
          </w:p>
          <w:p w14:paraId="11227D31">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2.竞标保证金采用支票、汇票、本票或者银行、保险机构出具的保函交纳方式的，供应商应将支票、汇票、本票或者银行、保险机构出具的保函的复印件作为竞标保证金提交凭证，放置于</w:t>
            </w:r>
            <w:r>
              <w:rPr>
                <w:rFonts w:hint="eastAsia" w:ascii="宋体" w:hAnsi="宋体" w:cs="宋体"/>
                <w:color w:val="000000" w:themeColor="text1"/>
                <w:szCs w:val="21"/>
                <w:highlight w:val="none"/>
                <w14:textFill>
                  <w14:solidFill>
                    <w14:schemeClr w14:val="tx1"/>
                  </w14:solidFill>
                </w14:textFill>
              </w:rPr>
              <w:t>商务技术文件</w:t>
            </w:r>
            <w:r>
              <w:rPr>
                <w:rFonts w:hint="eastAsia" w:ascii="宋体" w:hAnsi="宋体"/>
                <w:color w:val="000000" w:themeColor="text1"/>
                <w:szCs w:val="21"/>
                <w:highlight w:val="none"/>
                <w14:textFill>
                  <w14:solidFill>
                    <w14:schemeClr w14:val="tx1"/>
                  </w14:solidFill>
                </w14:textFill>
              </w:rPr>
              <w:t>中，</w:t>
            </w:r>
            <w:r>
              <w:rPr>
                <w:rFonts w:hint="eastAsia" w:ascii="宋体" w:hAnsi="宋体" w:cs="宋体"/>
                <w:b/>
                <w:color w:val="000000" w:themeColor="text1"/>
                <w:szCs w:val="21"/>
                <w:highlight w:val="none"/>
                <w14:textFill>
                  <w14:solidFill>
                    <w14:schemeClr w14:val="tx1"/>
                  </w14:solidFill>
                </w14:textFill>
              </w:rPr>
              <w:t>否则响应文件按无效处理</w:t>
            </w:r>
            <w:r>
              <w:rPr>
                <w:rFonts w:hint="eastAsia" w:ascii="宋体" w:hAnsi="宋体"/>
                <w:color w:val="000000" w:themeColor="text1"/>
                <w:szCs w:val="21"/>
                <w:highlight w:val="none"/>
                <w14:textFill>
                  <w14:solidFill>
                    <w14:schemeClr w14:val="tx1"/>
                  </w14:solidFill>
                </w14:textFill>
              </w:rPr>
              <w:t>。供应商必须</w:t>
            </w:r>
            <w:r>
              <w:rPr>
                <w:rFonts w:hint="eastAsia"/>
                <w:color w:val="000000" w:themeColor="text1"/>
                <w:highlight w:val="none"/>
                <w14:textFill>
                  <w14:solidFill>
                    <w14:schemeClr w14:val="tx1"/>
                  </w14:solidFill>
                </w14:textFill>
              </w:rPr>
              <w:t>在响应文件提交截止时间前采用现场或邮寄方式</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现场递交地址：</w:t>
            </w:r>
            <w:r>
              <w:rPr>
                <w:rFonts w:hint="eastAsia" w:ascii="宋体" w:hAnsi="宋体" w:eastAsia="宋体" w:cs="宋体"/>
                <w:color w:val="000000"/>
                <w:szCs w:val="21"/>
                <w:highlight w:val="none"/>
                <w:lang w:eastAsia="zh-CN"/>
              </w:rPr>
              <w:t>广东新正工程咨询有限公司</w:t>
            </w:r>
            <w:r>
              <w:rPr>
                <w:rFonts w:hint="eastAsia" w:ascii="宋体" w:hAnsi="宋体" w:eastAsia="宋体" w:cs="宋体"/>
                <w:color w:val="000000"/>
                <w:szCs w:val="21"/>
                <w:highlight w:val="none"/>
                <w:lang w:val="en-US" w:eastAsia="zh-CN"/>
              </w:rPr>
              <w:t>贺州分公司（</w:t>
            </w:r>
            <w:r>
              <w:rPr>
                <w:rFonts w:hint="eastAsia" w:ascii="宋体" w:hAnsi="宋体" w:eastAsia="宋体" w:cs="宋体"/>
                <w:szCs w:val="21"/>
                <w:highlight w:val="none"/>
                <w:lang w:eastAsia="zh-CN"/>
              </w:rPr>
              <w:t>贺州市万兴路恒康嘉园西区13栋5单元201</w:t>
            </w:r>
            <w:r>
              <w:rPr>
                <w:rFonts w:hint="eastAsia" w:ascii="宋体" w:hAnsi="宋体" w:eastAsia="宋体" w:cs="宋体"/>
                <w:color w:val="000000"/>
                <w:szCs w:val="21"/>
                <w:highlight w:val="none"/>
                <w:lang w:eastAsia="zh-CN"/>
              </w:rPr>
              <w:t>）</w:t>
            </w:r>
            <w:r>
              <w:rPr>
                <w:rFonts w:hint="eastAsia"/>
                <w:color w:val="000000" w:themeColor="text1"/>
                <w:highlight w:val="none"/>
                <w14:textFill>
                  <w14:solidFill>
                    <w14:schemeClr w14:val="tx1"/>
                  </w14:solidFill>
                </w14:textFill>
              </w:rPr>
              <w:t>；邮寄地址：</w:t>
            </w:r>
            <w:r>
              <w:rPr>
                <w:rFonts w:hint="eastAsia" w:ascii="宋体" w:hAnsi="宋体" w:eastAsia="宋体" w:cs="宋体"/>
                <w:color w:val="000000"/>
                <w:szCs w:val="21"/>
                <w:highlight w:val="none"/>
                <w:lang w:eastAsia="zh-CN"/>
              </w:rPr>
              <w:t>广东新正工程咨询有限公司</w:t>
            </w:r>
            <w:r>
              <w:rPr>
                <w:rFonts w:hint="eastAsia" w:ascii="宋体" w:hAnsi="宋体" w:eastAsia="宋体" w:cs="宋体"/>
                <w:color w:val="000000"/>
                <w:szCs w:val="21"/>
                <w:highlight w:val="none"/>
                <w:lang w:val="en-US" w:eastAsia="zh-CN"/>
              </w:rPr>
              <w:t>贺州分公司（</w:t>
            </w:r>
            <w:r>
              <w:rPr>
                <w:rFonts w:hint="eastAsia" w:ascii="宋体" w:hAnsi="宋体" w:eastAsia="宋体" w:cs="宋体"/>
                <w:szCs w:val="21"/>
                <w:highlight w:val="none"/>
                <w:lang w:eastAsia="zh-CN"/>
              </w:rPr>
              <w:t>贺州市万兴路恒康嘉园西区13栋5单元201</w:t>
            </w:r>
            <w:r>
              <w:rPr>
                <w:rFonts w:hint="eastAsia" w:ascii="宋体" w:hAnsi="宋体" w:cs="宋体"/>
                <w:szCs w:val="21"/>
                <w:highlight w:val="none"/>
                <w:lang w:eastAsia="zh-CN"/>
              </w:rPr>
              <w:t>）</w:t>
            </w:r>
            <w:r>
              <w:rPr>
                <w:rFonts w:hint="eastAsia" w:ascii="宋体" w:hAnsi="宋体" w:eastAsia="宋体" w:cs="宋体"/>
                <w:color w:val="000000"/>
                <w:szCs w:val="21"/>
                <w:highlight w:val="none"/>
              </w:rPr>
              <w:t>，收件人：</w:t>
            </w:r>
            <w:r>
              <w:rPr>
                <w:rFonts w:hint="eastAsia" w:ascii="宋体" w:hAnsi="宋体" w:eastAsia="宋体" w:cs="宋体"/>
                <w:color w:val="000000"/>
                <w:szCs w:val="21"/>
                <w:highlight w:val="none"/>
                <w:u w:val="none"/>
                <w:lang w:val="en-US" w:eastAsia="zh-CN"/>
              </w:rPr>
              <w:t>陈雪贤、钟群珍</w:t>
            </w:r>
            <w:r>
              <w:rPr>
                <w:rFonts w:hint="eastAsia" w:ascii="宋体" w:hAnsi="宋体" w:eastAsia="宋体" w:cs="宋体"/>
                <w:color w:val="000000"/>
                <w:szCs w:val="21"/>
                <w:highlight w:val="none"/>
              </w:rPr>
              <w:t>，联系方式：</w:t>
            </w:r>
            <w:r>
              <w:rPr>
                <w:rFonts w:hint="eastAsia" w:ascii="宋体" w:hAnsi="宋体" w:eastAsia="宋体" w:cs="宋体"/>
                <w:szCs w:val="21"/>
                <w:highlight w:val="none"/>
                <w:lang w:eastAsia="zh-CN"/>
              </w:rPr>
              <w:t>0774-5282277</w:t>
            </w:r>
            <w:r>
              <w:rPr>
                <w:rFonts w:hint="eastAsia"/>
                <w:color w:val="000000" w:themeColor="text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将</w:t>
            </w:r>
            <w:r>
              <w:rPr>
                <w:rFonts w:hint="eastAsia" w:ascii="宋体" w:hAnsi="宋体" w:cs="宋体"/>
                <w:color w:val="000000" w:themeColor="text1"/>
                <w:kern w:val="0"/>
                <w:szCs w:val="21"/>
                <w:highlight w:val="none"/>
                <w14:textFill>
                  <w14:solidFill>
                    <w14:schemeClr w14:val="tx1"/>
                  </w14:solidFill>
                </w14:textFill>
              </w:rPr>
              <w:t>单独密封的</w:t>
            </w:r>
            <w:r>
              <w:rPr>
                <w:rFonts w:hint="eastAsia" w:ascii="宋体" w:hAnsi="宋体"/>
                <w:color w:val="000000" w:themeColor="text1"/>
                <w:szCs w:val="21"/>
                <w:highlight w:val="none"/>
                <w14:textFill>
                  <w14:solidFill>
                    <w14:schemeClr w14:val="tx1"/>
                  </w14:solidFill>
                </w14:textFill>
              </w:rPr>
              <w:t>支票、汇票、本票或者银行、保险机构出具的保函原件提交给采购人或者采购代理机构，由采购人或者采购代理机构向供应商出具回执（邮寄方式的除外），并妥善保管。</w:t>
            </w:r>
          </w:p>
          <w:p w14:paraId="732977DF">
            <w:pPr>
              <w:snapToGrid w:val="0"/>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3.供应商为联合体的，可以由联合体中的一方或者多方共同交纳谈判保证金，其交纳的保证金对联合体各方均具有约束力。</w:t>
            </w:r>
          </w:p>
          <w:p w14:paraId="18E89343">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备注：</w:t>
            </w:r>
          </w:p>
          <w:p w14:paraId="2D661E86">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 竞标保证金在响应文件提交截止时间后提交的，或者不按规定交纳方式交纳的，或者未足额交纳的（包含保函额度不足的），视为无效竞标保证金。</w:t>
            </w:r>
          </w:p>
          <w:p w14:paraId="41ADC276">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2.供应商采用现钞方式或者从个人账户（自然人竞标除外）转出的竞标保证金，视为无效竞标保证金。</w:t>
            </w:r>
          </w:p>
          <w:p w14:paraId="420A0328">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3.支票、汇票或者本票出现无效或者背书情形的，视为无效竞标保证金。</w:t>
            </w:r>
          </w:p>
          <w:p w14:paraId="1527EAA7">
            <w:pPr>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4.保函有效期低于竞标有效期的，视为无效竞标保证金。</w:t>
            </w:r>
          </w:p>
          <w:p w14:paraId="3761C955">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5.竞标保证金采用银行、保险机构出具的保函为有条件保函的，视为无效竞标保证金。</w:t>
            </w:r>
          </w:p>
        </w:tc>
      </w:tr>
      <w:tr w14:paraId="4785D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27C63AE">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w:t>
            </w:r>
          </w:p>
        </w:tc>
        <w:tc>
          <w:tcPr>
            <w:tcW w:w="7912" w:type="dxa"/>
            <w:vAlign w:val="center"/>
          </w:tcPr>
          <w:p w14:paraId="5908F402">
            <w:pPr>
              <w:autoSpaceDE w:val="0"/>
              <w:autoSpaceDN w:val="0"/>
              <w:snapToGrid w:val="0"/>
              <w:spacing w:line="360" w:lineRule="auto"/>
              <w:textAlignment w:val="bottom"/>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w:t>
            </w:r>
            <w:r>
              <w:rPr>
                <w:rFonts w:hint="eastAsia"/>
                <w:color w:val="000000" w:themeColor="text1"/>
                <w:highlight w:val="none"/>
                <w14:textFill>
                  <w14:solidFill>
                    <w14:schemeClr w14:val="tx1"/>
                  </w14:solidFill>
                </w14:textFill>
              </w:rPr>
              <w:t>电子</w:t>
            </w:r>
            <w:r>
              <w:rPr>
                <w:rFonts w:hint="eastAsia" w:ascii="宋体" w:hAnsi="宋体"/>
                <w:color w:val="000000" w:themeColor="text1"/>
                <w:szCs w:val="21"/>
                <w:highlight w:val="none"/>
                <w14:textFill>
                  <w14:solidFill>
                    <w14:schemeClr w14:val="tx1"/>
                  </w14:solidFill>
                </w14:textFill>
              </w:rPr>
              <w:t>备份响应文件</w:t>
            </w:r>
            <w:r>
              <w:rPr>
                <w:rFonts w:hint="eastAsia" w:ascii="宋体" w:hAnsi="宋体"/>
                <w:color w:val="000000" w:themeColor="text1"/>
                <w:szCs w:val="21"/>
                <w:highlight w:val="none"/>
                <w:lang w:eastAsia="zh-CN"/>
                <w14:textFill>
                  <w14:solidFill>
                    <w14:schemeClr w14:val="tx1"/>
                  </w14:solidFill>
                </w14:textFill>
              </w:rPr>
              <w:t>。</w:t>
            </w:r>
          </w:p>
        </w:tc>
      </w:tr>
      <w:tr w14:paraId="5CFF2B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5764ECA">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20.1</w:t>
            </w:r>
          </w:p>
        </w:tc>
        <w:tc>
          <w:tcPr>
            <w:tcW w:w="7912" w:type="dxa"/>
            <w:vAlign w:val="center"/>
          </w:tcPr>
          <w:p w14:paraId="56B9930B">
            <w:pPr>
              <w:spacing w:line="360" w:lineRule="auto"/>
              <w:contextualSpacing/>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响应文件提交截止时间：详见竞争性谈判公告。</w:t>
            </w:r>
          </w:p>
          <w:p w14:paraId="284AE9FC">
            <w:pPr>
              <w:spacing w:line="360" w:lineRule="auto"/>
              <w:contextualSpacing/>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响应文件提交地点：详见竞争性谈判公告。</w:t>
            </w:r>
          </w:p>
        </w:tc>
      </w:tr>
      <w:tr w14:paraId="147E3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447284E">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w:t>
            </w:r>
          </w:p>
        </w:tc>
        <w:tc>
          <w:tcPr>
            <w:tcW w:w="7912" w:type="dxa"/>
            <w:vAlign w:val="center"/>
          </w:tcPr>
          <w:p w14:paraId="78E2164B">
            <w:pPr>
              <w:snapToGrid w:val="0"/>
              <w:spacing w:line="360" w:lineRule="auto"/>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谈判小组的人数：</w:t>
            </w:r>
            <w:r>
              <w:rPr>
                <w:rFonts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人。</w:t>
            </w:r>
          </w:p>
        </w:tc>
      </w:tr>
      <w:tr w14:paraId="24DA8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873CB44">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5</w:t>
            </w:r>
          </w:p>
        </w:tc>
        <w:tc>
          <w:tcPr>
            <w:tcW w:w="7912" w:type="dxa"/>
            <w:vAlign w:val="center"/>
          </w:tcPr>
          <w:p w14:paraId="1D49D981">
            <w:pPr>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首次响应文件开启时间详见“竞争性谈判公告”</w:t>
            </w:r>
          </w:p>
          <w:p w14:paraId="3529EF9F">
            <w:pPr>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首次响应文件解密时间：</w:t>
            </w:r>
            <w:r>
              <w:rPr>
                <w:rFonts w:hAnsi="宋体"/>
                <w:color w:val="000000" w:themeColor="text1"/>
                <w:highlight w:val="none"/>
                <w:u w:val="single"/>
                <w14:textFill>
                  <w14:solidFill>
                    <w14:schemeClr w14:val="tx1"/>
                  </w14:solidFill>
                </w14:textFill>
              </w:rPr>
              <w:t xml:space="preserve"> 30</w:t>
            </w:r>
            <w:r>
              <w:rPr>
                <w:rFonts w:hint="eastAsia" w:hAnsi="宋体"/>
                <w:color w:val="000000" w:themeColor="text1"/>
                <w:highlight w:val="none"/>
                <w14:textFill>
                  <w14:solidFill>
                    <w14:schemeClr w14:val="tx1"/>
                  </w14:solidFill>
                </w14:textFill>
              </w:rPr>
              <w:t>分钟</w:t>
            </w:r>
          </w:p>
        </w:tc>
      </w:tr>
      <w:tr w14:paraId="02BA7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Merge w:val="restart"/>
            <w:vAlign w:val="center"/>
          </w:tcPr>
          <w:p w14:paraId="6E227E80">
            <w:pPr>
              <w:spacing w:line="360" w:lineRule="auto"/>
              <w:jc w:val="center"/>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26</w:t>
            </w:r>
          </w:p>
        </w:tc>
        <w:tc>
          <w:tcPr>
            <w:tcW w:w="7912" w:type="dxa"/>
            <w:vAlign w:val="center"/>
          </w:tcPr>
          <w:p w14:paraId="3C5BF7C6">
            <w:pPr>
              <w:spacing w:line="360" w:lineRule="auto"/>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评审价相同时，按照最后报价由低到高顺序依次推荐；最后报价相同时，按节能、环保产品累计金额由高到低顺序依次推荐；节能、环保产品累计金额也相同时，按以下原则确定成交候选人的顺序：</w:t>
            </w:r>
          </w:p>
          <w:p w14:paraId="2F3D49C3">
            <w:pPr>
              <w:spacing w:line="360" w:lineRule="auto"/>
              <w:contextualSpacing/>
              <w:rPr>
                <w:rFonts w:ascii="宋体" w:hAnsi="宋体" w:cs="宋体"/>
                <w:color w:val="000000" w:themeColor="text1"/>
                <w:szCs w:val="21"/>
                <w:highlight w:val="none"/>
                <w14:textFill>
                  <w14:solidFill>
                    <w14:schemeClr w14:val="tx1"/>
                  </w14:solidFill>
                </w14:textFill>
              </w:rPr>
            </w:pPr>
            <w:r>
              <w:rPr>
                <w:rFonts w:ascii="Segoe UI Symbol" w:hAnsi="Segoe UI Symbol" w:cs="Segoe UI Symbol"/>
                <w:color w:val="000000" w:themeColor="text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带“▲”的实质性要求正偏离项数多的优先、均无正偏离或者正偏离项数一致时负偏离项数少的优先、质保期长优先、交货期短优先、故障响应时间短优先的顺序推荐。</w:t>
            </w:r>
          </w:p>
          <w:p w14:paraId="5D4387B8">
            <w:pPr>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□由谈判小组推荐代表随机抽取。</w:t>
            </w:r>
          </w:p>
        </w:tc>
      </w:tr>
      <w:tr w14:paraId="1530F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Merge w:val="continue"/>
            <w:vAlign w:val="center"/>
          </w:tcPr>
          <w:p w14:paraId="61297BA2">
            <w:pPr>
              <w:spacing w:line="360" w:lineRule="auto"/>
              <w:jc w:val="center"/>
              <w:rPr>
                <w:rFonts w:ascii="宋体" w:hAnsi="宋体" w:cs="宋体"/>
                <w:color w:val="000000" w:themeColor="text1"/>
                <w:szCs w:val="21"/>
                <w:highlight w:val="none"/>
                <w14:textFill>
                  <w14:solidFill>
                    <w14:schemeClr w14:val="tx1"/>
                  </w14:solidFill>
                </w14:textFill>
              </w:rPr>
            </w:pPr>
          </w:p>
        </w:tc>
        <w:tc>
          <w:tcPr>
            <w:tcW w:w="7912" w:type="dxa"/>
            <w:vAlign w:val="center"/>
          </w:tcPr>
          <w:p w14:paraId="64EA66CF">
            <w:pPr>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商务要求评审中允许负偏离的条款数为</w:t>
            </w:r>
            <w:r>
              <w:rPr>
                <w:rFonts w:ascii="宋体" w:hAnsi="宋体" w:cs="宋体"/>
                <w:color w:val="000000" w:themeColor="text1"/>
                <w:szCs w:val="21"/>
                <w:highlight w:val="none"/>
                <w:u w:val="single"/>
                <w14:textFill>
                  <w14:solidFill>
                    <w14:schemeClr w14:val="tx1"/>
                  </w14:solidFill>
                </w14:textFill>
              </w:rPr>
              <w:t>0</w:t>
            </w:r>
            <w:r>
              <w:rPr>
                <w:rFonts w:hint="eastAsia" w:ascii="宋体" w:hAnsi="宋体" w:cs="宋体"/>
                <w:color w:val="000000" w:themeColor="text1"/>
                <w:szCs w:val="21"/>
                <w:highlight w:val="none"/>
                <w14:textFill>
                  <w14:solidFill>
                    <w14:schemeClr w14:val="tx1"/>
                  </w14:solidFill>
                </w14:textFill>
              </w:rPr>
              <w:t>项。</w:t>
            </w:r>
          </w:p>
          <w:p w14:paraId="381AE8C8">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技术要求评审中允许负偏离的条款数为</w:t>
            </w:r>
            <w:r>
              <w:rPr>
                <w:rFonts w:hint="eastAsia" w:ascii="宋体" w:hAnsi="宋体" w:cs="宋体"/>
                <w:color w:val="000000" w:themeColor="text1"/>
                <w:szCs w:val="21"/>
                <w:highlight w:val="none"/>
                <w:u w:val="single"/>
                <w:lang w:val="en-US" w:eastAsia="zh-CN"/>
                <w14:textFill>
                  <w14:solidFill>
                    <w14:schemeClr w14:val="tx1"/>
                  </w14:solidFill>
                </w14:textFill>
              </w:rPr>
              <w:t>0</w:t>
            </w:r>
            <w:r>
              <w:rPr>
                <w:rFonts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w:t>
            </w:r>
          </w:p>
        </w:tc>
      </w:tr>
      <w:tr w14:paraId="1EF3A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E3D53C5">
            <w:pPr>
              <w:spacing w:line="360" w:lineRule="auto"/>
              <w:jc w:val="center"/>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28.1</w:t>
            </w:r>
          </w:p>
        </w:tc>
        <w:tc>
          <w:tcPr>
            <w:tcW w:w="7912" w:type="dxa"/>
            <w:vAlign w:val="center"/>
          </w:tcPr>
          <w:p w14:paraId="6671B978">
            <w:pPr>
              <w:autoSpaceDE w:val="0"/>
              <w:autoSpaceDN w:val="0"/>
              <w:snapToGrid w:val="0"/>
              <w:spacing w:line="360" w:lineRule="auto"/>
              <w:textAlignment w:val="bottom"/>
              <w:rPr>
                <w:rFonts w:hint="eastAsia" w:ascii="宋体" w:hAnsi="宋体" w:eastAsia="宋体" w:cs="宋体"/>
                <w:color w:val="000000"/>
                <w:szCs w:val="21"/>
                <w:highlight w:val="none"/>
              </w:rPr>
            </w:pP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本项目不收取履约保证金。</w:t>
            </w:r>
          </w:p>
          <w:p w14:paraId="4E78E183">
            <w:pPr>
              <w:autoSpaceDE w:val="0"/>
              <w:autoSpaceDN w:val="0"/>
              <w:snapToGrid w:val="0"/>
              <w:spacing w:line="360" w:lineRule="auto"/>
              <w:textAlignment w:val="bottom"/>
              <w:rPr>
                <w:rFonts w:hint="eastAsia" w:ascii="宋体" w:hAnsi="宋体" w:eastAsia="宋体" w:cs="宋体"/>
                <w:color w:val="000000"/>
                <w:szCs w:val="21"/>
                <w:highlight w:val="none"/>
              </w:rPr>
            </w:pPr>
            <w:r>
              <w:rPr>
                <w:rFonts w:hint="eastAsia" w:ascii="宋体" w:hAnsi="宋体" w:cs="宋体"/>
                <w:color w:val="000000"/>
                <w:szCs w:val="21"/>
                <w:highlight w:val="none"/>
                <w:lang w:eastAsia="zh-CN"/>
              </w:rPr>
              <w:t>☑</w:t>
            </w:r>
            <w:r>
              <w:rPr>
                <w:rFonts w:hint="eastAsia" w:ascii="宋体" w:hAnsi="宋体" w:eastAsia="宋体" w:cs="宋体"/>
                <w:color w:val="000000"/>
                <w:szCs w:val="21"/>
                <w:highlight w:val="none"/>
              </w:rPr>
              <w:t>本项目收取履约保证金，具体规定如下：</w:t>
            </w:r>
          </w:p>
          <w:p w14:paraId="01DE326C">
            <w:pPr>
              <w:autoSpaceDE w:val="0"/>
              <w:autoSpaceDN w:val="0"/>
              <w:snapToGrid w:val="0"/>
              <w:spacing w:line="360" w:lineRule="auto"/>
              <w:textAlignment w:val="bottom"/>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2"/>
                <w:sz w:val="21"/>
                <w:szCs w:val="20"/>
                <w:highlight w:val="none"/>
                <w:lang w:val="en-US" w:eastAsia="zh-CN" w:bidi="ar-SA"/>
              </w:rPr>
              <w:t>履约保证金：合同总价的2%或5%作为履约保证金（如成交供应商是中小企业的，履约保证金为合同总价的2%；如成交供应商是非中小企业的，履约保证金为合同总价的5%）。</w:t>
            </w:r>
            <w:r>
              <w:rPr>
                <w:rFonts w:hint="eastAsia" w:ascii="宋体" w:hAnsi="宋体" w:eastAsia="宋体" w:cs="宋体"/>
                <w:b/>
                <w:bCs/>
                <w:color w:val="auto"/>
                <w:kern w:val="0"/>
                <w:sz w:val="21"/>
                <w:szCs w:val="21"/>
                <w:highlight w:val="none"/>
                <w:lang w:val="en-US" w:eastAsia="zh-CN" w:bidi="ar-SA"/>
              </w:rPr>
              <w:t>成交供应商未完全履行本合同约定义务的，履约保证金不予退还。成交供应商完全履行合同义务后，仍应对项目出现的质量、安全及服务问题负责整改，并承担由此产生的一切费用。项目在验收合格且质保期满后，采购人凭成交供应商提交的退款申请书及履约保证金汇款（转账）凭证复印件，无息退还履约保证金。</w:t>
            </w:r>
          </w:p>
          <w:p w14:paraId="0370F748">
            <w:pPr>
              <w:autoSpaceDE w:val="0"/>
              <w:autoSpaceDN w:val="0"/>
              <w:snapToGrid w:val="0"/>
              <w:spacing w:line="360" w:lineRule="auto"/>
              <w:textAlignment w:val="bottom"/>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（注：成交供应商应采用转账方式提交履约保证金，须从成交供应商账户汇出到达指定账户。）</w:t>
            </w:r>
          </w:p>
          <w:p w14:paraId="3F157F10">
            <w:pPr>
              <w:pStyle w:val="15"/>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户  名：贺州学院 </w:t>
            </w:r>
          </w:p>
          <w:p w14:paraId="6750B365">
            <w:pPr>
              <w:pStyle w:val="15"/>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开户行：中国农业银行股份有限公司贺州分行 </w:t>
            </w:r>
          </w:p>
          <w:p w14:paraId="42EF1A06">
            <w:pPr>
              <w:autoSpaceDE w:val="0"/>
              <w:autoSpaceDN w:val="0"/>
              <w:snapToGrid w:val="0"/>
              <w:spacing w:line="360" w:lineRule="auto"/>
              <w:textAlignment w:val="bottom"/>
              <w:rPr>
                <w:rFonts w:ascii="宋体" w:hAnsi="宋体" w:cs="宋体"/>
                <w:color w:val="000000" w:themeColor="text1"/>
                <w:szCs w:val="21"/>
                <w:highlight w:val="none"/>
                <w14:textFill>
                  <w14:solidFill>
                    <w14:schemeClr w14:val="tx1"/>
                  </w14:solidFill>
                </w14:textFill>
              </w:rPr>
            </w:pPr>
            <w:r>
              <w:rPr>
                <w:rFonts w:hint="eastAsia" w:ascii="宋体" w:hAnsi="宋体" w:eastAsia="宋体" w:cs="宋体"/>
                <w:color w:val="auto"/>
                <w:sz w:val="21"/>
                <w:highlight w:val="none"/>
                <w:lang w:val="en-US" w:eastAsia="zh-CN"/>
              </w:rPr>
              <w:t>账  号：20327101040005615</w:t>
            </w:r>
          </w:p>
        </w:tc>
      </w:tr>
      <w:tr w14:paraId="780FD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4BDFB6C">
            <w:pPr>
              <w:spacing w:line="360" w:lineRule="auto"/>
              <w:jc w:val="center"/>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29</w:t>
            </w:r>
            <w:r>
              <w:rPr>
                <w:rFonts w:hint="eastAsia" w:ascii="宋体" w:hAnsi="宋体" w:cs="宋体"/>
                <w:color w:val="000000" w:themeColor="text1"/>
                <w:szCs w:val="21"/>
                <w:highlight w:val="none"/>
                <w14:textFill>
                  <w14:solidFill>
                    <w14:schemeClr w14:val="tx1"/>
                  </w14:solidFill>
                </w14:textFill>
              </w:rPr>
              <w:t>.1</w:t>
            </w:r>
          </w:p>
        </w:tc>
        <w:tc>
          <w:tcPr>
            <w:tcW w:w="7912" w:type="dxa"/>
            <w:vAlign w:val="center"/>
          </w:tcPr>
          <w:p w14:paraId="0763117D">
            <w:pPr>
              <w:autoSpaceDE w:val="0"/>
              <w:autoSpaceDN w:val="0"/>
              <w:snapToGrid w:val="0"/>
              <w:spacing w:line="360" w:lineRule="auto"/>
              <w:textAlignment w:val="bottom"/>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签订合同携带的证明材料：</w:t>
            </w:r>
          </w:p>
          <w:p w14:paraId="7EA2A52C">
            <w:pPr>
              <w:autoSpaceDE w:val="0"/>
              <w:autoSpaceDN w:val="0"/>
              <w:snapToGrid w:val="0"/>
              <w:spacing w:line="360" w:lineRule="auto"/>
              <w:textAlignment w:val="bottom"/>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委托代理人负责签订合同的，须携带授权委托书及委托代理人身份证原件等其他资格证件。</w:t>
            </w:r>
          </w:p>
          <w:p w14:paraId="40A7951A">
            <w:pPr>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法定代表人负责签订合同的，须携带法定代表人</w:t>
            </w:r>
            <w:r>
              <w:rPr>
                <w:rFonts w:ascii="宋体" w:hAnsi="宋体"/>
                <w:color w:val="000000" w:themeColor="text1"/>
                <w:szCs w:val="21"/>
                <w:highlight w:val="none"/>
                <w14:textFill>
                  <w14:solidFill>
                    <w14:schemeClr w14:val="tx1"/>
                  </w14:solidFill>
                </w14:textFill>
              </w:rPr>
              <w:t>身份证明原件</w:t>
            </w:r>
            <w:r>
              <w:rPr>
                <w:rFonts w:hint="eastAsia" w:ascii="宋体" w:hAnsi="宋体"/>
                <w:color w:val="000000" w:themeColor="text1"/>
                <w:szCs w:val="21"/>
                <w:highlight w:val="none"/>
                <w14:textFill>
                  <w14:solidFill>
                    <w14:schemeClr w14:val="tx1"/>
                  </w14:solidFill>
                </w14:textFill>
              </w:rPr>
              <w:t>及</w:t>
            </w:r>
            <w:r>
              <w:rPr>
                <w:rFonts w:ascii="宋体" w:hAnsi="宋体"/>
                <w:color w:val="000000" w:themeColor="text1"/>
                <w:szCs w:val="21"/>
                <w:highlight w:val="none"/>
                <w14:textFill>
                  <w14:solidFill>
                    <w14:schemeClr w14:val="tx1"/>
                  </w14:solidFill>
                </w14:textFill>
              </w:rPr>
              <w:t>身份证原件</w:t>
            </w:r>
            <w:r>
              <w:rPr>
                <w:rFonts w:hint="eastAsia" w:ascii="宋体" w:hAnsi="宋体"/>
                <w:color w:val="000000" w:themeColor="text1"/>
                <w:szCs w:val="21"/>
                <w:highlight w:val="none"/>
                <w14:textFill>
                  <w14:solidFill>
                    <w14:schemeClr w14:val="tx1"/>
                  </w14:solidFill>
                </w14:textFill>
              </w:rPr>
              <w:t>等其他证明材料。</w:t>
            </w:r>
          </w:p>
        </w:tc>
      </w:tr>
      <w:tr w14:paraId="3D772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23937EC">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1.2</w:t>
            </w:r>
          </w:p>
        </w:tc>
        <w:tc>
          <w:tcPr>
            <w:tcW w:w="7912" w:type="dxa"/>
            <w:vAlign w:val="center"/>
          </w:tcPr>
          <w:p w14:paraId="38230DB6">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接收质疑函方式：以书面形式。</w:t>
            </w:r>
          </w:p>
          <w:p w14:paraId="33F376E8">
            <w:pPr>
              <w:pStyle w:val="15"/>
              <w:snapToGrid w:val="0"/>
              <w:spacing w:line="360" w:lineRule="auto"/>
              <w:rPr>
                <w:rFonts w:hint="eastAsia" w:ascii="宋体" w:hAnsi="宋体" w:eastAsia="宋体" w:cs="宋体"/>
                <w:color w:val="000000"/>
                <w:kern w:val="2"/>
                <w:sz w:val="21"/>
                <w:highlight w:val="none"/>
                <w:lang w:val="en-US" w:eastAsia="zh-CN"/>
              </w:rPr>
            </w:pPr>
            <w:r>
              <w:rPr>
                <w:rFonts w:hint="eastAsia" w:ascii="宋体" w:hAnsi="宋体" w:eastAsia="宋体" w:cs="宋体"/>
                <w:color w:val="000000"/>
                <w:kern w:val="2"/>
                <w:sz w:val="21"/>
                <w:highlight w:val="none"/>
                <w:lang w:val="en-US" w:eastAsia="zh-CN"/>
              </w:rPr>
              <w:t>质疑联系部门及联系方式：广东新正工程咨询有限公司，联系电话：0774-5282277，通讯地址：贺州市万兴路恒康嘉园西区13栋5单元201</w:t>
            </w:r>
          </w:p>
          <w:p w14:paraId="26F2E5D0">
            <w:pPr>
              <w:pStyle w:val="15"/>
              <w:spacing w:line="360" w:lineRule="auto"/>
              <w:rPr>
                <w:rFonts w:hAnsi="宋体" w:cs="宋体"/>
                <w:color w:val="000000" w:themeColor="text1"/>
                <w:kern w:val="2"/>
                <w:sz w:val="21"/>
                <w:highlight w:val="none"/>
                <w14:textFill>
                  <w14:solidFill>
                    <w14:schemeClr w14:val="tx1"/>
                  </w14:solidFill>
                </w14:textFill>
              </w:rPr>
            </w:pPr>
            <w:r>
              <w:rPr>
                <w:rFonts w:hint="eastAsia" w:ascii="宋体" w:hAnsi="宋体" w:eastAsia="宋体" w:cs="宋体"/>
                <w:color w:val="000000"/>
                <w:kern w:val="2"/>
                <w:sz w:val="21"/>
                <w:highlight w:val="none"/>
                <w:lang w:val="en-US" w:eastAsia="zh-CN"/>
              </w:rPr>
              <w:t>业务时间：工作日每天上午8时30分到12时00分，下午3时00分到6时00分。</w:t>
            </w:r>
          </w:p>
        </w:tc>
      </w:tr>
      <w:tr w14:paraId="638BC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ED81C9C">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.1</w:t>
            </w:r>
          </w:p>
        </w:tc>
        <w:tc>
          <w:tcPr>
            <w:tcW w:w="7912" w:type="dxa"/>
            <w:vAlign w:val="center"/>
          </w:tcPr>
          <w:p w14:paraId="63CE5A4C">
            <w:pPr>
              <w:pStyle w:val="15"/>
              <w:snapToGrid w:val="0"/>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1.采购代理费支付方式：</w:t>
            </w:r>
          </w:p>
          <w:p w14:paraId="7E6AF657">
            <w:pPr>
              <w:pStyle w:val="15"/>
              <w:snapToGrid w:val="0"/>
              <w:spacing w:line="360" w:lineRule="auto"/>
              <w:rPr>
                <w:rFonts w:hAnsi="宋体" w:cs="宋体"/>
                <w:color w:val="000000" w:themeColor="text1"/>
                <w:sz w:val="21"/>
                <w:highlight w:val="none"/>
                <w14:textFill>
                  <w14:solidFill>
                    <w14:schemeClr w14:val="tx1"/>
                  </w14:solidFill>
                </w14:textFill>
              </w:rPr>
            </w:pPr>
            <w:r>
              <w:rPr>
                <w:rFonts w:ascii="Segoe UI Symbol" w:hAnsi="Segoe UI Symbol" w:cs="Segoe UI Symbol"/>
                <w:color w:val="000000" w:themeColor="text1"/>
                <w:highlight w:val="none"/>
                <w14:textFill>
                  <w14:solidFill>
                    <w14:schemeClr w14:val="tx1"/>
                  </w14:solidFill>
                </w14:textFill>
              </w:rPr>
              <w:t>☑</w:t>
            </w:r>
            <w:r>
              <w:rPr>
                <w:rFonts w:hint="eastAsia" w:hAnsi="宋体" w:cs="宋体"/>
                <w:color w:val="000000" w:themeColor="text1"/>
                <w:sz w:val="21"/>
                <w:highlight w:val="none"/>
                <w14:textFill>
                  <w14:solidFill>
                    <w14:schemeClr w14:val="tx1"/>
                  </w14:solidFill>
                </w14:textFill>
              </w:rPr>
              <w:t>本项目代理服务费按如下规定由</w:t>
            </w:r>
            <w:r>
              <w:rPr>
                <w:rFonts w:hint="eastAsia" w:hAnsi="宋体" w:cs="宋体"/>
                <w:color w:val="000000" w:themeColor="text1"/>
                <w:sz w:val="21"/>
                <w:highlight w:val="none"/>
                <w:u w:val="single"/>
                <w14:textFill>
                  <w14:solidFill>
                    <w14:schemeClr w14:val="tx1"/>
                  </w14:solidFill>
                </w14:textFill>
              </w:rPr>
              <w:t>成交供应商</w:t>
            </w:r>
            <w:r>
              <w:rPr>
                <w:rFonts w:hint="eastAsia" w:hAnsi="宋体" w:cs="宋体"/>
                <w:color w:val="000000" w:themeColor="text1"/>
                <w:sz w:val="21"/>
                <w:highlight w:val="none"/>
                <w14:textFill>
                  <w14:solidFill>
                    <w14:schemeClr w14:val="tx1"/>
                  </w14:solidFill>
                </w14:textFill>
              </w:rPr>
              <w:t>一次性向采购代理机构支付。</w:t>
            </w:r>
          </w:p>
          <w:p w14:paraId="6879548D">
            <w:pPr>
              <w:pStyle w:val="15"/>
              <w:snapToGrid w:val="0"/>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□采购人支付。</w:t>
            </w:r>
          </w:p>
          <w:p w14:paraId="11AD8343">
            <w:pPr>
              <w:pStyle w:val="15"/>
              <w:snapToGrid w:val="0"/>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2.采购代理费收取标准：</w:t>
            </w:r>
          </w:p>
          <w:p w14:paraId="4891533E">
            <w:pPr>
              <w:pStyle w:val="15"/>
              <w:snapToGrid w:val="0"/>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sym w:font="Wingdings 2" w:char="0052"/>
            </w:r>
            <w:r>
              <w:rPr>
                <w:rFonts w:hint="eastAsia" w:hAnsi="宋体" w:cs="宋体"/>
                <w:color w:val="000000" w:themeColor="text1"/>
                <w:sz w:val="21"/>
                <w:highlight w:val="none"/>
                <w14:textFill>
                  <w14:solidFill>
                    <w14:schemeClr w14:val="tx1"/>
                  </w14:solidFill>
                </w14:textFill>
              </w:rPr>
              <w:t>以分标（</w:t>
            </w:r>
            <w:r>
              <w:rPr>
                <w:rFonts w:hint="eastAsia" w:hAnsi="宋体" w:cs="宋体"/>
                <w:color w:val="000000" w:themeColor="text1"/>
                <w:sz w:val="21"/>
                <w:highlight w:val="none"/>
                <w14:textFill>
                  <w14:solidFill>
                    <w14:schemeClr w14:val="tx1"/>
                  </w14:solidFill>
                </w14:textFill>
              </w:rPr>
              <w:sym w:font="Wingdings 2" w:char="0052"/>
            </w:r>
            <w:r>
              <w:rPr>
                <w:rFonts w:hint="eastAsia" w:hAnsi="宋体" w:cs="宋体"/>
                <w:color w:val="000000" w:themeColor="text1"/>
                <w:sz w:val="21"/>
                <w:highlight w:val="none"/>
                <w14:textFill>
                  <w14:solidFill>
                    <w14:schemeClr w14:val="tx1"/>
                  </w14:solidFill>
                </w14:textFill>
              </w:rPr>
              <w:t>成交金额/□采购预算/□暂定成交金额/□其他）为计费额，按本须知正文第3</w:t>
            </w:r>
            <w:r>
              <w:rPr>
                <w:rFonts w:hAnsi="宋体" w:cs="宋体"/>
                <w:color w:val="000000" w:themeColor="text1"/>
                <w:sz w:val="21"/>
                <w:highlight w:val="none"/>
                <w14:textFill>
                  <w14:solidFill>
                    <w14:schemeClr w14:val="tx1"/>
                  </w14:solidFill>
                </w14:textFill>
              </w:rPr>
              <w:t>2</w:t>
            </w:r>
            <w:r>
              <w:rPr>
                <w:rFonts w:hint="eastAsia" w:hAnsi="宋体" w:cs="宋体"/>
                <w:color w:val="000000" w:themeColor="text1"/>
                <w:sz w:val="21"/>
                <w:highlight w:val="none"/>
                <w14:textFill>
                  <w14:solidFill>
                    <w14:schemeClr w14:val="tx1"/>
                  </w14:solidFill>
                </w14:textFill>
              </w:rPr>
              <w:t>.1条规定的（</w:t>
            </w:r>
            <w:r>
              <w:rPr>
                <w:rFonts w:hint="eastAsia" w:hAnsi="宋体" w:cs="宋体"/>
                <w:color w:val="000000" w:themeColor="text1"/>
                <w:sz w:val="21"/>
                <w:highlight w:val="none"/>
                <w14:textFill>
                  <w14:solidFill>
                    <w14:schemeClr w14:val="tx1"/>
                  </w14:solidFill>
                </w14:textFill>
              </w:rPr>
              <w:sym w:font="Wingdings 2" w:char="0052"/>
            </w:r>
            <w:r>
              <w:rPr>
                <w:rFonts w:hint="eastAsia" w:hAnsi="宋体" w:cs="宋体"/>
                <w:color w:val="000000" w:themeColor="text1"/>
                <w:sz w:val="21"/>
                <w:highlight w:val="none"/>
                <w14:textFill>
                  <w14:solidFill>
                    <w14:schemeClr w14:val="tx1"/>
                  </w14:solidFill>
                </w14:textFill>
              </w:rPr>
              <w:t>货物类/□服务类/□工程类）标准采用差额定率累进法计算出收费基准价格，采购代理收费以（</w:t>
            </w:r>
            <w:r>
              <w:rPr>
                <w:rFonts w:hint="eastAsia" w:hAnsi="宋体" w:cs="宋体"/>
                <w:color w:val="000000" w:themeColor="text1"/>
                <w:sz w:val="21"/>
                <w:highlight w:val="none"/>
                <w14:textFill>
                  <w14:solidFill>
                    <w14:schemeClr w14:val="tx1"/>
                  </w14:solidFill>
                </w14:textFill>
              </w:rPr>
              <w:sym w:font="Wingdings 2" w:char="0052"/>
            </w:r>
            <w:r>
              <w:rPr>
                <w:rFonts w:hint="eastAsia" w:hAnsi="宋体" w:cs="宋体"/>
                <w:color w:val="000000" w:themeColor="text1"/>
                <w:sz w:val="21"/>
                <w:highlight w:val="none"/>
                <w14:textFill>
                  <w14:solidFill>
                    <w14:schemeClr w14:val="tx1"/>
                  </w14:solidFill>
                </w14:textFill>
              </w:rPr>
              <w:t>收费基准价格/□收费基准价格下浮</w:t>
            </w:r>
            <w:r>
              <w:rPr>
                <w:rFonts w:hint="eastAsia" w:hAnsi="宋体" w:cs="宋体"/>
                <w:color w:val="000000" w:themeColor="text1"/>
                <w:sz w:val="21"/>
                <w:highlight w:val="none"/>
                <w:u w:val="single"/>
                <w14:textFill>
                  <w14:solidFill>
                    <w14:schemeClr w14:val="tx1"/>
                  </w14:solidFill>
                </w14:textFill>
              </w:rPr>
              <w:t>%</w:t>
            </w:r>
            <w:r>
              <w:rPr>
                <w:rFonts w:hint="eastAsia" w:hAnsi="宋体" w:cs="宋体"/>
                <w:color w:val="000000" w:themeColor="text1"/>
                <w:sz w:val="21"/>
                <w:highlight w:val="none"/>
                <w14:textFill>
                  <w14:solidFill>
                    <w14:schemeClr w14:val="tx1"/>
                  </w14:solidFill>
                </w14:textFill>
              </w:rPr>
              <w:t>/□收费基准价格上浮</w:t>
            </w:r>
            <w:r>
              <w:rPr>
                <w:rFonts w:hint="eastAsia" w:hAnsi="宋体" w:cs="宋体"/>
                <w:color w:val="000000" w:themeColor="text1"/>
                <w:sz w:val="21"/>
                <w:highlight w:val="none"/>
                <w:u w:val="single"/>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）收取。</w:t>
            </w:r>
          </w:p>
          <w:p w14:paraId="0A334A51">
            <w:pPr>
              <w:pStyle w:val="15"/>
              <w:snapToGrid w:val="0"/>
              <w:spacing w:line="360" w:lineRule="auto"/>
              <w:rPr>
                <w:rFonts w:hAnsi="宋体" w:cs="宋体"/>
                <w:color w:val="000000" w:themeColor="text1"/>
                <w:sz w:val="21"/>
                <w:highlight w:val="none"/>
                <w:u w:val="singl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□固定采购代理收费</w:t>
            </w:r>
            <w:r>
              <w:rPr>
                <w:rFonts w:hint="eastAsia" w:hAnsi="宋体" w:cs="宋体"/>
                <w:color w:val="000000" w:themeColor="text1"/>
                <w:sz w:val="21"/>
                <w:highlight w:val="none"/>
                <w:u w:val="single"/>
                <w14:textFill>
                  <w14:solidFill>
                    <w14:schemeClr w14:val="tx1"/>
                  </w14:solidFill>
                </w14:textFill>
              </w:rPr>
              <w:t>。</w:t>
            </w:r>
          </w:p>
          <w:p w14:paraId="6CB6C244">
            <w:pPr>
              <w:pStyle w:val="15"/>
              <w:snapToGrid w:val="0"/>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 采购代理费收取银行账户</w:t>
            </w:r>
          </w:p>
          <w:p w14:paraId="6EE14F0F">
            <w:pPr>
              <w:pStyle w:val="15"/>
              <w:snapToGrid w:val="0"/>
              <w:spacing w:line="360" w:lineRule="auto"/>
              <w:rPr>
                <w:rFonts w:hint="eastAsia" w:ascii="宋体" w:hAnsi="宋体" w:eastAsia="宋体" w:cs="宋体"/>
                <w:color w:val="000000"/>
                <w:sz w:val="21"/>
                <w:highlight w:val="none"/>
                <w:lang w:val="en-US" w:eastAsia="zh-CN"/>
              </w:rPr>
            </w:pPr>
            <w:r>
              <w:rPr>
                <w:rFonts w:hint="eastAsia" w:ascii="宋体" w:hAnsi="宋体" w:eastAsia="宋体" w:cs="宋体"/>
                <w:color w:val="000000"/>
                <w:sz w:val="21"/>
                <w:highlight w:val="none"/>
                <w:lang w:val="en-US" w:eastAsia="zh-CN"/>
              </w:rPr>
              <w:t>开户名称：</w:t>
            </w:r>
            <w:r>
              <w:rPr>
                <w:rFonts w:hint="eastAsia" w:ascii="宋体" w:hAnsi="宋体" w:eastAsia="宋体" w:cs="宋体"/>
                <w:color w:val="auto"/>
                <w:sz w:val="21"/>
                <w:szCs w:val="21"/>
                <w:highlight w:val="none"/>
                <w:lang w:eastAsia="zh-CN"/>
              </w:rPr>
              <w:t>广东新正工程咨询有限公司</w:t>
            </w:r>
            <w:r>
              <w:rPr>
                <w:rFonts w:hint="eastAsia" w:ascii="宋体" w:hAnsi="宋体" w:eastAsia="宋体" w:cs="宋体"/>
                <w:color w:val="auto"/>
                <w:sz w:val="21"/>
                <w:szCs w:val="21"/>
                <w:highlight w:val="none"/>
                <w:lang w:val="en-US" w:eastAsia="zh-CN"/>
              </w:rPr>
              <w:t xml:space="preserve">贺州分公司 </w:t>
            </w:r>
          </w:p>
          <w:p w14:paraId="6375A497">
            <w:pPr>
              <w:pStyle w:val="15"/>
              <w:snapToGrid w:val="0"/>
              <w:spacing w:line="360" w:lineRule="auto"/>
              <w:rPr>
                <w:rFonts w:hint="eastAsia" w:ascii="宋体" w:hAnsi="宋体" w:eastAsia="宋体" w:cs="宋体"/>
                <w:color w:val="000000"/>
                <w:sz w:val="21"/>
                <w:highlight w:val="none"/>
                <w:lang w:val="en-US" w:eastAsia="zh-CN"/>
              </w:rPr>
            </w:pPr>
            <w:r>
              <w:rPr>
                <w:rFonts w:hint="eastAsia" w:ascii="宋体" w:hAnsi="宋体" w:eastAsia="宋体" w:cs="宋体"/>
                <w:color w:val="000000"/>
                <w:sz w:val="21"/>
                <w:highlight w:val="none"/>
                <w:lang w:val="en-US" w:eastAsia="zh-CN"/>
              </w:rPr>
              <w:t>开户银行：</w:t>
            </w:r>
            <w:r>
              <w:rPr>
                <w:rFonts w:hint="eastAsia" w:ascii="宋体" w:hAnsi="宋体" w:eastAsia="宋体" w:cs="宋体"/>
                <w:color w:val="auto"/>
                <w:sz w:val="21"/>
                <w:szCs w:val="21"/>
                <w:highlight w:val="none"/>
                <w:lang w:val="en-US" w:eastAsia="zh-CN"/>
              </w:rPr>
              <w:t>中国工商银行股份有限公司贺州市迎宾支行</w:t>
            </w:r>
            <w:r>
              <w:rPr>
                <w:rFonts w:hint="eastAsia" w:ascii="宋体" w:hAnsi="宋体" w:eastAsia="宋体" w:cs="宋体"/>
                <w:color w:val="auto"/>
                <w:sz w:val="21"/>
                <w:szCs w:val="21"/>
                <w:highlight w:val="none"/>
                <w:lang w:eastAsia="zh-CN"/>
              </w:rPr>
              <w:t xml:space="preserve">  </w:t>
            </w:r>
          </w:p>
          <w:p w14:paraId="1E42DAE5">
            <w:pPr>
              <w:pStyle w:val="15"/>
              <w:spacing w:line="360" w:lineRule="auto"/>
              <w:rPr>
                <w:rFonts w:hAnsi="宋体" w:cs="宋体"/>
                <w:color w:val="000000" w:themeColor="text1"/>
                <w:sz w:val="21"/>
                <w:highlight w:val="none"/>
                <w:u w:val="single"/>
                <w14:textFill>
                  <w14:solidFill>
                    <w14:schemeClr w14:val="tx1"/>
                  </w14:solidFill>
                </w14:textFill>
              </w:rPr>
            </w:pPr>
            <w:r>
              <w:rPr>
                <w:rFonts w:hint="eastAsia" w:ascii="宋体" w:hAnsi="宋体" w:eastAsia="宋体" w:cs="宋体"/>
                <w:color w:val="000000"/>
                <w:sz w:val="21"/>
                <w:highlight w:val="none"/>
                <w:lang w:val="en-US" w:eastAsia="zh-CN"/>
              </w:rPr>
              <w:t>银行账号：</w:t>
            </w:r>
            <w:r>
              <w:rPr>
                <w:rFonts w:hint="eastAsia" w:ascii="宋体" w:hAnsi="宋体" w:eastAsia="宋体" w:cs="宋体"/>
                <w:color w:val="auto"/>
                <w:sz w:val="21"/>
                <w:szCs w:val="21"/>
                <w:highlight w:val="none"/>
                <w:lang w:eastAsia="zh-CN"/>
              </w:rPr>
              <w:t>2109381509100094915</w:t>
            </w:r>
            <w:r>
              <w:rPr>
                <w:rFonts w:hint="eastAsia" w:ascii="宋体" w:hAnsi="宋体" w:eastAsia="宋体" w:cs="宋体"/>
                <w:color w:val="auto"/>
                <w:sz w:val="21"/>
                <w:szCs w:val="21"/>
                <w:highlight w:val="none"/>
                <w:lang w:val="en-US" w:eastAsia="zh-CN"/>
              </w:rPr>
              <w:t xml:space="preserve"> </w:t>
            </w:r>
          </w:p>
        </w:tc>
      </w:tr>
      <w:tr w14:paraId="1AB7E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3AC717C">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3.1</w:t>
            </w:r>
          </w:p>
        </w:tc>
        <w:tc>
          <w:tcPr>
            <w:tcW w:w="7912" w:type="dxa"/>
            <w:vAlign w:val="center"/>
          </w:tcPr>
          <w:p w14:paraId="098A53A7">
            <w:pPr>
              <w:pStyle w:val="15"/>
              <w:snapToGrid w:val="0"/>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解释：</w:t>
            </w:r>
            <w:r>
              <w:rPr>
                <w:rFonts w:hAnsi="宋体" w:cs="宋体"/>
                <w:color w:val="000000" w:themeColor="text1"/>
                <w:sz w:val="21"/>
                <w:highlight w:val="none"/>
                <w14:textFill>
                  <w14:solidFill>
                    <w14:schemeClr w14:val="tx1"/>
                  </w14:solidFill>
                </w14:textFill>
              </w:rPr>
              <w:t>构成本</w:t>
            </w:r>
            <w:r>
              <w:rPr>
                <w:rFonts w:hint="eastAsia" w:hAnsi="宋体" w:cs="宋体"/>
                <w:color w:val="000000" w:themeColor="text1"/>
                <w:sz w:val="21"/>
                <w:highlight w:val="none"/>
                <w14:textFill>
                  <w14:solidFill>
                    <w14:schemeClr w14:val="tx1"/>
                  </w14:solidFill>
                </w14:textFill>
              </w:rPr>
              <w:t>谈判文件</w:t>
            </w:r>
            <w:r>
              <w:rPr>
                <w:rFonts w:hAnsi="宋体" w:cs="宋体"/>
                <w:color w:val="000000" w:themeColor="text1"/>
                <w:sz w:val="21"/>
                <w:highlight w:val="none"/>
                <w14:textFill>
                  <w14:solidFill>
                    <w14:schemeClr w14:val="tx1"/>
                  </w14:solidFill>
                </w14:textFill>
              </w:rPr>
              <w:t>的各个组成文件应互为解释，互为说明；除</w:t>
            </w:r>
            <w:r>
              <w:rPr>
                <w:rFonts w:hint="eastAsia" w:hAnsi="宋体" w:cs="宋体"/>
                <w:color w:val="000000" w:themeColor="text1"/>
                <w:sz w:val="21"/>
                <w:highlight w:val="none"/>
                <w14:textFill>
                  <w14:solidFill>
                    <w14:schemeClr w14:val="tx1"/>
                  </w14:solidFill>
                </w14:textFill>
              </w:rPr>
              <w:t>谈判文件</w:t>
            </w:r>
            <w:r>
              <w:rPr>
                <w:rFonts w:hAnsi="宋体" w:cs="宋体"/>
                <w:color w:val="000000" w:themeColor="text1"/>
                <w:sz w:val="21"/>
                <w:highlight w:val="none"/>
                <w14:textFill>
                  <w14:solidFill>
                    <w14:schemeClr w14:val="tx1"/>
                  </w14:solidFill>
                </w14:textFill>
              </w:rPr>
              <w:t>中有特别规定外，仅适用于</w:t>
            </w:r>
            <w:r>
              <w:rPr>
                <w:rFonts w:hint="eastAsia" w:hAnsi="宋体" w:cs="宋体"/>
                <w:color w:val="000000" w:themeColor="text1"/>
                <w:sz w:val="21"/>
                <w:highlight w:val="none"/>
                <w14:textFill>
                  <w14:solidFill>
                    <w14:schemeClr w14:val="tx1"/>
                  </w14:solidFill>
                </w14:textFill>
              </w:rPr>
              <w:t>竞标</w:t>
            </w:r>
            <w:r>
              <w:rPr>
                <w:rFonts w:hAnsi="宋体" w:cs="宋体"/>
                <w:color w:val="000000" w:themeColor="text1"/>
                <w:sz w:val="21"/>
                <w:highlight w:val="none"/>
                <w14:textFill>
                  <w14:solidFill>
                    <w14:schemeClr w14:val="tx1"/>
                  </w14:solidFill>
                </w14:textFill>
              </w:rPr>
              <w:t>阶段的规定，按</w:t>
            </w:r>
            <w:r>
              <w:rPr>
                <w:rFonts w:hint="eastAsia" w:hAnsi="宋体" w:cs="宋体"/>
                <w:color w:val="000000" w:themeColor="text1"/>
                <w:sz w:val="21"/>
                <w:highlight w:val="none"/>
                <w14:textFill>
                  <w14:solidFill>
                    <w14:schemeClr w14:val="tx1"/>
                  </w14:solidFill>
                </w14:textFill>
              </w:rPr>
              <w:t>更正公告（澄清公告）</w:t>
            </w:r>
            <w:r>
              <w:rPr>
                <w:rFonts w:hAnsi="宋体" w:cs="宋体"/>
                <w:color w:val="000000" w:themeColor="text1"/>
                <w:sz w:val="21"/>
                <w:highlight w:val="none"/>
                <w14:textFill>
                  <w14:solidFill>
                    <w14:schemeClr w14:val="tx1"/>
                  </w14:solidFill>
                </w14:textFill>
              </w:rPr>
              <w:t>、</w:t>
            </w:r>
            <w:r>
              <w:rPr>
                <w:rFonts w:hint="eastAsia" w:hAnsi="宋体" w:cs="宋体"/>
                <w:color w:val="000000" w:themeColor="text1"/>
                <w:sz w:val="21"/>
                <w:highlight w:val="none"/>
                <w14:textFill>
                  <w14:solidFill>
                    <w14:schemeClr w14:val="tx1"/>
                  </w14:solidFill>
                </w14:textFill>
              </w:rPr>
              <w:t>竞争性谈判</w:t>
            </w:r>
            <w:r>
              <w:rPr>
                <w:rFonts w:hAnsi="宋体" w:cs="宋体"/>
                <w:color w:val="000000" w:themeColor="text1"/>
                <w:sz w:val="21"/>
                <w:highlight w:val="none"/>
                <w14:textFill>
                  <w14:solidFill>
                    <w14:schemeClr w14:val="tx1"/>
                  </w14:solidFill>
                </w14:textFill>
              </w:rPr>
              <w:t>公告、</w:t>
            </w:r>
            <w:r>
              <w:rPr>
                <w:rFonts w:hint="eastAsia" w:hAnsi="宋体" w:cs="宋体"/>
                <w:color w:val="000000" w:themeColor="text1"/>
                <w:sz w:val="21"/>
                <w:highlight w:val="none"/>
                <w14:textFill>
                  <w14:solidFill>
                    <w14:schemeClr w14:val="tx1"/>
                  </w14:solidFill>
                </w14:textFill>
              </w:rPr>
              <w:t>供应商</w:t>
            </w:r>
            <w:r>
              <w:rPr>
                <w:rFonts w:hAnsi="宋体" w:cs="宋体"/>
                <w:color w:val="000000" w:themeColor="text1"/>
                <w:sz w:val="21"/>
                <w:highlight w:val="none"/>
                <w14:textFill>
                  <w14:solidFill>
                    <w14:schemeClr w14:val="tx1"/>
                  </w14:solidFill>
                </w14:textFill>
              </w:rPr>
              <w:t>须知</w:t>
            </w:r>
            <w:r>
              <w:rPr>
                <w:rFonts w:hint="eastAsia" w:hAnsi="宋体" w:cs="宋体"/>
                <w:color w:val="000000" w:themeColor="text1"/>
                <w:sz w:val="21"/>
                <w:highlight w:val="none"/>
                <w14:textFill>
                  <w14:solidFill>
                    <w14:schemeClr w14:val="tx1"/>
                  </w14:solidFill>
                </w14:textFill>
              </w:rPr>
              <w:t>、采购需求</w:t>
            </w:r>
            <w:r>
              <w:rPr>
                <w:rFonts w:hAnsi="宋体" w:cs="宋体"/>
                <w:color w:val="000000" w:themeColor="text1"/>
                <w:sz w:val="21"/>
                <w:highlight w:val="none"/>
                <w14:textFill>
                  <w14:solidFill>
                    <w14:schemeClr w14:val="tx1"/>
                  </w14:solidFill>
                </w14:textFill>
              </w:rPr>
              <w:t>、</w:t>
            </w:r>
            <w:r>
              <w:rPr>
                <w:rFonts w:hint="eastAsia" w:hAnsi="宋体" w:cs="宋体"/>
                <w:color w:val="000000" w:themeColor="text1"/>
                <w:sz w:val="21"/>
                <w:highlight w:val="none"/>
                <w14:textFill>
                  <w14:solidFill>
                    <w14:schemeClr w14:val="tx1"/>
                  </w14:solidFill>
                </w14:textFill>
              </w:rPr>
              <w:t>评审程序和评定成交的标准</w:t>
            </w:r>
            <w:r>
              <w:rPr>
                <w:rFonts w:hAnsi="宋体" w:cs="宋体"/>
                <w:color w:val="000000" w:themeColor="text1"/>
                <w:sz w:val="21"/>
                <w:highlight w:val="none"/>
                <w14:textFill>
                  <w14:solidFill>
                    <w14:schemeClr w14:val="tx1"/>
                  </w14:solidFill>
                </w14:textFill>
              </w:rPr>
              <w:t>、</w:t>
            </w:r>
            <w:r>
              <w:rPr>
                <w:rFonts w:hint="eastAsia" w:hAnsi="宋体" w:cs="宋体"/>
                <w:color w:val="000000" w:themeColor="text1"/>
                <w:sz w:val="21"/>
                <w:highlight w:val="none"/>
                <w14:textFill>
                  <w14:solidFill>
                    <w14:schemeClr w14:val="tx1"/>
                  </w14:solidFill>
                </w14:textFill>
              </w:rPr>
              <w:t>响应</w:t>
            </w:r>
            <w:r>
              <w:rPr>
                <w:rFonts w:hAnsi="宋体" w:cs="宋体"/>
                <w:color w:val="000000" w:themeColor="text1"/>
                <w:sz w:val="21"/>
                <w:highlight w:val="none"/>
                <w14:textFill>
                  <w14:solidFill>
                    <w14:schemeClr w14:val="tx1"/>
                  </w14:solidFill>
                </w14:textFill>
              </w:rPr>
              <w:t>文件格式</w:t>
            </w:r>
            <w:r>
              <w:rPr>
                <w:rFonts w:hint="eastAsia" w:hAnsi="宋体" w:cs="宋体"/>
                <w:color w:val="000000" w:themeColor="text1"/>
                <w:sz w:val="21"/>
                <w:highlight w:val="none"/>
                <w14:textFill>
                  <w14:solidFill>
                    <w14:schemeClr w14:val="tx1"/>
                  </w14:solidFill>
                </w14:textFill>
              </w:rPr>
              <w:t>、合同文本</w:t>
            </w:r>
            <w:r>
              <w:rPr>
                <w:rFonts w:hAnsi="宋体" w:cs="宋体"/>
                <w:color w:val="000000" w:themeColor="text1"/>
                <w:sz w:val="21"/>
                <w:highlight w:val="none"/>
                <w14:textFill>
                  <w14:solidFill>
                    <w14:schemeClr w14:val="tx1"/>
                  </w14:solidFill>
                </w14:textFill>
              </w:rPr>
              <w:t>的先后顺序解释；同一组成文件中就同一事项的规定或约定不一致的，以编排顺序在后者为准；同一组成文件不同版本之间有不一致的，以形成时间在后者为准；</w:t>
            </w:r>
            <w:r>
              <w:rPr>
                <w:rFonts w:hint="eastAsia" w:hAnsi="宋体" w:cs="宋体"/>
                <w:color w:val="000000" w:themeColor="text1"/>
                <w:sz w:val="21"/>
                <w:highlight w:val="none"/>
                <w14:textFill>
                  <w14:solidFill>
                    <w14:schemeClr w14:val="tx1"/>
                  </w14:solidFill>
                </w14:textFill>
              </w:rPr>
              <w:t>更正公告（澄清公告）</w:t>
            </w:r>
            <w:r>
              <w:rPr>
                <w:rFonts w:hAnsi="宋体" w:cs="宋体"/>
                <w:color w:val="000000" w:themeColor="text1"/>
                <w:sz w:val="21"/>
                <w:highlight w:val="none"/>
                <w14:textFill>
                  <w14:solidFill>
                    <w14:schemeClr w14:val="tx1"/>
                  </w14:solidFill>
                </w14:textFill>
              </w:rPr>
              <w:t>与同步更新的</w:t>
            </w:r>
            <w:r>
              <w:rPr>
                <w:rFonts w:hint="eastAsia" w:hAnsi="宋体" w:cs="宋体"/>
                <w:color w:val="000000" w:themeColor="text1"/>
                <w:sz w:val="21"/>
                <w:highlight w:val="none"/>
                <w14:textFill>
                  <w14:solidFill>
                    <w14:schemeClr w14:val="tx1"/>
                  </w14:solidFill>
                </w14:textFill>
              </w:rPr>
              <w:t>谈判文件</w:t>
            </w:r>
            <w:r>
              <w:rPr>
                <w:rFonts w:hAnsi="宋体" w:cs="宋体"/>
                <w:color w:val="000000" w:themeColor="text1"/>
                <w:sz w:val="21"/>
                <w:highlight w:val="none"/>
                <w14:textFill>
                  <w14:solidFill>
                    <w14:schemeClr w14:val="tx1"/>
                  </w14:solidFill>
                </w14:textFill>
              </w:rPr>
              <w:t>不一致时以</w:t>
            </w:r>
            <w:r>
              <w:rPr>
                <w:rFonts w:hint="eastAsia" w:hAnsi="宋体" w:cs="宋体"/>
                <w:color w:val="000000" w:themeColor="text1"/>
                <w:sz w:val="21"/>
                <w:highlight w:val="none"/>
                <w14:textFill>
                  <w14:solidFill>
                    <w14:schemeClr w14:val="tx1"/>
                  </w14:solidFill>
                </w14:textFill>
              </w:rPr>
              <w:t>更正公告（澄清公告）</w:t>
            </w:r>
            <w:r>
              <w:rPr>
                <w:rFonts w:hAnsi="宋体" w:cs="宋体"/>
                <w:color w:val="000000" w:themeColor="text1"/>
                <w:sz w:val="21"/>
                <w:highlight w:val="none"/>
                <w14:textFill>
                  <w14:solidFill>
                    <w14:schemeClr w14:val="tx1"/>
                  </w14:solidFill>
                </w14:textFill>
              </w:rPr>
              <w:t>为准。按本款前述规定仍不能形成结论的，由</w:t>
            </w:r>
            <w:r>
              <w:rPr>
                <w:rFonts w:hint="eastAsia" w:hAnsi="宋体" w:cs="宋体"/>
                <w:color w:val="000000" w:themeColor="text1"/>
                <w:sz w:val="21"/>
                <w:highlight w:val="none"/>
                <w14:textFill>
                  <w14:solidFill>
                    <w14:schemeClr w14:val="tx1"/>
                  </w14:solidFill>
                </w14:textFill>
              </w:rPr>
              <w:t>采购</w:t>
            </w:r>
            <w:r>
              <w:rPr>
                <w:rFonts w:hAnsi="宋体" w:cs="宋体"/>
                <w:color w:val="000000" w:themeColor="text1"/>
                <w:sz w:val="21"/>
                <w:highlight w:val="none"/>
                <w14:textFill>
                  <w14:solidFill>
                    <w14:schemeClr w14:val="tx1"/>
                  </w14:solidFill>
                </w14:textFill>
              </w:rPr>
              <w:t>人</w:t>
            </w:r>
            <w:r>
              <w:rPr>
                <w:rFonts w:hint="eastAsia" w:hAnsi="宋体" w:cs="宋体"/>
                <w:color w:val="000000" w:themeColor="text1"/>
                <w:sz w:val="21"/>
                <w:highlight w:val="none"/>
                <w14:textFill>
                  <w14:solidFill>
                    <w14:schemeClr w14:val="tx1"/>
                  </w14:solidFill>
                </w14:textFill>
              </w:rPr>
              <w:t>或者采购代理机构</w:t>
            </w:r>
            <w:r>
              <w:rPr>
                <w:rFonts w:hAnsi="宋体" w:cs="宋体"/>
                <w:color w:val="000000" w:themeColor="text1"/>
                <w:sz w:val="21"/>
                <w:highlight w:val="none"/>
                <w14:textFill>
                  <w14:solidFill>
                    <w14:schemeClr w14:val="tx1"/>
                  </w14:solidFill>
                </w14:textFill>
              </w:rPr>
              <w:t>负责解释。</w:t>
            </w:r>
          </w:p>
        </w:tc>
      </w:tr>
      <w:tr w14:paraId="28FD9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CAF49D2">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3.2</w:t>
            </w:r>
          </w:p>
        </w:tc>
        <w:tc>
          <w:tcPr>
            <w:tcW w:w="7912" w:type="dxa"/>
            <w:vAlign w:val="center"/>
          </w:tcPr>
          <w:p w14:paraId="0BAFC227">
            <w:pPr>
              <w:pStyle w:val="15"/>
              <w:snapToGrid w:val="0"/>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本谈判文件中描述供应商的“公章”是指根据我国对公章的管理规定，用供应商法定主体行为名称制作的印章，除本谈判文件有特殊规定外，供应商的财务章、部门章、分公司章、工会章、合同章、竞标专用章、业务专用章及银行的转账章、现金收讫章、现金付讫章等其他形式印章均不能代替公章。</w:t>
            </w:r>
          </w:p>
          <w:p w14:paraId="70B802DE">
            <w:pPr>
              <w:pStyle w:val="15"/>
              <w:snapToGrid w:val="0"/>
              <w:spacing w:line="360" w:lineRule="auto"/>
              <w:rPr>
                <w:rFonts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2.本谈判文件所称的“</w:t>
            </w:r>
            <w:r>
              <w:rPr>
                <w:rFonts w:hint="eastAsia" w:hAnsi="宋体"/>
                <w:color w:val="000000" w:themeColor="text1"/>
                <w:sz w:val="21"/>
                <w:highlight w:val="none"/>
                <w14:textFill>
                  <w14:solidFill>
                    <w14:schemeClr w14:val="tx1"/>
                  </w14:solidFill>
                </w14:textFill>
              </w:rPr>
              <w:t>电子签章</w:t>
            </w:r>
            <w:r>
              <w:rPr>
                <w:rFonts w:hint="eastAsia" w:hAnsi="宋体" w:cs="宋体"/>
                <w:bCs/>
                <w:color w:val="000000" w:themeColor="text1"/>
                <w:sz w:val="21"/>
                <w:highlight w:val="none"/>
                <w14:textFill>
                  <w14:solidFill>
                    <w14:schemeClr w14:val="tx1"/>
                  </w14:solidFill>
                </w14:textFill>
              </w:rPr>
              <w:t>”、“电子签名”</w:t>
            </w:r>
            <w:r>
              <w:rPr>
                <w:rFonts w:hint="eastAsia" w:hAnsi="宋体"/>
                <w:color w:val="000000" w:themeColor="text1"/>
                <w:sz w:val="21"/>
                <w:highlight w:val="none"/>
                <w14:textFill>
                  <w14:solidFill>
                    <w14:schemeClr w14:val="tx1"/>
                  </w14:solidFill>
                </w14:textFill>
              </w:rPr>
              <w:t>，是指经“广西政府采购云”平台认可的CA认证的电子签名数据为表现形式的印章，可用于签署电子响应文件，电子印章与实物印章具有同等法律效力，不因其采用电子化表现形式而否定其法律效力。</w:t>
            </w:r>
          </w:p>
          <w:p w14:paraId="5E530166">
            <w:pPr>
              <w:pStyle w:val="15"/>
              <w:snapToGrid w:val="0"/>
              <w:spacing w:line="360" w:lineRule="auto"/>
              <w:rPr>
                <w:rFonts w:hAnsi="宋体" w:cs="宋体"/>
                <w:bCs/>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3.供应商为其他组织或者自然人时，本谈判文件规定的法定代表人指负责人或者自然人。本谈判文件所称负责人是指参加竞标的其他组织</w:t>
            </w:r>
            <w:r>
              <w:rPr>
                <w:rFonts w:hint="eastAsia" w:hAnsi="宋体" w:cs="宋体"/>
                <w:bCs/>
                <w:color w:val="000000" w:themeColor="text1"/>
                <w:sz w:val="21"/>
                <w:highlight w:val="none"/>
                <w14:textFill>
                  <w14:solidFill>
                    <w14:schemeClr w14:val="tx1"/>
                  </w14:solidFill>
                </w14:textFill>
              </w:rPr>
              <w:t>营业执照或者执业许可证等证照上</w:t>
            </w:r>
            <w:r>
              <w:rPr>
                <w:rFonts w:hint="eastAsia" w:hAnsi="宋体" w:cs="宋体"/>
                <w:color w:val="000000" w:themeColor="text1"/>
                <w:sz w:val="21"/>
                <w:highlight w:val="none"/>
                <w14:textFill>
                  <w14:solidFill>
                    <w14:schemeClr w14:val="tx1"/>
                  </w14:solidFill>
                </w14:textFill>
              </w:rPr>
              <w:t>的负责人，本谈判文件所称自然人指参与竞标的自然人本人，</w:t>
            </w:r>
            <w:r>
              <w:rPr>
                <w:rFonts w:hint="eastAsia" w:hAnsi="宋体" w:cs="宋体"/>
                <w:bCs/>
                <w:color w:val="000000" w:themeColor="text1"/>
                <w:sz w:val="21"/>
                <w:highlight w:val="none"/>
                <w14:textFill>
                  <w14:solidFill>
                    <w14:schemeClr w14:val="tx1"/>
                  </w14:solidFill>
                </w14:textFill>
              </w:rPr>
              <w:t>且应具备独立承担民事责任能力，自然人应当为年满18岁以上成年人（十六周岁以上的未成年人，以自己的劳动收入为主要生活来源的，视为完全民事行为能力人）。</w:t>
            </w:r>
          </w:p>
          <w:p w14:paraId="31697E8C">
            <w:pPr>
              <w:pStyle w:val="15"/>
              <w:snapToGrid w:val="0"/>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4.本谈判文件中描述供应商的“签字”是指供应商的法定代表人或者委托代理人亲自在文件规定签署处亲笔写上个人的名字的行为，私章、签字章、印鉴、影印等其他形式均不能代替亲笔签字。</w:t>
            </w:r>
          </w:p>
          <w:p w14:paraId="37288831">
            <w:pPr>
              <w:pStyle w:val="15"/>
              <w:snapToGrid w:val="0"/>
              <w:spacing w:line="360" w:lineRule="auto"/>
              <w:rPr>
                <w:rFonts w:hAnsi="宋体" w:cs="宋体"/>
                <w:color w:val="000000" w:themeColor="text1"/>
                <w:sz w:val="21"/>
                <w:highlight w:val="none"/>
                <w14:textFill>
                  <w14:solidFill>
                    <w14:schemeClr w14:val="tx1"/>
                  </w14:solidFill>
                </w14:textFill>
              </w:rPr>
            </w:pPr>
            <w:r>
              <w:rPr>
                <w:rFonts w:hAnsi="宋体" w:cs="宋体"/>
                <w:color w:val="000000" w:themeColor="text1"/>
                <w:sz w:val="21"/>
                <w:highlight w:val="none"/>
                <w14:textFill>
                  <w14:solidFill>
                    <w14:schemeClr w14:val="tx1"/>
                  </w14:solidFill>
                </w14:textFill>
              </w:rPr>
              <w:t>5.</w:t>
            </w:r>
            <w:r>
              <w:rPr>
                <w:rFonts w:hint="eastAsia" w:hAnsi="宋体" w:cs="宋体"/>
                <w:color w:val="000000" w:themeColor="text1"/>
                <w:sz w:val="21"/>
                <w:highlight w:val="none"/>
                <w14:textFill>
                  <w14:solidFill>
                    <w14:schemeClr w14:val="tx1"/>
                  </w14:solidFill>
                </w14:textFill>
              </w:rPr>
              <w:t>本谈判文件所称的“以上”“以下”“以内”“届满”，包括本数；所称的“不满”“超过”“以外”，不包括本数。</w:t>
            </w:r>
          </w:p>
        </w:tc>
      </w:tr>
    </w:tbl>
    <w:p w14:paraId="2388FF6D">
      <w:pPr>
        <w:spacing w:line="400" w:lineRule="exact"/>
        <w:jc w:val="center"/>
        <w:rPr>
          <w:rFonts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br w:type="page"/>
      </w:r>
      <w:r>
        <w:rPr>
          <w:rFonts w:hint="eastAsia" w:ascii="宋体" w:hAnsi="宋体"/>
          <w:b/>
          <w:color w:val="000000" w:themeColor="text1"/>
          <w:sz w:val="32"/>
          <w:szCs w:val="32"/>
          <w:highlight w:val="none"/>
          <w14:textFill>
            <w14:solidFill>
              <w14:schemeClr w14:val="tx1"/>
            </w14:solidFill>
          </w14:textFill>
        </w:rPr>
        <w:t>供应商须知正文</w:t>
      </w:r>
    </w:p>
    <w:p w14:paraId="59BBB703">
      <w:pPr>
        <w:spacing w:line="400" w:lineRule="exact"/>
        <w:jc w:val="center"/>
        <w:rPr>
          <w:rFonts w:ascii="宋体" w:hAnsi="宋体"/>
          <w:b/>
          <w:color w:val="000000" w:themeColor="text1"/>
          <w:sz w:val="32"/>
          <w:szCs w:val="32"/>
          <w:highlight w:val="none"/>
          <w14:textFill>
            <w14:solidFill>
              <w14:schemeClr w14:val="tx1"/>
            </w14:solidFill>
          </w14:textFill>
        </w:rPr>
      </w:pPr>
    </w:p>
    <w:p w14:paraId="1168D3B2">
      <w:pPr>
        <w:spacing w:line="400" w:lineRule="exact"/>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一、总则</w:t>
      </w:r>
    </w:p>
    <w:p w14:paraId="7D8E12D3">
      <w:pPr>
        <w:spacing w:line="400" w:lineRule="exact"/>
        <w:rPr>
          <w:rFonts w:ascii="宋体" w:hAnsi="宋体"/>
          <w:color w:val="000000" w:themeColor="text1"/>
          <w:szCs w:val="21"/>
          <w:highlight w:val="none"/>
          <w14:textFill>
            <w14:solidFill>
              <w14:schemeClr w14:val="tx1"/>
            </w14:solidFill>
          </w14:textFill>
        </w:rPr>
      </w:pPr>
    </w:p>
    <w:p w14:paraId="4E752D93">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 适用范围</w:t>
      </w:r>
    </w:p>
    <w:p w14:paraId="0062433D">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54BA1EAD">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r>
        <w:rPr>
          <w:rFonts w:hint="eastAsia" w:ascii="宋体" w:hAnsi="宋体" w:cs="宋体"/>
          <w:color w:val="000000" w:themeColor="text1"/>
          <w:spacing w:val="-6"/>
          <w:szCs w:val="21"/>
          <w:highlight w:val="none"/>
          <w14:textFill>
            <w14:solidFill>
              <w14:schemeClr w14:val="tx1"/>
            </w14:solidFill>
          </w14:textFill>
        </w:rPr>
        <w:t>本竞争性谈判文件（以下简称谈判文件）适用于本项目的所有采购程序和环节（法律、法规另有规定的，从其规定）。</w:t>
      </w:r>
    </w:p>
    <w:p w14:paraId="0337B070">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 定义</w:t>
      </w:r>
    </w:p>
    <w:p w14:paraId="0A78758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2.1“采购人”是指依法进行采购的国家机关、事业单位、团体组织。</w:t>
      </w:r>
    </w:p>
    <w:p w14:paraId="4A41A8C4">
      <w:pPr>
        <w:spacing w:line="360" w:lineRule="auto"/>
        <w:ind w:firstLine="420" w:firstLineChars="200"/>
        <w:rPr>
          <w:rFonts w:ascii="宋体" w:hAnsi="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2.2“采购代理机构”</w:t>
      </w:r>
      <w:r>
        <w:rPr>
          <w:rFonts w:hint="eastAsia" w:ascii="宋体" w:hAnsi="宋体"/>
          <w:b/>
          <w:color w:val="000000" w:themeColor="text1"/>
          <w:szCs w:val="21"/>
          <w:highlight w:val="none"/>
          <w14:textFill>
            <w14:solidFill>
              <w14:schemeClr w14:val="tx1"/>
            </w14:solidFill>
          </w14:textFill>
        </w:rPr>
        <w:t>是指政府采购集中采购机构和集中采购机构以外的采购代理机构。</w:t>
      </w:r>
    </w:p>
    <w:p w14:paraId="53F4472D">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2.3“供应商”是指向采购人提供货物、工程或者服务的法人、其他组织或者自然人。</w:t>
      </w:r>
    </w:p>
    <w:p w14:paraId="5D5B6E0D">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2.4“货物”是指各种形态和种类的物品，包括原材料、燃料、设备、产品等。</w:t>
      </w:r>
    </w:p>
    <w:p w14:paraId="1799C75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2.5“竞标”是指按照本项目竞争性谈判公告或者邀请函规定的方式供应商获取谈判文件、提交响应文件并希望获得标的的行为。</w:t>
      </w:r>
    </w:p>
    <w:p w14:paraId="0181D7B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2.6“售后服务”是指包含但不限于供应商须承担的备品备件、包装、运输、装卸、保险、货到就位以及安装、调试、培训、保修和其他类似的义务。</w:t>
      </w:r>
    </w:p>
    <w:p w14:paraId="6D3D18F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2.7“书面形式”是指合同书、信件和数据电文（包括电报、电传、传真、电子数据交换和电子邮件）等可以有形地表现所载内容的形式。</w:t>
      </w:r>
    </w:p>
    <w:p w14:paraId="5BF29564">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2.8“响应文件”</w:t>
      </w:r>
      <w:r>
        <w:rPr>
          <w:rFonts w:hint="eastAsia" w:ascii="宋体" w:hAnsi="宋体" w:cs="宋体"/>
          <w:color w:val="000000" w:themeColor="text1"/>
          <w:spacing w:val="-6"/>
          <w:szCs w:val="21"/>
          <w:highlight w:val="none"/>
          <w14:textFill>
            <w14:solidFill>
              <w14:schemeClr w14:val="tx1"/>
            </w14:solidFill>
          </w14:textFill>
        </w:rPr>
        <w:t>是指：供应商根据本谈判文件要求，编制包含资格证明、报价、商务技术等所有内容的文件。</w:t>
      </w:r>
    </w:p>
    <w:p w14:paraId="0459F96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 “实质性要求”是指采购需求中带“▲”的条款或者不能负偏离的条款或者已经指明不满足按响应文件按无效处理的条款。</w:t>
      </w:r>
    </w:p>
    <w:p w14:paraId="0AC23A6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2.10“正偏离”，是指响应文件对谈判文件“采购需求”中有关条款作出优于条款要求并有利于采购人的响应情形；</w:t>
      </w:r>
    </w:p>
    <w:p w14:paraId="5847C55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2.11“负偏离”，是指响应文件对谈判文件“采购需求”中有关条款作出的响应不满足条款要求，导致采购人要求不能得到满足的情形。</w:t>
      </w:r>
    </w:p>
    <w:p w14:paraId="546B0D8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2.12“允许负偏离的条款”是指采购需求中的不属于“实质性要求”的条款。</w:t>
      </w:r>
    </w:p>
    <w:p w14:paraId="29F2A2E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2.13“首次报价”是指供应商提交的首次响应文件中的竞标报价。</w:t>
      </w:r>
    </w:p>
    <w:p w14:paraId="5C5F3301">
      <w:pPr>
        <w:spacing w:line="360" w:lineRule="auto"/>
        <w:ind w:firstLine="482" w:firstLineChars="200"/>
        <w:contextualSpacing/>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 供应商的资格条件</w:t>
      </w:r>
    </w:p>
    <w:p w14:paraId="4B34A014">
      <w:pPr>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供应商的资格条件详见“供应商须知前附表”。</w:t>
      </w:r>
    </w:p>
    <w:p w14:paraId="3CEDFCA0">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4. 竞标费用</w:t>
      </w:r>
    </w:p>
    <w:p w14:paraId="11016C6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竞标费用：供应商应承担参与本次采购活动有关的所有费用，包括但不限于获取谈判文件、勘查现场、编制和提交响应文件、参加谈判与应答、签订合同等，不论竞标结果如何，均应自行承担。</w:t>
      </w:r>
    </w:p>
    <w:p w14:paraId="7EA882EE">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5.联合体竞标</w:t>
      </w:r>
    </w:p>
    <w:p w14:paraId="21B3EAA9">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5.1本项目是否接受联合体竞标，详见“供应商须知前附表”。</w:t>
      </w:r>
    </w:p>
    <w:p w14:paraId="0E3E1529">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w:t>
      </w:r>
      <w:r>
        <w:rPr>
          <w:rFonts w:hint="eastAsia" w:ascii="宋体" w:hAnsi="宋体"/>
          <w:bCs/>
          <w:color w:val="000000" w:themeColor="text1"/>
          <w:szCs w:val="21"/>
          <w:highlight w:val="none"/>
          <w14:textFill>
            <w14:solidFill>
              <w14:schemeClr w14:val="tx1"/>
            </w14:solidFill>
          </w14:textFill>
        </w:rPr>
        <w:t>如接受联合体竞标，</w:t>
      </w:r>
      <w:r>
        <w:rPr>
          <w:rFonts w:hint="eastAsia" w:ascii="宋体" w:hAnsi="宋体" w:cs="宋体"/>
          <w:color w:val="000000" w:themeColor="text1"/>
          <w:szCs w:val="21"/>
          <w:highlight w:val="none"/>
          <w14:textFill>
            <w14:solidFill>
              <w14:schemeClr w14:val="tx1"/>
            </w14:solidFill>
          </w14:textFill>
        </w:rPr>
        <w:t>联合体竞标要求详见“供应商须知前附表”。</w:t>
      </w:r>
    </w:p>
    <w:p w14:paraId="7EBE8F7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5.3</w:t>
      </w:r>
      <w:bookmarkStart w:id="62" w:name="_Hlk65857072"/>
      <w:r>
        <w:rPr>
          <w:rFonts w:hint="eastAsia" w:ascii="宋体" w:hAnsi="宋体"/>
          <w:color w:val="000000" w:themeColor="text1"/>
          <w:szCs w:val="21"/>
          <w:highlight w:val="none"/>
          <w14:textFill>
            <w14:solidFill>
              <w14:schemeClr w14:val="tx1"/>
            </w14:solidFill>
          </w14:textFill>
        </w:rPr>
        <w:t>根据《政府采购促进中小企业发展管理办法》（财库〔2020〕46号）第九条第二款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62"/>
    </w:p>
    <w:p w14:paraId="6F92FD08">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6.转包与分包</w:t>
      </w:r>
    </w:p>
    <w:p w14:paraId="75020148">
      <w:pPr>
        <w:pStyle w:val="6"/>
        <w:keepNext w:val="0"/>
        <w:keepLines w:val="0"/>
        <w:spacing w:before="0" w:after="0" w:line="360" w:lineRule="auto"/>
        <w:ind w:left="420" w:leftChars="200"/>
        <w:rPr>
          <w:rFonts w:ascii="宋体" w:hAnsi="宋体"/>
          <w:b w:val="0"/>
          <w:color w:val="000000" w:themeColor="text1"/>
          <w:sz w:val="21"/>
          <w:szCs w:val="21"/>
          <w:highlight w:val="none"/>
          <w14:textFill>
            <w14:solidFill>
              <w14:schemeClr w14:val="tx1"/>
            </w14:solidFill>
          </w14:textFill>
        </w:rPr>
      </w:pPr>
      <w:bookmarkStart w:id="63" w:name="_Toc254970532"/>
      <w:bookmarkStart w:id="64" w:name="_Toc254970673"/>
      <w:r>
        <w:rPr>
          <w:rFonts w:hint="eastAsia" w:ascii="宋体" w:hAnsi="宋体"/>
          <w:b w:val="0"/>
          <w:color w:val="000000" w:themeColor="text1"/>
          <w:sz w:val="21"/>
          <w:szCs w:val="21"/>
          <w:highlight w:val="none"/>
          <w14:textFill>
            <w14:solidFill>
              <w14:schemeClr w14:val="tx1"/>
            </w14:solidFill>
          </w14:textFill>
        </w:rPr>
        <w:t>6.1本项目不允许转包。</w:t>
      </w:r>
    </w:p>
    <w:p w14:paraId="68F81E37">
      <w:pPr>
        <w:pStyle w:val="6"/>
        <w:keepNext w:val="0"/>
        <w:keepLines w:val="0"/>
        <w:spacing w:before="0" w:after="0" w:line="360" w:lineRule="auto"/>
        <w:ind w:firstLine="315" w:firstLineChars="15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11AC15F3">
      <w:pPr>
        <w:pStyle w:val="6"/>
        <w:keepNext w:val="0"/>
        <w:keepLines w:val="0"/>
        <w:spacing w:before="0" w:after="0" w:line="360" w:lineRule="auto"/>
        <w:ind w:firstLine="315" w:firstLineChars="15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6.3供应商根据谈判文件的规定和采购项目的实际情况，拟在成交后将成交项目的非主体、非关键性工作分包的，应当在响应文件中载明分包承担主体，分包承担主体应当具备相应资质条件且不得再次分包。</w:t>
      </w:r>
    </w:p>
    <w:p w14:paraId="11D2C952">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7.特别说明</w:t>
      </w:r>
      <w:bookmarkEnd w:id="63"/>
      <w:bookmarkEnd w:id="64"/>
    </w:p>
    <w:p w14:paraId="5E82118C">
      <w:pPr>
        <w:spacing w:line="360" w:lineRule="auto"/>
        <w:ind w:firstLine="420" w:firstLineChars="200"/>
        <w:rPr>
          <w:rFonts w:ascii="宋体" w:hAnsi="宋体" w:cs="宋体"/>
          <w:color w:val="000000" w:themeColor="text1"/>
          <w:szCs w:val="21"/>
          <w:highlight w:val="none"/>
          <w14:textFill>
            <w14:solidFill>
              <w14:schemeClr w14:val="tx1"/>
            </w14:solidFill>
          </w14:textFill>
        </w:rPr>
      </w:pPr>
      <w:bookmarkStart w:id="65" w:name="_8.1提供相同品牌产品且通过资格审查、符合性审查的不同投标人参加同一合"/>
      <w:bookmarkEnd w:id="65"/>
      <w:r>
        <w:rPr>
          <w:rFonts w:hint="eastAsia" w:ascii="宋体" w:hAnsi="宋体" w:cs="宋体"/>
          <w:color w:val="000000" w:themeColor="text1"/>
          <w:szCs w:val="21"/>
          <w:highlight w:val="none"/>
          <w14:textFill>
            <w14:solidFill>
              <w14:schemeClr w14:val="tx1"/>
            </w14:solidFill>
          </w14:textFill>
        </w:rPr>
        <w:fldChar w:fldCharType="begin"/>
      </w:r>
      <w:r>
        <w:rPr>
          <w:rFonts w:hint="eastAsia" w:ascii="宋体" w:hAnsi="宋体" w:cs="宋体"/>
          <w:color w:val="000000" w:themeColor="text1"/>
          <w:szCs w:val="21"/>
          <w:highlight w:val="none"/>
          <w14:textFill>
            <w14:solidFill>
              <w14:schemeClr w14:val="tx1"/>
            </w14:solidFill>
          </w14:textFill>
        </w:rPr>
        <w:instrText xml:space="preserve"> HYPERLINK  \l "_8.1"</w:instrText>
      </w:r>
      <w:r>
        <w:rPr>
          <w:rFonts w:hint="eastAsia" w:ascii="宋体" w:hAnsi="宋体" w:cs="宋体"/>
          <w:color w:val="000000" w:themeColor="text1"/>
          <w:szCs w:val="21"/>
          <w:highlight w:val="none"/>
          <w14:textFill>
            <w14:solidFill>
              <w14:schemeClr w14:val="tx1"/>
            </w14:solidFill>
          </w14:textFill>
        </w:rPr>
        <w:fldChar w:fldCharType="separate"/>
      </w:r>
      <w:r>
        <w:rPr>
          <w:rFonts w:hint="eastAsia" w:ascii="宋体" w:hAnsi="宋体" w:cs="宋体"/>
          <w:color w:val="000000" w:themeColor="text1"/>
          <w:szCs w:val="21"/>
          <w:highlight w:val="none"/>
          <w14:textFill>
            <w14:solidFill>
              <w14:schemeClr w14:val="tx1"/>
            </w14:solidFill>
          </w14:textFill>
        </w:rPr>
        <w:t>7.1</w:t>
      </w:r>
      <w:r>
        <w:rPr>
          <w:rFonts w:hint="eastAsia" w:ascii="宋体" w:hAnsi="宋体" w:cs="宋体"/>
          <w:color w:val="000000" w:themeColor="text1"/>
          <w:szCs w:val="21"/>
          <w:highlight w:val="none"/>
          <w14:textFill>
            <w14:solidFill>
              <w14:schemeClr w14:val="tx1"/>
            </w14:solidFill>
          </w14:textFill>
        </w:rPr>
        <w:fldChar w:fldCharType="end"/>
      </w:r>
      <w:r>
        <w:rPr>
          <w:rFonts w:hint="eastAsia" w:ascii="宋体" w:hAnsi="宋体" w:cs="宋体"/>
          <w:color w:val="000000" w:themeColor="text1"/>
          <w:szCs w:val="21"/>
          <w:highlight w:val="none"/>
          <w14:textFill>
            <w14:solidFill>
              <w14:schemeClr w14:val="tx1"/>
            </w14:solidFill>
          </w14:textFill>
        </w:rPr>
        <w:t>提供相同品牌产品的不同供应商参加同一合同项下竞标的，以其中通过资格审查、符合性审查、谈判且最后报价最低的参加报价评审；最后报价相同的，由采购人或者采购人委托谈判小组按照“供应商须知前附表”规定的方式确定一个供应商获得成交人推荐资格，其他响应文件按无效处理。</w:t>
      </w:r>
    </w:p>
    <w:p w14:paraId="3EE821F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非单一产品采购项目，多家供应商提供的核心产品品牌相同的，按前款规定处理。</w:t>
      </w:r>
    </w:p>
    <w:p w14:paraId="6A6CE9F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7.2</w:t>
      </w:r>
      <w:r>
        <w:rPr>
          <w:rFonts w:hint="eastAsia" w:ascii="宋体" w:hAnsi="宋体"/>
          <w:color w:val="000000" w:themeColor="text1"/>
          <w:szCs w:val="21"/>
          <w:highlight w:val="none"/>
          <w14:textFill>
            <w14:solidFill>
              <w14:schemeClr w14:val="tx1"/>
            </w14:solidFill>
          </w14:textFill>
        </w:rPr>
        <w:t>如果本谈判文件要求提供供应商或制造商的资格、信誉、荣誉、业绩与企业认证等材料的，资格、信誉、荣誉、业绩与企业认证等必须为供应商或者制造商所拥有或自身获得</w:t>
      </w:r>
      <w:r>
        <w:rPr>
          <w:rFonts w:hint="eastAsia" w:ascii="宋体" w:hAnsi="宋体" w:cs="宋体"/>
          <w:color w:val="000000" w:themeColor="text1"/>
          <w:szCs w:val="21"/>
          <w:highlight w:val="none"/>
          <w14:textFill>
            <w14:solidFill>
              <w14:schemeClr w14:val="tx1"/>
            </w14:solidFill>
          </w14:textFill>
        </w:rPr>
        <w:t>。</w:t>
      </w:r>
    </w:p>
    <w:p w14:paraId="6F58504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7.3供应商应仔细阅读谈判文件的所有内容，按照谈判文件的要求提交响应文件，并对所提供的全部资料的真实性承担法律责任。</w:t>
      </w:r>
    </w:p>
    <w:p w14:paraId="2A0D237D">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7.4供应商在竞标活动中提供任何虚假材料，其响应文件按无效处理，并报监管部门查处；签订合同后发现的，成交供应商须依照《中华人民共和国消费者权益保护法》规定赔偿采购人，且民事赔偿并不免除违法供应商的行政与刑事责任。</w:t>
      </w:r>
    </w:p>
    <w:p w14:paraId="55174EF2">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7.5在政府采购活动中，采购人员及相关人员与供应商有下列利害关系之一的，应当回避：</w:t>
      </w:r>
    </w:p>
    <w:p w14:paraId="7A3C804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（1）参加采购活动前3年内与供应商存在劳动关系；</w:t>
      </w:r>
    </w:p>
    <w:p w14:paraId="7E118F2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（2）参加采购活动前3年内担任供应商的董事、监事；</w:t>
      </w:r>
    </w:p>
    <w:p w14:paraId="02AF003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（3）参加采购活动前3年内是供应商的控股股东或者实际控制人；</w:t>
      </w:r>
    </w:p>
    <w:p w14:paraId="0EA8782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（4）与供应商的法定代表人或者负责人有夫妻、直系血亲、三代以内旁系血亲或者近姻亲关系；</w:t>
      </w:r>
    </w:p>
    <w:p w14:paraId="70173EA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（5）与供应商有其他可能影响政府采购活动公平、公正进行的关系。</w:t>
      </w:r>
    </w:p>
    <w:p w14:paraId="46CB512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0F51FE9">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7.6有下列情形之一的视为供应商相互串通竞标，响应文件将被视为无效：</w:t>
      </w:r>
    </w:p>
    <w:p w14:paraId="11BF43BA">
      <w:pPr>
        <w:spacing w:line="360" w:lineRule="auto"/>
        <w:ind w:firstLine="420" w:firstLineChars="200"/>
        <w:contextualSpacing/>
        <w:rPr>
          <w:rFonts w:hint="eastAsia" w:ascii="宋体" w:hAnsi="宋体" w:cs="宋体"/>
          <w:szCs w:val="21"/>
          <w:highlight w:val="none"/>
        </w:rPr>
      </w:pPr>
      <w:r>
        <w:rPr>
          <w:rFonts w:hint="eastAsia" w:ascii="宋体" w:hAnsi="宋体" w:cs="宋体"/>
          <w:color w:val="000000" w:themeColor="text1"/>
          <w:szCs w:val="21"/>
          <w:highlight w:val="none"/>
          <w14:textFill>
            <w14:solidFill>
              <w14:schemeClr w14:val="tx1"/>
            </w14:solidFill>
          </w14:textFill>
        </w:rPr>
        <w:t>（1）不同供应商的响应文件由同一单位或者个人编制；</w:t>
      </w:r>
      <w:r>
        <w:rPr>
          <w:rFonts w:hint="eastAsia" w:ascii="宋体" w:hAnsi="宋体" w:cs="宋体"/>
          <w:szCs w:val="21"/>
          <w:highlight w:val="none"/>
        </w:rPr>
        <w:t>或不同供应商报名的IP地址一致的；</w:t>
      </w:r>
    </w:p>
    <w:p w14:paraId="65F95622">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（2）不同供应商委托同一单位或者个人办理竞标事宜；</w:t>
      </w:r>
    </w:p>
    <w:p w14:paraId="296A348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（3）不同的供应商的响应文件载明的项目管理员为同一个人；</w:t>
      </w:r>
    </w:p>
    <w:p w14:paraId="6A6E51F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（4）不同供应商的响应文件异常一致或者报价呈规律性差异；</w:t>
      </w:r>
    </w:p>
    <w:p w14:paraId="254B8E02">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（5）不同供应商的响应文件相互混装；</w:t>
      </w:r>
    </w:p>
    <w:p w14:paraId="5E93A05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（6）不同供应商的竞标保证金从同一单位或者个人账户转出。</w:t>
      </w:r>
    </w:p>
    <w:p w14:paraId="607A291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7.7供应商有下列情形之一的，属于恶意串通行为</w:t>
      </w:r>
      <w:bookmarkStart w:id="66" w:name="_Hlk54682620"/>
      <w:r>
        <w:rPr>
          <w:rFonts w:hint="eastAsia" w:ascii="宋体" w:hAnsi="宋体" w:cs="宋体"/>
          <w:color w:val="000000" w:themeColor="text1"/>
          <w:szCs w:val="21"/>
          <w:highlight w:val="none"/>
          <w14:textFill>
            <w14:solidFill>
              <w14:schemeClr w14:val="tx1"/>
            </w14:solidFill>
          </w14:textFill>
        </w:rPr>
        <w:t>，将报同级监督管理部门</w:t>
      </w:r>
      <w:bookmarkEnd w:id="66"/>
      <w:r>
        <w:rPr>
          <w:rFonts w:hint="eastAsia" w:ascii="宋体" w:hAnsi="宋体" w:cs="宋体"/>
          <w:color w:val="000000" w:themeColor="text1"/>
          <w:szCs w:val="21"/>
          <w:highlight w:val="none"/>
          <w14:textFill>
            <w14:solidFill>
              <w14:schemeClr w14:val="tx1"/>
            </w14:solidFill>
          </w14:textFill>
        </w:rPr>
        <w:t>：</w:t>
      </w:r>
    </w:p>
    <w:p w14:paraId="4987B6F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w:t>
      </w:r>
    </w:p>
    <w:p w14:paraId="768215F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（2）供应商按照采购人或者采购代理机构的授意撤换、修改响应文件；</w:t>
      </w:r>
    </w:p>
    <w:p w14:paraId="77926DF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（3）供应商之间协商报价、技术方案等响应文件或者响应文件的实质性内容；</w:t>
      </w:r>
    </w:p>
    <w:p w14:paraId="47917BA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334207F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（5）供应商之间事先约定一致抬高或者压低报价，或者在政府采购活动中事先约定轮流以高价位或者低价位成交，或者事先约定由某一特定供应商成交，然后再参加竞标；</w:t>
      </w:r>
    </w:p>
    <w:p w14:paraId="07396FF2">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（6）供应商之间商定部分供应商放弃参加政府采购活动或者放弃成交；</w:t>
      </w:r>
    </w:p>
    <w:p w14:paraId="4188542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（7）供应商与采购人或者采购代理机构之间、供应商相互之间，为谋求特定供应商成交或者排斥其他供应商的其他串通行为。</w:t>
      </w:r>
    </w:p>
    <w:p w14:paraId="271B841E">
      <w:pPr>
        <w:pStyle w:val="7"/>
        <w:spacing w:line="360" w:lineRule="auto"/>
        <w:rPr>
          <w:rFonts w:ascii="宋体" w:hAnsi="宋体"/>
          <w:highlight w:val="none"/>
        </w:rPr>
      </w:pPr>
      <w:r>
        <w:rPr>
          <w:rFonts w:ascii="宋体" w:hAnsi="宋体"/>
          <w:highlight w:val="none"/>
        </w:rPr>
        <w:t>7.8</w:t>
      </w:r>
      <w:r>
        <w:rPr>
          <w:rFonts w:hint="eastAsia" w:ascii="宋体" w:hAnsi="宋体"/>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795247D">
      <w:pPr>
        <w:pStyle w:val="7"/>
        <w:spacing w:line="360" w:lineRule="auto"/>
        <w:rPr>
          <w:rFonts w:ascii="宋体" w:hAnsi="宋体"/>
          <w:highlight w:val="none"/>
        </w:rPr>
      </w:pPr>
      <w:r>
        <w:rPr>
          <w:rFonts w:hint="eastAsia" w:ascii="宋体" w:hAnsi="宋体"/>
          <w:highlight w:val="none"/>
        </w:rPr>
        <w:t>产品在中国境内生产的组件成本占比应当达到规定比例，计算公式为：</w:t>
      </w:r>
    </w:p>
    <w:p w14:paraId="72B0185B">
      <w:pPr>
        <w:widowControl/>
        <w:shd w:val="clear" w:color="auto" w:fill="FFFFFF"/>
        <w:spacing w:before="30" w:after="30" w:line="360" w:lineRule="auto"/>
        <w:jc w:val="center"/>
        <w:rPr>
          <w:rFonts w:hint="eastAsia" w:ascii="宋体" w:hAnsi="宋体" w:cs="宋体"/>
          <w:kern w:val="0"/>
          <w:sz w:val="24"/>
          <w:highlight w:val="none"/>
        </w:rPr>
      </w:pPr>
      <w:r>
        <w:rPr>
          <w:rFonts w:ascii="宋体" w:hAnsi="宋体" w:cs="宋体"/>
          <w:kern w:val="0"/>
          <w:sz w:val="24"/>
          <w:highlight w:val="none"/>
        </w:rPr>
        <w:fldChar w:fldCharType="begin"/>
      </w:r>
      <w:r>
        <w:rPr>
          <w:rFonts w:ascii="宋体" w:hAnsi="宋体" w:cs="宋体"/>
          <w:kern w:val="0"/>
          <w:sz w:val="24"/>
          <w:highlight w:val="none"/>
        </w:rPr>
        <w:instrText xml:space="preserve"> INCLUDEPICTURE "https://www.gov.cn/zhengce/content/202509/W020250930645245947614.png" \* MERGEFORMATINET </w:instrText>
      </w:r>
      <w:r>
        <w:rPr>
          <w:rFonts w:ascii="宋体" w:hAnsi="宋体" w:cs="宋体"/>
          <w:kern w:val="0"/>
          <w:sz w:val="24"/>
          <w:highlight w:val="none"/>
        </w:rPr>
        <w:fldChar w:fldCharType="separate"/>
      </w:r>
      <w:r>
        <w:rPr>
          <w:rFonts w:ascii="宋体" w:hAnsi="宋体" w:cs="宋体"/>
          <w:kern w:val="0"/>
          <w:sz w:val="24"/>
          <w:highlight w:val="none"/>
        </w:rPr>
        <w:drawing>
          <wp:inline distT="0" distB="0" distL="114300" distR="114300">
            <wp:extent cx="4827905" cy="762635"/>
            <wp:effectExtent l="0" t="0" r="10795" b="1841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2" r:link="rId13"/>
                    <a:stretch>
                      <a:fillRect/>
                    </a:stretch>
                  </pic:blipFill>
                  <pic:spPr>
                    <a:xfrm>
                      <a:off x="0" y="0"/>
                      <a:ext cx="4827905" cy="762635"/>
                    </a:xfrm>
                    <a:prstGeom prst="rect">
                      <a:avLst/>
                    </a:prstGeom>
                    <a:noFill/>
                    <a:ln>
                      <a:noFill/>
                    </a:ln>
                  </pic:spPr>
                </pic:pic>
              </a:graphicData>
            </a:graphic>
          </wp:inline>
        </w:drawing>
      </w:r>
      <w:r>
        <w:rPr>
          <w:rFonts w:ascii="宋体" w:hAnsi="宋体" w:cs="宋体"/>
          <w:kern w:val="0"/>
          <w:sz w:val="24"/>
          <w:highlight w:val="none"/>
        </w:rPr>
        <w:fldChar w:fldCharType="end"/>
      </w:r>
    </w:p>
    <w:p w14:paraId="06F065C2">
      <w:pPr>
        <w:pStyle w:val="7"/>
        <w:spacing w:line="360" w:lineRule="auto"/>
        <w:rPr>
          <w:rFonts w:hint="eastAsia" w:ascii="宋体" w:hAnsi="宋体"/>
          <w:highlight w:val="none"/>
        </w:rPr>
      </w:pPr>
      <w:r>
        <w:rPr>
          <w:rFonts w:hint="eastAsia" w:ascii="宋体" w:hAnsi="宋体"/>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16C6148">
      <w:pPr>
        <w:pStyle w:val="7"/>
        <w:spacing w:line="360" w:lineRule="auto"/>
        <w:rPr>
          <w:rFonts w:ascii="宋体" w:hAnsi="宋体"/>
          <w:highlight w:val="none"/>
        </w:rPr>
      </w:pPr>
      <w:r>
        <w:rPr>
          <w:rFonts w:hint="eastAsia" w:ascii="宋体" w:hAnsi="宋体"/>
          <w:highlight w:val="none"/>
        </w:rPr>
        <w:t>政府采购活动中既有本国产品又有非本国产品参与竞争的，依法对本国产品给予价格评审优惠，对本国产品的报价给予20%的价格扣除，用扣除后的价格参与评审。</w:t>
      </w:r>
    </w:p>
    <w:p w14:paraId="3F3A58C3">
      <w:pPr>
        <w:pStyle w:val="7"/>
        <w:spacing w:line="360" w:lineRule="auto"/>
        <w:rPr>
          <w:rFonts w:hint="eastAsia" w:ascii="宋体" w:hAnsi="宋体"/>
          <w:highlight w:val="none"/>
        </w:rPr>
      </w:pPr>
      <w:r>
        <w:rPr>
          <w:rFonts w:hint="eastAsia" w:ascii="宋体" w:hAnsi="宋体"/>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3F88812">
      <w:pPr>
        <w:spacing w:line="360" w:lineRule="auto"/>
        <w:ind w:left="1" w:firstLine="417" w:firstLineChars="199"/>
        <w:jc w:val="center"/>
        <w:rPr>
          <w:rFonts w:hint="eastAsia" w:ascii="宋体" w:hAnsi="宋体"/>
          <w:highlight w:val="none"/>
        </w:rPr>
      </w:pPr>
    </w:p>
    <w:p w14:paraId="5D208F2D">
      <w:pPr>
        <w:spacing w:line="360" w:lineRule="auto"/>
        <w:jc w:val="center"/>
        <w:rPr>
          <w:rFonts w:ascii="宋体" w:hAnsi="宋体"/>
          <w:b/>
          <w:color w:val="000000" w:themeColor="text1"/>
          <w:sz w:val="32"/>
          <w:szCs w:val="32"/>
          <w:highlight w:val="none"/>
          <w14:textFill>
            <w14:solidFill>
              <w14:schemeClr w14:val="tx1"/>
            </w14:solidFill>
          </w14:textFill>
        </w:rPr>
      </w:pPr>
      <w:bookmarkStart w:id="67" w:name="_Toc254970675"/>
      <w:bookmarkStart w:id="68" w:name="_Toc254970534"/>
      <w:r>
        <w:rPr>
          <w:rFonts w:hint="eastAsia" w:ascii="宋体" w:hAnsi="宋体"/>
          <w:b/>
          <w:color w:val="000000" w:themeColor="text1"/>
          <w:sz w:val="32"/>
          <w:szCs w:val="32"/>
          <w:highlight w:val="none"/>
          <w14:textFill>
            <w14:solidFill>
              <w14:schemeClr w14:val="tx1"/>
            </w14:solidFill>
          </w14:textFill>
        </w:rPr>
        <w:t>二、谈判文件</w:t>
      </w:r>
      <w:bookmarkEnd w:id="67"/>
      <w:bookmarkEnd w:id="68"/>
    </w:p>
    <w:p w14:paraId="452189EA">
      <w:pPr>
        <w:spacing w:line="360" w:lineRule="auto"/>
        <w:jc w:val="center"/>
        <w:rPr>
          <w:rFonts w:ascii="宋体" w:hAnsi="宋体"/>
          <w:color w:val="000000" w:themeColor="text1"/>
          <w:szCs w:val="21"/>
          <w:highlight w:val="none"/>
          <w14:textFill>
            <w14:solidFill>
              <w14:schemeClr w14:val="tx1"/>
            </w14:solidFill>
          </w14:textFill>
        </w:rPr>
      </w:pPr>
    </w:p>
    <w:p w14:paraId="32B4A44F">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8.谈判文件的构成</w:t>
      </w:r>
    </w:p>
    <w:p w14:paraId="57103D6B">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（1）竞争性谈判公告；</w:t>
      </w:r>
    </w:p>
    <w:p w14:paraId="25112018">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（2）供应商须知；</w:t>
      </w:r>
    </w:p>
    <w:p w14:paraId="1D08F39D">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（3）采购需求；</w:t>
      </w:r>
    </w:p>
    <w:p w14:paraId="7B769F08">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（4）响应文件格式</w:t>
      </w:r>
    </w:p>
    <w:p w14:paraId="10BFDD4F">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（5）合同文本；</w:t>
      </w:r>
    </w:p>
    <w:p w14:paraId="2B99ECA7">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（6）评审程序和评定成交的标准；</w:t>
      </w:r>
    </w:p>
    <w:p w14:paraId="4B188B0C">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9.供应商的询问</w:t>
      </w:r>
    </w:p>
    <w:p w14:paraId="079B370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供应商应认真阅读谈判文件的采购需求，如供应商对谈判文件有疑问的，如要求采购人作出澄清或者修改的，供应商尽可能在</w:t>
      </w:r>
      <w:r>
        <w:rPr>
          <w:rFonts w:ascii="宋体" w:hAnsi="宋体"/>
          <w:color w:val="000000" w:themeColor="text1"/>
          <w:szCs w:val="21"/>
          <w:highlight w:val="none"/>
          <w14:textFill>
            <w14:solidFill>
              <w14:schemeClr w14:val="tx1"/>
            </w14:solidFill>
          </w14:textFill>
        </w:rPr>
        <w:t>提交首次响应文件截止之日前</w:t>
      </w:r>
      <w:r>
        <w:rPr>
          <w:rFonts w:hint="eastAsia" w:ascii="宋体" w:hAnsi="宋体"/>
          <w:color w:val="000000" w:themeColor="text1"/>
          <w:szCs w:val="21"/>
          <w:highlight w:val="none"/>
          <w14:textFill>
            <w14:solidFill>
              <w14:schemeClr w14:val="tx1"/>
            </w14:solidFill>
          </w14:textFill>
        </w:rPr>
        <w:t>，以书面形式向</w:t>
      </w:r>
      <w:r>
        <w:rPr>
          <w:rFonts w:ascii="宋体" w:hAnsi="宋体"/>
          <w:color w:val="000000" w:themeColor="text1"/>
          <w:szCs w:val="21"/>
          <w:highlight w:val="none"/>
          <w14:textFill>
            <w14:solidFill>
              <w14:schemeClr w14:val="tx1"/>
            </w14:solidFill>
          </w14:textFill>
        </w:rPr>
        <w:t>采购人、采购代理机构</w:t>
      </w:r>
      <w:r>
        <w:rPr>
          <w:rFonts w:hint="eastAsia" w:ascii="宋体" w:hAnsi="宋体"/>
          <w:color w:val="000000" w:themeColor="text1"/>
          <w:szCs w:val="21"/>
          <w:highlight w:val="none"/>
          <w14:textFill>
            <w14:solidFill>
              <w14:schemeClr w14:val="tx1"/>
            </w14:solidFill>
          </w14:textFill>
        </w:rPr>
        <w:t>提出。</w:t>
      </w:r>
    </w:p>
    <w:p w14:paraId="689B086B">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10.谈判文件的澄清和修改</w:t>
      </w:r>
    </w:p>
    <w:p w14:paraId="1E9EDAE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4F405DDB">
      <w:pPr>
        <w:spacing w:line="360" w:lineRule="auto"/>
        <w:rPr>
          <w:rFonts w:ascii="宋体" w:hAnsi="宋体"/>
          <w:color w:val="000000" w:themeColor="text1"/>
          <w:szCs w:val="21"/>
          <w:highlight w:val="none"/>
          <w14:textFill>
            <w14:solidFill>
              <w14:schemeClr w14:val="tx1"/>
            </w14:solidFill>
          </w14:textFill>
        </w:rPr>
      </w:pPr>
    </w:p>
    <w:p w14:paraId="735D6C27">
      <w:pPr>
        <w:spacing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三、响应文件的编制</w:t>
      </w:r>
    </w:p>
    <w:p w14:paraId="620B0CF3">
      <w:pPr>
        <w:spacing w:line="360" w:lineRule="auto"/>
        <w:rPr>
          <w:rFonts w:ascii="宋体" w:hAnsi="宋体"/>
          <w:color w:val="000000" w:themeColor="text1"/>
          <w:szCs w:val="21"/>
          <w:highlight w:val="none"/>
          <w14:textFill>
            <w14:solidFill>
              <w14:schemeClr w14:val="tx1"/>
            </w14:solidFill>
          </w14:textFill>
        </w:rPr>
      </w:pPr>
    </w:p>
    <w:p w14:paraId="5CFCBEFC">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11.响应文件的编制原则</w:t>
      </w:r>
    </w:p>
    <w:p w14:paraId="6737BB49">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供应商必须按照谈判文件的要求编制响应文件，并对其提交的响应文件的真实性、合法性承担法律责任。响应文件必须对谈判文件作出实质性响应。</w:t>
      </w:r>
    </w:p>
    <w:p w14:paraId="6018D561">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12.响应文件的组成</w:t>
      </w:r>
    </w:p>
    <w:p w14:paraId="33BEDFB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2.1</w:t>
      </w:r>
      <w:r>
        <w:rPr>
          <w:rFonts w:hint="eastAsia" w:ascii="宋体" w:hAnsi="宋体" w:cs="宋体"/>
          <w:color w:val="000000" w:themeColor="text1"/>
          <w:szCs w:val="21"/>
          <w:highlight w:val="none"/>
          <w14:textFill>
            <w14:solidFill>
              <w14:schemeClr w14:val="tx1"/>
            </w14:solidFill>
          </w14:textFill>
        </w:rPr>
        <w:t>响应文件由资格证明文件、报价文件、商务技术文件三部分组成。</w:t>
      </w:r>
    </w:p>
    <w:p w14:paraId="3C99B537">
      <w:pPr>
        <w:spacing w:line="360" w:lineRule="auto"/>
        <w:ind w:left="840" w:leftChars="200" w:hanging="420" w:hanging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资格证明文件：详见“供应商须知前附表”</w:t>
      </w:r>
    </w:p>
    <w:p w14:paraId="6FC9E63B">
      <w:pPr>
        <w:spacing w:line="360" w:lineRule="auto"/>
        <w:ind w:left="840" w:leftChars="200" w:hanging="420" w:hanging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2报价文件：详见“供应商须知前附表”</w:t>
      </w:r>
    </w:p>
    <w:p w14:paraId="2F924AD0">
      <w:pPr>
        <w:spacing w:line="360" w:lineRule="auto"/>
        <w:ind w:left="840" w:leftChars="200" w:hanging="420" w:hanging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12.1.3商务技术文件：详见“供应商须知前附表”</w:t>
      </w:r>
    </w:p>
    <w:p w14:paraId="1A4CDE43">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13.计量单位</w:t>
      </w:r>
    </w:p>
    <w:p w14:paraId="11F77BD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谈判文件已有明确规定的，使用谈判文件规定的计量单位；谈判文件没有规定的，应采用中华人民共和国法定计量单位，货币种类为人民币，否则视同未响应。</w:t>
      </w:r>
    </w:p>
    <w:p w14:paraId="5E57D115">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14.竞标的风险</w:t>
      </w:r>
    </w:p>
    <w:p w14:paraId="69FCFFD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供应商没有按照谈判文件要求提供全部资料，或者供应商没有对谈判文件在各方面作出实质性响应可能导致其响应文件按无效处理，是供应商应当考虑的风险。</w:t>
      </w:r>
    </w:p>
    <w:p w14:paraId="29F107C6">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15.竞标报价</w:t>
      </w:r>
    </w:p>
    <w:p w14:paraId="1EC3F0C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15.1竞标报价应按谈判文件中“竞标报价表”格式填写。</w:t>
      </w:r>
    </w:p>
    <w:p w14:paraId="5DF8BE75">
      <w:pPr>
        <w:tabs>
          <w:tab w:val="left" w:pos="2492"/>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15.2竞标报价的内容详见“供应商须知前附表”。</w:t>
      </w:r>
    </w:p>
    <w:p w14:paraId="2AAF893D">
      <w:pPr>
        <w:spacing w:line="360" w:lineRule="auto"/>
        <w:ind w:left="426" w:leftChars="203"/>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15.3竞标报价要求</w:t>
      </w:r>
    </w:p>
    <w:p w14:paraId="2B30B0D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5.3.1</w:t>
      </w:r>
      <w:r>
        <w:rPr>
          <w:rFonts w:hint="eastAsia" w:ascii="宋体" w:hAnsi="宋体" w:cs="宋体"/>
          <w:color w:val="000000" w:themeColor="text1"/>
          <w:szCs w:val="21"/>
          <w:highlight w:val="none"/>
          <w14:textFill>
            <w14:solidFill>
              <w14:schemeClr w14:val="tx1"/>
            </w14:solidFill>
          </w14:textFill>
        </w:rPr>
        <w:t>供应商的竞标报价应符合以下要求，否则响应文件按无效响应处理：</w:t>
      </w:r>
    </w:p>
    <w:p w14:paraId="05FE07F9">
      <w:pPr>
        <w:spacing w:line="360" w:lineRule="auto"/>
        <w:ind w:left="420" w:left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（1）供应商必须就“采购需求”中所竞标的每个分标的全部内容分别作完整唯一总价报价，</w:t>
      </w:r>
    </w:p>
    <w:p w14:paraId="7D848E54">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不得存在漏项报价；</w:t>
      </w:r>
    </w:p>
    <w:p w14:paraId="6155398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）供应商必须就所竞标的分标的单项内容作唯一报价。</w:t>
      </w:r>
    </w:p>
    <w:p w14:paraId="1D8CEA8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竞标报价（包含首次报价、最后报价）超过所竞标分标规定的采购预算金额或者最高限价的，其响应文件将按无效处理。</w:t>
      </w:r>
    </w:p>
    <w:p w14:paraId="420EFC6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竞标报价（包含首次报价、最后报价）超过分项采购预算金额或者最高限价的，其响应文件将按无效处理。</w:t>
      </w:r>
    </w:p>
    <w:p w14:paraId="53F541A6">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16.竞标有效期</w:t>
      </w:r>
    </w:p>
    <w:p w14:paraId="02E4556D">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14:paraId="0CADDB1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 竞标有效期应由供应商按“供应商须知前附表”规定的期限作出响应。</w:t>
      </w:r>
    </w:p>
    <w:p w14:paraId="04BAC672">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16.3供应商的响应文件在竞标有效期内均保持有效。</w:t>
      </w:r>
    </w:p>
    <w:p w14:paraId="0C5BB9A8">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17.竞标保证金</w:t>
      </w:r>
    </w:p>
    <w:p w14:paraId="35EE19BB">
      <w:pPr>
        <w:spacing w:line="360" w:lineRule="auto"/>
        <w:ind w:left="420" w:left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17.1供应商须按“供应商须知前附表”的规定提交竞标保证金。</w:t>
      </w:r>
    </w:p>
    <w:p w14:paraId="0A5DFA9C">
      <w:pPr>
        <w:spacing w:line="360" w:lineRule="auto"/>
        <w:ind w:left="420" w:left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17.2竞标保证金的退还</w:t>
      </w:r>
    </w:p>
    <w:p w14:paraId="5263FB8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未</w:t>
      </w:r>
      <w:r>
        <w:rPr>
          <w:rFonts w:hint="eastAsia" w:ascii="宋体" w:hAnsi="宋体" w:cs="宋体"/>
          <w:color w:val="000000" w:themeColor="text1"/>
          <w:spacing w:val="-6"/>
          <w:szCs w:val="21"/>
          <w:highlight w:val="none"/>
          <w14:textFill>
            <w14:solidFill>
              <w14:schemeClr w14:val="tx1"/>
            </w14:solidFill>
          </w14:textFill>
        </w:rPr>
        <w:t>成交供应商的竞标保证金自成交通知书发出之日起</w:t>
      </w:r>
      <w:r>
        <w:rPr>
          <w:rFonts w:ascii="宋体" w:hAnsi="宋体" w:cs="宋体"/>
          <w:color w:val="000000" w:themeColor="text1"/>
          <w:spacing w:val="-6"/>
          <w:szCs w:val="21"/>
          <w:highlight w:val="none"/>
          <w14:textFill>
            <w14:solidFill>
              <w14:schemeClr w14:val="tx1"/>
            </w14:solidFill>
          </w14:textFill>
        </w:rPr>
        <w:t>5</w:t>
      </w:r>
      <w:r>
        <w:rPr>
          <w:rFonts w:hint="eastAsia" w:ascii="宋体" w:hAnsi="宋体" w:cs="宋体"/>
          <w:color w:val="000000" w:themeColor="text1"/>
          <w:spacing w:val="-6"/>
          <w:szCs w:val="21"/>
          <w:highlight w:val="none"/>
          <w14:textFill>
            <w14:solidFill>
              <w14:schemeClr w14:val="tx1"/>
            </w14:solidFill>
          </w14:textFill>
        </w:rPr>
        <w:t>个工作日内退还</w:t>
      </w:r>
      <w:r>
        <w:rPr>
          <w:rFonts w:hint="eastAsia"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成交供应商的竞标保证金自签订合同之日起</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个工作日内退还。</w:t>
      </w:r>
    </w:p>
    <w:p w14:paraId="60B44C9E">
      <w:pPr>
        <w:spacing w:line="360" w:lineRule="auto"/>
        <w:ind w:left="420" w:left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17.3竞标保证金不计息。</w:t>
      </w:r>
    </w:p>
    <w:p w14:paraId="7FEC318C">
      <w:pPr>
        <w:spacing w:line="360" w:lineRule="auto"/>
        <w:ind w:left="420" w:left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17.4供应商有下列情形之一的，竞标保证金将不予退还：</w:t>
      </w:r>
    </w:p>
    <w:p w14:paraId="2335B422">
      <w:pPr>
        <w:spacing w:line="360" w:lineRule="auto"/>
        <w:ind w:left="420" w:left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（1）供应商在提交响应文件截止时间后撤回响应文件的；</w:t>
      </w:r>
    </w:p>
    <w:p w14:paraId="5E4C41F5">
      <w:pPr>
        <w:spacing w:line="360" w:lineRule="auto"/>
        <w:ind w:left="420" w:leftChars="20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（2）未按规定提交履约保证金的；</w:t>
      </w:r>
    </w:p>
    <w:p w14:paraId="2E8B4A64">
      <w:pPr>
        <w:spacing w:line="360" w:lineRule="auto"/>
        <w:ind w:left="420" w:left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（3）供应商在响应文件中提供虚假材料的；</w:t>
      </w:r>
    </w:p>
    <w:p w14:paraId="30B1B7D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（4）除因不可抗力或者谈判文件认可的情形以外，成交供应商不与采购人签订合同的；</w:t>
      </w:r>
    </w:p>
    <w:p w14:paraId="2CE79BD0">
      <w:pPr>
        <w:spacing w:line="360" w:lineRule="auto"/>
        <w:ind w:left="420" w:left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（5）供应商与采购人、其他供应商或者采购代理机构恶意串通的；</w:t>
      </w:r>
    </w:p>
    <w:p w14:paraId="4C513E13">
      <w:pPr>
        <w:spacing w:line="360" w:lineRule="auto"/>
        <w:ind w:left="420" w:left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（6）法律法规规定的其他情形。</w:t>
      </w:r>
    </w:p>
    <w:p w14:paraId="63C72BA1">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18. 响应文件编制的要求</w:t>
      </w:r>
    </w:p>
    <w:p w14:paraId="6AE1995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18.1供应商应先安装“</w:t>
      </w:r>
      <w:r>
        <w:rPr>
          <w:rFonts w:hint="eastAsia" w:ascii="宋体" w:hAnsi="宋体"/>
          <w:color w:val="000000" w:themeColor="text1"/>
          <w:szCs w:val="21"/>
          <w:highlight w:val="none"/>
          <w14:textFill>
            <w14:solidFill>
              <w14:schemeClr w14:val="tx1"/>
            </w14:solidFill>
          </w14:textFill>
        </w:rPr>
        <w:t>广西政府采购云</w:t>
      </w: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平台</w:t>
      </w:r>
      <w:r>
        <w:rPr>
          <w:rFonts w:hint="eastAsia" w:ascii="宋体" w:hAnsi="宋体" w:cs="宋体"/>
          <w:color w:val="000000" w:themeColor="text1"/>
          <w:szCs w:val="21"/>
          <w:highlight w:val="none"/>
          <w14:textFill>
            <w14:solidFill>
              <w14:schemeClr w14:val="tx1"/>
            </w14:solidFill>
          </w14:textFill>
        </w:rPr>
        <w:t>客户端”（请自行前往“</w:t>
      </w:r>
      <w:r>
        <w:rPr>
          <w:rFonts w:hint="eastAsia" w:ascii="宋体" w:hAnsi="宋体"/>
          <w:color w:val="000000" w:themeColor="text1"/>
          <w:szCs w:val="21"/>
          <w:highlight w:val="none"/>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”平台进行下载），并按照本项目谈判文件规定的格式和顺序和“</w:t>
      </w:r>
      <w:r>
        <w:rPr>
          <w:rFonts w:hint="eastAsia" w:ascii="宋体" w:hAnsi="宋体"/>
          <w:color w:val="000000" w:themeColor="text1"/>
          <w:szCs w:val="21"/>
          <w:highlight w:val="none"/>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”平台的要求编制并加密。响应文件内容不完整、编排混乱导致响应文件被误读、漏读或者查找不到相关内容的，由此引发的后果由供应商承担。</w:t>
      </w:r>
    </w:p>
    <w:p w14:paraId="6BC3FD2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18.2为确保网上操作合法、有效和安全，供应商应当在提交响应文件截止时间前完成在“</w:t>
      </w:r>
      <w:r>
        <w:rPr>
          <w:rFonts w:hint="eastAsia" w:ascii="宋体" w:hAnsi="宋体"/>
          <w:color w:val="000000" w:themeColor="text1"/>
          <w:szCs w:val="21"/>
          <w:highlight w:val="none"/>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”平台的身份认证，确保在电子竞标过程中能够对相关数据电文进行加密和使用电子签章。</w:t>
      </w:r>
    </w:p>
    <w:p w14:paraId="58D4F3F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18.3响应文件须由供应商在规定位置签字、盖章（具体以供应商须知前附表或响应文件格式规定为准），否则按无效响应处理。</w:t>
      </w:r>
    </w:p>
    <w:p w14:paraId="7CA09A0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3842FBE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7CC7A237">
      <w:pPr>
        <w:spacing w:line="360" w:lineRule="auto"/>
        <w:ind w:firstLine="482"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19.电子</w:t>
      </w:r>
      <w:r>
        <w:rPr>
          <w:rFonts w:hint="eastAsia" w:ascii="黑体" w:hAnsi="黑体" w:eastAsia="黑体"/>
          <w:b/>
          <w:color w:val="000000" w:themeColor="text1"/>
          <w:sz w:val="24"/>
          <w:highlight w:val="none"/>
          <w14:textFill>
            <w14:solidFill>
              <w14:schemeClr w14:val="tx1"/>
            </w14:solidFill>
          </w14:textFill>
        </w:rPr>
        <w:t>备份响应文件</w:t>
      </w:r>
    </w:p>
    <w:p w14:paraId="11A70022">
      <w:pPr>
        <w:spacing w:line="360" w:lineRule="auto"/>
        <w:ind w:firstLine="420" w:firstLineChars="200"/>
        <w:rPr>
          <w:rFonts w:ascii="黑体" w:hAnsi="黑体" w:eastAsia="黑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电子备份响应文件是指通过“</w:t>
      </w:r>
      <w:r>
        <w:rPr>
          <w:rFonts w:hint="eastAsia" w:ascii="宋体" w:hAnsi="宋体"/>
          <w:color w:val="000000" w:themeColor="text1"/>
          <w:szCs w:val="21"/>
          <w:highlight w:val="none"/>
          <w14:textFill>
            <w14:solidFill>
              <w14:schemeClr w14:val="tx1"/>
            </w14:solidFill>
          </w14:textFill>
        </w:rPr>
        <w:t>广西政府采购云</w:t>
      </w:r>
      <w:r>
        <w:rPr>
          <w:rFonts w:hint="eastAsia"/>
          <w:color w:val="000000" w:themeColor="text1"/>
          <w:highlight w:val="none"/>
          <w14:textFill>
            <w14:solidFill>
              <w14:schemeClr w14:val="tx1"/>
            </w14:solidFill>
          </w14:textFill>
        </w:rPr>
        <w:t>电子投标客户端”在线编制生成且后缀名为“</w:t>
      </w:r>
      <w:r>
        <w:rPr>
          <w:color w:val="000000" w:themeColor="text1"/>
          <w:highlight w:val="none"/>
          <w14:textFill>
            <w14:solidFill>
              <w14:schemeClr w14:val="tx1"/>
            </w14:solidFill>
          </w14:textFill>
        </w:rPr>
        <w:t>bfbs</w:t>
      </w:r>
      <w:r>
        <w:rPr>
          <w:rFonts w:hint="eastAsia"/>
          <w:color w:val="000000" w:themeColor="text1"/>
          <w:highlight w:val="none"/>
          <w14:textFill>
            <w14:solidFill>
              <w14:schemeClr w14:val="tx1"/>
            </w14:solidFill>
          </w14:textFill>
        </w:rPr>
        <w:t>”的文件，是否接受电子备份响应文件</w:t>
      </w:r>
      <w:r>
        <w:rPr>
          <w:rFonts w:hint="eastAsia" w:hAnsi="宋体"/>
          <w:bCs/>
          <w:color w:val="000000" w:themeColor="text1"/>
          <w:szCs w:val="21"/>
          <w:highlight w:val="none"/>
          <w14:textFill>
            <w14:solidFill>
              <w14:schemeClr w14:val="tx1"/>
            </w14:solidFill>
          </w14:textFill>
        </w:rPr>
        <w:t>详见在“供应商须知前附表”。</w:t>
      </w:r>
    </w:p>
    <w:p w14:paraId="4EBCDE69">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20.响应文件的提交</w:t>
      </w:r>
    </w:p>
    <w:p w14:paraId="3EAD359D">
      <w:pPr>
        <w:spacing w:line="360" w:lineRule="auto"/>
        <w:ind w:firstLine="420" w:firstLineChars="200"/>
        <w:rPr>
          <w:rFonts w:hAnsi="宋体"/>
          <w:b/>
          <w:color w:val="000000" w:themeColor="text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20.1供应商必须按“供应商须知前附表”规定的</w:t>
      </w:r>
      <w:r>
        <w:rPr>
          <w:rFonts w:hint="eastAsia" w:ascii="宋体" w:hAnsi="宋体" w:cs="宋体"/>
          <w:color w:val="000000" w:themeColor="text1"/>
          <w:szCs w:val="21"/>
          <w:highlight w:val="none"/>
          <w14:textFill>
            <w14:solidFill>
              <w14:schemeClr w14:val="tx1"/>
            </w14:solidFill>
          </w14:textFill>
        </w:rPr>
        <w:t>时间</w:t>
      </w:r>
      <w:r>
        <w:rPr>
          <w:rFonts w:hint="eastAsia" w:ascii="宋体" w:hAnsi="宋体"/>
          <w:color w:val="000000" w:themeColor="text1"/>
          <w:szCs w:val="21"/>
          <w:highlight w:val="none"/>
          <w14:textFill>
            <w14:solidFill>
              <w14:schemeClr w14:val="tx1"/>
            </w14:solidFill>
          </w14:textFill>
        </w:rPr>
        <w:t>及</w:t>
      </w:r>
      <w:r>
        <w:rPr>
          <w:rFonts w:hint="eastAsia" w:hAnsi="宋体"/>
          <w:bCs/>
          <w:color w:val="000000" w:themeColor="text1"/>
          <w:szCs w:val="21"/>
          <w:highlight w:val="none"/>
          <w14:textFill>
            <w14:solidFill>
              <w14:schemeClr w14:val="tx1"/>
            </w14:solidFill>
          </w14:textFill>
        </w:rPr>
        <w:t>地点提交响应文件。电子响应文件应在制作完成后，</w:t>
      </w:r>
      <w:r>
        <w:rPr>
          <w:rFonts w:hAnsi="宋体"/>
          <w:bCs/>
          <w:color w:val="000000" w:themeColor="text1"/>
          <w:szCs w:val="21"/>
          <w:highlight w:val="none"/>
          <w14:textFill>
            <w14:solidFill>
              <w14:schemeClr w14:val="tx1"/>
            </w14:solidFill>
          </w14:textFill>
        </w:rPr>
        <w:t>在</w:t>
      </w:r>
      <w:r>
        <w:rPr>
          <w:rFonts w:hint="eastAsia" w:hAnsi="宋体"/>
          <w:bCs/>
          <w:color w:val="000000" w:themeColor="text1"/>
          <w:szCs w:val="21"/>
          <w:highlight w:val="none"/>
          <w14:textFill>
            <w14:solidFill>
              <w14:schemeClr w14:val="tx1"/>
            </w14:solidFill>
          </w14:textFill>
        </w:rPr>
        <w:t>提交响应文件截止</w:t>
      </w:r>
      <w:r>
        <w:rPr>
          <w:rFonts w:hAnsi="宋体"/>
          <w:bCs/>
          <w:color w:val="000000" w:themeColor="text1"/>
          <w:szCs w:val="21"/>
          <w:highlight w:val="none"/>
          <w14:textFill>
            <w14:solidFill>
              <w14:schemeClr w14:val="tx1"/>
            </w14:solidFill>
          </w14:textFill>
        </w:rPr>
        <w:t>时间前</w:t>
      </w:r>
      <w:r>
        <w:rPr>
          <w:rFonts w:hint="eastAsia" w:hAnsi="宋体"/>
          <w:bCs/>
          <w:color w:val="000000" w:themeColor="text1"/>
          <w:szCs w:val="21"/>
          <w:highlight w:val="none"/>
          <w14:textFill>
            <w14:solidFill>
              <w14:schemeClr w14:val="tx1"/>
            </w14:solidFill>
          </w14:textFill>
        </w:rPr>
        <w:t>通过有效数字证书（CA认证锁）进行电子签章、加密，然后通过网络将加密的电子响应文件提交至</w:t>
      </w:r>
      <w:r>
        <w:rPr>
          <w:rFonts w:hint="eastAsia" w:ascii="宋体" w:hAnsi="宋体"/>
          <w:color w:val="000000" w:themeColor="text1"/>
          <w:szCs w:val="21"/>
          <w:highlight w:val="none"/>
          <w14:textFill>
            <w14:solidFill>
              <w14:schemeClr w14:val="tx1"/>
            </w14:solidFill>
          </w14:textFill>
        </w:rPr>
        <w:t>“广西政府采购云”平台</w:t>
      </w:r>
      <w:r>
        <w:rPr>
          <w:rFonts w:hint="eastAsia" w:hAnsi="宋体"/>
          <w:bCs/>
          <w:color w:val="000000" w:themeColor="text1"/>
          <w:szCs w:val="21"/>
          <w:highlight w:val="none"/>
          <w14:textFill>
            <w14:solidFill>
              <w14:schemeClr w14:val="tx1"/>
            </w14:solidFill>
          </w14:textFill>
        </w:rPr>
        <w:t>。</w:t>
      </w:r>
    </w:p>
    <w:p w14:paraId="15EEAF37">
      <w:pPr>
        <w:spacing w:line="360" w:lineRule="auto"/>
        <w:ind w:firstLine="422" w:firstLineChars="200"/>
        <w:rPr>
          <w:rFonts w:ascii="宋体" w:hAnsi="宋体"/>
          <w:b/>
          <w:color w:val="000000" w:themeColor="text1"/>
          <w:szCs w:val="20"/>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20.</w:t>
      </w:r>
      <w:r>
        <w:rPr>
          <w:rFonts w:ascii="宋体" w:hAnsi="宋体"/>
          <w:b/>
          <w:color w:val="000000" w:themeColor="text1"/>
          <w:szCs w:val="21"/>
          <w:highlight w:val="none"/>
          <w14:textFill>
            <w14:solidFill>
              <w14:schemeClr w14:val="tx1"/>
            </w14:solidFill>
          </w14:textFill>
        </w:rPr>
        <w:t>2</w:t>
      </w:r>
      <w:r>
        <w:rPr>
          <w:rFonts w:hint="eastAsia" w:ascii="宋体" w:hAnsi="宋体"/>
          <w:b/>
          <w:color w:val="000000" w:themeColor="text1"/>
          <w:szCs w:val="21"/>
          <w:highlight w:val="none"/>
          <w14:textFill>
            <w14:solidFill>
              <w14:schemeClr w14:val="tx1"/>
            </w14:solidFill>
          </w14:textFill>
        </w:rPr>
        <w:t>未在规定时间内提交或者未按照谈判文件要求加密的电子响应文件，“广西政府采购云”平台将拒收。</w:t>
      </w:r>
    </w:p>
    <w:p w14:paraId="00C48908">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21.首次响应文件的补充、修改与撤回</w:t>
      </w:r>
    </w:p>
    <w:p w14:paraId="0EC9A64A">
      <w:pPr>
        <w:snapToGrid w:val="0"/>
        <w:spacing w:line="360" w:lineRule="auto"/>
        <w:ind w:firstLine="420"/>
        <w:jc w:val="left"/>
        <w:rPr>
          <w:rFonts w:ascii="宋体" w:hAnsi="宋体"/>
          <w:color w:val="000000" w:themeColor="text1"/>
          <w:szCs w:val="21"/>
          <w:highlight w:val="none"/>
          <w14:textFill>
            <w14:solidFill>
              <w14:schemeClr w14:val="tx1"/>
            </w14:solidFill>
          </w14:textFill>
        </w:rPr>
      </w:pPr>
      <w:bookmarkStart w:id="69" w:name="_Toc254970684"/>
      <w:bookmarkStart w:id="70" w:name="_Toc254970543"/>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1.1</w:t>
      </w:r>
      <w:r>
        <w:rPr>
          <w:rFonts w:hint="eastAsia" w:ascii="宋体" w:hAnsi="宋体"/>
          <w:bCs/>
          <w:color w:val="000000" w:themeColor="text1"/>
          <w:szCs w:val="21"/>
          <w:highlight w:val="none"/>
          <w14:textFill>
            <w14:solidFill>
              <w14:schemeClr w14:val="tx1"/>
            </w14:solidFill>
          </w14:textFill>
        </w:rPr>
        <w:t>供应商应当在</w:t>
      </w:r>
      <w:r>
        <w:rPr>
          <w:rFonts w:hint="eastAsia" w:hAnsi="宋体"/>
          <w:bCs/>
          <w:color w:val="000000" w:themeColor="text1"/>
          <w:szCs w:val="21"/>
          <w:highlight w:val="none"/>
          <w14:textFill>
            <w14:solidFill>
              <w14:schemeClr w14:val="tx1"/>
            </w14:solidFill>
          </w14:textFill>
        </w:rPr>
        <w:t>提交响应文件截止</w:t>
      </w:r>
      <w:r>
        <w:rPr>
          <w:rFonts w:hAnsi="宋体"/>
          <w:bCs/>
          <w:color w:val="000000" w:themeColor="text1"/>
          <w:szCs w:val="21"/>
          <w:highlight w:val="none"/>
          <w14:textFill>
            <w14:solidFill>
              <w14:schemeClr w14:val="tx1"/>
            </w14:solidFill>
          </w14:textFill>
        </w:rPr>
        <w:t>时间</w:t>
      </w:r>
      <w:r>
        <w:rPr>
          <w:rFonts w:hint="eastAsia" w:ascii="宋体" w:hAnsi="宋体"/>
          <w:bCs/>
          <w:color w:val="000000" w:themeColor="text1"/>
          <w:szCs w:val="21"/>
          <w:highlight w:val="none"/>
          <w14:textFill>
            <w14:solidFill>
              <w14:schemeClr w14:val="tx1"/>
            </w14:solidFill>
          </w14:textFill>
        </w:rPr>
        <w:t>前完成电子响应文件的提交（上传），</w:t>
      </w:r>
      <w:r>
        <w:rPr>
          <w:rFonts w:hint="eastAsia" w:hAnsi="宋体"/>
          <w:bCs/>
          <w:color w:val="000000" w:themeColor="text1"/>
          <w:szCs w:val="21"/>
          <w:highlight w:val="none"/>
          <w14:textFill>
            <w14:solidFill>
              <w14:schemeClr w14:val="tx1"/>
            </w14:solidFill>
          </w14:textFill>
        </w:rPr>
        <w:t>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前</w:t>
      </w:r>
      <w:r>
        <w:rPr>
          <w:rFonts w:hint="eastAsia" w:ascii="宋体" w:hAnsi="宋体"/>
          <w:bCs/>
          <w:color w:val="000000" w:themeColor="text1"/>
          <w:szCs w:val="21"/>
          <w:highlight w:val="none"/>
          <w14:textFill>
            <w14:solidFill>
              <w14:schemeClr w14:val="tx1"/>
            </w14:solidFill>
          </w14:textFill>
        </w:rPr>
        <w:t>可以补充、修改或者撤回响应文件。补充或者修改响应文件的，应当先行撤回原响应文件，补充、修改后重新提交（上传），</w:t>
      </w:r>
      <w:r>
        <w:rPr>
          <w:rFonts w:hint="eastAsia" w:hAnsi="宋体"/>
          <w:bCs/>
          <w:color w:val="000000" w:themeColor="text1"/>
          <w:szCs w:val="21"/>
          <w:highlight w:val="none"/>
          <w14:textFill>
            <w14:solidFill>
              <w14:schemeClr w14:val="tx1"/>
            </w14:solidFill>
          </w14:textFill>
        </w:rPr>
        <w:t>提交响应文件截止</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前</w:t>
      </w:r>
      <w:r>
        <w:rPr>
          <w:rFonts w:hint="eastAsia" w:ascii="宋体" w:hAnsi="宋体"/>
          <w:bCs/>
          <w:color w:val="000000" w:themeColor="text1"/>
          <w:szCs w:val="21"/>
          <w:highlight w:val="none"/>
          <w14:textFill>
            <w14:solidFill>
              <w14:schemeClr w14:val="tx1"/>
            </w14:solidFill>
          </w14:textFill>
        </w:rPr>
        <w:t>未完成提交（上传）的，视为撤回响应文件。</w:t>
      </w:r>
      <w:r>
        <w:rPr>
          <w:rFonts w:hint="eastAsia" w:hAnsi="宋体"/>
          <w:bCs/>
          <w:color w:val="000000" w:themeColor="text1"/>
          <w:szCs w:val="21"/>
          <w:highlight w:val="none"/>
          <w14:textFill>
            <w14:solidFill>
              <w14:schemeClr w14:val="tx1"/>
            </w14:solidFill>
          </w14:textFill>
        </w:rPr>
        <w:t>提交响应文件截止</w:t>
      </w:r>
      <w:r>
        <w:rPr>
          <w:rFonts w:hAnsi="宋体"/>
          <w:bCs/>
          <w:color w:val="000000" w:themeColor="text1"/>
          <w:szCs w:val="21"/>
          <w:highlight w:val="none"/>
          <w14:textFill>
            <w14:solidFill>
              <w14:schemeClr w14:val="tx1"/>
            </w14:solidFill>
          </w14:textFill>
        </w:rPr>
        <w:t>时间</w:t>
      </w:r>
      <w:r>
        <w:rPr>
          <w:rFonts w:hint="eastAsia" w:ascii="宋体" w:hAnsi="宋体"/>
          <w:bCs/>
          <w:color w:val="000000" w:themeColor="text1"/>
          <w:szCs w:val="21"/>
          <w:highlight w:val="none"/>
          <w14:textFill>
            <w14:solidFill>
              <w14:schemeClr w14:val="tx1"/>
            </w14:solidFill>
          </w14:textFill>
        </w:rPr>
        <w:t>以后提交（上传）的响应文件，“</w:t>
      </w:r>
      <w:r>
        <w:rPr>
          <w:rFonts w:hint="eastAsia" w:ascii="宋体" w:hAnsi="宋体"/>
          <w:color w:val="000000" w:themeColor="text1"/>
          <w:szCs w:val="21"/>
          <w:highlight w:val="none"/>
          <w14:textFill>
            <w14:solidFill>
              <w14:schemeClr w14:val="tx1"/>
            </w14:solidFill>
          </w14:textFill>
        </w:rPr>
        <w:t>广西政府采购云</w:t>
      </w:r>
      <w:r>
        <w:rPr>
          <w:rFonts w:hint="eastAsia" w:ascii="宋体" w:hAnsi="宋体"/>
          <w:bCs/>
          <w:color w:val="000000" w:themeColor="text1"/>
          <w:szCs w:val="21"/>
          <w:highlight w:val="none"/>
          <w14:textFill>
            <w14:solidFill>
              <w14:schemeClr w14:val="tx1"/>
            </w14:solidFill>
          </w14:textFill>
        </w:rPr>
        <w:t>”平台将予以拒收。</w:t>
      </w:r>
      <w:r>
        <w:rPr>
          <w:rFonts w:hint="eastAsia" w:ascii="宋体" w:hAnsi="宋体" w:cs="宋体"/>
          <w:color w:val="000000" w:themeColor="text1"/>
          <w:szCs w:val="21"/>
          <w:highlight w:val="none"/>
          <w14:textFill>
            <w14:solidFill>
              <w14:schemeClr w14:val="tx1"/>
            </w14:solidFill>
          </w14:textFill>
        </w:rPr>
        <w:t>（补充、修改或者撤回方式可</w:t>
      </w:r>
      <w:r>
        <w:rPr>
          <w:rFonts w:hint="eastAsia" w:ascii="宋体" w:hAnsi="宋体"/>
          <w:color w:val="000000" w:themeColor="text1"/>
          <w:szCs w:val="21"/>
          <w:highlight w:val="none"/>
          <w14:textFill>
            <w14:solidFill>
              <w14:schemeClr w14:val="tx1"/>
            </w14:solidFill>
          </w14:textFill>
        </w:rPr>
        <w:t>登录</w:t>
      </w: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广西政府采购云</w:t>
      </w:r>
      <w:r>
        <w:rPr>
          <w:rFonts w:hint="eastAsia" w:ascii="宋体" w:hAnsi="宋体" w:cs="宋体"/>
          <w:color w:val="000000" w:themeColor="text1"/>
          <w:kern w:val="0"/>
          <w:szCs w:val="21"/>
          <w:highlight w:val="none"/>
          <w14:textFill>
            <w14:solidFill>
              <w14:schemeClr w14:val="tx1"/>
            </w14:solidFill>
          </w14:textFill>
        </w:rPr>
        <w:t>”平台，</w:t>
      </w:r>
      <w:r>
        <w:rPr>
          <w:rFonts w:hint="eastAsia" w:ascii="宋体" w:hAnsi="宋体"/>
          <w:color w:val="000000" w:themeColor="text1"/>
          <w:szCs w:val="21"/>
          <w:highlight w:val="none"/>
          <w14:textFill>
            <w14:solidFill>
              <w14:schemeClr w14:val="tx1"/>
            </w14:solidFill>
          </w14:textFill>
        </w:rPr>
        <w:t>进入“服务中心”中查看</w:t>
      </w:r>
      <w:r>
        <w:rPr>
          <w:rFonts w:hint="eastAsia" w:ascii="宋体" w:hAnsi="宋体" w:cs="宋体"/>
          <w:color w:val="000000" w:themeColor="text1"/>
          <w:szCs w:val="21"/>
          <w:highlight w:val="none"/>
          <w14:textFill>
            <w14:solidFill>
              <w14:schemeClr w14:val="tx1"/>
            </w14:solidFill>
          </w14:textFill>
        </w:rPr>
        <w:t>“电子投标文件制作与投送教程”）</w:t>
      </w:r>
    </w:p>
    <w:bookmarkEnd w:id="69"/>
    <w:bookmarkEnd w:id="70"/>
    <w:p w14:paraId="68FD2911">
      <w:pPr>
        <w:pStyle w:val="65"/>
        <w:spacing w:before="0"/>
        <w:ind w:firstLine="42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2</w:t>
      </w:r>
      <w:r>
        <w:rPr>
          <w:rFonts w:hint="eastAsia" w:ascii="宋体" w:hAnsi="宋体" w:cs="宋体"/>
          <w:color w:val="000000" w:themeColor="text1"/>
          <w:sz w:val="21"/>
          <w:szCs w:val="21"/>
          <w:highlight w:val="none"/>
          <w14:textFill>
            <w14:solidFill>
              <w14:schemeClr w14:val="tx1"/>
            </w14:solidFill>
          </w14:textFill>
        </w:rPr>
        <w:t>1</w:t>
      </w:r>
      <w:r>
        <w:rPr>
          <w:rFonts w:ascii="宋体" w:hAnsi="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14:textFill>
            <w14:solidFill>
              <w14:schemeClr w14:val="tx1"/>
            </w14:solidFill>
          </w14:textFill>
        </w:rPr>
        <w:t>2在提交响应文件截止时间前，除供应商补充、修改或者撤回响应文件外，任何单位和个人不得解密或提取响应文件。</w:t>
      </w:r>
    </w:p>
    <w:p w14:paraId="531D61C1">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22.响应文件的退回</w:t>
      </w:r>
    </w:p>
    <w:p w14:paraId="293C12E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采购人和采购代理机构对已提交的响应文件概不退回。</w:t>
      </w:r>
    </w:p>
    <w:p w14:paraId="00AE60C5">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23.截止时间后的撤回</w:t>
      </w:r>
    </w:p>
    <w:p w14:paraId="3CC31D2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供应商在响应文件提交截止时间后向采购人、采购代理机构书面申请撤回响应文件的，将根据本须知正文第17.4条的规定不予退还其竞标保证金。</w:t>
      </w:r>
    </w:p>
    <w:p w14:paraId="2442A58F">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四、评审及谈判</w:t>
      </w:r>
    </w:p>
    <w:p w14:paraId="2BD620F6">
      <w:pPr>
        <w:spacing w:line="360" w:lineRule="auto"/>
        <w:ind w:left="420" w:firstLine="420"/>
        <w:rPr>
          <w:rFonts w:ascii="宋体" w:hAnsi="宋体"/>
          <w:color w:val="000000" w:themeColor="text1"/>
          <w:szCs w:val="21"/>
          <w:highlight w:val="none"/>
          <w14:textFill>
            <w14:solidFill>
              <w14:schemeClr w14:val="tx1"/>
            </w14:solidFill>
          </w14:textFill>
        </w:rPr>
      </w:pPr>
    </w:p>
    <w:p w14:paraId="50BB582E">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24.谈判小组成立</w:t>
      </w:r>
    </w:p>
    <w:p w14:paraId="3E32BC3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3B6C871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4D866A4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24.3</w:t>
      </w:r>
      <w:r>
        <w:rPr>
          <w:rFonts w:hint="eastAsia" w:hAnsi="宋体"/>
          <w:bCs/>
          <w:color w:val="000000" w:themeColor="text1"/>
          <w:szCs w:val="2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应当</w:t>
      </w:r>
      <w:r>
        <w:rPr>
          <w:rFonts w:hint="eastAsia" w:hAnsi="宋体"/>
          <w:bCs/>
          <w:color w:val="000000" w:themeColor="text1"/>
          <w:szCs w:val="21"/>
          <w:highlight w:val="none"/>
          <w14:textFill>
            <w14:solidFill>
              <w14:schemeClr w14:val="tx1"/>
            </w14:solidFill>
          </w14:textFill>
        </w:rPr>
        <w:t>基于“</w:t>
      </w:r>
      <w:r>
        <w:rPr>
          <w:rFonts w:hint="eastAsia" w:ascii="宋体" w:hAnsi="宋体"/>
          <w:color w:val="000000" w:themeColor="text1"/>
          <w:szCs w:val="21"/>
          <w:highlight w:val="none"/>
          <w14:textFill>
            <w14:solidFill>
              <w14:schemeClr w14:val="tx1"/>
            </w14:solidFill>
          </w14:textFill>
        </w:rPr>
        <w:t>广西政府采购云</w:t>
      </w:r>
      <w:r>
        <w:rPr>
          <w:rFonts w:hint="eastAsia" w:hAnsi="宋体"/>
          <w:bCs/>
          <w:color w:val="000000" w:themeColor="text1"/>
          <w:szCs w:val="21"/>
          <w:highlight w:val="none"/>
          <w14:textFill>
            <w14:solidFill>
              <w14:schemeClr w14:val="tx1"/>
            </w14:solidFill>
          </w14:textFill>
        </w:rPr>
        <w:t>”平台</w:t>
      </w:r>
      <w:r>
        <w:rPr>
          <w:rFonts w:hint="eastAsia" w:hAnsi="宋体"/>
          <w:bCs/>
          <w:color w:val="000000" w:themeColor="text1"/>
          <w:highlight w:val="none"/>
          <w14:textFill>
            <w14:solidFill>
              <w14:schemeClr w14:val="tx1"/>
            </w14:solidFill>
          </w14:textFill>
        </w:rPr>
        <w:t>抽（选）取</w:t>
      </w:r>
      <w:r>
        <w:rPr>
          <w:rFonts w:hint="eastAsia" w:hAnsi="宋体"/>
          <w:bCs/>
          <w:color w:val="000000" w:themeColor="text1"/>
          <w:szCs w:val="21"/>
          <w:highlight w:val="none"/>
          <w14:textFill>
            <w14:solidFill>
              <w14:schemeClr w14:val="tx1"/>
            </w14:solidFill>
          </w14:textFill>
        </w:rPr>
        <w:t>评审专家。</w:t>
      </w:r>
    </w:p>
    <w:p w14:paraId="38A7C3C4">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25.</w:t>
      </w:r>
      <w:r>
        <w:rPr>
          <w:rFonts w:hint="eastAsia" w:ascii="黑体" w:hAnsi="黑体" w:eastAsia="黑体" w:cs="宋体"/>
          <w:b/>
          <w:bCs/>
          <w:color w:val="000000" w:themeColor="text1"/>
          <w:sz w:val="24"/>
          <w:highlight w:val="none"/>
          <w14:textFill>
            <w14:solidFill>
              <w14:schemeClr w14:val="tx1"/>
            </w14:solidFill>
          </w14:textFill>
        </w:rPr>
        <w:t>首次响应文件的开启和解密</w:t>
      </w:r>
    </w:p>
    <w:p w14:paraId="170E02DC">
      <w:pPr>
        <w:spacing w:line="360" w:lineRule="auto"/>
        <w:ind w:firstLine="420"/>
        <w:rPr>
          <w:rFonts w:ascii="黑体" w:hAnsi="黑体" w:eastAsia="黑体" w:cs="宋体"/>
          <w:b/>
          <w:bCs/>
          <w:color w:val="000000" w:themeColor="text1"/>
          <w:sz w:val="24"/>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采购代理机构将在“供应商须知前附表”规定的时</w:t>
      </w:r>
      <w:r>
        <w:rPr>
          <w:rFonts w:hint="eastAsia" w:hAnsi="宋体"/>
          <w:color w:val="000000" w:themeColor="text1"/>
          <w:highlight w:val="none"/>
          <w14:textFill>
            <w14:solidFill>
              <w14:schemeClr w14:val="tx1"/>
            </w14:solidFill>
          </w14:textFill>
        </w:rPr>
        <w:t>间通过</w:t>
      </w:r>
      <w:bookmarkStart w:id="90" w:name="_GoBack"/>
      <w:bookmarkEnd w:id="90"/>
      <w:r>
        <w:rPr>
          <w:rFonts w:hint="eastAsia" w:hAnsi="宋体"/>
          <w:color w:val="000000" w:themeColor="text1"/>
          <w:highlight w:val="none"/>
          <w14:textFill>
            <w14:solidFill>
              <w14:schemeClr w14:val="tx1"/>
            </w14:solidFill>
          </w14:textFill>
        </w:rPr>
        <w:t>电子交易平台组织响应文件开启，供应商的法定代表人或其委托代理人须携带加密时所用的CA锁，按平台提示和谈判文件的规定登录到“</w:t>
      </w:r>
      <w:r>
        <w:rPr>
          <w:rFonts w:hint="eastAsia" w:ascii="宋体" w:hAnsi="宋体"/>
          <w:color w:val="000000" w:themeColor="text1"/>
          <w:szCs w:val="21"/>
          <w:highlight w:val="none"/>
          <w14:textFill>
            <w14:solidFill>
              <w14:schemeClr w14:val="tx1"/>
            </w14:solidFill>
          </w14:textFill>
        </w:rPr>
        <w:t>广西政府采购云</w:t>
      </w:r>
      <w:r>
        <w:rPr>
          <w:rFonts w:hint="eastAsia" w:hAnsi="宋体"/>
          <w:color w:val="000000" w:themeColor="text1"/>
          <w:highlight w:val="none"/>
          <w14:textFill>
            <w14:solidFill>
              <w14:schemeClr w14:val="tx1"/>
            </w14:solidFill>
          </w14:textFill>
        </w:rPr>
        <w:t>”平台电子开标大厅签到，</w:t>
      </w:r>
      <w:r>
        <w:rPr>
          <w:rFonts w:hint="eastAsia"/>
          <w:color w:val="000000" w:themeColor="text1"/>
          <w:highlight w:val="none"/>
          <w14:textFill>
            <w14:solidFill>
              <w14:schemeClr w14:val="tx1"/>
            </w14:solidFill>
          </w14:textFill>
        </w:rPr>
        <w:t>采购代理机构依托“</w:t>
      </w:r>
      <w:r>
        <w:rPr>
          <w:rFonts w:hint="eastAsia" w:ascii="宋体" w:hAnsi="宋体"/>
          <w:color w:val="000000" w:themeColor="text1"/>
          <w:szCs w:val="21"/>
          <w:highlight w:val="none"/>
          <w14:textFill>
            <w14:solidFill>
              <w14:schemeClr w14:val="tx1"/>
            </w14:solidFill>
          </w14:textFill>
        </w:rPr>
        <w:t>广西政府采购云</w:t>
      </w:r>
      <w:r>
        <w:rPr>
          <w:rFonts w:hint="eastAsia"/>
          <w:color w:val="000000" w:themeColor="text1"/>
          <w:highlight w:val="none"/>
          <w14:textFill>
            <w14:solidFill>
              <w14:schemeClr w14:val="tx1"/>
            </w14:solidFill>
          </w14:textFill>
        </w:rPr>
        <w:t>”平台向各供应商发出电子加密响应文件【开始解密】通知，由供应商按</w:t>
      </w:r>
      <w:r>
        <w:rPr>
          <w:rFonts w:hint="eastAsia" w:hAnsi="宋体"/>
          <w:bCs/>
          <w:color w:val="000000" w:themeColor="text1"/>
          <w:szCs w:val="21"/>
          <w:highlight w:val="none"/>
          <w14:textFill>
            <w14:solidFill>
              <w14:schemeClr w14:val="tx1"/>
            </w14:solidFill>
          </w14:textFill>
        </w:rPr>
        <w:t>“供应商须知前附表”</w:t>
      </w:r>
      <w:r>
        <w:rPr>
          <w:rFonts w:hint="eastAsia"/>
          <w:color w:val="000000" w:themeColor="text1"/>
          <w:highlight w:val="none"/>
          <w14:textFill>
            <w14:solidFill>
              <w14:schemeClr w14:val="tx1"/>
            </w14:solidFill>
          </w14:textFill>
        </w:rPr>
        <w:t>规定的时间内自行进行响应文件解密</w:t>
      </w:r>
      <w:r>
        <w:rPr>
          <w:rFonts w:hint="eastAsia" w:hAnsi="宋体"/>
          <w:color w:val="000000" w:themeColor="text1"/>
          <w:highlight w:val="none"/>
          <w14:textFill>
            <w14:solidFill>
              <w14:schemeClr w14:val="tx1"/>
            </w14:solidFill>
          </w14:textFill>
        </w:rPr>
        <w:t>。</w:t>
      </w:r>
      <w:r>
        <w:rPr>
          <w:rFonts w:hint="eastAsia"/>
          <w:b/>
          <w:color w:val="000000" w:themeColor="text1"/>
          <w:highlight w:val="none"/>
          <w14:textFill>
            <w14:solidFill>
              <w14:schemeClr w14:val="tx1"/>
            </w14:solidFill>
          </w14:textFill>
        </w:rPr>
        <w:t>供应商未在</w:t>
      </w:r>
      <w:r>
        <w:rPr>
          <w:b/>
          <w:color w:val="000000" w:themeColor="text1"/>
          <w:highlight w:val="none"/>
          <w14:textFill>
            <w14:solidFill>
              <w14:schemeClr w14:val="tx1"/>
            </w14:solidFill>
          </w14:textFill>
        </w:rPr>
        <w:t>规定的时间内解密</w:t>
      </w:r>
      <w:r>
        <w:rPr>
          <w:rFonts w:hint="eastAsia"/>
          <w:b/>
          <w:color w:val="000000" w:themeColor="text1"/>
          <w:highlight w:val="none"/>
          <w14:textFill>
            <w14:solidFill>
              <w14:schemeClr w14:val="tx1"/>
            </w14:solidFill>
          </w14:textFill>
        </w:rPr>
        <w:t>响应文件</w:t>
      </w:r>
      <w:r>
        <w:rPr>
          <w:b/>
          <w:color w:val="000000" w:themeColor="text1"/>
          <w:highlight w:val="none"/>
          <w14:textFill>
            <w14:solidFill>
              <w14:schemeClr w14:val="tx1"/>
            </w14:solidFill>
          </w14:textFill>
        </w:rPr>
        <w:t>或</w:t>
      </w:r>
      <w:r>
        <w:rPr>
          <w:rFonts w:hint="eastAsia"/>
          <w:b/>
          <w:color w:val="000000" w:themeColor="text1"/>
          <w:highlight w:val="none"/>
          <w14:textFill>
            <w14:solidFill>
              <w14:schemeClr w14:val="tx1"/>
            </w14:solidFill>
          </w14:textFill>
        </w:rPr>
        <w:t>者</w:t>
      </w:r>
      <w:r>
        <w:rPr>
          <w:b/>
          <w:color w:val="000000" w:themeColor="text1"/>
          <w:highlight w:val="none"/>
          <w14:textFill>
            <w14:solidFill>
              <w14:schemeClr w14:val="tx1"/>
            </w14:solidFill>
          </w14:textFill>
        </w:rPr>
        <w:t>解密失败的</w:t>
      </w:r>
      <w:r>
        <w:rPr>
          <w:rFonts w:hint="eastAsia"/>
          <w:b/>
          <w:color w:val="000000" w:themeColor="text1"/>
          <w:highlight w:val="none"/>
          <w14:textFill>
            <w14:solidFill>
              <w14:schemeClr w14:val="tx1"/>
            </w14:solidFill>
          </w14:textFill>
        </w:rPr>
        <w:t>，供应商</w:t>
      </w:r>
      <w:r>
        <w:rPr>
          <w:rFonts w:hint="eastAsia" w:ascii="宋体" w:hAnsi="宋体"/>
          <w:b/>
          <w:color w:val="000000" w:themeColor="text1"/>
          <w:szCs w:val="21"/>
          <w:highlight w:val="none"/>
          <w14:textFill>
            <w14:solidFill>
              <w14:schemeClr w14:val="tx1"/>
            </w14:solidFill>
          </w14:textFill>
        </w:rPr>
        <w:t>的响应文件作无效处理</w:t>
      </w:r>
      <w:r>
        <w:rPr>
          <w:b/>
          <w:color w:val="000000" w:themeColor="text1"/>
          <w:highlight w:val="none"/>
          <w14:textFill>
            <w14:solidFill>
              <w14:schemeClr w14:val="tx1"/>
            </w14:solidFill>
          </w14:textFill>
        </w:rPr>
        <w:t>。</w:t>
      </w:r>
    </w:p>
    <w:p w14:paraId="0F905E6F">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26</w:t>
      </w:r>
      <w:r>
        <w:rPr>
          <w:rFonts w:hint="eastAsia" w:ascii="黑体" w:hAnsi="黑体" w:eastAsia="黑体" w:cs="宋体"/>
          <w:b/>
          <w:bCs/>
          <w:color w:val="000000" w:themeColor="text1"/>
          <w:sz w:val="24"/>
          <w:highlight w:val="none"/>
          <w14:textFill>
            <w14:solidFill>
              <w14:schemeClr w14:val="tx1"/>
            </w14:solidFill>
          </w14:textFill>
        </w:rPr>
        <w:t>. 评审程序和评定成交的标准</w:t>
      </w:r>
    </w:p>
    <w:p w14:paraId="308377C1">
      <w:pPr>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26.1谈判小组按照“第四章评审程序和评定成交的标准”规定的评审程序对响应文件进行评审，并按照评定成交的标准推荐成交候选供应商。评审价相同时，成交候选供应商推荐顺序见</w:t>
      </w:r>
      <w:r>
        <w:rPr>
          <w:rFonts w:hint="eastAsia" w:ascii="宋体" w:hAnsi="宋体"/>
          <w:color w:val="000000" w:themeColor="text1"/>
          <w:szCs w:val="21"/>
          <w:highlight w:val="none"/>
          <w14:textFill>
            <w14:solidFill>
              <w14:schemeClr w14:val="tx1"/>
            </w14:solidFill>
          </w14:textFill>
        </w:rPr>
        <w:t>“供应商须知前附表”。</w:t>
      </w:r>
    </w:p>
    <w:p w14:paraId="3E96002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 xml:space="preserve">6.2 </w:t>
      </w:r>
      <w:r>
        <w:rPr>
          <w:rFonts w:hint="eastAsia" w:ascii="宋体" w:hAnsi="宋体"/>
          <w:color w:val="000000" w:themeColor="text1"/>
          <w:szCs w:val="21"/>
          <w:highlight w:val="none"/>
          <w14:textFill>
            <w14:solidFill>
              <w14:schemeClr w14:val="tx1"/>
            </w14:solidFill>
          </w14:textFill>
        </w:rPr>
        <w:t>商务/技术要求允许负偏离的条款数详见“供应商须知前附表”。</w:t>
      </w:r>
    </w:p>
    <w:p w14:paraId="1B8FC3B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26.3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7554E3A7">
      <w:pPr>
        <w:spacing w:line="360" w:lineRule="auto"/>
        <w:ind w:firstLine="420" w:firstLineChars="200"/>
        <w:rPr>
          <w:rFonts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w:t>
      </w:r>
      <w:r>
        <w:rPr>
          <w:rFonts w:ascii="宋体" w:hAnsi="宋体"/>
          <w:color w:val="000000" w:themeColor="text1"/>
          <w:highlight w:val="none"/>
          <w14:textFill>
            <w14:solidFill>
              <w14:schemeClr w14:val="tx1"/>
            </w14:solidFill>
          </w14:textFill>
        </w:rPr>
        <w:t>6.</w:t>
      </w:r>
      <w:r>
        <w:rPr>
          <w:rFonts w:hint="eastAsia" w:ascii="宋体"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54AE6E22">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（1）电子交易平台发生故障而无法登录访问的；</w:t>
      </w:r>
    </w:p>
    <w:p w14:paraId="42C400EB">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（2）电子交易平台应用或数据库出现错误，不能进行正常操作的；</w:t>
      </w:r>
    </w:p>
    <w:p w14:paraId="746406CB">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（3）电子交易平台发现严重安全漏洞，有潜在泄密危险的；</w:t>
      </w:r>
    </w:p>
    <w:p w14:paraId="3C658844">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（4）病毒发作导致不能进行正常操作的；</w:t>
      </w:r>
    </w:p>
    <w:p w14:paraId="1E296F8C">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（5）其他无法保证电子交易的公平、公正和安全的情况。</w:t>
      </w:r>
    </w:p>
    <w:p w14:paraId="36A91558">
      <w:pPr>
        <w:spacing w:line="360" w:lineRule="auto"/>
        <w:ind w:firstLine="420" w:firstLineChars="200"/>
        <w:rPr>
          <w:rFonts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26.</w:t>
      </w:r>
      <w:r>
        <w:rPr>
          <w:rFonts w:ascii="宋体"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FA48F63">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27</w:t>
      </w:r>
      <w:r>
        <w:rPr>
          <w:rFonts w:hint="eastAsia" w:ascii="黑体" w:hAnsi="黑体" w:eastAsia="黑体" w:cs="宋体"/>
          <w:b/>
          <w:bCs/>
          <w:color w:val="000000" w:themeColor="text1"/>
          <w:sz w:val="24"/>
          <w:highlight w:val="none"/>
          <w14:textFill>
            <w14:solidFill>
              <w14:schemeClr w14:val="tx1"/>
            </w14:solidFill>
          </w14:textFill>
        </w:rPr>
        <w:t>.确定成交供应商及结果公告</w:t>
      </w:r>
    </w:p>
    <w:p w14:paraId="371D883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27</w:t>
      </w: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kern w:val="0"/>
          <w:szCs w:val="21"/>
          <w:highlight w:val="none"/>
          <w14:textFill>
            <w14:solidFill>
              <w14:schemeClr w14:val="tx1"/>
            </w14:solidFill>
          </w14:textFill>
        </w:rPr>
        <w:t>采购</w:t>
      </w:r>
      <w:r>
        <w:rPr>
          <w:rFonts w:hint="eastAsia" w:ascii="宋体" w:hAnsi="宋体" w:cs="宋体"/>
          <w:color w:val="000000" w:themeColor="text1"/>
          <w:szCs w:val="21"/>
          <w:highlight w:val="none"/>
          <w14:textFill>
            <w14:solidFill>
              <w14:schemeClr w14:val="tx1"/>
            </w14:solidFill>
          </w14:textFill>
        </w:rPr>
        <w:t>代理</w:t>
      </w:r>
      <w:r>
        <w:rPr>
          <w:rFonts w:hint="eastAsia" w:ascii="宋体" w:hAnsi="宋体" w:cs="宋体"/>
          <w:color w:val="000000" w:themeColor="text1"/>
          <w:kern w:val="0"/>
          <w:szCs w:val="21"/>
          <w:highlight w:val="none"/>
          <w14:textFill>
            <w14:solidFill>
              <w14:schemeClr w14:val="tx1"/>
            </w14:solidFill>
          </w14:textFill>
        </w:rPr>
        <w:t>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02FF186C">
      <w:pPr>
        <w:pStyle w:val="10"/>
        <w:spacing w:line="360" w:lineRule="auto"/>
        <w:ind w:firstLine="420" w:firstLineChars="200"/>
        <w:rPr>
          <w:rFonts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27</w:t>
      </w:r>
      <w:r>
        <w:rPr>
          <w:rFonts w:hint="eastAsia" w:ascii="宋体" w:hAnsi="宋体" w:cs="宋体"/>
          <w:color w:val="000000" w:themeColor="text1"/>
          <w:kern w:val="0"/>
          <w:szCs w:val="21"/>
          <w:highlight w:val="none"/>
          <w14:textFill>
            <w14:solidFill>
              <w14:schemeClr w14:val="tx1"/>
            </w14:solidFill>
          </w14:textFill>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w:t>
      </w:r>
      <w:r>
        <w:rPr>
          <w:rFonts w:hint="eastAsia" w:ascii="宋体" w:hAnsi="宋体" w:cs="宋体"/>
          <w:color w:val="000000" w:themeColor="text1"/>
          <w:szCs w:val="21"/>
          <w:highlight w:val="none"/>
          <w14:textFill>
            <w14:solidFill>
              <w14:schemeClr w14:val="tx1"/>
            </w14:solidFill>
          </w14:textFill>
        </w:rPr>
        <w:t>重大税收违法失信主体</w:t>
      </w:r>
      <w:r>
        <w:rPr>
          <w:rFonts w:hint="eastAsia" w:ascii="宋体" w:hAnsi="宋体" w:cs="宋体"/>
          <w:color w:val="000000" w:themeColor="text1"/>
          <w:kern w:val="0"/>
          <w:szCs w:val="21"/>
          <w:highlight w:val="none"/>
          <w14:textFill>
            <w14:solidFill>
              <w14:schemeClr w14:val="tx1"/>
            </w14:solidFill>
          </w14:textFill>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cs="Courier New"/>
          <w:color w:val="000000" w:themeColor="text1"/>
          <w:szCs w:val="21"/>
          <w:highlight w:val="none"/>
          <w14:textFill>
            <w14:solidFill>
              <w14:schemeClr w14:val="tx1"/>
            </w14:solidFill>
          </w14:textFill>
        </w:rPr>
        <w:t>成交供应商享受《政府采购促进中小企业发展管理办法》（财库〔2020〕46号）规定的中小企业扶持政策的，采购人、采购代理机构应当随成交结果公开成交供应商的《中小企业声明函》。</w:t>
      </w:r>
    </w:p>
    <w:p w14:paraId="0F589F6F">
      <w:pPr>
        <w:pStyle w:val="1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27.3出现下列情形之一的，采购人或者采购代理机构应当终止竞争性谈判采购活动，发布项目终止公告并说明原因，重新开展采购活动：</w:t>
      </w:r>
    </w:p>
    <w:p w14:paraId="55E921A5">
      <w:pPr>
        <w:pStyle w:val="1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（1）因情况变化，不再符合规定的竞争性谈判采购方式适用情形的；</w:t>
      </w:r>
    </w:p>
    <w:p w14:paraId="6BBC89E2">
      <w:pPr>
        <w:pStyle w:val="1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（2）出现影响采购公正的违法、违规行为的；</w:t>
      </w:r>
    </w:p>
    <w:p w14:paraId="3B02A63A">
      <w:pPr>
        <w:pStyle w:val="1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（3）在采购过程中符合竞争要求的供应商或者报价未超过采购预算的供应商不足3家的，但“第四章评审程序和评定成交的标准”第3.7条规定的情形除外。</w:t>
      </w:r>
    </w:p>
    <w:p w14:paraId="6FAFD41D">
      <w:pPr>
        <w:pStyle w:val="10"/>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27.4在采购活动中因重大变故，采购任务取消的，采购人或者采购代理机构应当终止采购活动，通知所有参加采购活动的供应商，并将项目实施情况和采购任务取消原因报送本级财政部门。</w:t>
      </w:r>
    </w:p>
    <w:p w14:paraId="47693C98">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28.履约保证金：</w:t>
      </w:r>
    </w:p>
    <w:p w14:paraId="2B4667F7">
      <w:pPr>
        <w:pStyle w:val="10"/>
        <w:spacing w:line="360" w:lineRule="auto"/>
        <w:ind w:firstLine="420" w:firstLineChars="200"/>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28.1履约保证金的金额、提交方式、退付的时间和条件详见 “供应商须知前附表”。成交供应商未按规定提交履约保证金的，视为拒绝</w:t>
      </w:r>
      <w:r>
        <w:rPr>
          <w:rFonts w:hint="eastAsia"/>
          <w:color w:val="000000" w:themeColor="text1"/>
          <w:highlight w:val="none"/>
          <w14:textFill>
            <w14:solidFill>
              <w14:schemeClr w14:val="tx1"/>
            </w14:solidFill>
          </w14:textFill>
        </w:rPr>
        <w:t>与采购人</w:t>
      </w:r>
      <w:r>
        <w:rPr>
          <w:rFonts w:hint="eastAsia" w:ascii="宋体" w:hAnsi="宋体" w:cs="宋体"/>
          <w:color w:val="000000" w:themeColor="text1"/>
          <w:szCs w:val="21"/>
          <w:highlight w:val="none"/>
          <w14:textFill>
            <w14:solidFill>
              <w14:schemeClr w14:val="tx1"/>
            </w14:solidFill>
          </w14:textFill>
        </w:rPr>
        <w:t>签订合同。</w:t>
      </w:r>
    </w:p>
    <w:p w14:paraId="470F32EA">
      <w:pPr>
        <w:spacing w:line="360" w:lineRule="auto"/>
        <w:ind w:firstLine="424" w:firstLineChars="202"/>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28.2在履约保证金退还日期前，若成交供应商的开户名称、开户银行、账号有变动的，请以书面形式通知履约保证金收取单位，否则由此产生的后果由成交供应商自负。</w:t>
      </w:r>
    </w:p>
    <w:p w14:paraId="2D212016">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29</w:t>
      </w:r>
      <w:r>
        <w:rPr>
          <w:rFonts w:hint="eastAsia" w:ascii="黑体" w:hAnsi="黑体" w:eastAsia="黑体" w:cs="宋体"/>
          <w:b/>
          <w:bCs/>
          <w:color w:val="000000" w:themeColor="text1"/>
          <w:sz w:val="24"/>
          <w:highlight w:val="none"/>
          <w14:textFill>
            <w14:solidFill>
              <w14:schemeClr w14:val="tx1"/>
            </w14:solidFill>
          </w14:textFill>
        </w:rPr>
        <w:t>.签订合同</w:t>
      </w:r>
    </w:p>
    <w:p w14:paraId="6AD8C71A">
      <w:pPr>
        <w:spacing w:line="360" w:lineRule="auto"/>
        <w:ind w:firstLine="424" w:firstLineChars="202"/>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29.1签订电子采购合同：成交供应商领取电子成交通知书后，在</w:t>
      </w:r>
      <w:r>
        <w:rPr>
          <w:rFonts w:hint="eastAsia" w:ascii="宋体" w:hAnsi="宋体" w:cs="宋体"/>
          <w:color w:val="000000" w:themeColor="text1"/>
          <w:szCs w:val="21"/>
          <w:highlight w:val="none"/>
          <w:lang w:val="zh-CN"/>
          <w14:textFill>
            <w14:solidFill>
              <w14:schemeClr w14:val="tx1"/>
            </w14:solidFill>
          </w14:textFill>
        </w:rPr>
        <w:t>规定的日期、时间、地点，由法定代表人或其授权代表与采购人代表签订电子采购合同。如成交供应商为联合体的，由联合体成员各方法定代表人或其授权代表与采购人代表签订合同。</w:t>
      </w:r>
    </w:p>
    <w:p w14:paraId="195B2BDB">
      <w:pPr>
        <w:spacing w:line="360" w:lineRule="auto"/>
        <w:ind w:firstLine="424" w:firstLineChars="202"/>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线下签订纸质合同：供应商领取成交通知书后，按“供应商须知前附表”规定向采购人出示相关证明材料，经采购人核验合格后方可签订合同。</w:t>
      </w:r>
    </w:p>
    <w:p w14:paraId="59AE2A54">
      <w:pPr>
        <w:spacing w:line="360" w:lineRule="auto"/>
        <w:ind w:firstLine="424" w:firstLineChars="202"/>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29.2签订合同时间：按成交通知书规定的时间与采购人签订合同。</w:t>
      </w:r>
    </w:p>
    <w:p w14:paraId="099AB415">
      <w:pPr>
        <w:spacing w:line="360" w:lineRule="auto"/>
        <w:ind w:firstLine="424" w:firstLineChars="202"/>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0EFB3BC2">
      <w:pPr>
        <w:spacing w:line="360" w:lineRule="auto"/>
        <w:ind w:firstLine="424" w:firstLineChars="202"/>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73048CF">
      <w:pPr>
        <w:spacing w:line="360" w:lineRule="auto"/>
        <w:ind w:firstLine="424" w:firstLineChars="202"/>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29.5采购人或成交供应商不得单方面向合同另一方提出任何谈判文件没有约定的条件或不合理的要求，作为签订合同的条件；也不得协商另行订立背离谈判文件和合同实质性内容的协议。</w:t>
      </w:r>
    </w:p>
    <w:p w14:paraId="7266040A">
      <w:pPr>
        <w:spacing w:line="360" w:lineRule="auto"/>
        <w:ind w:firstLine="424" w:firstLineChars="202"/>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29.6如签订合同并生效后，供应商无故拒绝或延期，除按照合同条款处理外，将承担相应的法律责任。</w:t>
      </w:r>
    </w:p>
    <w:p w14:paraId="4EB5E17A">
      <w:pPr>
        <w:spacing w:line="360" w:lineRule="auto"/>
        <w:ind w:firstLine="424" w:firstLineChars="202"/>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3297EA40">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30</w:t>
      </w:r>
      <w:r>
        <w:rPr>
          <w:rFonts w:hint="eastAsia" w:ascii="黑体" w:hAnsi="黑体" w:eastAsia="黑体" w:cs="宋体"/>
          <w:b/>
          <w:bCs/>
          <w:color w:val="000000" w:themeColor="text1"/>
          <w:sz w:val="24"/>
          <w:highlight w:val="none"/>
          <w14:textFill>
            <w14:solidFill>
              <w14:schemeClr w14:val="tx1"/>
            </w14:solidFill>
          </w14:textFill>
        </w:rPr>
        <w:t>.政府采购合同公告</w:t>
      </w:r>
    </w:p>
    <w:p w14:paraId="0902666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3C2040E2">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31</w:t>
      </w:r>
      <w:r>
        <w:rPr>
          <w:rFonts w:hint="eastAsia" w:ascii="黑体" w:hAnsi="黑体" w:eastAsia="黑体" w:cs="宋体"/>
          <w:b/>
          <w:bCs/>
          <w:color w:val="000000" w:themeColor="text1"/>
          <w:sz w:val="24"/>
          <w:highlight w:val="none"/>
          <w14:textFill>
            <w14:solidFill>
              <w14:schemeClr w14:val="tx1"/>
            </w14:solidFill>
          </w14:textFill>
        </w:rPr>
        <w:t>. 询问、质疑和投诉</w:t>
      </w:r>
    </w:p>
    <w:p w14:paraId="3C65FD69">
      <w:pPr>
        <w:pStyle w:val="7"/>
        <w:spacing w:after="120" w:line="360" w:lineRule="auto"/>
        <w:rPr>
          <w:rFonts w:ascii="宋体" w:hAnsi="宋体"/>
          <w:color w:val="000000" w:themeColor="text1"/>
          <w:szCs w:val="2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31</w:t>
      </w:r>
      <w:r>
        <w:rPr>
          <w:rFonts w:hint="eastAsia" w:ascii="宋体" w:hAnsi="宋体" w:cs="宋体"/>
          <w:color w:val="000000" w:themeColor="text1"/>
          <w:highlight w:val="none"/>
          <w14:textFill>
            <w14:solidFill>
              <w14:schemeClr w14:val="tx1"/>
            </w14:solidFill>
          </w14:textFill>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000000" w:themeColor="text1"/>
          <w:szCs w:val="21"/>
          <w:highlight w:val="none"/>
          <w14:textFill>
            <w14:solidFill>
              <w14:schemeClr w14:val="tx1"/>
            </w14:solidFill>
          </w14:textFill>
        </w:rPr>
        <w:t>但答复的内容不得涉及商业秘密。</w:t>
      </w:r>
    </w:p>
    <w:p w14:paraId="2FB780C8">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31</w:t>
      </w:r>
      <w:r>
        <w:rPr>
          <w:rFonts w:hint="eastAsia" w:ascii="宋体" w:hAnsi="宋体" w:cs="宋体"/>
          <w:color w:val="000000" w:themeColor="text1"/>
          <w:highlight w:val="none"/>
          <w14:textFill>
            <w14:solidFill>
              <w14:schemeClr w14:val="tx1"/>
            </w14:solidFill>
          </w14:textFill>
        </w:rPr>
        <w:t>.2供应商认为谈判文件、采购过程或者成交结果使自己的合法权益受到损害的，应当在知道或者应知其权益受到损害之日起7个工作日内，以书面形式向采购人、采购代理机构提出质疑，</w:t>
      </w:r>
      <w:r>
        <w:rPr>
          <w:rFonts w:ascii="Arial" w:hAnsi="Arial" w:cs="Arial"/>
          <w:color w:val="000000" w:themeColor="text1"/>
          <w:highlight w:val="none"/>
          <w:shd w:val="clear" w:color="auto" w:fill="FFFFFF"/>
          <w14:textFill>
            <w14:solidFill>
              <w14:schemeClr w14:val="tx1"/>
            </w14:solidFill>
          </w14:textFill>
        </w:rPr>
        <w:t>接收质疑函的方式、联系部门、联系电话和通讯地址等信息</w:t>
      </w:r>
      <w:r>
        <w:rPr>
          <w:rFonts w:hint="eastAsia" w:ascii="宋体" w:hAnsi="宋体" w:cs="宋体"/>
          <w:color w:val="000000" w:themeColor="text1"/>
          <w:szCs w:val="21"/>
          <w:highlight w:val="none"/>
          <w14:textFill>
            <w14:solidFill>
              <w14:schemeClr w14:val="tx1"/>
            </w14:solidFill>
          </w14:textFill>
        </w:rPr>
        <w:t>详见“供应商须知前附表”</w:t>
      </w:r>
      <w:r>
        <w:rPr>
          <w:rFonts w:hint="eastAsia" w:ascii="宋体" w:hAnsi="宋体" w:cs="宋体"/>
          <w:color w:val="000000" w:themeColor="text1"/>
          <w:highlight w:val="none"/>
          <w14:textFill>
            <w14:solidFill>
              <w14:schemeClr w14:val="tx1"/>
            </w14:solidFill>
          </w14:textFill>
        </w:rPr>
        <w:t>。具体质疑起算时间如下：</w:t>
      </w:r>
    </w:p>
    <w:p w14:paraId="2DD4581E">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（1）对可以质疑的谈判文件提出质疑的，为获取谈判文件之日；</w:t>
      </w:r>
    </w:p>
    <w:p w14:paraId="46453A1C">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（2）对采购过程提出质疑的，为各采购程序环节结束之日；</w:t>
      </w:r>
    </w:p>
    <w:p w14:paraId="68D31B63">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（3）对成交结果提出质疑的，为成交结果公告期限届满之日。</w:t>
      </w:r>
    </w:p>
    <w:p w14:paraId="05CE8F4B">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31</w:t>
      </w:r>
      <w:r>
        <w:rPr>
          <w:rFonts w:hint="eastAsia" w:ascii="宋体" w:hAnsi="宋体" w:cs="宋体"/>
          <w:color w:val="000000" w:themeColor="text1"/>
          <w:highlight w:val="none"/>
          <w14:textFill>
            <w14:solidFill>
              <w14:schemeClr w14:val="tx1"/>
            </w14:solidFill>
          </w14:textFill>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605BDA0E">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31</w:t>
      </w:r>
      <w:r>
        <w:rPr>
          <w:rFonts w:hint="eastAsia" w:ascii="宋体" w:hAnsi="宋体" w:cs="宋体"/>
          <w:color w:val="000000" w:themeColor="text1"/>
          <w:highlight w:val="none"/>
          <w14:textFill>
            <w14:solidFill>
              <w14:schemeClr w14:val="tx1"/>
            </w14:solidFill>
          </w14:textFill>
        </w:rPr>
        <w:t>.4供应商提出质疑应当提交质疑函和必要的证明材料，针对同一采购程序环节的质疑必须在法定质疑期内一次性提出。质疑函应当包括下列内容</w:t>
      </w:r>
      <w:r>
        <w:rPr>
          <w:rFonts w:hint="eastAsia" w:hAnsi="宋体"/>
          <w:bCs/>
          <w:color w:val="000000" w:themeColor="text1"/>
          <w:highlight w:val="none"/>
          <w14:textFill>
            <w14:solidFill>
              <w14:schemeClr w14:val="tx1"/>
            </w14:solidFill>
          </w14:textFill>
        </w:rPr>
        <w:t>（质疑函格式后附）</w:t>
      </w:r>
      <w:r>
        <w:rPr>
          <w:rFonts w:hint="eastAsia" w:ascii="宋体" w:hAnsi="宋体" w:cs="宋体"/>
          <w:color w:val="000000" w:themeColor="text1"/>
          <w:highlight w:val="none"/>
          <w14:textFill>
            <w14:solidFill>
              <w14:schemeClr w14:val="tx1"/>
            </w14:solidFill>
          </w14:textFill>
        </w:rPr>
        <w:t>：</w:t>
      </w:r>
    </w:p>
    <w:p w14:paraId="3EC93290">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（1）供应商的姓名或者名称、地址、邮编、联系人及联系电话；</w:t>
      </w:r>
    </w:p>
    <w:p w14:paraId="47A5923B">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（2）质疑项目的名称、编号；</w:t>
      </w:r>
    </w:p>
    <w:p w14:paraId="35E7CC0F">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（3）具体、明确的质疑事项和与质疑事项相关的请求；</w:t>
      </w:r>
    </w:p>
    <w:p w14:paraId="188C2123">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（4）事实依据；</w:t>
      </w:r>
    </w:p>
    <w:p w14:paraId="52DFEC58">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（5）必要的法律依据；</w:t>
      </w:r>
    </w:p>
    <w:p w14:paraId="737AC162">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（6）提出质疑的日期。</w:t>
      </w:r>
    </w:p>
    <w:p w14:paraId="4759CF80">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5B7A47ED">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ascii="宋体" w:hAnsi="宋体" w:cs="宋体"/>
          <w:color w:val="000000" w:themeColor="text1"/>
          <w:highlight w:val="none"/>
          <w14:textFill>
            <w14:solidFill>
              <w14:schemeClr w14:val="tx1"/>
            </w14:solidFill>
          </w14:textFill>
        </w:rPr>
        <w:t>1.5</w:t>
      </w:r>
      <w:r>
        <w:rPr>
          <w:rFonts w:hint="eastAsia" w:ascii="宋体" w:hAnsi="宋体" w:cs="宋体"/>
          <w:color w:val="000000" w:themeColor="text1"/>
          <w:highlight w:val="none"/>
          <w14:textFill>
            <w14:solidFill>
              <w14:schemeClr w14:val="tx1"/>
            </w14:solidFill>
          </w14:textFill>
        </w:rPr>
        <w:t>采购人、采购代理机构认为供应商质疑不成立，或者成立但未对成交结果构成影响的，继续开展采购活动；认为供应商质疑成立且影响或者可能影响成交结果的，按照下列情况处理：</w:t>
      </w:r>
    </w:p>
    <w:p w14:paraId="7D26348C">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3DBADCD0">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44B5FE70">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质疑答复导致成交结果改变的，采购人或者采购代理机构应当将有关情况书面报告本级财政部门。</w:t>
      </w:r>
    </w:p>
    <w:p w14:paraId="14EEF797">
      <w:pPr>
        <w:spacing w:line="360" w:lineRule="auto"/>
        <w:ind w:firstLine="420" w:firstLineChars="200"/>
        <w:rPr>
          <w:rFonts w:ascii="宋体" w:hAnsi="宋体" w:cs="宋体"/>
          <w:b/>
          <w:bCs/>
          <w:color w:val="000000" w:themeColor="text1"/>
          <w:szCs w:val="2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31</w:t>
      </w:r>
      <w:r>
        <w:rPr>
          <w:rFonts w:hint="eastAsia" w:ascii="宋体" w:hAnsi="宋体" w:cs="宋体"/>
          <w:color w:val="000000" w:themeColor="text1"/>
          <w:highlight w:val="none"/>
          <w14:textFill>
            <w14:solidFill>
              <w14:schemeClr w14:val="tx1"/>
            </w14:solidFill>
          </w14:textFill>
        </w:rPr>
        <w:t>.</w:t>
      </w:r>
      <w:r>
        <w:rPr>
          <w:rFonts w:ascii="宋体" w:hAnsi="宋体" w:cs="宋体"/>
          <w:color w:val="000000" w:themeColor="text1"/>
          <w:highlight w:val="none"/>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2E9D1AB9">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w:t>
      </w:r>
      <w:r>
        <w:rPr>
          <w:rFonts w:ascii="黑体" w:hAnsi="黑体" w:eastAsia="黑体" w:cs="宋体"/>
          <w:b/>
          <w:bCs/>
          <w:color w:val="000000" w:themeColor="text1"/>
          <w:sz w:val="24"/>
          <w:highlight w:val="none"/>
          <w14:textFill>
            <w14:solidFill>
              <w14:schemeClr w14:val="tx1"/>
            </w14:solidFill>
          </w14:textFill>
        </w:rPr>
        <w:t>2.</w:t>
      </w:r>
      <w:r>
        <w:rPr>
          <w:rFonts w:hint="eastAsia" w:ascii="黑体" w:hAnsi="黑体" w:eastAsia="黑体" w:cs="宋体"/>
          <w:b/>
          <w:bCs/>
          <w:color w:val="000000" w:themeColor="text1"/>
          <w:sz w:val="24"/>
          <w:highlight w:val="none"/>
          <w14:textFill>
            <w14:solidFill>
              <w14:schemeClr w14:val="tx1"/>
            </w14:solidFill>
          </w14:textFill>
        </w:rPr>
        <w:t>其他内容</w:t>
      </w:r>
    </w:p>
    <w:p w14:paraId="5C16EDE4">
      <w:pPr>
        <w:tabs>
          <w:tab w:val="left" w:pos="2835"/>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32</w:t>
      </w:r>
      <w:r>
        <w:rPr>
          <w:rFonts w:hint="eastAsia" w:ascii="宋体" w:hAnsi="宋体" w:cs="宋体"/>
          <w:color w:val="000000" w:themeColor="text1"/>
          <w:szCs w:val="21"/>
          <w:highlight w:val="none"/>
          <w14:textFill>
            <w14:solidFill>
              <w14:schemeClr w14:val="tx1"/>
            </w14:solidFill>
          </w14:textFill>
        </w:rPr>
        <w:t>.1代理服务收取标准详见“供应商须知前附表”，供应商为联合体的，可以由联合体中的一方或者多方共同交纳代理服务费：</w:t>
      </w:r>
    </w:p>
    <w:tbl>
      <w:tblPr>
        <w:tblStyle w:val="28"/>
        <w:tblW w:w="820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7D5C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76B136FD">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费率</w:t>
            </w:r>
          </w:p>
          <w:p w14:paraId="07978F16">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金额</w:t>
            </w:r>
          </w:p>
        </w:tc>
        <w:tc>
          <w:tcPr>
            <w:tcW w:w="1659" w:type="dxa"/>
            <w:vAlign w:val="center"/>
          </w:tcPr>
          <w:p w14:paraId="5C58E62E">
            <w:pPr>
              <w:spacing w:line="360" w:lineRule="auto"/>
              <w:ind w:firstLine="105" w:firstLineChars="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货物类</w:t>
            </w:r>
          </w:p>
        </w:tc>
        <w:tc>
          <w:tcPr>
            <w:tcW w:w="1532" w:type="dxa"/>
            <w:vAlign w:val="center"/>
          </w:tcPr>
          <w:p w14:paraId="59834C79">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服务类</w:t>
            </w:r>
          </w:p>
        </w:tc>
        <w:tc>
          <w:tcPr>
            <w:tcW w:w="1546" w:type="dxa"/>
            <w:vAlign w:val="center"/>
          </w:tcPr>
          <w:p w14:paraId="1D19AF07">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工程类</w:t>
            </w:r>
          </w:p>
        </w:tc>
      </w:tr>
      <w:tr w14:paraId="4A119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A769226">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100万元以下</w:t>
            </w:r>
          </w:p>
        </w:tc>
        <w:tc>
          <w:tcPr>
            <w:tcW w:w="1659" w:type="dxa"/>
          </w:tcPr>
          <w:p w14:paraId="11D1B185">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  1.5%                </w:t>
            </w:r>
          </w:p>
        </w:tc>
        <w:tc>
          <w:tcPr>
            <w:tcW w:w="1532" w:type="dxa"/>
          </w:tcPr>
          <w:p w14:paraId="3493FC81">
            <w:pPr>
              <w:spacing w:line="360" w:lineRule="auto"/>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1.5%</w:t>
            </w:r>
          </w:p>
        </w:tc>
        <w:tc>
          <w:tcPr>
            <w:tcW w:w="1546" w:type="dxa"/>
          </w:tcPr>
          <w:p w14:paraId="2C4ABBC1">
            <w:pPr>
              <w:spacing w:line="360" w:lineRule="auto"/>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1.0% </w:t>
            </w:r>
          </w:p>
        </w:tc>
      </w:tr>
      <w:tr w14:paraId="61780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07DD2AC">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100～500万元</w:t>
            </w:r>
          </w:p>
        </w:tc>
        <w:tc>
          <w:tcPr>
            <w:tcW w:w="1659" w:type="dxa"/>
          </w:tcPr>
          <w:p w14:paraId="1607E3F5">
            <w:pPr>
              <w:spacing w:line="360" w:lineRule="auto"/>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1.1%                 </w:t>
            </w:r>
          </w:p>
        </w:tc>
        <w:tc>
          <w:tcPr>
            <w:tcW w:w="1532" w:type="dxa"/>
          </w:tcPr>
          <w:p w14:paraId="47C0EED1">
            <w:pPr>
              <w:spacing w:line="360" w:lineRule="auto"/>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0.8%</w:t>
            </w:r>
          </w:p>
        </w:tc>
        <w:tc>
          <w:tcPr>
            <w:tcW w:w="1546" w:type="dxa"/>
          </w:tcPr>
          <w:p w14:paraId="4F96A656">
            <w:pPr>
              <w:spacing w:line="360" w:lineRule="auto"/>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0.7% </w:t>
            </w:r>
          </w:p>
        </w:tc>
      </w:tr>
      <w:tr w14:paraId="63BDD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48A7F18">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500～1000万元</w:t>
            </w:r>
          </w:p>
        </w:tc>
        <w:tc>
          <w:tcPr>
            <w:tcW w:w="1659" w:type="dxa"/>
          </w:tcPr>
          <w:p w14:paraId="603AA0CC">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  0.8%                </w:t>
            </w:r>
          </w:p>
        </w:tc>
        <w:tc>
          <w:tcPr>
            <w:tcW w:w="1532" w:type="dxa"/>
          </w:tcPr>
          <w:p w14:paraId="44378D39">
            <w:pPr>
              <w:spacing w:line="360" w:lineRule="auto"/>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0.45%</w:t>
            </w:r>
          </w:p>
        </w:tc>
        <w:tc>
          <w:tcPr>
            <w:tcW w:w="1546" w:type="dxa"/>
          </w:tcPr>
          <w:p w14:paraId="223198C1">
            <w:pPr>
              <w:spacing w:line="360" w:lineRule="auto"/>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0.55%</w:t>
            </w:r>
          </w:p>
        </w:tc>
      </w:tr>
      <w:tr w14:paraId="77392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5F322CC">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1000～5000万元</w:t>
            </w:r>
          </w:p>
        </w:tc>
        <w:tc>
          <w:tcPr>
            <w:tcW w:w="1659" w:type="dxa"/>
          </w:tcPr>
          <w:p w14:paraId="5B8AA25B">
            <w:pPr>
              <w:spacing w:line="360" w:lineRule="auto"/>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0.5%                </w:t>
            </w:r>
          </w:p>
        </w:tc>
        <w:tc>
          <w:tcPr>
            <w:tcW w:w="1532" w:type="dxa"/>
          </w:tcPr>
          <w:p w14:paraId="70836A60">
            <w:pPr>
              <w:spacing w:line="360" w:lineRule="auto"/>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0.25%</w:t>
            </w:r>
          </w:p>
        </w:tc>
        <w:tc>
          <w:tcPr>
            <w:tcW w:w="1546" w:type="dxa"/>
          </w:tcPr>
          <w:p w14:paraId="7C94E599">
            <w:pPr>
              <w:spacing w:line="360" w:lineRule="auto"/>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0.35% </w:t>
            </w:r>
          </w:p>
        </w:tc>
      </w:tr>
      <w:tr w14:paraId="3C2C9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5BAD2A0">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5000万元～1亿元</w:t>
            </w:r>
          </w:p>
        </w:tc>
        <w:tc>
          <w:tcPr>
            <w:tcW w:w="1659" w:type="dxa"/>
          </w:tcPr>
          <w:p w14:paraId="4B2F3A23">
            <w:pPr>
              <w:spacing w:line="360" w:lineRule="auto"/>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0.25%                 </w:t>
            </w:r>
          </w:p>
        </w:tc>
        <w:tc>
          <w:tcPr>
            <w:tcW w:w="1532" w:type="dxa"/>
          </w:tcPr>
          <w:p w14:paraId="6DD62DC6">
            <w:pPr>
              <w:spacing w:line="360" w:lineRule="auto"/>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0.1%</w:t>
            </w:r>
          </w:p>
        </w:tc>
        <w:tc>
          <w:tcPr>
            <w:tcW w:w="1546" w:type="dxa"/>
          </w:tcPr>
          <w:p w14:paraId="4CA6F5B2">
            <w:pPr>
              <w:spacing w:line="360" w:lineRule="auto"/>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0.2%</w:t>
            </w:r>
          </w:p>
        </w:tc>
      </w:tr>
      <w:tr w14:paraId="5CB18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57958F7">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1～5亿元</w:t>
            </w:r>
          </w:p>
        </w:tc>
        <w:tc>
          <w:tcPr>
            <w:tcW w:w="1659" w:type="dxa"/>
          </w:tcPr>
          <w:p w14:paraId="6B56C562">
            <w:pPr>
              <w:spacing w:line="360" w:lineRule="auto"/>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0.05%</w:t>
            </w:r>
          </w:p>
        </w:tc>
        <w:tc>
          <w:tcPr>
            <w:tcW w:w="1532" w:type="dxa"/>
          </w:tcPr>
          <w:p w14:paraId="7ADF2FA4">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0.05%</w:t>
            </w:r>
          </w:p>
        </w:tc>
        <w:tc>
          <w:tcPr>
            <w:tcW w:w="1546" w:type="dxa"/>
          </w:tcPr>
          <w:p w14:paraId="5F33AE46">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0.05%</w:t>
            </w:r>
          </w:p>
        </w:tc>
      </w:tr>
      <w:tr w14:paraId="51CA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24064D8">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5～10亿元</w:t>
            </w:r>
          </w:p>
        </w:tc>
        <w:tc>
          <w:tcPr>
            <w:tcW w:w="1659" w:type="dxa"/>
          </w:tcPr>
          <w:p w14:paraId="1B697BAD">
            <w:pPr>
              <w:spacing w:line="360" w:lineRule="auto"/>
              <w:ind w:firstLine="105" w:firstLineChars="5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0.035%</w:t>
            </w:r>
          </w:p>
        </w:tc>
        <w:tc>
          <w:tcPr>
            <w:tcW w:w="1532" w:type="dxa"/>
          </w:tcPr>
          <w:p w14:paraId="38BA6115">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0.035%</w:t>
            </w:r>
          </w:p>
        </w:tc>
        <w:tc>
          <w:tcPr>
            <w:tcW w:w="1546" w:type="dxa"/>
          </w:tcPr>
          <w:p w14:paraId="612B362C">
            <w:pPr>
              <w:spacing w:line="360" w:lineRule="auto"/>
              <w:ind w:firstLine="105" w:firstLineChars="5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0.035%</w:t>
            </w:r>
          </w:p>
        </w:tc>
      </w:tr>
      <w:tr w14:paraId="71B6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2D8E047">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10～50亿元</w:t>
            </w:r>
          </w:p>
        </w:tc>
        <w:tc>
          <w:tcPr>
            <w:tcW w:w="1659" w:type="dxa"/>
          </w:tcPr>
          <w:p w14:paraId="6520D8E9">
            <w:pPr>
              <w:spacing w:line="360" w:lineRule="auto"/>
              <w:ind w:firstLine="105" w:firstLineChars="5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c>
          <w:tcPr>
            <w:tcW w:w="1532" w:type="dxa"/>
          </w:tcPr>
          <w:p w14:paraId="382E49AC">
            <w:pPr>
              <w:spacing w:line="360" w:lineRule="auto"/>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c>
          <w:tcPr>
            <w:tcW w:w="1546" w:type="dxa"/>
          </w:tcPr>
          <w:p w14:paraId="62CD1BF5">
            <w:pPr>
              <w:spacing w:line="360" w:lineRule="auto"/>
              <w:ind w:firstLine="105" w:firstLineChars="5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r>
      <w:tr w14:paraId="5D72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D006DB5">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50～100亿元</w:t>
            </w:r>
          </w:p>
        </w:tc>
        <w:tc>
          <w:tcPr>
            <w:tcW w:w="1659" w:type="dxa"/>
          </w:tcPr>
          <w:p w14:paraId="147DA4E1">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0.006%</w:t>
            </w:r>
          </w:p>
        </w:tc>
        <w:tc>
          <w:tcPr>
            <w:tcW w:w="1532" w:type="dxa"/>
          </w:tcPr>
          <w:p w14:paraId="332B0369">
            <w:pPr>
              <w:spacing w:line="360" w:lineRule="auto"/>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0.006%</w:t>
            </w:r>
          </w:p>
        </w:tc>
        <w:tc>
          <w:tcPr>
            <w:tcW w:w="1546" w:type="dxa"/>
          </w:tcPr>
          <w:p w14:paraId="142EAB6A">
            <w:pPr>
              <w:spacing w:line="360" w:lineRule="auto"/>
              <w:ind w:firstLine="105" w:firstLineChars="5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0.006%</w:t>
            </w:r>
          </w:p>
        </w:tc>
      </w:tr>
      <w:tr w14:paraId="2726E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46DBB08">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100亿以上</w:t>
            </w:r>
          </w:p>
        </w:tc>
        <w:tc>
          <w:tcPr>
            <w:tcW w:w="1659" w:type="dxa"/>
          </w:tcPr>
          <w:p w14:paraId="50ACE843">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0.004%</w:t>
            </w:r>
          </w:p>
        </w:tc>
        <w:tc>
          <w:tcPr>
            <w:tcW w:w="1532" w:type="dxa"/>
          </w:tcPr>
          <w:p w14:paraId="145741B0">
            <w:pPr>
              <w:spacing w:line="360" w:lineRule="auto"/>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0.004%</w:t>
            </w:r>
          </w:p>
        </w:tc>
        <w:tc>
          <w:tcPr>
            <w:tcW w:w="1546" w:type="dxa"/>
          </w:tcPr>
          <w:p w14:paraId="727FAD43">
            <w:pPr>
              <w:spacing w:line="360" w:lineRule="auto"/>
              <w:ind w:firstLine="105" w:firstLineChars="5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0.004%</w:t>
            </w:r>
          </w:p>
        </w:tc>
      </w:tr>
    </w:tbl>
    <w:p w14:paraId="1ADCF2B2">
      <w:pPr>
        <w:spacing w:line="360" w:lineRule="auto"/>
        <w:ind w:firstLine="420" w:firstLineChars="200"/>
        <w:contextualSpacing/>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注：</w:t>
      </w:r>
    </w:p>
    <w:p w14:paraId="29575528">
      <w:pPr>
        <w:spacing w:line="360" w:lineRule="auto"/>
        <w:ind w:firstLine="420" w:firstLineChars="200"/>
        <w:contextualSpacing/>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r>
        <w:rPr>
          <w:rFonts w:ascii="宋体" w:hAnsi="宋体" w:cs="宋体"/>
          <w:color w:val="000000" w:themeColor="text1"/>
          <w:highlight w:val="none"/>
          <w14:textFill>
            <w14:solidFill>
              <w14:schemeClr w14:val="tx1"/>
            </w14:solidFill>
          </w14:textFill>
        </w:rPr>
        <w:t>按本表费率计算的收费为</w:t>
      </w:r>
      <w:r>
        <w:rPr>
          <w:rFonts w:hint="eastAsia" w:ascii="宋体" w:hAnsi="宋体" w:cs="宋体"/>
          <w:color w:val="000000" w:themeColor="text1"/>
          <w:highlight w:val="none"/>
          <w14:textFill>
            <w14:solidFill>
              <w14:schemeClr w14:val="tx1"/>
            </w14:solidFill>
          </w14:textFill>
        </w:rPr>
        <w:t>采购</w:t>
      </w:r>
      <w:r>
        <w:rPr>
          <w:rFonts w:ascii="宋体" w:hAnsi="宋体" w:cs="宋体"/>
          <w:color w:val="000000" w:themeColor="text1"/>
          <w:highlight w:val="none"/>
          <w14:textFill>
            <w14:solidFill>
              <w14:schemeClr w14:val="tx1"/>
            </w14:solidFill>
          </w14:textFill>
        </w:rPr>
        <w:t>代理的收费基准价格</w:t>
      </w:r>
      <w:r>
        <w:rPr>
          <w:rFonts w:hint="eastAsia" w:ascii="宋体" w:hAnsi="宋体" w:cs="宋体"/>
          <w:color w:val="000000" w:themeColor="text1"/>
          <w:highlight w:val="none"/>
          <w14:textFill>
            <w14:solidFill>
              <w14:schemeClr w14:val="tx1"/>
            </w14:solidFill>
          </w14:textFill>
        </w:rPr>
        <w:t>；</w:t>
      </w:r>
    </w:p>
    <w:p w14:paraId="166AA5BE">
      <w:pPr>
        <w:spacing w:line="360" w:lineRule="auto"/>
        <w:ind w:firstLine="420" w:firstLineChars="200"/>
        <w:contextualSpacing/>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（2）采购</w:t>
      </w:r>
      <w:r>
        <w:rPr>
          <w:rFonts w:ascii="宋体" w:hAnsi="宋体" w:cs="宋体"/>
          <w:color w:val="000000" w:themeColor="text1"/>
          <w:highlight w:val="none"/>
          <w14:textFill>
            <w14:solidFill>
              <w14:schemeClr w14:val="tx1"/>
            </w14:solidFill>
          </w14:textFill>
        </w:rPr>
        <w:t>代理收费按差额定率累进法计算。</w:t>
      </w:r>
    </w:p>
    <w:p w14:paraId="14652512">
      <w:pPr>
        <w:spacing w:line="360" w:lineRule="auto"/>
        <w:ind w:firstLine="420" w:firstLineChars="200"/>
        <w:contextualSpacing/>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例如：某</w:t>
      </w:r>
      <w:r>
        <w:rPr>
          <w:rFonts w:hint="eastAsia" w:ascii="宋体" w:hAnsi="宋体" w:cs="宋体"/>
          <w:color w:val="000000" w:themeColor="text1"/>
          <w:highlight w:val="none"/>
          <w14:textFill>
            <w14:solidFill>
              <w14:schemeClr w14:val="tx1"/>
            </w14:solidFill>
          </w14:textFill>
        </w:rPr>
        <w:t>货物采购</w:t>
      </w:r>
      <w:r>
        <w:rPr>
          <w:rFonts w:ascii="宋体" w:hAnsi="宋体" w:cs="宋体"/>
          <w:color w:val="000000" w:themeColor="text1"/>
          <w:highlight w:val="none"/>
          <w14:textFill>
            <w14:solidFill>
              <w14:schemeClr w14:val="tx1"/>
            </w14:solidFill>
          </w14:textFill>
        </w:rPr>
        <w:t>代理业务</w:t>
      </w:r>
      <w:r>
        <w:rPr>
          <w:rFonts w:hint="eastAsia" w:ascii="宋体" w:hAnsi="宋体" w:cs="宋体"/>
          <w:color w:val="000000" w:themeColor="text1"/>
          <w:highlight w:val="none"/>
          <w14:textFill>
            <w14:solidFill>
              <w14:schemeClr w14:val="tx1"/>
            </w14:solidFill>
          </w14:textFill>
        </w:rPr>
        <w:t>成交</w:t>
      </w:r>
      <w:r>
        <w:rPr>
          <w:rFonts w:ascii="宋体" w:hAnsi="宋体" w:cs="宋体"/>
          <w:color w:val="000000" w:themeColor="text1"/>
          <w:highlight w:val="none"/>
          <w14:textFill>
            <w14:solidFill>
              <w14:schemeClr w14:val="tx1"/>
            </w14:solidFill>
          </w14:textFill>
        </w:rPr>
        <w:t>金额</w:t>
      </w:r>
      <w:r>
        <w:rPr>
          <w:rFonts w:hint="eastAsia" w:ascii="宋体" w:hAnsi="宋体" w:cs="宋体"/>
          <w:color w:val="000000" w:themeColor="text1"/>
          <w:highlight w:val="none"/>
          <w14:textFill>
            <w14:solidFill>
              <w14:schemeClr w14:val="tx1"/>
            </w14:solidFill>
          </w14:textFill>
        </w:rPr>
        <w:t>或者暂定价</w:t>
      </w:r>
      <w:r>
        <w:rPr>
          <w:rFonts w:ascii="宋体" w:hAnsi="宋体" w:cs="宋体"/>
          <w:color w:val="000000" w:themeColor="text1"/>
          <w:highlight w:val="none"/>
          <w14:textFill>
            <w14:solidFill>
              <w14:schemeClr w14:val="tx1"/>
            </w14:solidFill>
          </w14:textFill>
        </w:rPr>
        <w:t>为150万元，计算</w:t>
      </w:r>
      <w:r>
        <w:rPr>
          <w:rFonts w:hint="eastAsia" w:ascii="宋体" w:hAnsi="宋体" w:cs="宋体"/>
          <w:color w:val="000000" w:themeColor="text1"/>
          <w:highlight w:val="none"/>
          <w14:textFill>
            <w14:solidFill>
              <w14:schemeClr w14:val="tx1"/>
            </w14:solidFill>
          </w14:textFill>
        </w:rPr>
        <w:t>采购</w:t>
      </w:r>
      <w:r>
        <w:rPr>
          <w:rFonts w:ascii="宋体" w:hAnsi="宋体" w:cs="宋体"/>
          <w:color w:val="000000" w:themeColor="text1"/>
          <w:highlight w:val="none"/>
          <w14:textFill>
            <w14:solidFill>
              <w14:schemeClr w14:val="tx1"/>
            </w14:solidFill>
          </w14:textFill>
        </w:rPr>
        <w:t>代理收费额如下：</w:t>
      </w:r>
    </w:p>
    <w:p w14:paraId="074BDC1D">
      <w:pPr>
        <w:spacing w:line="360" w:lineRule="auto"/>
        <w:ind w:firstLine="420" w:firstLineChars="200"/>
        <w:contextualSpacing/>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100 万元 ×l.5 %＝ 1.5 万元</w:t>
      </w:r>
    </w:p>
    <w:p w14:paraId="0447FD56">
      <w:pPr>
        <w:spacing w:line="360" w:lineRule="auto"/>
        <w:ind w:firstLine="420" w:firstLineChars="200"/>
        <w:contextualSpacing/>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 150 － 100 ）万元 ×1.1%＝ 0.55 万元</w:t>
      </w:r>
    </w:p>
    <w:p w14:paraId="58CE7394">
      <w:pPr>
        <w:spacing w:line="360" w:lineRule="auto"/>
        <w:ind w:firstLine="420" w:firstLineChars="200"/>
        <w:contextualSpacing/>
        <w:rPr>
          <w:rFonts w:ascii="宋体" w:hAns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合计收费＝</w:t>
      </w:r>
      <w:r>
        <w:rPr>
          <w:rFonts w:hint="eastAsia" w:ascii="宋体" w:hAnsi="宋体" w:cs="宋体"/>
          <w:color w:val="000000" w:themeColor="text1"/>
          <w:highlight w:val="none"/>
          <w14:textFill>
            <w14:solidFill>
              <w14:schemeClr w14:val="tx1"/>
            </w14:solidFill>
          </w14:textFill>
        </w:rPr>
        <w:t>(</w:t>
      </w:r>
      <w:r>
        <w:rPr>
          <w:rFonts w:ascii="宋体" w:hAnsi="宋体" w:cs="宋体"/>
          <w:color w:val="000000" w:themeColor="text1"/>
          <w:highlight w:val="none"/>
          <w14:textFill>
            <w14:solidFill>
              <w14:schemeClr w14:val="tx1"/>
            </w14:solidFill>
          </w14:textFill>
        </w:rPr>
        <w:t xml:space="preserve"> 1.5 ＋ 0.55</w:t>
      </w:r>
      <w:r>
        <w:rPr>
          <w:rFonts w:hint="eastAsia" w:ascii="宋体" w:hAnsi="宋体" w:cs="宋体"/>
          <w:color w:val="000000" w:themeColor="text1"/>
          <w:highlight w:val="none"/>
          <w14:textFill>
            <w14:solidFill>
              <w14:schemeClr w14:val="tx1"/>
            </w14:solidFill>
          </w14:textFill>
        </w:rPr>
        <w:t>)</w:t>
      </w:r>
      <w:r>
        <w:rPr>
          <w:rFonts w:ascii="Arial" w:hAnsi="Arial" w:cs="Arial"/>
          <w:color w:val="000000" w:themeColor="text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0.8</w:t>
      </w:r>
      <w:r>
        <w:rPr>
          <w:rFonts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1.64</w:t>
      </w:r>
      <w:r>
        <w:rPr>
          <w:rFonts w:ascii="宋体" w:hAnsi="宋体" w:cs="宋体"/>
          <w:color w:val="000000" w:themeColor="text1"/>
          <w:highlight w:val="none"/>
          <w14:textFill>
            <w14:solidFill>
              <w14:schemeClr w14:val="tx1"/>
            </w14:solidFill>
          </w14:textFill>
        </w:rPr>
        <w:t>（万元）</w:t>
      </w:r>
    </w:p>
    <w:p w14:paraId="0334DC78">
      <w:pPr>
        <w:spacing w:line="360" w:lineRule="auto"/>
        <w:ind w:firstLine="482" w:firstLineChars="200"/>
        <w:contextualSpacing/>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33. 需要补充的其他内容</w:t>
      </w:r>
    </w:p>
    <w:p w14:paraId="1DFAAA0F">
      <w:pPr>
        <w:pStyle w:val="15"/>
        <w:spacing w:line="360" w:lineRule="auto"/>
        <w:ind w:firstLine="420" w:firstLineChars="200"/>
        <w:contextualSpacing/>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33.1</w:t>
      </w:r>
      <w:r>
        <w:rPr>
          <w:rFonts w:hint="eastAsia" w:hAnsi="宋体" w:cs="宋体"/>
          <w:color w:val="000000" w:themeColor="text1"/>
          <w:sz w:val="21"/>
          <w:highlight w:val="none"/>
          <w14:textFill>
            <w14:solidFill>
              <w14:schemeClr w14:val="tx1"/>
            </w14:solidFill>
          </w14:textFill>
        </w:rPr>
        <w:t>本谈判文件解释规则详见</w:t>
      </w:r>
      <w:r>
        <w:rPr>
          <w:rFonts w:hint="eastAsia" w:hAnsi="宋体"/>
          <w:color w:val="000000" w:themeColor="text1"/>
          <w:sz w:val="21"/>
          <w:highlight w:val="none"/>
          <w14:textFill>
            <w14:solidFill>
              <w14:schemeClr w14:val="tx1"/>
            </w14:solidFill>
          </w14:textFill>
        </w:rPr>
        <w:t>“供应商须知前附表”。</w:t>
      </w:r>
    </w:p>
    <w:p w14:paraId="345AB959">
      <w:pPr>
        <w:spacing w:line="360" w:lineRule="auto"/>
        <w:ind w:firstLine="420" w:firstLineChars="200"/>
        <w:contextualSpacing/>
        <w:rPr>
          <w:rFonts w:hAnsi="宋体"/>
          <w:color w:val="000000" w:themeColor="text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33.2</w:t>
      </w:r>
      <w:r>
        <w:rPr>
          <w:rFonts w:hint="eastAsia" w:ascii="宋体" w:hAnsi="宋体" w:cs="宋体"/>
          <w:color w:val="000000" w:themeColor="text1"/>
          <w:kern w:val="0"/>
          <w:szCs w:val="21"/>
          <w:highlight w:val="none"/>
          <w14:textFill>
            <w14:solidFill>
              <w14:schemeClr w14:val="tx1"/>
            </w14:solidFill>
          </w14:textFill>
        </w:rPr>
        <w:t>其他事</w:t>
      </w:r>
      <w:r>
        <w:rPr>
          <w:rFonts w:hint="eastAsia" w:hAnsi="宋体"/>
          <w:color w:val="000000" w:themeColor="text1"/>
          <w:highlight w:val="none"/>
          <w14:textFill>
            <w14:solidFill>
              <w14:schemeClr w14:val="tx1"/>
            </w14:solidFill>
          </w14:textFill>
        </w:rPr>
        <w:t>项详见“供应商须知前附表”。</w:t>
      </w:r>
    </w:p>
    <w:p w14:paraId="17856925">
      <w:pPr>
        <w:pStyle w:val="15"/>
        <w:spacing w:line="360" w:lineRule="auto"/>
        <w:ind w:firstLine="400" w:firstLineChars="200"/>
        <w:contextualSpacing/>
        <w:rPr>
          <w:rFonts w:hAnsi="宋体"/>
          <w:color w:val="000000" w:themeColor="text1"/>
          <w:sz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3</w:t>
      </w:r>
      <w:r>
        <w:rPr>
          <w:rFonts w:hAnsi="宋体"/>
          <w:color w:val="000000" w:themeColor="text1"/>
          <w:highlight w:val="none"/>
          <w14:textFill>
            <w14:solidFill>
              <w14:schemeClr w14:val="tx1"/>
            </w14:solidFill>
          </w14:textFill>
        </w:rPr>
        <w:t>3.3</w:t>
      </w:r>
      <w:bookmarkStart w:id="71" w:name="_Hlk65857140"/>
      <w:r>
        <w:rPr>
          <w:rFonts w:hint="eastAsia" w:hAnsi="宋体"/>
          <w:color w:val="000000" w:themeColor="text1"/>
          <w:sz w:val="21"/>
          <w:highlight w:val="none"/>
          <w14:textFill>
            <w14:solidFill>
              <w14:schemeClr w14:val="tx1"/>
            </w14:solidFill>
          </w14:textFill>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14:paraId="741F73CD">
      <w:pPr>
        <w:pStyle w:val="15"/>
        <w:spacing w:line="360" w:lineRule="auto"/>
        <w:ind w:firstLine="420" w:firstLineChars="200"/>
        <w:contextualSpacing/>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75AA649F">
      <w:pPr>
        <w:pStyle w:val="15"/>
        <w:spacing w:line="360" w:lineRule="auto"/>
        <w:ind w:firstLine="420" w:firstLineChars="200"/>
        <w:contextualSpacing/>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24E3305C">
      <w:pPr>
        <w:pStyle w:val="15"/>
        <w:spacing w:line="360" w:lineRule="auto"/>
        <w:ind w:firstLine="420" w:firstLineChars="200"/>
        <w:contextualSpacing/>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3AC2F1FE">
      <w:pPr>
        <w:pStyle w:val="15"/>
        <w:spacing w:line="360" w:lineRule="auto"/>
        <w:ind w:firstLine="420" w:firstLineChars="200"/>
        <w:contextualSpacing/>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63CA7C6E">
      <w:pPr>
        <w:spacing w:line="360" w:lineRule="auto"/>
        <w:ind w:firstLine="420" w:firstLineChars="200"/>
        <w:contextualSpacing/>
        <w:rPr>
          <w:rFonts w:ascii="宋体" w:hAnsi="宋体" w:cs="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依据本谈判文件规定享受扶持政策获得政府采购合同的，小微企业不得将合同分包给大中型企业，中型企业不得将合同分包给大型企业。</w:t>
      </w:r>
      <w:bookmarkEnd w:id="71"/>
    </w:p>
    <w:p w14:paraId="6A147C06">
      <w:pPr>
        <w:pStyle w:val="12"/>
        <w:ind w:left="1" w:firstLine="3" w:firstLineChars="1"/>
        <w:rPr>
          <w:rFonts w:hAnsi="宋体"/>
          <w:b/>
          <w:color w:val="000000" w:themeColor="text1"/>
          <w:sz w:val="32"/>
          <w:szCs w:val="32"/>
          <w:highlight w:val="none"/>
          <w14:textFill>
            <w14:solidFill>
              <w14:schemeClr w14:val="tx1"/>
            </w14:solidFill>
          </w14:textFill>
        </w:rPr>
      </w:pPr>
      <w:r>
        <w:rPr>
          <w:rFonts w:ascii="黑体" w:hAnsi="黑体" w:eastAsia="黑体" w:cs="黑体"/>
          <w:bCs/>
          <w:color w:val="000000" w:themeColor="text1"/>
          <w:sz w:val="32"/>
          <w:szCs w:val="32"/>
          <w:highlight w:val="none"/>
          <w14:textFill>
            <w14:solidFill>
              <w14:schemeClr w14:val="tx1"/>
            </w14:solidFill>
          </w14:textFill>
        </w:rPr>
        <w:br w:type="page"/>
      </w:r>
    </w:p>
    <w:p w14:paraId="2EE6D9E2">
      <w:pPr>
        <w:pStyle w:val="2"/>
        <w:spacing w:line="240" w:lineRule="auto"/>
        <w:jc w:val="center"/>
        <w:rPr>
          <w:color w:val="000000" w:themeColor="text1"/>
          <w:highlight w:val="none"/>
          <w14:textFill>
            <w14:solidFill>
              <w14:schemeClr w14:val="tx1"/>
            </w14:solidFill>
          </w14:textFill>
        </w:rPr>
      </w:pPr>
      <w:bookmarkStart w:id="72" w:name="_Toc23118"/>
      <w:r>
        <w:rPr>
          <w:rFonts w:hint="eastAsia"/>
          <w:color w:val="000000" w:themeColor="text1"/>
          <w:highlight w:val="none"/>
          <w14:textFill>
            <w14:solidFill>
              <w14:schemeClr w14:val="tx1"/>
            </w14:solidFill>
          </w14:textFill>
        </w:rPr>
        <w:t>第三章</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采购需求</w:t>
      </w:r>
      <w:bookmarkEnd w:id="72"/>
    </w:p>
    <w:p w14:paraId="0F47F393">
      <w:pPr>
        <w:spacing w:line="440" w:lineRule="exact"/>
        <w:jc w:val="left"/>
        <w:rPr>
          <w:rFonts w:ascii="宋体" w:hAnsi="宋体" w:cs="宋体"/>
          <w:color w:val="000000" w:themeColor="text1"/>
          <w:szCs w:val="21"/>
          <w:highlight w:val="none"/>
          <w14:textFill>
            <w14:solidFill>
              <w14:schemeClr w14:val="tx1"/>
            </w14:solidFill>
          </w14:textFill>
        </w:rPr>
      </w:pPr>
    </w:p>
    <w:p w14:paraId="56581535">
      <w:pPr>
        <w:spacing w:line="360" w:lineRule="auto"/>
        <w:jc w:val="left"/>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w:t>
      </w:r>
    </w:p>
    <w:p w14:paraId="0C32850C">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1. 为落实政府采购政策需满足的要求</w:t>
      </w:r>
    </w:p>
    <w:p w14:paraId="0926DB54">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（1）本竞争性谈判采购文件所称中小企业必须符合《政府采购促进中小企业发展管理办法》（财库〔2020〕46号）的规定。</w:t>
      </w:r>
    </w:p>
    <w:p w14:paraId="012296D6">
      <w:pPr>
        <w:spacing w:line="360" w:lineRule="auto"/>
        <w:ind w:firstLine="420" w:firstLineChars="200"/>
        <w:rPr>
          <w:rFonts w:hint="eastAsia" w:ascii="宋体" w:hAnsi="宋体" w:eastAsia="宋体" w:cs="宋体"/>
          <w:b/>
          <w:bCs/>
          <w:kern w:val="0"/>
          <w:sz w:val="21"/>
          <w:szCs w:val="21"/>
          <w:highlight w:val="none"/>
        </w:rPr>
      </w:pPr>
      <w:r>
        <w:rPr>
          <w:rFonts w:hint="eastAsia" w:ascii="宋体" w:hAnsi="宋体" w:cs="宋体"/>
          <w:color w:val="000000" w:themeColor="text1"/>
          <w:szCs w:val="21"/>
          <w:highlight w:val="none"/>
          <w14:textFill>
            <w14:solidFill>
              <w14:schemeClr w14:val="tx1"/>
            </w14:solidFill>
          </w14:textFill>
        </w:rPr>
        <w:t>（2）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w:t>
      </w:r>
      <w:r>
        <w:rPr>
          <w:rFonts w:hint="eastAsia" w:ascii="宋体" w:hAnsi="宋体" w:cs="宋体"/>
          <w:b/>
          <w:bCs/>
          <w:color w:val="000000" w:themeColor="text1"/>
          <w:szCs w:val="21"/>
          <w:highlight w:val="none"/>
          <w14:textFill>
            <w14:solidFill>
              <w14:schemeClr w14:val="tx1"/>
            </w14:solidFill>
          </w14:textFill>
        </w:rPr>
        <w:t>（详见本项目中采购标的名称前标注“★”的产品及本章后附的节能产品政府采购品目清单）</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供应商必须在响应文件中提供所竞标产品的节能产品认证证书复印件（加盖供应商电子签章），否则响应文件按无效处理。</w:t>
      </w:r>
      <w:r>
        <w:rPr>
          <w:rFonts w:hint="eastAsia" w:ascii="宋体" w:hAnsi="宋体" w:cs="宋体"/>
          <w:color w:val="000000" w:themeColor="text1"/>
          <w:szCs w:val="21"/>
          <w:highlight w:val="none"/>
          <w14:textFill>
            <w14:solidFill>
              <w14:schemeClr w14:val="tx1"/>
            </w14:solidFill>
          </w14:textFill>
        </w:rPr>
        <w:t>如本项目包含的货物属于品目</w:t>
      </w:r>
      <w:r>
        <w:rPr>
          <w:rFonts w:hint="eastAsia" w:ascii="宋体" w:hAnsi="宋体" w:cs="宋体"/>
          <w:b w:val="0"/>
          <w:bCs w:val="0"/>
          <w:color w:val="000000" w:themeColor="text1"/>
          <w:szCs w:val="21"/>
          <w:highlight w:val="none"/>
          <w14:textFill>
            <w14:solidFill>
              <w14:schemeClr w14:val="tx1"/>
            </w14:solidFill>
          </w14:textFill>
        </w:rPr>
        <w:t>清单内非标注“★”的产品时，应优先采购，具体详见“第四章评审程序和评定成交的标准”</w:t>
      </w:r>
      <w:r>
        <w:rPr>
          <w:rFonts w:hint="eastAsia" w:ascii="宋体" w:hAnsi="宋体" w:cs="宋体"/>
          <w:b/>
          <w:bCs/>
          <w:color w:val="000000" w:themeColor="text1"/>
          <w:szCs w:val="21"/>
          <w:highlight w:val="none"/>
          <w14:textFill>
            <w14:solidFill>
              <w14:schemeClr w14:val="tx1"/>
            </w14:solidFill>
          </w14:textFill>
        </w:rPr>
        <w:t>。</w:t>
      </w:r>
    </w:p>
    <w:p w14:paraId="4D345C2B">
      <w:pPr>
        <w:spacing w:line="360" w:lineRule="auto"/>
        <w:ind w:firstLine="424" w:firstLineChars="202"/>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“实质性要求”是指采购需求中带“▲”的条款或者不能负偏离的条款或者已经指明不满足按</w:t>
      </w:r>
      <w:r>
        <w:rPr>
          <w:rFonts w:hint="eastAsia" w:ascii="宋体" w:hAnsi="宋体" w:cs="宋体"/>
          <w:b/>
          <w:color w:val="000000" w:themeColor="text1"/>
          <w:szCs w:val="21"/>
          <w:highlight w:val="none"/>
          <w14:textFill>
            <w14:solidFill>
              <w14:schemeClr w14:val="tx1"/>
            </w14:solidFill>
          </w14:textFill>
        </w:rPr>
        <w:t>响应文件按无效处理</w:t>
      </w:r>
      <w:r>
        <w:rPr>
          <w:rFonts w:hint="eastAsia" w:ascii="宋体" w:hAnsi="宋体" w:cs="宋体"/>
          <w:color w:val="000000" w:themeColor="text1"/>
          <w:szCs w:val="21"/>
          <w:highlight w:val="none"/>
          <w14:textFill>
            <w14:solidFill>
              <w14:schemeClr w14:val="tx1"/>
            </w14:solidFill>
          </w14:textFill>
        </w:rPr>
        <w:t>的条款。</w:t>
      </w:r>
    </w:p>
    <w:p w14:paraId="6CC0AF11">
      <w:pPr>
        <w:spacing w:line="360" w:lineRule="auto"/>
        <w:ind w:firstLine="424" w:firstLineChars="202"/>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3.采购需求中出现的品牌、型号或者生产供应商仅起参考作用，不属于指定品牌、型号或者生产供应商的情形。供应商可参照或者选用其他相当的品牌、型号或者生产供应商替代。</w:t>
      </w:r>
    </w:p>
    <w:p w14:paraId="37090A06">
      <w:pPr>
        <w:spacing w:line="360" w:lineRule="auto"/>
        <w:ind w:firstLine="424" w:firstLineChars="202"/>
        <w:jc w:val="left"/>
        <w:rPr>
          <w:rFonts w:hint="eastAsia"/>
          <w:color w:val="000000" w:themeColor="text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供应商必须自行为其竞标产品侵犯他人的知识产权或者专利成果的行为承担相应法律责任。</w:t>
      </w:r>
    </w:p>
    <w:tbl>
      <w:tblPr>
        <w:tblStyle w:val="28"/>
        <w:tblW w:w="4997" w:type="pct"/>
        <w:jc w:val="center"/>
        <w:tblLayout w:type="autofit"/>
        <w:tblCellMar>
          <w:top w:w="0" w:type="dxa"/>
          <w:left w:w="0" w:type="dxa"/>
          <w:bottom w:w="0" w:type="dxa"/>
          <w:right w:w="0" w:type="dxa"/>
        </w:tblCellMar>
      </w:tblPr>
      <w:tblGrid>
        <w:gridCol w:w="596"/>
        <w:gridCol w:w="605"/>
        <w:gridCol w:w="445"/>
        <w:gridCol w:w="824"/>
        <w:gridCol w:w="5749"/>
        <w:gridCol w:w="620"/>
      </w:tblGrid>
      <w:tr w14:paraId="6F7D5794">
        <w:tblPrEx>
          <w:tblCellMar>
            <w:top w:w="0" w:type="dxa"/>
            <w:left w:w="0" w:type="dxa"/>
            <w:bottom w:w="0" w:type="dxa"/>
            <w:right w:w="0" w:type="dxa"/>
          </w:tblCellMar>
        </w:tblPrEx>
        <w:trPr>
          <w:trHeight w:val="567" w:hRule="atLeast"/>
          <w:jc w:val="center"/>
        </w:trPr>
        <w:tc>
          <w:tcPr>
            <w:tcW w:w="5000" w:type="pct"/>
            <w:gridSpan w:val="6"/>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73A0987">
            <w:pPr>
              <w:spacing w:line="360" w:lineRule="auto"/>
              <w:rPr>
                <w:rFonts w:hint="eastAsia" w:ascii="宋体" w:hAnsi="宋体" w:eastAsia="宋体" w:cs="宋体"/>
                <w:b/>
                <w:bCs/>
                <w:color w:val="000000" w:themeColor="text1"/>
                <w:sz w:val="21"/>
                <w:szCs w:val="21"/>
                <w:highlight w:val="none"/>
                <w14:textFill>
                  <w14:solidFill>
                    <w14:schemeClr w14:val="tx1"/>
                  </w14:solidFill>
                </w14:textFill>
              </w:rPr>
            </w:pPr>
            <w:bookmarkStart w:id="73" w:name="_Hlk48036094"/>
            <w:r>
              <w:rPr>
                <w:rFonts w:hint="eastAsia" w:ascii="宋体" w:hAnsi="宋体" w:eastAsia="宋体" w:cs="宋体"/>
                <w:b/>
                <w:bCs/>
                <w:color w:val="000000" w:themeColor="text1"/>
                <w:sz w:val="21"/>
                <w:szCs w:val="21"/>
                <w:highlight w:val="none"/>
                <w14:textFill>
                  <w14:solidFill>
                    <w14:schemeClr w14:val="tx1"/>
                  </w14:solidFill>
                </w14:textFill>
              </w:rPr>
              <w:t>一、技术要求</w:t>
            </w:r>
          </w:p>
        </w:tc>
      </w:tr>
      <w:tr w14:paraId="2315156E">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FE622EB">
            <w:pPr>
              <w:spacing w:line="360" w:lineRule="auto"/>
              <w:jc w:val="center"/>
              <w:rPr>
                <w:rFonts w:hint="eastAsia" w:ascii="宋体" w:hAnsi="宋体" w:eastAsia="宋体" w:cs="宋体"/>
                <w:b/>
                <w:bCs/>
                <w:color w:val="000000" w:themeColor="text1"/>
                <w:kern w:val="0"/>
                <w:sz w:val="21"/>
                <w:szCs w:val="21"/>
                <w:highlight w:val="none"/>
                <w14:textFill>
                  <w14:solidFill>
                    <w14:schemeClr w14:val="tx1"/>
                  </w14:solidFill>
                </w14:textFill>
              </w:rPr>
            </w:pPr>
            <w:r>
              <w:rPr>
                <w:rFonts w:hint="eastAsia" w:ascii="宋体" w:hAnsi="宋体" w:eastAsia="宋体" w:cs="宋体"/>
                <w:b/>
                <w:bCs/>
                <w:color w:val="000000" w:themeColor="text1"/>
                <w:kern w:val="0"/>
                <w:sz w:val="21"/>
                <w:szCs w:val="21"/>
                <w:highlight w:val="none"/>
                <w14:textFill>
                  <w14:solidFill>
                    <w14:schemeClr w14:val="tx1"/>
                  </w14:solidFill>
                </w14:textFill>
              </w:rPr>
              <w:t>序号</w:t>
            </w:r>
          </w:p>
        </w:tc>
        <w:tc>
          <w:tcPr>
            <w:tcW w:w="342"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FC3BBAD">
            <w:pPr>
              <w:snapToGrid w:val="0"/>
              <w:spacing w:line="360" w:lineRule="auto"/>
              <w:jc w:val="center"/>
              <w:rPr>
                <w:rFonts w:hint="default" w:eastAsia="宋体" w:cs="宋体"/>
                <w:b/>
                <w:szCs w:val="21"/>
                <w:highlight w:val="none"/>
                <w:lang w:val="en-US" w:eastAsia="zh-CN"/>
              </w:rPr>
            </w:pPr>
            <w:r>
              <w:rPr>
                <w:rFonts w:hint="eastAsia" w:cs="宋体"/>
                <w:b/>
                <w:szCs w:val="21"/>
                <w:highlight w:val="none"/>
                <w:lang w:val="en-US" w:eastAsia="zh-CN"/>
              </w:rPr>
              <w:t>所属行业</w:t>
            </w:r>
          </w:p>
        </w:tc>
        <w:tc>
          <w:tcPr>
            <w:tcW w:w="718" w:type="pct"/>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AD65B53">
            <w:pPr>
              <w:snapToGrid w:val="0"/>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cs="宋体"/>
                <w:b/>
                <w:szCs w:val="21"/>
                <w:highlight w:val="none"/>
              </w:rPr>
              <w:t>标的名称</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C7A63B4">
            <w:pPr>
              <w:widowControl/>
              <w:spacing w:line="360" w:lineRule="auto"/>
              <w:jc w:val="center"/>
              <w:rPr>
                <w:rFonts w:hint="eastAsia" w:ascii="宋体" w:hAnsi="宋体" w:eastAsia="宋体" w:cs="宋体"/>
                <w:b/>
                <w:color w:val="000000"/>
                <w:kern w:val="0"/>
                <w:sz w:val="22"/>
                <w:szCs w:val="22"/>
                <w:highlight w:val="none"/>
                <w:lang w:val="en-US" w:eastAsia="zh-CN" w:bidi="ar-SA"/>
              </w:rPr>
            </w:pPr>
            <w:r>
              <w:rPr>
                <w:rFonts w:hint="eastAsia" w:ascii="宋体" w:hAnsi="宋体" w:cs="宋体"/>
                <w:b/>
                <w:color w:val="000000"/>
                <w:kern w:val="0"/>
                <w:sz w:val="22"/>
                <w:szCs w:val="22"/>
                <w:highlight w:val="none"/>
              </w:rPr>
              <w:t>技术参数</w:t>
            </w:r>
          </w:p>
        </w:tc>
        <w:tc>
          <w:tcPr>
            <w:tcW w:w="349" w:type="pct"/>
            <w:tcBorders>
              <w:top w:val="single" w:color="auto" w:sz="4" w:space="0"/>
              <w:left w:val="nil"/>
              <w:bottom w:val="single" w:color="auto" w:sz="4" w:space="0"/>
              <w:right w:val="single" w:color="auto" w:sz="4" w:space="0"/>
            </w:tcBorders>
            <w:shd w:val="clear" w:color="auto" w:fill="auto"/>
            <w:vAlign w:val="center"/>
          </w:tcPr>
          <w:p w14:paraId="2E4FE774">
            <w:pPr>
              <w:widowControl/>
              <w:spacing w:line="360" w:lineRule="auto"/>
              <w:jc w:val="center"/>
              <w:rPr>
                <w:rFonts w:hint="eastAsia" w:ascii="宋体" w:hAnsi="宋体" w:eastAsia="宋体" w:cs="宋体"/>
                <w:b/>
                <w:color w:val="000000"/>
                <w:kern w:val="0"/>
                <w:sz w:val="22"/>
                <w:szCs w:val="22"/>
                <w:highlight w:val="none"/>
                <w:lang w:val="en-US" w:eastAsia="zh-CN" w:bidi="ar-SA"/>
              </w:rPr>
            </w:pPr>
            <w:r>
              <w:rPr>
                <w:rFonts w:hint="eastAsia" w:ascii="宋体" w:hAnsi="宋体" w:cs="宋体"/>
                <w:b/>
                <w:color w:val="000000"/>
                <w:kern w:val="0"/>
                <w:sz w:val="22"/>
                <w:szCs w:val="22"/>
                <w:highlight w:val="none"/>
              </w:rPr>
              <w:t>数量、单位</w:t>
            </w:r>
          </w:p>
        </w:tc>
      </w:tr>
      <w:tr w14:paraId="0828B78C">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AE3DFB8">
            <w:pPr>
              <w:pStyle w:val="57"/>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5DE2CAC">
            <w:pPr>
              <w:keepNext w:val="0"/>
              <w:keepLines w:val="0"/>
              <w:pageBreakBefore w:val="0"/>
              <w:widowControl/>
              <w:suppressLineNumbers w:val="0"/>
              <w:kinsoku/>
              <w:wordWrap/>
              <w:overflowPunct/>
              <w:topLinePunct w:val="0"/>
              <w:autoSpaceDE/>
              <w:bidi w:val="0"/>
              <w:spacing w:line="360" w:lineRule="auto"/>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30A8FFB">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双光束紫外-可见漫反射分光光度计</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432ED39">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1 工作环境</w:t>
            </w:r>
          </w:p>
          <w:p w14:paraId="03218DB8">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1.1使用温度范围：15℃</w:t>
            </w:r>
            <w:r>
              <w:rPr>
                <w:rFonts w:hint="eastAsia"/>
                <w:highlight w:val="none"/>
                <w:lang w:val="en-US" w:eastAsia="zh-CN"/>
              </w:rPr>
              <w:t>~</w:t>
            </w:r>
            <w:r>
              <w:rPr>
                <w:rFonts w:hint="eastAsia" w:ascii="宋体" w:hAnsi="宋体" w:eastAsia="宋体" w:cs="宋体"/>
                <w:b w:val="0"/>
                <w:bCs w:val="0"/>
                <w:sz w:val="21"/>
                <w:szCs w:val="21"/>
                <w:highlight w:val="none"/>
              </w:rPr>
              <w:t>35℃</w:t>
            </w:r>
            <w:r>
              <w:rPr>
                <w:rFonts w:hint="eastAsia" w:ascii="宋体" w:hAnsi="宋体" w:cs="宋体"/>
                <w:b w:val="0"/>
                <w:bCs w:val="0"/>
                <w:sz w:val="21"/>
                <w:szCs w:val="21"/>
                <w:highlight w:val="none"/>
                <w:lang w:eastAsia="zh-CN"/>
              </w:rPr>
              <w:t>；</w:t>
            </w:r>
          </w:p>
          <w:p w14:paraId="113A0985">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1.2 使用湿度范围：30%</w:t>
            </w:r>
            <w:r>
              <w:rPr>
                <w:rFonts w:hint="eastAsia"/>
                <w:highlight w:val="none"/>
                <w:lang w:val="en-US" w:eastAsia="zh-CN"/>
              </w:rPr>
              <w:t>~</w:t>
            </w:r>
            <w:r>
              <w:rPr>
                <w:rFonts w:hint="eastAsia" w:ascii="宋体" w:hAnsi="宋体" w:eastAsia="宋体" w:cs="宋体"/>
                <w:b w:val="0"/>
                <w:bCs w:val="0"/>
                <w:sz w:val="21"/>
                <w:szCs w:val="21"/>
                <w:highlight w:val="none"/>
              </w:rPr>
              <w:t>80%</w:t>
            </w:r>
            <w:r>
              <w:rPr>
                <w:rFonts w:hint="eastAsia" w:ascii="宋体" w:hAnsi="宋体" w:cs="宋体"/>
                <w:b w:val="0"/>
                <w:bCs w:val="0"/>
                <w:sz w:val="21"/>
                <w:szCs w:val="21"/>
                <w:highlight w:val="none"/>
                <w:lang w:eastAsia="zh-CN"/>
              </w:rPr>
              <w:t>；</w:t>
            </w:r>
          </w:p>
          <w:p w14:paraId="6A384A3B">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2 技术规格</w:t>
            </w:r>
          </w:p>
          <w:p w14:paraId="388FF86C">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2.1 分光系统</w:t>
            </w:r>
            <w:r>
              <w:rPr>
                <w:rFonts w:hint="eastAsia" w:ascii="宋体" w:hAnsi="宋体" w:cs="宋体"/>
                <w:b w:val="0"/>
                <w:bCs w:val="0"/>
                <w:sz w:val="21"/>
                <w:szCs w:val="21"/>
                <w:highlight w:val="none"/>
                <w:lang w:eastAsia="zh-CN"/>
              </w:rPr>
              <w:t>；</w:t>
            </w:r>
          </w:p>
          <w:p w14:paraId="28C9CBC9">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2.1.1 光学系统</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双光束</w:t>
            </w:r>
            <w:r>
              <w:rPr>
                <w:rFonts w:hint="eastAsia" w:ascii="宋体" w:hAnsi="宋体" w:cs="宋体"/>
                <w:b w:val="0"/>
                <w:bCs w:val="0"/>
                <w:sz w:val="21"/>
                <w:szCs w:val="21"/>
                <w:highlight w:val="none"/>
                <w:lang w:eastAsia="zh-CN"/>
              </w:rPr>
              <w:t>；</w:t>
            </w:r>
          </w:p>
          <w:p w14:paraId="4A739886">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2.1.2 分光器</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单色器，象差校正型切尼尔一特纳装置</w:t>
            </w:r>
            <w:r>
              <w:rPr>
                <w:rFonts w:hint="eastAsia" w:ascii="宋体" w:hAnsi="宋体" w:cs="宋体"/>
                <w:b w:val="0"/>
                <w:bCs w:val="0"/>
                <w:sz w:val="21"/>
                <w:szCs w:val="21"/>
                <w:highlight w:val="none"/>
                <w:lang w:eastAsia="zh-CN"/>
              </w:rPr>
              <w:t>；</w:t>
            </w:r>
          </w:p>
          <w:p w14:paraId="32AA48E7">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2.1.3 液体池设定波长范围</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不小于185~900nm</w:t>
            </w:r>
            <w:r>
              <w:rPr>
                <w:rFonts w:hint="eastAsia" w:ascii="宋体" w:hAnsi="宋体" w:cs="宋体"/>
                <w:b w:val="0"/>
                <w:bCs w:val="0"/>
                <w:sz w:val="21"/>
                <w:szCs w:val="21"/>
                <w:highlight w:val="none"/>
                <w:lang w:eastAsia="zh-CN"/>
              </w:rPr>
              <w:t>；</w:t>
            </w:r>
          </w:p>
          <w:p w14:paraId="2516492A">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2.1.4 积分球测试波长范围</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不小于185-1400nm</w:t>
            </w:r>
            <w:r>
              <w:rPr>
                <w:rFonts w:hint="eastAsia" w:ascii="宋体" w:hAnsi="宋体" w:cs="宋体"/>
                <w:b w:val="0"/>
                <w:bCs w:val="0"/>
                <w:sz w:val="21"/>
                <w:szCs w:val="21"/>
                <w:highlight w:val="none"/>
                <w:lang w:eastAsia="zh-CN"/>
              </w:rPr>
              <w:t>；</w:t>
            </w:r>
          </w:p>
          <w:p w14:paraId="35D39F04">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2.1.5 衍射光栅刻线数</w:t>
            </w:r>
            <w:r>
              <w:rPr>
                <w:rFonts w:hint="eastAsia" w:ascii="宋体" w:hAnsi="宋体" w:cs="宋体"/>
                <w:b w:val="0"/>
                <w:bCs w:val="0"/>
                <w:sz w:val="21"/>
                <w:szCs w:val="21"/>
                <w:highlight w:val="none"/>
                <w:lang w:eastAsia="zh-CN"/>
              </w:rPr>
              <w:t>：</w:t>
            </w:r>
            <w:r>
              <w:rPr>
                <w:rFonts w:hint="eastAsia"/>
                <w:highlight w:val="none"/>
                <w:lang w:val="en-US" w:eastAsia="zh-CN"/>
              </w:rPr>
              <w:t>≥</w:t>
            </w:r>
            <w:r>
              <w:rPr>
                <w:rFonts w:hint="eastAsia" w:ascii="宋体" w:hAnsi="宋体" w:eastAsia="宋体" w:cs="宋体"/>
                <w:b w:val="0"/>
                <w:bCs w:val="0"/>
                <w:sz w:val="21"/>
                <w:szCs w:val="21"/>
                <w:highlight w:val="none"/>
              </w:rPr>
              <w:t>1300 lines/mm</w:t>
            </w:r>
            <w:r>
              <w:rPr>
                <w:rFonts w:hint="eastAsia" w:ascii="宋体" w:hAnsi="宋体" w:cs="宋体"/>
                <w:b w:val="0"/>
                <w:bCs w:val="0"/>
                <w:sz w:val="21"/>
                <w:szCs w:val="21"/>
                <w:highlight w:val="none"/>
                <w:lang w:eastAsia="zh-CN"/>
              </w:rPr>
              <w:t>；</w:t>
            </w:r>
          </w:p>
          <w:p w14:paraId="40F3A9EB">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2.1.6 波长准确性</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±0.1nm（656.1nm）</w:t>
            </w:r>
            <w:r>
              <w:rPr>
                <w:rFonts w:hint="eastAsia" w:ascii="宋体" w:hAnsi="宋体" w:cs="宋体"/>
                <w:b w:val="0"/>
                <w:bCs w:val="0"/>
                <w:sz w:val="21"/>
                <w:szCs w:val="21"/>
                <w:highlight w:val="none"/>
                <w:lang w:eastAsia="zh-CN"/>
              </w:rPr>
              <w:t>；</w:t>
            </w:r>
          </w:p>
          <w:p w14:paraId="085BE9C5">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±0.3nm（全波段）</w:t>
            </w:r>
            <w:r>
              <w:rPr>
                <w:rFonts w:hint="eastAsia" w:ascii="宋体" w:hAnsi="宋体" w:cs="宋体"/>
                <w:b w:val="0"/>
                <w:bCs w:val="0"/>
                <w:sz w:val="21"/>
                <w:szCs w:val="21"/>
                <w:highlight w:val="none"/>
                <w:lang w:eastAsia="zh-CN"/>
              </w:rPr>
              <w:t>；</w:t>
            </w:r>
          </w:p>
          <w:p w14:paraId="396848D9">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2.1.7 波长重复精度</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±0.02 nm</w:t>
            </w:r>
            <w:r>
              <w:rPr>
                <w:rFonts w:hint="eastAsia" w:ascii="宋体" w:hAnsi="宋体" w:cs="宋体"/>
                <w:b w:val="0"/>
                <w:bCs w:val="0"/>
                <w:sz w:val="21"/>
                <w:szCs w:val="21"/>
                <w:highlight w:val="none"/>
                <w:lang w:eastAsia="zh-CN"/>
              </w:rPr>
              <w:t>；</w:t>
            </w:r>
          </w:p>
          <w:p w14:paraId="53BD11B2">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2.1.8 波长扫描速度</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波长移动速度</w:t>
            </w:r>
            <w:r>
              <w:rPr>
                <w:rFonts w:hint="eastAsia" w:ascii="宋体" w:hAnsi="宋体" w:cs="宋体"/>
                <w:b w:val="0"/>
                <w:bCs w:val="0"/>
                <w:sz w:val="21"/>
                <w:szCs w:val="21"/>
                <w:highlight w:val="none"/>
                <w:lang w:eastAsia="zh-CN"/>
              </w:rPr>
              <w:t>：</w:t>
            </w:r>
            <w:r>
              <w:rPr>
                <w:rFonts w:hint="eastAsia"/>
                <w:highlight w:val="none"/>
                <w:lang w:val="en-US" w:eastAsia="zh-CN"/>
              </w:rPr>
              <w:t>≥</w:t>
            </w:r>
            <w:r>
              <w:rPr>
                <w:rFonts w:hint="eastAsia" w:ascii="宋体" w:hAnsi="宋体" w:eastAsia="宋体" w:cs="宋体"/>
                <w:b w:val="0"/>
                <w:bCs w:val="0"/>
                <w:sz w:val="21"/>
                <w:szCs w:val="21"/>
                <w:highlight w:val="none"/>
              </w:rPr>
              <w:t>14000nm/min</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最大扫描速度：</w:t>
            </w:r>
            <w:r>
              <w:rPr>
                <w:rFonts w:hint="eastAsia"/>
                <w:highlight w:val="none"/>
                <w:lang w:val="en-US" w:eastAsia="zh-CN"/>
              </w:rPr>
              <w:t>≥</w:t>
            </w:r>
            <w:r>
              <w:rPr>
                <w:rFonts w:hint="eastAsia" w:ascii="宋体" w:hAnsi="宋体" w:eastAsia="宋体" w:cs="宋体"/>
                <w:b w:val="0"/>
                <w:bCs w:val="0"/>
                <w:sz w:val="21"/>
                <w:szCs w:val="21"/>
                <w:highlight w:val="none"/>
              </w:rPr>
              <w:t>4000nm/min</w:t>
            </w:r>
            <w:r>
              <w:rPr>
                <w:rFonts w:hint="eastAsia" w:ascii="宋体" w:hAnsi="宋体" w:cs="宋体"/>
                <w:b w:val="0"/>
                <w:bCs w:val="0"/>
                <w:sz w:val="21"/>
                <w:szCs w:val="21"/>
                <w:highlight w:val="none"/>
                <w:lang w:eastAsia="zh-CN"/>
              </w:rPr>
              <w:t>；</w:t>
            </w:r>
          </w:p>
          <w:p w14:paraId="6F914547">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2.1.9 波长设定</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扫描开始波长和扫描结束能够以1nm单位设置；其它为0.1nm单位</w:t>
            </w:r>
            <w:r>
              <w:rPr>
                <w:rFonts w:hint="eastAsia" w:ascii="宋体" w:hAnsi="宋体" w:cs="宋体"/>
                <w:b w:val="0"/>
                <w:bCs w:val="0"/>
                <w:sz w:val="21"/>
                <w:szCs w:val="21"/>
                <w:highlight w:val="none"/>
                <w:lang w:eastAsia="zh-CN"/>
              </w:rPr>
              <w:t>；</w:t>
            </w:r>
          </w:p>
          <w:p w14:paraId="7FC3F06C">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2.1.10 光源切换波长</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和波长同步自动切换290.0 nm~370.0 nm</w:t>
            </w:r>
            <w:r>
              <w:rPr>
                <w:rFonts w:hint="eastAsia" w:ascii="宋体" w:hAnsi="宋体" w:cs="宋体"/>
                <w:b w:val="0"/>
                <w:bCs w:val="0"/>
                <w:sz w:val="21"/>
                <w:szCs w:val="21"/>
                <w:highlight w:val="none"/>
                <w:lang w:eastAsia="zh-CN"/>
              </w:rPr>
              <w:t>；</w:t>
            </w:r>
          </w:p>
          <w:p w14:paraId="71D0059B">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2.1.11 谱带宽度</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0.1/ 0.2/ 0.5/ 1/ 2/ 5nm具备低杂散光可选模式</w:t>
            </w:r>
            <w:r>
              <w:rPr>
                <w:rFonts w:hint="eastAsia" w:ascii="宋体" w:hAnsi="宋体" w:cs="宋体"/>
                <w:b w:val="0"/>
                <w:bCs w:val="0"/>
                <w:sz w:val="21"/>
                <w:szCs w:val="21"/>
                <w:highlight w:val="none"/>
                <w:lang w:eastAsia="zh-CN"/>
              </w:rPr>
              <w:t>；</w:t>
            </w:r>
          </w:p>
          <w:p w14:paraId="1721D359">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2.1.12 分辨率</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0.1nm</w:t>
            </w:r>
            <w:r>
              <w:rPr>
                <w:rFonts w:hint="eastAsia" w:ascii="宋体" w:hAnsi="宋体" w:cs="宋体"/>
                <w:b w:val="0"/>
                <w:bCs w:val="0"/>
                <w:sz w:val="21"/>
                <w:szCs w:val="21"/>
                <w:highlight w:val="none"/>
                <w:lang w:eastAsia="zh-CN"/>
              </w:rPr>
              <w:t>；</w:t>
            </w:r>
          </w:p>
          <w:p w14:paraId="62E3D99F">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2.1.13杂散光</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&lt;0.005%T（220nm)，&lt;0.005%T（340nm-360nm)</w:t>
            </w:r>
            <w:r>
              <w:rPr>
                <w:rFonts w:hint="eastAsia" w:ascii="宋体" w:hAnsi="宋体" w:cs="宋体"/>
                <w:b w:val="0"/>
                <w:bCs w:val="0"/>
                <w:sz w:val="21"/>
                <w:szCs w:val="21"/>
                <w:highlight w:val="none"/>
                <w:lang w:eastAsia="zh-CN"/>
              </w:rPr>
              <w:t>；</w:t>
            </w:r>
          </w:p>
          <w:p w14:paraId="760D1929">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2.1.14 测光方式</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 xml:space="preserve">双光束测光方式 </w:t>
            </w:r>
            <w:r>
              <w:rPr>
                <w:rFonts w:hint="eastAsia" w:ascii="宋体" w:hAnsi="宋体" w:cs="宋体"/>
                <w:b w:val="0"/>
                <w:bCs w:val="0"/>
                <w:sz w:val="21"/>
                <w:szCs w:val="21"/>
                <w:highlight w:val="none"/>
                <w:lang w:eastAsia="zh-CN"/>
              </w:rPr>
              <w:t>；</w:t>
            </w:r>
          </w:p>
          <w:p w14:paraId="10EC453C">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2.1.15 测光类型</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吸光度（Abs），透射率（%），反射率（%），能量（E）</w:t>
            </w:r>
            <w:r>
              <w:rPr>
                <w:rFonts w:hint="eastAsia" w:ascii="宋体" w:hAnsi="宋体" w:cs="宋体"/>
                <w:b w:val="0"/>
                <w:bCs w:val="0"/>
                <w:sz w:val="21"/>
                <w:szCs w:val="21"/>
                <w:highlight w:val="none"/>
                <w:lang w:eastAsia="zh-CN"/>
              </w:rPr>
              <w:t>；</w:t>
            </w:r>
          </w:p>
          <w:p w14:paraId="28A6C6B0">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2.1.16 测光范围</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吸光度：-5~5 Abs</w:t>
            </w:r>
            <w:r>
              <w:rPr>
                <w:rFonts w:hint="eastAsia" w:ascii="宋体" w:hAnsi="宋体" w:cs="宋体"/>
                <w:b w:val="0"/>
                <w:bCs w:val="0"/>
                <w:sz w:val="21"/>
                <w:szCs w:val="21"/>
                <w:highlight w:val="none"/>
                <w:lang w:eastAsia="zh-CN"/>
              </w:rPr>
              <w:t>；</w:t>
            </w:r>
          </w:p>
          <w:p w14:paraId="69054053">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2.1.17 光度准确性：</w:t>
            </w:r>
          </w:p>
          <w:p w14:paraId="3F638C3D">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±0.002Abs(0-0.5Abs)，±0.003Abs(0.5-1Abs)，±0.006Abs(1.0-2.0Abs)，±0.3%T</w:t>
            </w:r>
            <w:r>
              <w:rPr>
                <w:rFonts w:hint="eastAsia" w:ascii="宋体" w:hAnsi="宋体" w:cs="宋体"/>
                <w:b w:val="0"/>
                <w:bCs w:val="0"/>
                <w:sz w:val="21"/>
                <w:szCs w:val="21"/>
                <w:highlight w:val="none"/>
                <w:lang w:eastAsia="zh-CN"/>
              </w:rPr>
              <w:t>；</w:t>
            </w:r>
          </w:p>
          <w:p w14:paraId="32CAB419">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2.1.18光度重现性：</w:t>
            </w:r>
          </w:p>
          <w:p w14:paraId="69147F8C">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 0.0005 Abs (0.5 Abs)，± 0.0005 Abs (1 Abs)，± 0.003 Abs (2 Abs)，± 0.1 %T</w:t>
            </w:r>
            <w:r>
              <w:rPr>
                <w:rFonts w:hint="eastAsia" w:ascii="宋体" w:hAnsi="宋体" w:cs="宋体"/>
                <w:b w:val="0"/>
                <w:bCs w:val="0"/>
                <w:sz w:val="21"/>
                <w:szCs w:val="21"/>
                <w:highlight w:val="none"/>
                <w:lang w:eastAsia="zh-CN"/>
              </w:rPr>
              <w:t>；</w:t>
            </w:r>
          </w:p>
          <w:p w14:paraId="1B47D156">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2.1.19 噪音：不高于0003Abs (500nm)</w:t>
            </w:r>
            <w:r>
              <w:rPr>
                <w:rFonts w:hint="eastAsia" w:ascii="宋体" w:hAnsi="宋体" w:cs="宋体"/>
                <w:b w:val="0"/>
                <w:bCs w:val="0"/>
                <w:sz w:val="21"/>
                <w:szCs w:val="21"/>
                <w:highlight w:val="none"/>
                <w:lang w:eastAsia="zh-CN"/>
              </w:rPr>
              <w:t>；</w:t>
            </w:r>
          </w:p>
          <w:p w14:paraId="4C7A3784">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2.1.20基线稳定性&lt; 0.0002Abs/hour</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 xml:space="preserve"> </w:t>
            </w:r>
          </w:p>
          <w:p w14:paraId="208A0413">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2.1.21基线平直度±0.0003Abs(200-860nm)</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 xml:space="preserve"> </w:t>
            </w:r>
          </w:p>
          <w:p w14:paraId="2FC0D9C1">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2.1.22 记录范围</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吸光度-10~10 Abs; 透射率±10^12%</w:t>
            </w:r>
            <w:r>
              <w:rPr>
                <w:rFonts w:hint="eastAsia" w:ascii="宋体" w:hAnsi="宋体" w:cs="宋体"/>
                <w:b w:val="0"/>
                <w:bCs w:val="0"/>
                <w:sz w:val="21"/>
                <w:szCs w:val="21"/>
                <w:highlight w:val="none"/>
                <w:lang w:eastAsia="zh-CN"/>
              </w:rPr>
              <w:t>；</w:t>
            </w:r>
          </w:p>
          <w:p w14:paraId="371987A9">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2.1.23 漂移：小于0.0002Abs/h</w:t>
            </w:r>
            <w:r>
              <w:rPr>
                <w:rFonts w:hint="eastAsia" w:ascii="宋体" w:hAnsi="宋体" w:cs="宋体"/>
                <w:b w:val="0"/>
                <w:bCs w:val="0"/>
                <w:sz w:val="21"/>
                <w:szCs w:val="21"/>
                <w:highlight w:val="none"/>
                <w:lang w:eastAsia="zh-CN"/>
              </w:rPr>
              <w:t>；</w:t>
            </w:r>
          </w:p>
          <w:p w14:paraId="1130E9F2">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2.1.24基线校正：计算机自动校正（电源启动时，自动存储备份的基线，可以再校正）</w:t>
            </w:r>
            <w:r>
              <w:rPr>
                <w:rFonts w:hint="eastAsia" w:ascii="宋体" w:hAnsi="宋体" w:cs="宋体"/>
                <w:b w:val="0"/>
                <w:bCs w:val="0"/>
                <w:sz w:val="21"/>
                <w:szCs w:val="21"/>
                <w:highlight w:val="none"/>
                <w:lang w:eastAsia="zh-CN"/>
              </w:rPr>
              <w:t>；</w:t>
            </w:r>
          </w:p>
          <w:p w14:paraId="44EB888E">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2.2光源：50W卤素灯和氘灯（插座型）</w:t>
            </w:r>
            <w:r>
              <w:rPr>
                <w:rFonts w:hint="eastAsia" w:ascii="宋体" w:hAnsi="宋体" w:cs="宋体"/>
                <w:b w:val="0"/>
                <w:bCs w:val="0"/>
                <w:sz w:val="21"/>
                <w:szCs w:val="21"/>
                <w:highlight w:val="none"/>
                <w:lang w:eastAsia="zh-CN"/>
              </w:rPr>
              <w:t>；</w:t>
            </w:r>
          </w:p>
          <w:p w14:paraId="52120205">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2.3 检测器：光电倍增管</w:t>
            </w:r>
            <w:r>
              <w:rPr>
                <w:rFonts w:hint="eastAsia" w:ascii="宋体" w:hAnsi="宋体" w:cs="宋体"/>
                <w:b w:val="0"/>
                <w:bCs w:val="0"/>
                <w:sz w:val="21"/>
                <w:szCs w:val="21"/>
                <w:highlight w:val="none"/>
                <w:lang w:eastAsia="zh-CN"/>
              </w:rPr>
              <w:t>；</w:t>
            </w:r>
          </w:p>
          <w:p w14:paraId="5649537C">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2.4 软件：可执行自动光谱评价，实时导出Excel数据。软件：可执行自动光谱评价，实时导出Excel数据。具有数据共享功能，可向其他终端实时共享工作站内容能够辅助客户测试，以防忘记基线校正及预热；具备自动唤醒及休眠功能，有助于合理安排实验时间</w:t>
            </w:r>
            <w:r>
              <w:rPr>
                <w:rFonts w:hint="eastAsia" w:ascii="宋体" w:hAnsi="宋体" w:cs="宋体"/>
                <w:b w:val="0"/>
                <w:bCs w:val="0"/>
                <w:sz w:val="21"/>
                <w:szCs w:val="21"/>
                <w:highlight w:val="none"/>
                <w:lang w:eastAsia="zh-CN"/>
              </w:rPr>
              <w:t>；</w:t>
            </w:r>
          </w:p>
          <w:p w14:paraId="2B0B9111">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3. 积分球</w:t>
            </w:r>
          </w:p>
          <w:p w14:paraId="55ED104E">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3.1结合0°或8°入射角积分球及主机的S/R转换功能，即可测量漫反射或镜面反射率，而无需使用任何其他特殊附件。通过改变测试时候光斑的大小可以进行微小样品的反射率测试(最小光斑为</w:t>
            </w:r>
            <w:r>
              <w:rPr>
                <w:rFonts w:hint="eastAsia"/>
                <w:highlight w:val="none"/>
                <w:lang w:val="en-US" w:eastAsia="zh-CN"/>
              </w:rPr>
              <w:t>≤</w:t>
            </w:r>
            <w:r>
              <w:rPr>
                <w:rFonts w:hint="eastAsia" w:ascii="宋体" w:hAnsi="宋体" w:eastAsia="宋体" w:cs="宋体"/>
                <w:b w:val="0"/>
                <w:bCs w:val="0"/>
                <w:sz w:val="21"/>
                <w:szCs w:val="21"/>
                <w:highlight w:val="none"/>
              </w:rPr>
              <w:t>2x3mm)。在透射率测试时候的最小光斑为</w:t>
            </w:r>
            <w:r>
              <w:rPr>
                <w:rFonts w:hint="eastAsia"/>
                <w:highlight w:val="none"/>
                <w:lang w:val="en-US" w:eastAsia="zh-CN"/>
              </w:rPr>
              <w:t>≤</w:t>
            </w:r>
            <w:r>
              <w:rPr>
                <w:rFonts w:hint="eastAsia" w:ascii="宋体" w:hAnsi="宋体" w:eastAsia="宋体" w:cs="宋体"/>
                <w:b w:val="0"/>
                <w:bCs w:val="0"/>
                <w:sz w:val="21"/>
                <w:szCs w:val="21"/>
                <w:highlight w:val="none"/>
              </w:rPr>
              <w:t>3x3mm</w:t>
            </w:r>
            <w:r>
              <w:rPr>
                <w:rFonts w:hint="eastAsia" w:ascii="宋体" w:hAnsi="宋体" w:cs="宋体"/>
                <w:b w:val="0"/>
                <w:bCs w:val="0"/>
                <w:sz w:val="21"/>
                <w:szCs w:val="21"/>
                <w:highlight w:val="none"/>
                <w:lang w:eastAsia="zh-CN"/>
              </w:rPr>
              <w:t>；</w:t>
            </w:r>
          </w:p>
          <w:p w14:paraId="6D3B53D2">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3.2积分球内径</w:t>
            </w:r>
            <w:r>
              <w:rPr>
                <w:rFonts w:hint="eastAsia" w:ascii="宋体" w:hAnsi="宋体" w:cs="宋体"/>
                <w:b w:val="0"/>
                <w:bCs w:val="0"/>
                <w:sz w:val="21"/>
                <w:szCs w:val="21"/>
                <w:highlight w:val="none"/>
                <w:lang w:eastAsia="zh-CN"/>
              </w:rPr>
              <w:t>：</w:t>
            </w:r>
            <w:r>
              <w:rPr>
                <w:rFonts w:hint="eastAsia"/>
                <w:highlight w:val="none"/>
                <w:lang w:val="en-US" w:eastAsia="zh-CN"/>
              </w:rPr>
              <w:t>≥</w:t>
            </w:r>
            <w:r>
              <w:rPr>
                <w:rFonts w:hint="eastAsia" w:ascii="宋体" w:hAnsi="宋体" w:eastAsia="宋体" w:cs="宋体"/>
                <w:b w:val="0"/>
                <w:bCs w:val="0"/>
                <w:sz w:val="21"/>
                <w:szCs w:val="21"/>
                <w:highlight w:val="none"/>
              </w:rPr>
              <w:t>60mm</w:t>
            </w:r>
            <w:r>
              <w:rPr>
                <w:rFonts w:hint="eastAsia" w:ascii="宋体" w:hAnsi="宋体" w:cs="宋体"/>
                <w:b w:val="0"/>
                <w:bCs w:val="0"/>
                <w:sz w:val="21"/>
                <w:szCs w:val="21"/>
                <w:highlight w:val="none"/>
                <w:lang w:eastAsia="zh-CN"/>
              </w:rPr>
              <w:t>；</w:t>
            </w:r>
          </w:p>
          <w:p w14:paraId="0ECBD14F">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3.3反射率测试样品最大尺寸</w:t>
            </w:r>
            <w:r>
              <w:rPr>
                <w:rFonts w:hint="eastAsia" w:ascii="宋体" w:hAnsi="宋体" w:cs="宋体"/>
                <w:b w:val="0"/>
                <w:bCs w:val="0"/>
                <w:sz w:val="21"/>
                <w:szCs w:val="21"/>
                <w:highlight w:val="none"/>
                <w:lang w:eastAsia="zh-CN"/>
              </w:rPr>
              <w:t>：</w:t>
            </w:r>
            <w:r>
              <w:rPr>
                <w:rFonts w:hint="eastAsia"/>
                <w:highlight w:val="none"/>
                <w:lang w:val="en-US" w:eastAsia="zh-CN"/>
              </w:rPr>
              <w:t>≥</w:t>
            </w:r>
            <w:r>
              <w:rPr>
                <w:rFonts w:hint="eastAsia" w:ascii="宋体" w:hAnsi="宋体" w:eastAsia="宋体" w:cs="宋体"/>
                <w:b w:val="0"/>
                <w:bCs w:val="0"/>
                <w:sz w:val="21"/>
                <w:szCs w:val="21"/>
                <w:highlight w:val="none"/>
              </w:rPr>
              <w:t>W70xH70xD20mm(0°入射角度)</w:t>
            </w:r>
            <w:r>
              <w:rPr>
                <w:rFonts w:hint="eastAsia" w:ascii="宋体" w:hAnsi="宋体" w:cs="宋体"/>
                <w:b w:val="0"/>
                <w:bCs w:val="0"/>
                <w:sz w:val="21"/>
                <w:szCs w:val="21"/>
                <w:highlight w:val="none"/>
                <w:lang w:eastAsia="zh-CN"/>
              </w:rPr>
              <w:t>，</w:t>
            </w:r>
            <w:r>
              <w:rPr>
                <w:rFonts w:hint="eastAsia"/>
                <w:highlight w:val="none"/>
                <w:lang w:val="en-US" w:eastAsia="zh-CN"/>
              </w:rPr>
              <w:t>≥</w:t>
            </w:r>
            <w:r>
              <w:rPr>
                <w:rFonts w:hint="eastAsia" w:ascii="宋体" w:hAnsi="宋体" w:eastAsia="宋体" w:cs="宋体"/>
                <w:b w:val="0"/>
                <w:bCs w:val="0"/>
                <w:sz w:val="21"/>
                <w:szCs w:val="21"/>
                <w:highlight w:val="none"/>
              </w:rPr>
              <w:t>W70xH70xD12mm(8°入射角度)</w:t>
            </w:r>
            <w:r>
              <w:rPr>
                <w:rFonts w:hint="eastAsia" w:ascii="宋体" w:hAnsi="宋体" w:cs="宋体"/>
                <w:b w:val="0"/>
                <w:bCs w:val="0"/>
                <w:sz w:val="21"/>
                <w:szCs w:val="21"/>
                <w:highlight w:val="none"/>
                <w:lang w:eastAsia="zh-CN"/>
              </w:rPr>
              <w:t>；</w:t>
            </w:r>
          </w:p>
          <w:p w14:paraId="5223413E">
            <w:pPr>
              <w:pStyle w:val="10"/>
              <w:spacing w:line="360" w:lineRule="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3.4波长范围</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220-1400nm</w:t>
            </w:r>
            <w:r>
              <w:rPr>
                <w:rFonts w:hint="eastAsia" w:ascii="宋体" w:hAnsi="宋体" w:cs="宋体"/>
                <w:b w:val="0"/>
                <w:bCs w:val="0"/>
                <w:sz w:val="21"/>
                <w:szCs w:val="21"/>
                <w:highlight w:val="none"/>
                <w:lang w:eastAsia="zh-CN"/>
              </w:rPr>
              <w:t>；</w:t>
            </w:r>
          </w:p>
          <w:p w14:paraId="02A72049">
            <w:pPr>
              <w:pStyle w:val="10"/>
              <w:spacing w:line="360" w:lineRule="auto"/>
              <w:rPr>
                <w:rFonts w:hint="eastAsia" w:ascii="宋体" w:hAnsi="宋体" w:eastAsia="宋体" w:cs="宋体"/>
                <w:b w:val="0"/>
                <w:bCs w:val="0"/>
                <w:sz w:val="21"/>
                <w:szCs w:val="21"/>
                <w:highlight w:val="none"/>
                <w:lang w:eastAsia="zh-CN"/>
              </w:rPr>
            </w:pPr>
            <w:r>
              <w:rPr>
                <w:rFonts w:hint="eastAsia" w:ascii="宋体" w:hAnsi="宋体" w:cs="宋体"/>
                <w:b w:val="0"/>
                <w:bCs w:val="0"/>
                <w:sz w:val="21"/>
                <w:szCs w:val="21"/>
                <w:highlight w:val="none"/>
                <w:lang w:val="en-US" w:eastAsia="zh-CN"/>
              </w:rPr>
              <w:t>3.5</w:t>
            </w:r>
            <w:r>
              <w:rPr>
                <w:rFonts w:hint="eastAsia" w:ascii="宋体" w:hAnsi="宋体" w:eastAsia="宋体" w:cs="宋体"/>
                <w:b w:val="0"/>
                <w:bCs w:val="0"/>
                <w:sz w:val="21"/>
                <w:szCs w:val="21"/>
                <w:highlight w:val="none"/>
              </w:rPr>
              <w:t>噪声等级</w:t>
            </w:r>
            <w:r>
              <w:rPr>
                <w:rFonts w:hint="eastAsia" w:ascii="宋体" w:hAnsi="宋体" w:cs="宋体"/>
                <w:b w:val="0"/>
                <w:bCs w:val="0"/>
                <w:sz w:val="21"/>
                <w:szCs w:val="21"/>
                <w:highlight w:val="none"/>
                <w:lang w:eastAsia="zh-CN"/>
              </w:rPr>
              <w:t>：</w:t>
            </w:r>
            <w:r>
              <w:rPr>
                <w:rFonts w:hint="eastAsia"/>
                <w:highlight w:val="none"/>
                <w:lang w:val="en-US" w:eastAsia="zh-CN"/>
              </w:rPr>
              <w:t>≤</w:t>
            </w:r>
            <w:r>
              <w:rPr>
                <w:rFonts w:hint="eastAsia" w:ascii="宋体" w:hAnsi="宋体" w:eastAsia="宋体" w:cs="宋体"/>
                <w:b w:val="0"/>
                <w:bCs w:val="0"/>
                <w:sz w:val="21"/>
                <w:szCs w:val="21"/>
                <w:highlight w:val="none"/>
              </w:rPr>
              <w:t>0.1%TRMS 500nm</w:t>
            </w:r>
            <w:r>
              <w:rPr>
                <w:rFonts w:hint="eastAsia" w:ascii="宋体" w:hAnsi="宋体" w:cs="宋体"/>
                <w:b w:val="0"/>
                <w:bCs w:val="0"/>
                <w:sz w:val="21"/>
                <w:szCs w:val="21"/>
                <w:highlight w:val="none"/>
                <w:lang w:eastAsia="zh-CN"/>
              </w:rPr>
              <w:t>，</w:t>
            </w:r>
            <w:r>
              <w:rPr>
                <w:rFonts w:hint="eastAsia"/>
                <w:highlight w:val="none"/>
                <w:lang w:val="en-US" w:eastAsia="zh-CN"/>
              </w:rPr>
              <w:t>≤</w:t>
            </w:r>
            <w:r>
              <w:rPr>
                <w:rFonts w:hint="eastAsia" w:ascii="宋体" w:hAnsi="宋体" w:eastAsia="宋体" w:cs="宋体"/>
                <w:b w:val="0"/>
                <w:bCs w:val="0"/>
                <w:sz w:val="21"/>
                <w:szCs w:val="21"/>
                <w:highlight w:val="none"/>
              </w:rPr>
              <w:t>0.3%TRMS 900 nm</w:t>
            </w:r>
            <w:r>
              <w:rPr>
                <w:rFonts w:hint="eastAsia" w:ascii="宋体" w:hAnsi="宋体" w:cs="宋体"/>
                <w:b w:val="0"/>
                <w:bCs w:val="0"/>
                <w:sz w:val="21"/>
                <w:szCs w:val="21"/>
                <w:highlight w:val="none"/>
                <w:lang w:eastAsia="zh-CN"/>
              </w:rPr>
              <w:t>；</w:t>
            </w:r>
          </w:p>
          <w:p w14:paraId="6661AF6E">
            <w:pPr>
              <w:pStyle w:val="10"/>
              <w:spacing w:line="360" w:lineRule="auto"/>
              <w:rPr>
                <w:rFonts w:hint="eastAsia" w:ascii="宋体" w:hAnsi="宋体" w:eastAsia="宋体" w:cs="宋体"/>
                <w:b w:val="0"/>
                <w:bCs w:val="0"/>
                <w:sz w:val="21"/>
                <w:szCs w:val="21"/>
                <w:highlight w:val="none"/>
                <w:lang w:eastAsia="zh-CN"/>
              </w:rPr>
            </w:pPr>
            <w:r>
              <w:rPr>
                <w:rFonts w:hint="eastAsia" w:ascii="宋体" w:hAnsi="宋体" w:cs="宋体"/>
                <w:b w:val="0"/>
                <w:bCs w:val="0"/>
                <w:sz w:val="21"/>
                <w:szCs w:val="21"/>
                <w:highlight w:val="none"/>
                <w:lang w:val="en-US" w:eastAsia="zh-CN"/>
              </w:rPr>
              <w:t>3.6</w:t>
            </w:r>
            <w:r>
              <w:rPr>
                <w:rFonts w:hint="eastAsia" w:ascii="宋体" w:hAnsi="宋体" w:eastAsia="宋体" w:cs="宋体"/>
                <w:b w:val="0"/>
                <w:bCs w:val="0"/>
                <w:sz w:val="21"/>
                <w:szCs w:val="21"/>
                <w:highlight w:val="none"/>
              </w:rPr>
              <w:t>平坦度</w:t>
            </w:r>
            <w:r>
              <w:rPr>
                <w:rFonts w:hint="eastAsia" w:ascii="宋体" w:hAnsi="宋体" w:cs="宋体"/>
                <w:b w:val="0"/>
                <w:bCs w:val="0"/>
                <w:sz w:val="21"/>
                <w:szCs w:val="21"/>
                <w:highlight w:val="none"/>
                <w:lang w:eastAsia="zh-CN"/>
              </w:rPr>
              <w:t>：</w:t>
            </w:r>
            <w:r>
              <w:rPr>
                <w:rFonts w:hint="eastAsia"/>
                <w:highlight w:val="none"/>
                <w:lang w:val="en-US" w:eastAsia="zh-CN"/>
              </w:rPr>
              <w:t>≤</w:t>
            </w:r>
            <w:r>
              <w:rPr>
                <w:rFonts w:hint="eastAsia" w:ascii="宋体" w:hAnsi="宋体" w:eastAsia="宋体" w:cs="宋体"/>
                <w:b w:val="0"/>
                <w:bCs w:val="0"/>
                <w:sz w:val="21"/>
                <w:szCs w:val="21"/>
                <w:highlight w:val="none"/>
              </w:rPr>
              <w:t>+0.5%T (220-1300 nm)以上</w:t>
            </w:r>
            <w:r>
              <w:rPr>
                <w:rFonts w:hint="eastAsia" w:ascii="宋体" w:hAnsi="宋体" w:cs="宋体"/>
                <w:b w:val="0"/>
                <w:bCs w:val="0"/>
                <w:sz w:val="21"/>
                <w:szCs w:val="21"/>
                <w:highlight w:val="none"/>
                <w:lang w:eastAsia="zh-CN"/>
              </w:rPr>
              <w:t>；</w:t>
            </w:r>
          </w:p>
          <w:p w14:paraId="38C3B105">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3.</w:t>
            </w:r>
            <w:r>
              <w:rPr>
                <w:rFonts w:hint="eastAsia" w:ascii="宋体" w:hAnsi="宋体" w:cs="宋体"/>
                <w:b w:val="0"/>
                <w:bCs w:val="0"/>
                <w:sz w:val="21"/>
                <w:szCs w:val="21"/>
                <w:highlight w:val="none"/>
                <w:lang w:val="en-US" w:eastAsia="zh-CN"/>
              </w:rPr>
              <w:t>6</w:t>
            </w:r>
            <w:r>
              <w:rPr>
                <w:rFonts w:hint="eastAsia" w:ascii="宋体" w:hAnsi="宋体" w:eastAsia="宋体" w:cs="宋体"/>
                <w:b w:val="0"/>
                <w:bCs w:val="0"/>
                <w:sz w:val="21"/>
                <w:szCs w:val="21"/>
                <w:highlight w:val="none"/>
              </w:rPr>
              <w:t xml:space="preserve"> NR杂散光</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0.4%T(典型指标测试条件为1400nm,H,O和5nm狭缝)</w:t>
            </w:r>
            <w:r>
              <w:rPr>
                <w:rFonts w:hint="eastAsia" w:ascii="宋体" w:hAnsi="宋体" w:cs="宋体"/>
                <w:b w:val="0"/>
                <w:bCs w:val="0"/>
                <w:sz w:val="21"/>
                <w:szCs w:val="21"/>
                <w:highlight w:val="none"/>
                <w:lang w:eastAsia="zh-CN"/>
              </w:rPr>
              <w:t>；</w:t>
            </w:r>
          </w:p>
          <w:p w14:paraId="12A6D775">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3.</w:t>
            </w:r>
            <w:r>
              <w:rPr>
                <w:rFonts w:hint="eastAsia" w:ascii="宋体" w:hAnsi="宋体" w:cs="宋体"/>
                <w:b w:val="0"/>
                <w:bCs w:val="0"/>
                <w:sz w:val="21"/>
                <w:szCs w:val="21"/>
                <w:highlight w:val="none"/>
                <w:lang w:val="en-US" w:eastAsia="zh-CN"/>
              </w:rPr>
              <w:t>7</w:t>
            </w:r>
            <w:r>
              <w:rPr>
                <w:rFonts w:hint="eastAsia" w:ascii="宋体" w:hAnsi="宋体" w:eastAsia="宋体" w:cs="宋体"/>
                <w:b w:val="0"/>
                <w:bCs w:val="0"/>
                <w:sz w:val="21"/>
                <w:szCs w:val="21"/>
                <w:highlight w:val="none"/>
              </w:rPr>
              <w:t xml:space="preserve"> 检测器：光电倍增管和InGaAs检测器</w:t>
            </w:r>
            <w:r>
              <w:rPr>
                <w:rFonts w:hint="eastAsia" w:ascii="宋体" w:hAnsi="宋体" w:cs="宋体"/>
                <w:b w:val="0"/>
                <w:bCs w:val="0"/>
                <w:sz w:val="21"/>
                <w:szCs w:val="21"/>
                <w:highlight w:val="none"/>
                <w:lang w:eastAsia="zh-CN"/>
              </w:rPr>
              <w:t>；</w:t>
            </w:r>
          </w:p>
          <w:p w14:paraId="1C9004FE">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4. 配置：</w:t>
            </w:r>
          </w:p>
          <w:p w14:paraId="735130A6">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4.1 主机一台</w:t>
            </w:r>
            <w:r>
              <w:rPr>
                <w:rFonts w:hint="eastAsia" w:ascii="宋体" w:hAnsi="宋体" w:cs="宋体"/>
                <w:b w:val="0"/>
                <w:bCs w:val="0"/>
                <w:sz w:val="21"/>
                <w:szCs w:val="21"/>
                <w:highlight w:val="none"/>
                <w:lang w:eastAsia="zh-CN"/>
              </w:rPr>
              <w:t>；</w:t>
            </w:r>
          </w:p>
          <w:p w14:paraId="08696ED7">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 xml:space="preserve">4.2 </w:t>
            </w:r>
            <w:r>
              <w:rPr>
                <w:rFonts w:hint="eastAsia"/>
                <w:highlight w:val="none"/>
                <w:lang w:val="en-US" w:eastAsia="zh-CN"/>
              </w:rPr>
              <w:t>≥</w:t>
            </w:r>
            <w:r>
              <w:rPr>
                <w:rFonts w:hint="eastAsia" w:ascii="宋体" w:hAnsi="宋体" w:eastAsia="宋体" w:cs="宋体"/>
                <w:b w:val="0"/>
                <w:bCs w:val="0"/>
                <w:sz w:val="21"/>
                <w:szCs w:val="21"/>
                <w:highlight w:val="none"/>
              </w:rPr>
              <w:t>60mm积分球 1套</w:t>
            </w:r>
            <w:r>
              <w:rPr>
                <w:rFonts w:hint="eastAsia" w:ascii="宋体" w:hAnsi="宋体" w:cs="宋体"/>
                <w:b w:val="0"/>
                <w:bCs w:val="0"/>
                <w:sz w:val="21"/>
                <w:szCs w:val="21"/>
                <w:highlight w:val="none"/>
                <w:lang w:eastAsia="zh-CN"/>
              </w:rPr>
              <w:t>；</w:t>
            </w:r>
          </w:p>
          <w:p w14:paraId="66255B0D">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4.3 粉末样品支架 1个</w:t>
            </w:r>
            <w:r>
              <w:rPr>
                <w:rFonts w:hint="eastAsia" w:ascii="宋体" w:hAnsi="宋体" w:cs="宋体"/>
                <w:b w:val="0"/>
                <w:bCs w:val="0"/>
                <w:sz w:val="21"/>
                <w:szCs w:val="21"/>
                <w:highlight w:val="none"/>
                <w:lang w:eastAsia="zh-CN"/>
              </w:rPr>
              <w:t>；</w:t>
            </w:r>
          </w:p>
          <w:p w14:paraId="4E9572DA">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4.4 薄膜样品支架1个</w:t>
            </w:r>
            <w:r>
              <w:rPr>
                <w:rFonts w:hint="eastAsia" w:ascii="宋体" w:hAnsi="宋体" w:cs="宋体"/>
                <w:b w:val="0"/>
                <w:bCs w:val="0"/>
                <w:sz w:val="21"/>
                <w:szCs w:val="21"/>
                <w:highlight w:val="none"/>
                <w:lang w:eastAsia="zh-CN"/>
              </w:rPr>
              <w:t>；</w:t>
            </w:r>
          </w:p>
          <w:p w14:paraId="73B74F12">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4.</w:t>
            </w:r>
            <w:r>
              <w:rPr>
                <w:rFonts w:hint="eastAsia" w:ascii="宋体" w:hAnsi="宋体" w:eastAsia="宋体" w:cs="宋体"/>
                <w:b w:val="0"/>
                <w:bCs w:val="0"/>
                <w:sz w:val="21"/>
                <w:szCs w:val="21"/>
                <w:highlight w:val="none"/>
                <w:lang w:val="en-US" w:eastAsia="zh-CN"/>
              </w:rPr>
              <w:t>5</w:t>
            </w:r>
            <w:r>
              <w:rPr>
                <w:rFonts w:hint="eastAsia" w:ascii="宋体" w:hAnsi="宋体" w:eastAsia="宋体" w:cs="宋体"/>
                <w:b w:val="0"/>
                <w:bCs w:val="0"/>
                <w:sz w:val="21"/>
                <w:szCs w:val="21"/>
                <w:highlight w:val="none"/>
              </w:rPr>
              <w:t xml:space="preserve"> 备件：卤素灯1个、氘灯1个</w:t>
            </w:r>
            <w:r>
              <w:rPr>
                <w:rFonts w:hint="eastAsia" w:ascii="宋体" w:hAnsi="宋体" w:cs="宋体"/>
                <w:b w:val="0"/>
                <w:bCs w:val="0"/>
                <w:sz w:val="21"/>
                <w:szCs w:val="21"/>
                <w:highlight w:val="none"/>
                <w:lang w:eastAsia="zh-CN"/>
              </w:rPr>
              <w:t>；</w:t>
            </w:r>
          </w:p>
          <w:p w14:paraId="3F9BCCD0">
            <w:pPr>
              <w:keepNext w:val="0"/>
              <w:keepLines w:val="0"/>
              <w:pageBreakBefore w:val="0"/>
              <w:kinsoku/>
              <w:wordWrap/>
              <w:overflowPunct/>
              <w:topLinePunct w:val="0"/>
              <w:autoSpaceDE/>
              <w:bidi w:val="0"/>
              <w:adjustRightInd w:val="0"/>
              <w:snapToGrid w:val="0"/>
              <w:spacing w:line="360" w:lineRule="auto"/>
              <w:jc w:val="left"/>
              <w:rPr>
                <w:rFonts w:hint="eastAsia" w:eastAsia="宋体" w:asciiTheme="minorEastAsia" w:hAnsiTheme="minorEastAsia" w:cstheme="minorEastAsia"/>
                <w:color w:val="000000"/>
                <w:kern w:val="0"/>
                <w:sz w:val="21"/>
                <w:szCs w:val="21"/>
                <w:highlight w:val="none"/>
                <w:lang w:val="en-US" w:eastAsia="zh-CN" w:bidi="ar-SA"/>
              </w:rPr>
            </w:pPr>
            <w:r>
              <w:rPr>
                <w:rFonts w:hint="eastAsia" w:ascii="宋体" w:hAnsi="宋体" w:eastAsia="宋体" w:cs="宋体"/>
                <w:b w:val="0"/>
                <w:bCs w:val="0"/>
                <w:sz w:val="21"/>
                <w:szCs w:val="21"/>
                <w:highlight w:val="none"/>
              </w:rPr>
              <w:t>4.</w:t>
            </w:r>
            <w:r>
              <w:rPr>
                <w:rFonts w:hint="eastAsia" w:ascii="宋体" w:hAnsi="宋体" w:eastAsia="宋体" w:cs="宋体"/>
                <w:b w:val="0"/>
                <w:bCs w:val="0"/>
                <w:sz w:val="21"/>
                <w:szCs w:val="21"/>
                <w:highlight w:val="none"/>
                <w:lang w:val="en-US" w:eastAsia="zh-CN"/>
              </w:rPr>
              <w:t>6</w:t>
            </w:r>
            <w:r>
              <w:rPr>
                <w:rFonts w:hint="eastAsia" w:ascii="宋体" w:hAnsi="宋体" w:eastAsia="宋体" w:cs="宋体"/>
                <w:b w:val="0"/>
                <w:bCs w:val="0"/>
                <w:sz w:val="21"/>
                <w:szCs w:val="21"/>
                <w:highlight w:val="none"/>
              </w:rPr>
              <w:t xml:space="preserve"> 石英比色皿（Q）10 mm 4个</w:t>
            </w:r>
            <w:r>
              <w:rPr>
                <w:rFonts w:hint="eastAsia" w:ascii="宋体" w:hAnsi="宋体" w:cs="宋体"/>
                <w:b w:val="0"/>
                <w:bCs w:val="0"/>
                <w:sz w:val="21"/>
                <w:szCs w:val="21"/>
                <w:highlight w:val="none"/>
                <w:lang w:eastAsia="zh-CN"/>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00A5D2FA">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1台</w:t>
            </w:r>
          </w:p>
        </w:tc>
      </w:tr>
      <w:tr w14:paraId="6DEC6595">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899B835">
            <w:pPr>
              <w:pStyle w:val="57"/>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8E1AB6D">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74E13D1">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500ml 四工位 立式行星球磨机 </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B274539">
            <w:pPr>
              <w:keepNext w:val="0"/>
              <w:keepLines w:val="0"/>
              <w:pageBreakBefore w:val="0"/>
              <w:tabs>
                <w:tab w:val="left" w:pos="709"/>
              </w:tabs>
              <w:kinsoku/>
              <w:wordWrap/>
              <w:overflowPunct/>
              <w:topLinePunct w:val="0"/>
              <w:autoSpaceDE/>
              <w:bidi w:val="0"/>
              <w:spacing w:line="360" w:lineRule="auto"/>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一、技术指标</w:t>
            </w:r>
          </w:p>
          <w:p w14:paraId="050B64CC">
            <w:pPr>
              <w:keepNext w:val="0"/>
              <w:keepLines w:val="0"/>
              <w:pageBreakBefore w:val="0"/>
              <w:tabs>
                <w:tab w:val="left" w:pos="709"/>
              </w:tabs>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仪器系统：四平台行星式球磨仪是一款坚固耐用的高能球磨仪，4个研磨平台，电机驱动公共太阳轮公转，四个研磨罐自转，研磨球与研磨罐一起运转时，受到自转偏向力叠加影响，可在短时间内将样品满足细度要求极高的应用；</w:t>
            </w:r>
          </w:p>
          <w:p w14:paraId="5553DDF4">
            <w:pPr>
              <w:keepNext w:val="0"/>
              <w:keepLines w:val="0"/>
              <w:pageBreakBefore w:val="0"/>
              <w:tabs>
                <w:tab w:val="left" w:pos="709"/>
              </w:tabs>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应用领域及范围：地质冶金、环境/资源回收利用、玻璃陶瓷、化工/合成材料等；适合于对软性、中硬性、极硬性、脆性及纤维性样品进行研磨（干磨或湿磨）及混合处理；</w:t>
            </w:r>
          </w:p>
          <w:p w14:paraId="4433B6DF">
            <w:pPr>
              <w:keepNext w:val="0"/>
              <w:keepLines w:val="0"/>
              <w:pageBreakBefore w:val="0"/>
              <w:tabs>
                <w:tab w:val="left" w:pos="709"/>
              </w:tabs>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进样尺寸</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小于10mm；</w:t>
            </w:r>
          </w:p>
          <w:p w14:paraId="5BC972B9">
            <w:pPr>
              <w:keepNext w:val="0"/>
              <w:keepLines w:val="0"/>
              <w:pageBreakBefore w:val="0"/>
              <w:tabs>
                <w:tab w:val="left" w:pos="709"/>
              </w:tabs>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4</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出样尺寸</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小于0.1μm；（</w:t>
            </w:r>
            <w:r>
              <w:rPr>
                <w:rFonts w:hint="eastAsia" w:ascii="宋体" w:hAnsi="宋体" w:eastAsia="宋体" w:cs="宋体"/>
                <w:sz w:val="21"/>
                <w:szCs w:val="21"/>
                <w:highlight w:val="none"/>
                <w:lang w:val="en-US" w:eastAsia="zh-CN"/>
              </w:rPr>
              <w:t>胶体研磨至纳米级</w:t>
            </w:r>
            <w:r>
              <w:rPr>
                <w:rFonts w:hint="eastAsia" w:ascii="宋体" w:hAnsi="宋体" w:eastAsia="宋体" w:cs="宋体"/>
                <w:sz w:val="21"/>
                <w:szCs w:val="21"/>
                <w:highlight w:val="none"/>
              </w:rPr>
              <w:t>）</w:t>
            </w:r>
          </w:p>
          <w:p w14:paraId="0C80F784">
            <w:pPr>
              <w:keepNext w:val="0"/>
              <w:keepLines w:val="0"/>
              <w:pageBreakBefore w:val="0"/>
              <w:tabs>
                <w:tab w:val="left" w:pos="709"/>
              </w:tabs>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5</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研磨平台数：4/2，可同时研磨2份或4份或8份样品；</w:t>
            </w:r>
          </w:p>
          <w:p w14:paraId="1A794F38">
            <w:pPr>
              <w:pStyle w:val="57"/>
              <w:keepNext w:val="0"/>
              <w:keepLines w:val="0"/>
              <w:pageBreakBefore w:val="0"/>
              <w:tabs>
                <w:tab w:val="left" w:pos="709"/>
              </w:tabs>
              <w:kinsoku/>
              <w:wordWrap/>
              <w:overflowPunct/>
              <w:topLinePunct w:val="0"/>
              <w:autoSpaceDE/>
              <w:bidi w:val="0"/>
              <w:spacing w:line="36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6</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常规太阳轮转速</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30-400r</w:t>
            </w:r>
            <w:r>
              <w:rPr>
                <w:rFonts w:hint="eastAsia" w:ascii="宋体" w:hAnsi="宋体" w:eastAsia="宋体" w:cs="宋体"/>
                <w:sz w:val="21"/>
                <w:szCs w:val="21"/>
                <w:highlight w:val="none"/>
                <w:lang w:val="en-US" w:eastAsia="zh-CN"/>
              </w:rPr>
              <w:t>pm</w:t>
            </w:r>
            <w:r>
              <w:rPr>
                <w:rFonts w:hint="eastAsia" w:ascii="宋体" w:hAnsi="宋体" w:eastAsia="宋体" w:cs="宋体"/>
                <w:sz w:val="21"/>
                <w:szCs w:val="21"/>
                <w:highlight w:val="none"/>
              </w:rPr>
              <w:t>/min，变频无极调速，可根据转速比定制更高转速</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有效太阳轮直径不小于360mm；</w:t>
            </w:r>
          </w:p>
          <w:p w14:paraId="3DB73C6B">
            <w:pPr>
              <w:keepNext w:val="0"/>
              <w:keepLines w:val="0"/>
              <w:pageBreakBefore w:val="0"/>
              <w:tabs>
                <w:tab w:val="left" w:pos="709"/>
              </w:tabs>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7</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转速比</w:t>
            </w:r>
            <w:r>
              <w:rPr>
                <w:rFonts w:hint="eastAsia" w:ascii="宋体" w:hAnsi="宋体" w:cs="宋体"/>
                <w:sz w:val="21"/>
                <w:szCs w:val="21"/>
                <w:highlight w:val="none"/>
                <w:lang w:eastAsia="zh-CN"/>
              </w:rPr>
              <w:t>：</w:t>
            </w:r>
            <w:r>
              <w:rPr>
                <w:rFonts w:hint="eastAsia"/>
                <w:highlight w:val="none"/>
                <w:lang w:val="en-US" w:eastAsia="zh-CN"/>
              </w:rPr>
              <w:t>≥</w:t>
            </w:r>
            <w:r>
              <w:rPr>
                <w:rFonts w:hint="eastAsia" w:ascii="宋体" w:hAnsi="宋体" w:eastAsia="宋体" w:cs="宋体"/>
                <w:sz w:val="21"/>
                <w:szCs w:val="21"/>
                <w:highlight w:val="none"/>
              </w:rPr>
              <w:t>1</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-2.2；</w:t>
            </w:r>
          </w:p>
          <w:p w14:paraId="7F052399">
            <w:pPr>
              <w:keepNext w:val="0"/>
              <w:keepLines w:val="0"/>
              <w:pageBreakBefore w:val="0"/>
              <w:tabs>
                <w:tab w:val="left" w:pos="709"/>
              </w:tabs>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8</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可选研磨罐容积：12</w:t>
            </w:r>
            <w:r>
              <w:rPr>
                <w:rFonts w:hint="eastAsia" w:ascii="宋体" w:hAnsi="宋体" w:eastAsia="宋体" w:cs="宋体"/>
                <w:sz w:val="21"/>
                <w:szCs w:val="21"/>
                <w:highlight w:val="none"/>
                <w:lang w:val="en-US" w:eastAsia="zh-CN"/>
              </w:rPr>
              <w:t>ml</w:t>
            </w:r>
            <w:r>
              <w:rPr>
                <w:rFonts w:hint="eastAsia" w:ascii="宋体" w:hAnsi="宋体" w:eastAsia="宋体" w:cs="宋体"/>
                <w:sz w:val="21"/>
                <w:szCs w:val="21"/>
                <w:highlight w:val="none"/>
              </w:rPr>
              <w:t>,50ml，80ml，125ml，250ml，500ml；</w:t>
            </w:r>
          </w:p>
          <w:p w14:paraId="5F1D458E">
            <w:pPr>
              <w:keepNext w:val="0"/>
              <w:keepLines w:val="0"/>
              <w:pageBreakBefore w:val="0"/>
              <w:tabs>
                <w:tab w:val="left" w:pos="709"/>
              </w:tabs>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9</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可选研磨罐材质：不锈钢、硬质钢、碳化钨、玛瑙、氧化锆、烧结刚玉；碳化钨，玛瑙，氧化锆和烧结刚玉材质的研磨罐内衬包裹有不锈钢外壳，方便操作、有效延长使用寿命；</w:t>
            </w:r>
          </w:p>
          <w:p w14:paraId="064E94CB">
            <w:pPr>
              <w:keepNext w:val="0"/>
              <w:keepLines w:val="0"/>
              <w:pageBreakBefore w:val="0"/>
              <w:tabs>
                <w:tab w:val="left" w:pos="709"/>
              </w:tabs>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10</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研磨罐带O型密封圈,可有效密闭防尘，罐体标有所用材质及额定容积，便于区分。且碳化钨，玛瑙，氧化锆和烧结刚玉材质的研磨罐内衬</w:t>
            </w:r>
            <w:r>
              <w:rPr>
                <w:rFonts w:hint="eastAsia" w:ascii="宋体" w:hAnsi="宋体" w:eastAsia="宋体" w:cs="宋体"/>
                <w:sz w:val="21"/>
                <w:szCs w:val="21"/>
                <w:highlight w:val="none"/>
                <w:lang w:val="en-US" w:eastAsia="zh-CN"/>
              </w:rPr>
              <w:t>外</w:t>
            </w:r>
            <w:r>
              <w:rPr>
                <w:rFonts w:hint="eastAsia" w:ascii="宋体" w:hAnsi="宋体" w:eastAsia="宋体" w:cs="宋体"/>
                <w:sz w:val="21"/>
                <w:szCs w:val="21"/>
                <w:highlight w:val="none"/>
              </w:rPr>
              <w:t>有不锈钢外壳， 可方便操作、有效延长使用寿命；研磨罐及研磨盖设计有抓握边沿，便于取放；</w:t>
            </w:r>
          </w:p>
          <w:p w14:paraId="3CEA99FF">
            <w:pPr>
              <w:pStyle w:val="1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11</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工业化美学设计，</w:t>
            </w:r>
            <w:r>
              <w:rPr>
                <w:rFonts w:hint="eastAsia" w:ascii="宋体" w:hAnsi="宋体" w:eastAsia="宋体" w:cs="宋体"/>
                <w:kern w:val="2"/>
                <w:sz w:val="21"/>
                <w:szCs w:val="21"/>
                <w:highlight w:val="none"/>
                <w:lang w:val="en-US" w:eastAsia="zh-CN" w:bidi="ar-SA"/>
              </w:rPr>
              <w:t>≥7英寸LED触控显示屏，可</w:t>
            </w:r>
            <w:r>
              <w:rPr>
                <w:rFonts w:hint="eastAsia" w:ascii="宋体" w:hAnsi="宋体" w:eastAsia="宋体" w:cs="宋体"/>
                <w:sz w:val="21"/>
                <w:szCs w:val="21"/>
                <w:highlight w:val="none"/>
              </w:rPr>
              <w:t>设置研磨时间、转速、预约研磨起始时间、程序存储、循环次数、研磨罐正转反转及间歇运转模式，操作方便、智能快捷；</w:t>
            </w:r>
          </w:p>
          <w:p w14:paraId="6AF96733">
            <w:pPr>
              <w:pStyle w:val="57"/>
              <w:keepNext w:val="0"/>
              <w:keepLines w:val="0"/>
              <w:pageBreakBefore w:val="0"/>
              <w:tabs>
                <w:tab w:val="left" w:pos="709"/>
              </w:tabs>
              <w:kinsoku/>
              <w:wordWrap/>
              <w:overflowPunct/>
              <w:topLinePunct w:val="0"/>
              <w:autoSpaceDE/>
              <w:bidi w:val="0"/>
              <w:spacing w:line="36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12</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可自动反向运转，防止样品聚集；</w:t>
            </w:r>
          </w:p>
          <w:p w14:paraId="4BFB6DF5">
            <w:pPr>
              <w:pStyle w:val="57"/>
              <w:keepNext w:val="0"/>
              <w:keepLines w:val="0"/>
              <w:pageBreakBefore w:val="0"/>
              <w:tabs>
                <w:tab w:val="left" w:pos="709"/>
              </w:tabs>
              <w:kinsoku/>
              <w:wordWrap/>
              <w:overflowPunct/>
              <w:topLinePunct w:val="0"/>
              <w:autoSpaceDE/>
              <w:bidi w:val="0"/>
              <w:spacing w:line="36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13</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存储模式：程序可存储</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组常用参数，可锁定常用参数，针对不同样品可快速选择；</w:t>
            </w:r>
          </w:p>
          <w:p w14:paraId="26CE391F">
            <w:pPr>
              <w:keepNext w:val="0"/>
              <w:keepLines w:val="0"/>
              <w:pageBreakBefore w:val="0"/>
              <w:tabs>
                <w:tab w:val="left" w:pos="709"/>
              </w:tabs>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14</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zh-CN"/>
              </w:rPr>
              <w:t>独特的振动平衡安全保护系统，</w:t>
            </w:r>
            <w:r>
              <w:rPr>
                <w:rFonts w:hint="eastAsia" w:ascii="宋体" w:hAnsi="宋体" w:eastAsia="宋体" w:cs="宋体"/>
                <w:sz w:val="21"/>
                <w:szCs w:val="21"/>
                <w:highlight w:val="none"/>
                <w:lang w:val="en-US" w:eastAsia="zh-CN"/>
              </w:rPr>
              <w:t>可以随时设置振动平衡参数，</w:t>
            </w:r>
            <w:r>
              <w:rPr>
                <w:rFonts w:hint="eastAsia" w:ascii="宋体" w:hAnsi="宋体" w:eastAsia="宋体" w:cs="宋体"/>
                <w:sz w:val="21"/>
                <w:szCs w:val="21"/>
                <w:highlight w:val="none"/>
                <w:lang w:val="zh-CN"/>
              </w:rPr>
              <w:t>工作中如出现研磨罐异常松动或晃动，仪器自动停止，保障安全；</w:t>
            </w:r>
          </w:p>
          <w:p w14:paraId="46275F5B">
            <w:pPr>
              <w:keepNext w:val="0"/>
              <w:keepLines w:val="0"/>
              <w:pageBreakBefore w:val="0"/>
              <w:tabs>
                <w:tab w:val="left" w:pos="709"/>
              </w:tabs>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15</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研磨罐舒适型快速安全锁定装置（旋钮+环形锁定位双重锁紧）、内置的安全定位系统（底部环型阶梯中心定位及双定位销）及研磨罐固定挡板采用三块加厚（6mm）金属固定片，三点固定整个平面，确保安全可靠，在研磨过程中有效防止研磨罐松动或滑动；</w:t>
            </w:r>
          </w:p>
          <w:p w14:paraId="054AAB17">
            <w:pPr>
              <w:keepNext w:val="0"/>
              <w:keepLines w:val="0"/>
              <w:pageBreakBefore w:val="0"/>
              <w:tabs>
                <w:tab w:val="left" w:pos="709"/>
              </w:tabs>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16</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内置自动通风系统，可自动根据电机的运转状态，对其提供及时有效的冷却，保障仪器长</w:t>
            </w:r>
            <w:r>
              <w:rPr>
                <w:rFonts w:hint="eastAsia" w:ascii="宋体" w:hAnsi="宋体" w:eastAsia="宋体" w:cs="宋体"/>
                <w:sz w:val="21"/>
                <w:szCs w:val="21"/>
                <w:highlight w:val="none"/>
                <w:lang w:val="en-US" w:eastAsia="zh-CN"/>
              </w:rPr>
              <w:t>时间</w:t>
            </w:r>
            <w:r>
              <w:rPr>
                <w:rFonts w:hint="eastAsia" w:ascii="宋体" w:hAnsi="宋体" w:eastAsia="宋体" w:cs="宋体"/>
                <w:sz w:val="21"/>
                <w:szCs w:val="21"/>
                <w:highlight w:val="none"/>
              </w:rPr>
              <w:t>运</w:t>
            </w:r>
            <w:r>
              <w:rPr>
                <w:rFonts w:hint="eastAsia" w:ascii="宋体" w:hAnsi="宋体" w:eastAsia="宋体" w:cs="宋体"/>
                <w:sz w:val="21"/>
                <w:szCs w:val="21"/>
                <w:highlight w:val="none"/>
                <w:lang w:val="en-US" w:eastAsia="zh-CN"/>
              </w:rPr>
              <w:t>行</w:t>
            </w:r>
            <w:r>
              <w:rPr>
                <w:rFonts w:hint="eastAsia" w:ascii="宋体" w:hAnsi="宋体" w:eastAsia="宋体" w:cs="宋体"/>
                <w:sz w:val="21"/>
                <w:szCs w:val="21"/>
                <w:highlight w:val="none"/>
              </w:rPr>
              <w:t>；</w:t>
            </w:r>
          </w:p>
          <w:p w14:paraId="1C3B5116">
            <w:pPr>
              <w:keepNext w:val="0"/>
              <w:keepLines w:val="0"/>
              <w:pageBreakBefore w:val="0"/>
              <w:tabs>
                <w:tab w:val="left" w:pos="709"/>
              </w:tabs>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17</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仪器具有电磁锁，在研磨过程中机盖无法打开或者机盖正常锁紧前仪器无法开启，最大限度的保证了操作的安全性；</w:t>
            </w:r>
          </w:p>
          <w:p w14:paraId="59965904">
            <w:pPr>
              <w:keepNext w:val="0"/>
              <w:keepLines w:val="0"/>
              <w:pageBreakBefore w:val="0"/>
              <w:tabs>
                <w:tab w:val="left" w:pos="709"/>
              </w:tabs>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18</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设备可选配温度压力监测PTM系统，可实时在线监测、分析在研磨过程中罐内发生的变化（化学反应、相变化等）；</w:t>
            </w:r>
          </w:p>
          <w:p w14:paraId="41838E83">
            <w:pPr>
              <w:keepNext w:val="0"/>
              <w:keepLines w:val="0"/>
              <w:pageBreakBefore w:val="0"/>
              <w:tabs>
                <w:tab w:val="left" w:pos="709"/>
              </w:tabs>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19</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研磨罐可配备通气盖，可充入惰性气体，对研磨中的样品进行保护，</w:t>
            </w:r>
            <w:r>
              <w:rPr>
                <w:rFonts w:hint="eastAsia" w:ascii="宋体" w:hAnsi="宋体" w:eastAsia="宋体" w:cs="宋体"/>
                <w:sz w:val="21"/>
                <w:szCs w:val="21"/>
                <w:highlight w:val="none"/>
                <w:lang w:val="en-US" w:eastAsia="zh-CN"/>
              </w:rPr>
              <w:t>有效</w:t>
            </w:r>
            <w:r>
              <w:rPr>
                <w:rFonts w:hint="eastAsia" w:ascii="宋体" w:hAnsi="宋体" w:eastAsia="宋体" w:cs="宋体"/>
                <w:sz w:val="21"/>
                <w:szCs w:val="21"/>
                <w:highlight w:val="none"/>
              </w:rPr>
              <w:t>防止样品氧化</w:t>
            </w:r>
            <w:r>
              <w:rPr>
                <w:rFonts w:hint="eastAsia" w:ascii="宋体" w:hAnsi="宋体" w:eastAsia="宋体" w:cs="宋体"/>
                <w:sz w:val="21"/>
                <w:szCs w:val="21"/>
                <w:highlight w:val="none"/>
                <w:lang w:eastAsia="zh-CN"/>
              </w:rPr>
              <w:t>；</w:t>
            </w:r>
          </w:p>
          <w:p w14:paraId="4B0D4122">
            <w:pPr>
              <w:keepNext w:val="0"/>
              <w:keepLines w:val="0"/>
              <w:pageBreakBefore w:val="0"/>
              <w:tabs>
                <w:tab w:val="left" w:pos="709"/>
              </w:tabs>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20</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仪器采用可靠的卧式低重心小体积设计，占用空间小，运行更加平稳，后期维护也更加便捷</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可放置台面上，或可定制带锁定功能的移动脚轮，放置于地面，方便移动；</w:t>
            </w:r>
          </w:p>
          <w:p w14:paraId="0B21A59F">
            <w:pPr>
              <w:keepNext w:val="0"/>
              <w:keepLines w:val="0"/>
              <w:pageBreakBefore w:val="0"/>
              <w:tabs>
                <w:tab w:val="left" w:pos="709"/>
              </w:tabs>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21</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采用第五代同步齿形带轮，皮带传动能量损失小，可降低摩擦损耗；</w:t>
            </w:r>
          </w:p>
          <w:p w14:paraId="02E760DC">
            <w:pPr>
              <w:keepNext w:val="0"/>
              <w:keepLines w:val="0"/>
              <w:pageBreakBefore w:val="0"/>
              <w:tabs>
                <w:tab w:val="left" w:pos="709"/>
              </w:tabs>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22</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驱动功率：</w:t>
            </w:r>
            <w:r>
              <w:rPr>
                <w:rFonts w:hint="eastAsia"/>
                <w:highlight w:val="none"/>
                <w:lang w:val="en-US" w:eastAsia="zh-CN"/>
              </w:rPr>
              <w:t>≥</w:t>
            </w:r>
            <w:r>
              <w:rPr>
                <w:rFonts w:hint="eastAsia" w:ascii="宋体" w:hAnsi="宋体" w:eastAsia="宋体" w:cs="宋体"/>
                <w:sz w:val="21"/>
                <w:szCs w:val="21"/>
                <w:highlight w:val="none"/>
              </w:rPr>
              <w:t>1500W</w:t>
            </w:r>
            <w:r>
              <w:rPr>
                <w:rFonts w:hint="eastAsia" w:ascii="宋体" w:hAnsi="宋体" w:cs="宋体"/>
                <w:sz w:val="21"/>
                <w:szCs w:val="21"/>
                <w:highlight w:val="none"/>
                <w:lang w:eastAsia="zh-CN"/>
              </w:rPr>
              <w:t>；</w:t>
            </w:r>
          </w:p>
          <w:p w14:paraId="2C4195B2">
            <w:pPr>
              <w:keepNext w:val="0"/>
              <w:keepLines w:val="0"/>
              <w:pageBreakBefore w:val="0"/>
              <w:tabs>
                <w:tab w:val="left" w:pos="709"/>
              </w:tabs>
              <w:kinsoku/>
              <w:wordWrap/>
              <w:overflowPunct/>
              <w:topLinePunct w:val="0"/>
              <w:autoSpaceDE/>
              <w:bidi w:val="0"/>
              <w:spacing w:line="360" w:lineRule="auto"/>
              <w:jc w:val="left"/>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2</w:t>
            </w:r>
            <w:r>
              <w:rPr>
                <w:rFonts w:hint="eastAsia" w:ascii="宋体" w:hAnsi="宋体" w:cs="宋体"/>
                <w:b/>
                <w:bCs/>
                <w:sz w:val="21"/>
                <w:szCs w:val="21"/>
                <w:highlight w:val="none"/>
                <w:lang w:val="en-US" w:eastAsia="zh-CN"/>
              </w:rPr>
              <w:t>3.</w:t>
            </w:r>
            <w:r>
              <w:rPr>
                <w:rFonts w:hint="eastAsia" w:ascii="宋体" w:hAnsi="宋体" w:eastAsia="宋体" w:cs="宋体"/>
                <w:b/>
                <w:bCs/>
                <w:sz w:val="21"/>
                <w:szCs w:val="21"/>
                <w:highlight w:val="none"/>
                <w:lang w:val="en-US" w:eastAsia="zh-CN"/>
              </w:rPr>
              <w:t>管理控制系统：仪器的使用状态可通过手机、电脑等实时可查并采集使用数据，用户可通过手机端APP进行远程设备的电源控制。后台系统对设备电流、电压的实时监测功能，实现设备使用时长的统计</w:t>
            </w:r>
            <w:r>
              <w:rPr>
                <w:rFonts w:hint="eastAsia" w:ascii="宋体" w:hAnsi="宋体" w:cs="宋体"/>
                <w:b/>
                <w:bCs/>
                <w:sz w:val="21"/>
                <w:szCs w:val="21"/>
                <w:highlight w:val="none"/>
                <w:lang w:val="en-US" w:eastAsia="zh-CN"/>
              </w:rPr>
              <w:t>；</w:t>
            </w:r>
          </w:p>
          <w:p w14:paraId="53060BF3">
            <w:pPr>
              <w:keepNext w:val="0"/>
              <w:keepLines w:val="0"/>
              <w:pageBreakBefore w:val="0"/>
              <w:tabs>
                <w:tab w:val="left" w:pos="709"/>
              </w:tabs>
              <w:kinsoku/>
              <w:wordWrap/>
              <w:overflowPunct/>
              <w:topLinePunct w:val="0"/>
              <w:autoSpaceDE/>
              <w:bidi w:val="0"/>
              <w:spacing w:line="360" w:lineRule="auto"/>
              <w:jc w:val="left"/>
              <w:rPr>
                <w:rFonts w:hint="eastAsia" w:ascii="宋体" w:hAnsi="宋体" w:eastAsia="宋体" w:cs="宋体"/>
                <w:bCs/>
                <w:sz w:val="21"/>
                <w:szCs w:val="21"/>
                <w:highlight w:val="none"/>
              </w:rPr>
            </w:pPr>
            <w:r>
              <w:rPr>
                <w:rFonts w:hint="eastAsia" w:ascii="宋体" w:hAnsi="宋体" w:eastAsia="宋体" w:cs="宋体"/>
                <w:sz w:val="21"/>
                <w:szCs w:val="21"/>
                <w:highlight w:val="none"/>
                <w:lang w:val="en-US" w:eastAsia="zh-CN"/>
              </w:rPr>
              <w:t>25</w:t>
            </w:r>
            <w:r>
              <w:rPr>
                <w:rFonts w:hint="eastAsia" w:ascii="宋体" w:hAnsi="宋体" w:cs="宋体"/>
                <w:sz w:val="21"/>
                <w:szCs w:val="21"/>
                <w:highlight w:val="none"/>
                <w:lang w:val="en-US" w:eastAsia="zh-CN"/>
              </w:rPr>
              <w:t>.</w:t>
            </w:r>
            <w:r>
              <w:rPr>
                <w:rFonts w:hint="eastAsia" w:ascii="宋体" w:hAnsi="宋体" w:eastAsia="宋体" w:cs="宋体"/>
                <w:b w:val="0"/>
                <w:bCs/>
                <w:sz w:val="21"/>
                <w:szCs w:val="21"/>
                <w:highlight w:val="none"/>
                <w:lang w:val="en-US" w:eastAsia="zh-CN"/>
              </w:rPr>
              <w:t>三</w:t>
            </w:r>
            <w:r>
              <w:rPr>
                <w:rFonts w:hint="eastAsia" w:ascii="宋体" w:hAnsi="宋体" w:eastAsia="宋体" w:cs="宋体"/>
                <w:b w:val="0"/>
                <w:bCs/>
                <w:sz w:val="21"/>
                <w:szCs w:val="21"/>
                <w:highlight w:val="none"/>
              </w:rPr>
              <w:t>年</w:t>
            </w:r>
            <w:r>
              <w:rPr>
                <w:rFonts w:hint="eastAsia" w:ascii="宋体" w:hAnsi="宋体" w:eastAsia="宋体" w:cs="宋体"/>
                <w:bCs/>
                <w:sz w:val="21"/>
                <w:szCs w:val="21"/>
                <w:highlight w:val="none"/>
              </w:rPr>
              <w:t>的保修期，仪器终生维护；</w:t>
            </w:r>
          </w:p>
          <w:p w14:paraId="05A34942">
            <w:pPr>
              <w:keepNext w:val="0"/>
              <w:keepLines w:val="0"/>
              <w:pageBreakBefore w:val="0"/>
              <w:tabs>
                <w:tab w:val="left" w:pos="709"/>
              </w:tabs>
              <w:kinsoku/>
              <w:wordWrap/>
              <w:overflowPunct/>
              <w:topLinePunct w:val="0"/>
              <w:autoSpaceDE/>
              <w:bidi w:val="0"/>
              <w:spacing w:line="36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26</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rPr>
              <w:t>免费安装调试至仪器可正常运行，仪器安装调试后进行现场免费培训</w:t>
            </w:r>
            <w:r>
              <w:rPr>
                <w:rFonts w:hint="eastAsia" w:ascii="宋体" w:hAnsi="宋体" w:cs="宋体"/>
                <w:bCs/>
                <w:sz w:val="21"/>
                <w:szCs w:val="21"/>
                <w:highlight w:val="none"/>
                <w:lang w:eastAsia="zh-CN"/>
              </w:rPr>
              <w:t>；</w:t>
            </w:r>
          </w:p>
          <w:p w14:paraId="74E0D83D">
            <w:pPr>
              <w:keepNext w:val="0"/>
              <w:keepLines w:val="0"/>
              <w:pageBreakBefore w:val="0"/>
              <w:numPr>
                <w:ilvl w:val="0"/>
                <w:numId w:val="4"/>
              </w:numPr>
              <w:kinsoku/>
              <w:wordWrap/>
              <w:overflowPunct/>
              <w:topLinePunct w:val="0"/>
              <w:autoSpaceDE/>
              <w:bidi w:val="0"/>
              <w:spacing w:line="360" w:lineRule="auto"/>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配置</w:t>
            </w:r>
            <w:r>
              <w:rPr>
                <w:rFonts w:hint="eastAsia" w:ascii="宋体" w:hAnsi="宋体" w:eastAsia="宋体" w:cs="宋体"/>
                <w:b w:val="0"/>
                <w:bCs w:val="0"/>
                <w:sz w:val="21"/>
                <w:szCs w:val="21"/>
                <w:highlight w:val="none"/>
                <w:lang w:val="en-US" w:eastAsia="zh-CN"/>
              </w:rPr>
              <w:t>要求</w:t>
            </w:r>
          </w:p>
          <w:p w14:paraId="4A6B33F5">
            <w:pPr>
              <w:keepNext w:val="0"/>
              <w:keepLines w:val="0"/>
              <w:pageBreakBefore w:val="0"/>
              <w:numPr>
                <w:ilvl w:val="0"/>
                <w:numId w:val="5"/>
              </w:numPr>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四平台行星式球磨仪主机</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1台；</w:t>
            </w:r>
          </w:p>
          <w:p w14:paraId="63B2FF56">
            <w:pPr>
              <w:keepNext w:val="0"/>
              <w:keepLines w:val="0"/>
              <w:pageBreakBefore w:val="0"/>
              <w:numPr>
                <w:ilvl w:val="0"/>
                <w:numId w:val="5"/>
              </w:numPr>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研磨罐</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500</w:t>
            </w:r>
            <w:r>
              <w:rPr>
                <w:rFonts w:hint="eastAsia" w:ascii="宋体" w:hAnsi="宋体" w:eastAsia="宋体" w:cs="宋体"/>
                <w:sz w:val="21"/>
                <w:szCs w:val="21"/>
                <w:highlight w:val="none"/>
              </w:rPr>
              <w:t>ml，</w:t>
            </w:r>
            <w:r>
              <w:rPr>
                <w:rFonts w:hint="eastAsia" w:ascii="宋体" w:hAnsi="宋体" w:eastAsia="宋体" w:cs="宋体"/>
                <w:sz w:val="21"/>
                <w:szCs w:val="21"/>
                <w:highlight w:val="none"/>
                <w:lang w:val="en-US" w:eastAsia="zh-CN"/>
              </w:rPr>
              <w:t>不锈钢</w:t>
            </w:r>
            <w:r>
              <w:rPr>
                <w:rFonts w:hint="eastAsia" w:ascii="宋体" w:hAnsi="宋体" w:eastAsia="宋体" w:cs="宋体"/>
                <w:sz w:val="21"/>
                <w:szCs w:val="21"/>
                <w:highlight w:val="none"/>
              </w:rPr>
              <w:t>制，4个；</w:t>
            </w:r>
          </w:p>
          <w:p w14:paraId="19E52164">
            <w:pPr>
              <w:keepNext w:val="0"/>
              <w:keepLines w:val="0"/>
              <w:pageBreakBefore w:val="0"/>
              <w:numPr>
                <w:ilvl w:val="0"/>
                <w:numId w:val="5"/>
              </w:numPr>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10mm 研磨球 </w:t>
            </w:r>
            <w:r>
              <w:rPr>
                <w:rFonts w:hint="eastAsia" w:ascii="宋体" w:hAnsi="宋体" w:eastAsia="宋体" w:cs="宋体"/>
                <w:sz w:val="21"/>
                <w:szCs w:val="21"/>
                <w:highlight w:val="none"/>
                <w:lang w:val="en-US" w:eastAsia="zh-CN"/>
              </w:rPr>
              <w:t>不锈钢</w:t>
            </w:r>
            <w:r>
              <w:rPr>
                <w:rFonts w:hint="eastAsia" w:ascii="宋体" w:hAnsi="宋体" w:eastAsia="宋体" w:cs="宋体"/>
                <w:sz w:val="21"/>
                <w:szCs w:val="21"/>
                <w:highlight w:val="none"/>
              </w:rPr>
              <w:t>制</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包</w:t>
            </w:r>
            <w:r>
              <w:rPr>
                <w:rFonts w:hint="eastAsia" w:ascii="宋体" w:hAnsi="宋体" w:eastAsia="宋体" w:cs="宋体"/>
                <w:sz w:val="21"/>
                <w:szCs w:val="21"/>
                <w:highlight w:val="none"/>
                <w:lang w:eastAsia="zh-CN"/>
              </w:rPr>
              <w:t>；</w:t>
            </w:r>
          </w:p>
          <w:p w14:paraId="7B9851CA">
            <w:pPr>
              <w:keepNext w:val="0"/>
              <w:keepLines w:val="0"/>
              <w:pageBreakBefore w:val="0"/>
              <w:numPr>
                <w:ilvl w:val="0"/>
                <w:numId w:val="5"/>
              </w:numPr>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mm 研磨球</w:t>
            </w:r>
            <w:r>
              <w:rPr>
                <w:rFonts w:hint="eastAsia" w:ascii="宋体" w:hAnsi="宋体" w:eastAsia="宋体" w:cs="宋体"/>
                <w:sz w:val="21"/>
                <w:szCs w:val="21"/>
                <w:highlight w:val="none"/>
                <w:lang w:val="en-US" w:eastAsia="zh-CN"/>
              </w:rPr>
              <w:t>不锈钢</w:t>
            </w:r>
            <w:r>
              <w:rPr>
                <w:rFonts w:hint="eastAsia" w:ascii="宋体" w:hAnsi="宋体" w:eastAsia="宋体" w:cs="宋体"/>
                <w:sz w:val="21"/>
                <w:szCs w:val="21"/>
                <w:highlight w:val="none"/>
              </w:rPr>
              <w:t>制</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包</w:t>
            </w:r>
            <w:r>
              <w:rPr>
                <w:rFonts w:hint="eastAsia" w:ascii="宋体" w:hAnsi="宋体" w:eastAsia="宋体" w:cs="宋体"/>
                <w:sz w:val="21"/>
                <w:szCs w:val="21"/>
                <w:highlight w:val="none"/>
                <w:lang w:eastAsia="zh-CN"/>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4E30840C">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1台</w:t>
            </w:r>
          </w:p>
        </w:tc>
      </w:tr>
      <w:tr w14:paraId="5EDF1D25">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072A8BD">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7F0AA45">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FAA76B5">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箱式炉</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280102B">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xml:space="preserve">一、功能特点                                                    </w:t>
            </w:r>
          </w:p>
          <w:p w14:paraId="79E42B2A">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1.炉膛材料采用高纯氧化铝纤维，能最大程度减少能量损失</w:t>
            </w:r>
            <w:r>
              <w:rPr>
                <w:rFonts w:hint="eastAsia" w:ascii="宋体" w:hAnsi="宋体" w:cs="宋体"/>
                <w:color w:val="000000"/>
                <w:kern w:val="0"/>
                <w:sz w:val="21"/>
                <w:szCs w:val="21"/>
                <w:highlight w:val="none"/>
                <w:lang w:val="en-US" w:eastAsia="zh-CN" w:bidi="ar-SA"/>
              </w:rPr>
              <w:t>；</w:t>
            </w:r>
          </w:p>
          <w:p w14:paraId="191A5A4C">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2.炉膛表面涂有高温氧化铝涂层可以提高加热效率和使用寿命</w:t>
            </w:r>
            <w:r>
              <w:rPr>
                <w:rFonts w:hint="eastAsia" w:ascii="宋体" w:hAnsi="宋体" w:cs="宋体"/>
                <w:color w:val="000000"/>
                <w:kern w:val="0"/>
                <w:sz w:val="21"/>
                <w:szCs w:val="21"/>
                <w:highlight w:val="none"/>
                <w:lang w:val="en-US" w:eastAsia="zh-CN" w:bidi="ar-SA"/>
              </w:rPr>
              <w:t>；</w:t>
            </w:r>
          </w:p>
          <w:p w14:paraId="7C25EDCA">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3.带有过热和断偶保护，并设有开门断电功能</w:t>
            </w:r>
            <w:r>
              <w:rPr>
                <w:rFonts w:hint="eastAsia" w:ascii="宋体" w:hAnsi="宋体" w:cs="宋体"/>
                <w:color w:val="000000"/>
                <w:kern w:val="0"/>
                <w:sz w:val="21"/>
                <w:szCs w:val="21"/>
                <w:highlight w:val="none"/>
                <w:lang w:val="en-US" w:eastAsia="zh-CN" w:bidi="ar-SA"/>
              </w:rPr>
              <w:t>；</w:t>
            </w:r>
          </w:p>
          <w:p w14:paraId="548EB617">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4.采用1700级硅钼棒，最高温度能达到1700度</w:t>
            </w:r>
            <w:r>
              <w:rPr>
                <w:rFonts w:hint="eastAsia" w:ascii="宋体" w:hAnsi="宋体" w:cs="宋体"/>
                <w:color w:val="000000"/>
                <w:kern w:val="0"/>
                <w:sz w:val="21"/>
                <w:szCs w:val="21"/>
                <w:highlight w:val="none"/>
                <w:lang w:val="en-US" w:eastAsia="zh-CN" w:bidi="ar-SA"/>
              </w:rPr>
              <w:t>；</w:t>
            </w:r>
          </w:p>
          <w:p w14:paraId="4D0B24EE">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xml:space="preserve">二、技术参数                                                    </w:t>
            </w:r>
          </w:p>
          <w:p w14:paraId="06E47FE8">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1.电源：AC220V/50HZ</w:t>
            </w:r>
            <w:r>
              <w:rPr>
                <w:rFonts w:hint="eastAsia" w:ascii="宋体" w:hAnsi="宋体" w:cs="宋体"/>
                <w:color w:val="000000"/>
                <w:kern w:val="0"/>
                <w:sz w:val="21"/>
                <w:szCs w:val="21"/>
                <w:highlight w:val="none"/>
                <w:lang w:val="en-US" w:eastAsia="zh-CN" w:bidi="ar-SA"/>
              </w:rPr>
              <w:t>；</w:t>
            </w:r>
          </w:p>
          <w:p w14:paraId="0B0FCA39">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2.额定功率：≥5.2KW</w:t>
            </w:r>
            <w:r>
              <w:rPr>
                <w:rFonts w:hint="eastAsia" w:ascii="宋体" w:hAnsi="宋体" w:cs="宋体"/>
                <w:color w:val="000000"/>
                <w:kern w:val="0"/>
                <w:sz w:val="21"/>
                <w:szCs w:val="21"/>
                <w:highlight w:val="none"/>
                <w:lang w:val="en-US" w:eastAsia="zh-CN" w:bidi="ar-SA"/>
              </w:rPr>
              <w:t>；</w:t>
            </w:r>
          </w:p>
          <w:p w14:paraId="57824763">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3.加热区尺寸：≥200长*200宽*200高mm</w:t>
            </w:r>
            <w:r>
              <w:rPr>
                <w:rFonts w:hint="eastAsia" w:ascii="宋体" w:hAnsi="宋体" w:cs="宋体"/>
                <w:color w:val="000000"/>
                <w:kern w:val="0"/>
                <w:sz w:val="21"/>
                <w:szCs w:val="21"/>
                <w:highlight w:val="none"/>
                <w:lang w:val="en-US" w:eastAsia="zh-CN" w:bidi="ar-SA"/>
              </w:rPr>
              <w:t>；</w:t>
            </w:r>
          </w:p>
          <w:p w14:paraId="3CEE5EB3">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4.温度：最高使用温度：</w:t>
            </w:r>
            <w:r>
              <w:rPr>
                <w:rFonts w:hint="eastAsia"/>
                <w:highlight w:val="none"/>
                <w:lang w:val="en-US" w:eastAsia="zh-CN"/>
              </w:rPr>
              <w:t>≤</w:t>
            </w:r>
            <w:r>
              <w:rPr>
                <w:rFonts w:hint="eastAsia" w:ascii="宋体" w:hAnsi="宋体" w:eastAsia="宋体" w:cs="宋体"/>
                <w:color w:val="000000"/>
                <w:kern w:val="0"/>
                <w:sz w:val="21"/>
                <w:szCs w:val="21"/>
                <w:highlight w:val="none"/>
                <w:lang w:val="en-US" w:eastAsia="zh-CN" w:bidi="ar-SA"/>
              </w:rPr>
              <w:t>1700度（≤30min）</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长期工作温度：≤1600度</w:t>
            </w:r>
          </w:p>
          <w:p w14:paraId="1A38CD31">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5.升温速率：≤10度/min（≤1400度）</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≤5度/min（1400-1600度）</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≦2度/min（&gt;1600度）</w:t>
            </w:r>
            <w:r>
              <w:rPr>
                <w:rFonts w:hint="eastAsia" w:ascii="宋体" w:hAnsi="宋体" w:cs="宋体"/>
                <w:color w:val="000000"/>
                <w:kern w:val="0"/>
                <w:sz w:val="21"/>
                <w:szCs w:val="21"/>
                <w:highlight w:val="none"/>
                <w:lang w:val="en-US" w:eastAsia="zh-CN" w:bidi="ar-SA"/>
              </w:rPr>
              <w:t>；</w:t>
            </w:r>
          </w:p>
          <w:p w14:paraId="5A67ADE9">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6.加热元件：硅钼棒（6根）</w:t>
            </w:r>
            <w:r>
              <w:rPr>
                <w:rFonts w:hint="eastAsia" w:ascii="宋体" w:hAnsi="宋体" w:cs="宋体"/>
                <w:color w:val="000000"/>
                <w:kern w:val="0"/>
                <w:sz w:val="21"/>
                <w:szCs w:val="21"/>
                <w:highlight w:val="none"/>
                <w:lang w:val="en-US" w:eastAsia="zh-CN" w:bidi="ar-SA"/>
              </w:rPr>
              <w:t>；</w:t>
            </w:r>
          </w:p>
          <w:p w14:paraId="6DD0C96B">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7.温控系统：智能化控温仪</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PID程序控温</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热电偶采用B型热电偶</w:t>
            </w:r>
            <w:r>
              <w:rPr>
                <w:rFonts w:hint="eastAsia" w:ascii="宋体" w:hAnsi="宋体" w:cs="宋体"/>
                <w:color w:val="000000"/>
                <w:kern w:val="0"/>
                <w:sz w:val="21"/>
                <w:szCs w:val="21"/>
                <w:highlight w:val="none"/>
                <w:lang w:val="en-US" w:eastAsia="zh-CN" w:bidi="ar-SA"/>
              </w:rPr>
              <w:t>；</w:t>
            </w:r>
          </w:p>
          <w:p w14:paraId="4FCD8384">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8.控温精度：±1℃</w:t>
            </w:r>
          </w:p>
          <w:p w14:paraId="545FDC42">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9.外形尺寸：不开启：</w:t>
            </w:r>
            <w:r>
              <w:rPr>
                <w:rFonts w:hint="eastAsia"/>
                <w:highlight w:val="none"/>
                <w:lang w:val="en-US" w:eastAsia="zh-CN"/>
              </w:rPr>
              <w:t>≤</w:t>
            </w:r>
            <w:r>
              <w:rPr>
                <w:rFonts w:hint="eastAsia" w:ascii="宋体" w:hAnsi="宋体" w:eastAsia="宋体" w:cs="宋体"/>
                <w:color w:val="000000"/>
                <w:kern w:val="0"/>
                <w:sz w:val="21"/>
                <w:szCs w:val="21"/>
                <w:highlight w:val="none"/>
                <w:lang w:val="en-US" w:eastAsia="zh-CN" w:bidi="ar-SA"/>
              </w:rPr>
              <w:t>550长*530宽*840mm高</w:t>
            </w:r>
          </w:p>
          <w:p w14:paraId="7A0F67BA">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10.重量：</w:t>
            </w:r>
            <w:r>
              <w:rPr>
                <w:rFonts w:hint="eastAsia"/>
                <w:highlight w:val="none"/>
                <w:lang w:val="en-US" w:eastAsia="zh-CN"/>
              </w:rPr>
              <w:t>≤</w:t>
            </w:r>
            <w:r>
              <w:rPr>
                <w:rFonts w:hint="eastAsia" w:ascii="宋体" w:hAnsi="宋体" w:eastAsia="宋体" w:cs="宋体"/>
                <w:color w:val="000000"/>
                <w:kern w:val="0"/>
                <w:sz w:val="21"/>
                <w:szCs w:val="21"/>
                <w:highlight w:val="none"/>
                <w:lang w:val="en-US" w:eastAsia="zh-CN" w:bidi="ar-SA"/>
              </w:rPr>
              <w:t>125KG</w:t>
            </w:r>
          </w:p>
          <w:p w14:paraId="31CF3236">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三、配置：</w:t>
            </w:r>
          </w:p>
          <w:p w14:paraId="5151A596">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1.箱式炉</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1台</w:t>
            </w:r>
            <w:r>
              <w:rPr>
                <w:rFonts w:hint="eastAsia" w:ascii="宋体" w:hAnsi="宋体" w:cs="宋体"/>
                <w:color w:val="000000"/>
                <w:kern w:val="0"/>
                <w:sz w:val="21"/>
                <w:szCs w:val="21"/>
                <w:highlight w:val="none"/>
                <w:lang w:val="en-US" w:eastAsia="zh-CN" w:bidi="ar-SA"/>
              </w:rPr>
              <w:t>；</w:t>
            </w:r>
          </w:p>
          <w:p w14:paraId="33A8C771">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2.热电偶：B型-220mm</w:t>
            </w:r>
            <w:r>
              <w:rPr>
                <w:rFonts w:hint="eastAsia" w:ascii="宋体" w:hAnsi="宋体" w:eastAsia="宋体" w:cs="宋体"/>
                <w:color w:val="000000"/>
                <w:kern w:val="0"/>
                <w:sz w:val="21"/>
                <w:szCs w:val="21"/>
                <w:highlight w:val="none"/>
                <w:lang w:val="en-US" w:eastAsia="zh-CN" w:bidi="ar-SA"/>
              </w:rPr>
              <w:tab/>
            </w:r>
            <w:r>
              <w:rPr>
                <w:rFonts w:hint="eastAsia" w:ascii="宋体" w:hAnsi="宋体" w:eastAsia="宋体" w:cs="宋体"/>
                <w:color w:val="000000"/>
                <w:kern w:val="0"/>
                <w:sz w:val="21"/>
                <w:szCs w:val="21"/>
                <w:highlight w:val="none"/>
                <w:lang w:val="en-US" w:eastAsia="zh-CN" w:bidi="ar-SA"/>
              </w:rPr>
              <w:t>1根</w:t>
            </w:r>
            <w:r>
              <w:rPr>
                <w:rFonts w:hint="eastAsia" w:ascii="宋体" w:hAnsi="宋体" w:cs="宋体"/>
                <w:color w:val="000000"/>
                <w:kern w:val="0"/>
                <w:sz w:val="21"/>
                <w:szCs w:val="21"/>
                <w:highlight w:val="none"/>
                <w:lang w:val="en-US" w:eastAsia="zh-CN" w:bidi="ar-SA"/>
              </w:rPr>
              <w:t>；</w:t>
            </w:r>
          </w:p>
          <w:p w14:paraId="1233A5C7">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3.高温手套：1副</w:t>
            </w:r>
            <w:r>
              <w:rPr>
                <w:rFonts w:hint="eastAsia" w:ascii="宋体" w:hAnsi="宋体" w:cs="宋体"/>
                <w:color w:val="000000"/>
                <w:kern w:val="0"/>
                <w:sz w:val="21"/>
                <w:szCs w:val="21"/>
                <w:highlight w:val="none"/>
                <w:lang w:val="en-US" w:eastAsia="zh-CN" w:bidi="ar-SA"/>
              </w:rPr>
              <w:t>；</w:t>
            </w:r>
          </w:p>
          <w:p w14:paraId="64D92D72">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4.坩埚钳：L：</w:t>
            </w:r>
            <w:r>
              <w:rPr>
                <w:rFonts w:hint="eastAsia"/>
                <w:highlight w:val="none"/>
                <w:lang w:val="en-US" w:eastAsia="zh-CN"/>
              </w:rPr>
              <w:t>≥</w:t>
            </w:r>
            <w:r>
              <w:rPr>
                <w:rFonts w:hint="eastAsia" w:ascii="宋体" w:hAnsi="宋体" w:eastAsia="宋体" w:cs="宋体"/>
                <w:color w:val="000000"/>
                <w:kern w:val="0"/>
                <w:sz w:val="21"/>
                <w:szCs w:val="21"/>
                <w:highlight w:val="none"/>
                <w:lang w:val="en-US" w:eastAsia="zh-CN" w:bidi="ar-SA"/>
              </w:rPr>
              <w:t>300mm</w:t>
            </w:r>
            <w:r>
              <w:rPr>
                <w:rFonts w:hint="eastAsia" w:ascii="宋体" w:hAnsi="宋体" w:cs="宋体"/>
                <w:color w:val="000000"/>
                <w:kern w:val="0"/>
                <w:sz w:val="21"/>
                <w:szCs w:val="21"/>
                <w:highlight w:val="none"/>
                <w:lang w:val="en-US" w:eastAsia="zh-CN" w:bidi="ar-SA"/>
              </w:rPr>
              <w:t xml:space="preserve">  </w:t>
            </w:r>
            <w:r>
              <w:rPr>
                <w:rFonts w:hint="eastAsia" w:ascii="宋体" w:hAnsi="宋体" w:eastAsia="宋体" w:cs="宋体"/>
                <w:color w:val="000000"/>
                <w:kern w:val="0"/>
                <w:sz w:val="21"/>
                <w:szCs w:val="21"/>
                <w:highlight w:val="none"/>
                <w:lang w:val="en-US" w:eastAsia="zh-CN" w:bidi="ar-SA"/>
              </w:rPr>
              <w:t>1把</w:t>
            </w:r>
            <w:r>
              <w:rPr>
                <w:rFonts w:hint="eastAsia" w:ascii="宋体" w:hAnsi="宋体" w:cs="宋体"/>
                <w:color w:val="000000"/>
                <w:kern w:val="0"/>
                <w:sz w:val="21"/>
                <w:szCs w:val="21"/>
                <w:highlight w:val="none"/>
                <w:lang w:val="en-US" w:eastAsia="zh-CN" w:bidi="ar-SA"/>
              </w:rPr>
              <w:t>；</w:t>
            </w:r>
          </w:p>
          <w:p w14:paraId="2CBEEBC5">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5.垫砖：</w:t>
            </w:r>
            <w:r>
              <w:rPr>
                <w:rFonts w:hint="eastAsia"/>
                <w:highlight w:val="none"/>
                <w:lang w:val="en-US" w:eastAsia="zh-CN"/>
              </w:rPr>
              <w:t>≥</w:t>
            </w:r>
            <w:r>
              <w:rPr>
                <w:rFonts w:hint="eastAsia" w:ascii="宋体" w:hAnsi="宋体" w:eastAsia="宋体" w:cs="宋体"/>
                <w:color w:val="000000"/>
                <w:kern w:val="0"/>
                <w:sz w:val="21"/>
                <w:szCs w:val="21"/>
                <w:highlight w:val="none"/>
                <w:lang w:val="en-US" w:eastAsia="zh-CN" w:bidi="ar-SA"/>
              </w:rPr>
              <w:t>180*180*10mm</w:t>
            </w:r>
            <w:r>
              <w:rPr>
                <w:rFonts w:hint="eastAsia" w:ascii="宋体" w:hAnsi="宋体" w:eastAsia="宋体" w:cs="宋体"/>
                <w:color w:val="000000"/>
                <w:kern w:val="0"/>
                <w:sz w:val="21"/>
                <w:szCs w:val="21"/>
                <w:highlight w:val="none"/>
                <w:lang w:val="en-US" w:eastAsia="zh-CN" w:bidi="ar-SA"/>
              </w:rPr>
              <w:tab/>
            </w:r>
            <w:r>
              <w:rPr>
                <w:rFonts w:hint="eastAsia" w:ascii="宋体" w:hAnsi="宋体" w:eastAsia="宋体" w:cs="宋体"/>
                <w:color w:val="000000"/>
                <w:kern w:val="0"/>
                <w:sz w:val="21"/>
                <w:szCs w:val="21"/>
                <w:highlight w:val="none"/>
                <w:lang w:val="en-US" w:eastAsia="zh-CN" w:bidi="ar-SA"/>
              </w:rPr>
              <w:t>1块</w:t>
            </w:r>
            <w:r>
              <w:rPr>
                <w:rFonts w:hint="eastAsia" w:ascii="宋体" w:hAnsi="宋体" w:cs="宋体"/>
                <w:color w:val="000000"/>
                <w:kern w:val="0"/>
                <w:sz w:val="21"/>
                <w:szCs w:val="21"/>
                <w:highlight w:val="none"/>
                <w:lang w:val="en-US" w:eastAsia="zh-CN" w:bidi="ar-SA"/>
              </w:rPr>
              <w:t>；</w:t>
            </w:r>
          </w:p>
          <w:p w14:paraId="4BACCF14">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6.内六角扳手：M3/M2.5</w:t>
            </w:r>
            <w:r>
              <w:rPr>
                <w:rFonts w:hint="eastAsia" w:ascii="宋体" w:hAnsi="宋体" w:cs="宋体"/>
                <w:color w:val="000000"/>
                <w:kern w:val="0"/>
                <w:sz w:val="21"/>
                <w:szCs w:val="21"/>
                <w:highlight w:val="none"/>
                <w:lang w:val="en-US" w:eastAsia="zh-CN" w:bidi="ar-SA"/>
              </w:rPr>
              <w:t xml:space="preserve">  </w:t>
            </w:r>
            <w:r>
              <w:rPr>
                <w:rFonts w:hint="eastAsia" w:ascii="宋体" w:hAnsi="宋体" w:eastAsia="宋体" w:cs="宋体"/>
                <w:color w:val="000000"/>
                <w:kern w:val="0"/>
                <w:sz w:val="21"/>
                <w:szCs w:val="21"/>
                <w:highlight w:val="none"/>
                <w:lang w:val="en-US" w:eastAsia="zh-CN" w:bidi="ar-SA"/>
              </w:rPr>
              <w:t>2个</w:t>
            </w:r>
            <w:r>
              <w:rPr>
                <w:rFonts w:hint="eastAsia" w:ascii="宋体" w:hAnsi="宋体" w:cs="宋体"/>
                <w:color w:val="000000"/>
                <w:kern w:val="0"/>
                <w:sz w:val="21"/>
                <w:szCs w:val="21"/>
                <w:highlight w:val="none"/>
                <w:lang w:val="en-US" w:eastAsia="zh-CN" w:bidi="ar-SA"/>
              </w:rPr>
              <w:t>；</w:t>
            </w:r>
          </w:p>
          <w:p w14:paraId="6638541D">
            <w:pPr>
              <w:keepNext w:val="0"/>
              <w:keepLines w:val="0"/>
              <w:pageBreakBefore w:val="0"/>
              <w:kinsoku/>
              <w:wordWrap/>
              <w:overflowPunct/>
              <w:topLinePunct w:val="0"/>
              <w:autoSpaceDE/>
              <w:bidi w:val="0"/>
              <w:spacing w:line="360" w:lineRule="auto"/>
              <w:jc w:val="left"/>
              <w:rPr>
                <w:rFonts w:hint="eastAsia" w:ascii="宋体" w:hAnsi="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7.门堵：</w:t>
            </w:r>
            <w:r>
              <w:rPr>
                <w:rFonts w:hint="eastAsia"/>
                <w:highlight w:val="none"/>
                <w:lang w:val="en-US" w:eastAsia="zh-CN"/>
              </w:rPr>
              <w:t>≥</w:t>
            </w:r>
            <w:r>
              <w:rPr>
                <w:rFonts w:hint="eastAsia" w:ascii="宋体" w:hAnsi="宋体" w:eastAsia="宋体" w:cs="宋体"/>
                <w:color w:val="000000"/>
                <w:kern w:val="0"/>
                <w:sz w:val="21"/>
                <w:szCs w:val="21"/>
                <w:highlight w:val="none"/>
                <w:lang w:val="en-US" w:eastAsia="zh-CN" w:bidi="ar-SA"/>
              </w:rPr>
              <w:t>200*200*60mm</w:t>
            </w:r>
            <w:r>
              <w:rPr>
                <w:rFonts w:hint="eastAsia" w:ascii="宋体" w:hAnsi="宋体" w:eastAsia="宋体" w:cs="宋体"/>
                <w:color w:val="000000"/>
                <w:kern w:val="0"/>
                <w:sz w:val="21"/>
                <w:szCs w:val="21"/>
                <w:highlight w:val="none"/>
                <w:lang w:val="en-US" w:eastAsia="zh-CN" w:bidi="ar-SA"/>
              </w:rPr>
              <w:tab/>
            </w:r>
            <w:r>
              <w:rPr>
                <w:rFonts w:hint="eastAsia" w:ascii="宋体" w:hAnsi="宋体" w:eastAsia="宋体" w:cs="宋体"/>
                <w:color w:val="000000"/>
                <w:kern w:val="0"/>
                <w:sz w:val="21"/>
                <w:szCs w:val="21"/>
                <w:highlight w:val="none"/>
                <w:lang w:val="en-US" w:eastAsia="zh-CN" w:bidi="ar-SA"/>
              </w:rPr>
              <w:t>1块</w:t>
            </w:r>
            <w:r>
              <w:rPr>
                <w:rFonts w:hint="eastAsia" w:ascii="宋体" w:hAnsi="宋体" w:cs="宋体"/>
                <w:color w:val="000000"/>
                <w:kern w:val="0"/>
                <w:sz w:val="21"/>
                <w:szCs w:val="21"/>
                <w:highlight w:val="none"/>
                <w:lang w:val="en-US" w:eastAsia="zh-CN" w:bidi="ar-SA"/>
              </w:rPr>
              <w:t>；</w:t>
            </w:r>
          </w:p>
          <w:p w14:paraId="5CB5FE0D">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8.硅钼棒：</w:t>
            </w:r>
            <w:r>
              <w:rPr>
                <w:rFonts w:hint="eastAsia"/>
                <w:highlight w:val="none"/>
                <w:lang w:val="en-US" w:eastAsia="zh-CN"/>
              </w:rPr>
              <w:t>≥</w:t>
            </w:r>
            <w:r>
              <w:rPr>
                <w:rFonts w:hint="eastAsia" w:ascii="宋体" w:hAnsi="宋体" w:eastAsia="宋体" w:cs="宋体"/>
                <w:color w:val="000000"/>
                <w:kern w:val="0"/>
                <w:sz w:val="21"/>
                <w:szCs w:val="21"/>
                <w:highlight w:val="none"/>
                <w:lang w:val="en-US" w:eastAsia="zh-CN" w:bidi="ar-SA"/>
              </w:rPr>
              <w:t xml:space="preserve">6*160*200*30mm </w:t>
            </w:r>
            <w:r>
              <w:rPr>
                <w:rFonts w:hint="eastAsia" w:ascii="宋体" w:hAnsi="宋体" w:cs="宋体"/>
                <w:color w:val="000000"/>
                <w:kern w:val="0"/>
                <w:sz w:val="21"/>
                <w:szCs w:val="21"/>
                <w:highlight w:val="none"/>
                <w:lang w:val="en-US" w:eastAsia="zh-CN" w:bidi="ar-SA"/>
              </w:rPr>
              <w:t xml:space="preserve"> </w:t>
            </w:r>
            <w:r>
              <w:rPr>
                <w:rFonts w:hint="eastAsia" w:ascii="宋体" w:hAnsi="宋体" w:eastAsia="宋体" w:cs="宋体"/>
                <w:color w:val="000000"/>
                <w:kern w:val="0"/>
                <w:sz w:val="21"/>
                <w:szCs w:val="21"/>
                <w:highlight w:val="none"/>
                <w:lang w:val="en-US" w:eastAsia="zh-CN" w:bidi="ar-SA"/>
              </w:rPr>
              <w:t>2根</w:t>
            </w:r>
            <w:r>
              <w:rPr>
                <w:rFonts w:hint="eastAsia" w:ascii="宋体" w:hAnsi="宋体" w:cs="宋体"/>
                <w:color w:val="000000"/>
                <w:kern w:val="0"/>
                <w:sz w:val="21"/>
                <w:szCs w:val="21"/>
                <w:highlight w:val="none"/>
                <w:lang w:val="en-US" w:eastAsia="zh-CN" w:bidi="ar-SA"/>
              </w:rPr>
              <w:t>；</w:t>
            </w:r>
          </w:p>
          <w:p w14:paraId="2E023A07">
            <w:pPr>
              <w:keepNext w:val="0"/>
              <w:keepLines w:val="0"/>
              <w:pageBreakBefore w:val="0"/>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9.保修证书：1本</w:t>
            </w:r>
            <w:r>
              <w:rPr>
                <w:rFonts w:hint="eastAsia" w:ascii="宋体" w:hAnsi="宋体" w:cs="宋体"/>
                <w:color w:val="000000"/>
                <w:kern w:val="0"/>
                <w:sz w:val="21"/>
                <w:szCs w:val="21"/>
                <w:highlight w:val="none"/>
                <w:lang w:val="en-US" w:eastAsia="zh-CN" w:bidi="ar-SA"/>
              </w:rPr>
              <w:t>；</w:t>
            </w:r>
          </w:p>
          <w:p w14:paraId="7F787F6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10.说明书：1本</w:t>
            </w:r>
            <w:r>
              <w:rPr>
                <w:rFonts w:hint="eastAsia" w:ascii="宋体" w:hAnsi="宋体" w:cs="宋体"/>
                <w:color w:val="000000"/>
                <w:kern w:val="0"/>
                <w:sz w:val="21"/>
                <w:szCs w:val="21"/>
                <w:highlight w:val="none"/>
                <w:lang w:val="en-US" w:eastAsia="zh-CN" w:bidi="ar-SA"/>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29B9A534">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2台</w:t>
            </w:r>
          </w:p>
        </w:tc>
      </w:tr>
      <w:tr w14:paraId="7D3E2D3C">
        <w:tblPrEx>
          <w:tblCellMar>
            <w:top w:w="0" w:type="dxa"/>
            <w:left w:w="0" w:type="dxa"/>
            <w:bottom w:w="0" w:type="dxa"/>
            <w:right w:w="0" w:type="dxa"/>
          </w:tblCellMar>
        </w:tblPrEx>
        <w:trPr>
          <w:trHeight w:val="465"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B41250B">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8C31EA0">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D02534C">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color w:val="000000"/>
                <w:kern w:val="0"/>
                <w:sz w:val="21"/>
                <w:szCs w:val="21"/>
                <w:highlight w:val="none"/>
                <w:lang w:val="en-US" w:eastAsia="zh-CN" w:bidi="ar-SA"/>
              </w:rPr>
              <w:t>脱泡搅拌机</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92B6741">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最大处理量</w:t>
            </w:r>
            <w:r>
              <w:rPr>
                <w:rFonts w:hint="eastAsia" w:ascii="宋体" w:hAnsi="宋体" w:cs="宋体"/>
                <w:sz w:val="21"/>
                <w:szCs w:val="21"/>
                <w:highlight w:val="none"/>
                <w:lang w:eastAsia="zh-CN"/>
              </w:rPr>
              <w:t>：</w:t>
            </w:r>
            <w:r>
              <w:rPr>
                <w:rFonts w:hint="eastAsia"/>
                <w:highlight w:val="none"/>
                <w:lang w:val="en-US" w:eastAsia="zh-CN"/>
              </w:rPr>
              <w:t>≥</w:t>
            </w:r>
            <w:r>
              <w:rPr>
                <w:rFonts w:hint="eastAsia" w:ascii="宋体" w:hAnsi="宋体" w:eastAsia="宋体" w:cs="宋体"/>
                <w:sz w:val="21"/>
                <w:szCs w:val="21"/>
                <w:highlight w:val="none"/>
              </w:rPr>
              <w:t>300g</w:t>
            </w:r>
            <w:r>
              <w:rPr>
                <w:rFonts w:hint="eastAsia" w:ascii="宋体" w:hAnsi="宋体" w:cs="宋体"/>
                <w:sz w:val="21"/>
                <w:szCs w:val="21"/>
                <w:highlight w:val="none"/>
                <w:lang w:eastAsia="zh-CN"/>
              </w:rPr>
              <w:t>；</w:t>
            </w:r>
          </w:p>
          <w:p w14:paraId="5BA4E637">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速度</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公转400-3000rpm</w:t>
            </w:r>
            <w:r>
              <w:rPr>
                <w:rFonts w:hint="eastAsia" w:ascii="宋体" w:hAnsi="宋体" w:cs="宋体"/>
                <w:sz w:val="21"/>
                <w:szCs w:val="21"/>
                <w:highlight w:val="none"/>
                <w:lang w:eastAsia="zh-CN"/>
              </w:rPr>
              <w:t>；</w:t>
            </w:r>
          </w:p>
          <w:p w14:paraId="1F9A5ADE">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无级调速：根据实际需求任意输入，精度1rpm，自转为固定比例；</w:t>
            </w:r>
          </w:p>
          <w:p w14:paraId="21E4B18F">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控制软件</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触摸屏操作，人机对话，中文界面，MES系统数据导出；</w:t>
            </w:r>
          </w:p>
          <w:p w14:paraId="4B19172A">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5</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配方存储</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10组配方，每组10段，可任意编辑组合</w:t>
            </w:r>
            <w:r>
              <w:rPr>
                <w:rFonts w:hint="eastAsia" w:ascii="宋体" w:hAnsi="宋体" w:cs="宋体"/>
                <w:sz w:val="21"/>
                <w:szCs w:val="21"/>
                <w:highlight w:val="none"/>
                <w:lang w:eastAsia="zh-CN"/>
              </w:rPr>
              <w:t>；</w:t>
            </w:r>
          </w:p>
          <w:p w14:paraId="355E009D">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平衡调节</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无级平衡调节；</w:t>
            </w:r>
          </w:p>
          <w:p w14:paraId="0149E96A">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7</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传动方式</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同步带传动，不打滑、寿命长</w:t>
            </w:r>
            <w:r>
              <w:rPr>
                <w:rFonts w:hint="eastAsia" w:ascii="宋体" w:hAnsi="宋体" w:cs="宋体"/>
                <w:sz w:val="21"/>
                <w:szCs w:val="21"/>
                <w:highlight w:val="none"/>
                <w:lang w:eastAsia="zh-CN"/>
              </w:rPr>
              <w:t>；</w:t>
            </w:r>
          </w:p>
          <w:p w14:paraId="4D495678">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8</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报警装置</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对不平衡、上盖运行闭合、振动检测</w:t>
            </w:r>
            <w:r>
              <w:rPr>
                <w:rFonts w:hint="eastAsia" w:ascii="宋体" w:hAnsi="宋体" w:cs="宋体"/>
                <w:sz w:val="21"/>
                <w:szCs w:val="21"/>
                <w:highlight w:val="none"/>
                <w:lang w:eastAsia="zh-CN"/>
              </w:rPr>
              <w:t>；</w:t>
            </w:r>
          </w:p>
          <w:p w14:paraId="08DF622D">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9</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安全保护</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发生故障时自动停止、运转时上盖施锁、上盖打开时则停止工作</w:t>
            </w:r>
            <w:r>
              <w:rPr>
                <w:rFonts w:hint="eastAsia" w:ascii="宋体" w:hAnsi="宋体" w:cs="宋体"/>
                <w:sz w:val="21"/>
                <w:szCs w:val="21"/>
                <w:highlight w:val="none"/>
                <w:lang w:eastAsia="zh-CN"/>
              </w:rPr>
              <w:t>；</w:t>
            </w:r>
          </w:p>
          <w:p w14:paraId="179B5ADE">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10</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适用温湿度</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10~40℃</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20~80%RH(没有浓雾状湿气，即可)</w:t>
            </w:r>
            <w:r>
              <w:rPr>
                <w:rFonts w:hint="eastAsia" w:ascii="宋体" w:hAnsi="宋体" w:cs="宋体"/>
                <w:sz w:val="21"/>
                <w:szCs w:val="21"/>
                <w:highlight w:val="none"/>
                <w:lang w:eastAsia="zh-CN"/>
              </w:rPr>
              <w:t>；</w:t>
            </w:r>
          </w:p>
          <w:p w14:paraId="48CA6D71">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rPr>
              <w:t>供电规格：AC220V±5%，单相，50/60Hz</w:t>
            </w:r>
            <w:r>
              <w:rPr>
                <w:rFonts w:hint="eastAsia" w:ascii="宋体" w:hAnsi="宋体" w:cs="宋体"/>
                <w:sz w:val="21"/>
                <w:szCs w:val="21"/>
                <w:highlight w:val="none"/>
                <w:lang w:eastAsia="zh-CN"/>
              </w:rPr>
              <w:t>；</w:t>
            </w:r>
          </w:p>
          <w:p w14:paraId="1E47D6DA">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功率：</w:t>
            </w:r>
            <w:r>
              <w:rPr>
                <w:rFonts w:hint="eastAsia"/>
                <w:highlight w:val="none"/>
                <w:lang w:val="en-US" w:eastAsia="zh-CN"/>
              </w:rPr>
              <w:t>≥</w:t>
            </w:r>
            <w:r>
              <w:rPr>
                <w:rFonts w:hint="eastAsia" w:ascii="宋体" w:hAnsi="宋体" w:eastAsia="宋体" w:cs="宋体"/>
                <w:sz w:val="21"/>
                <w:szCs w:val="21"/>
                <w:highlight w:val="none"/>
              </w:rPr>
              <w:t>900W；</w:t>
            </w:r>
          </w:p>
          <w:p w14:paraId="2615E31A">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rPr>
              <w:t>净重：</w:t>
            </w:r>
            <w:r>
              <w:rPr>
                <w:rFonts w:hint="eastAsia"/>
                <w:highlight w:val="none"/>
                <w:lang w:val="en-US" w:eastAsia="zh-CN"/>
              </w:rPr>
              <w:t>≤</w:t>
            </w:r>
            <w:r>
              <w:rPr>
                <w:rFonts w:hint="eastAsia" w:ascii="宋体" w:hAnsi="宋体" w:eastAsia="宋体" w:cs="宋体"/>
                <w:sz w:val="21"/>
                <w:szCs w:val="21"/>
                <w:highlight w:val="none"/>
              </w:rPr>
              <w:t>60kg；</w:t>
            </w:r>
          </w:p>
          <w:p w14:paraId="3EE8BC53">
            <w:pPr>
              <w:keepNext w:val="0"/>
              <w:keepLines w:val="0"/>
              <w:pageBreakBefore w:val="0"/>
              <w:kinsoku/>
              <w:wordWrap/>
              <w:overflowPunct/>
              <w:topLinePunct w:val="0"/>
              <w:autoSpaceDE/>
              <w:bidi w:val="0"/>
              <w:adjustRightInd w:val="0"/>
              <w:snapToGrid w:val="0"/>
              <w:spacing w:line="360" w:lineRule="auto"/>
              <w:jc w:val="left"/>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宋体" w:hAnsi="宋体" w:eastAsia="宋体" w:cs="宋体"/>
                <w:sz w:val="21"/>
                <w:szCs w:val="21"/>
                <w:highlight w:val="none"/>
              </w:rPr>
              <w:t>1</w:t>
            </w: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外型尺寸：</w:t>
            </w:r>
            <w:r>
              <w:rPr>
                <w:rFonts w:hint="eastAsia"/>
                <w:highlight w:val="none"/>
                <w:lang w:val="en-US" w:eastAsia="zh-CN"/>
              </w:rPr>
              <w:t>≤</w:t>
            </w:r>
            <w:r>
              <w:rPr>
                <w:rFonts w:hint="eastAsia" w:ascii="宋体" w:hAnsi="宋体" w:eastAsia="宋体" w:cs="宋体"/>
                <w:sz w:val="21"/>
                <w:szCs w:val="21"/>
                <w:highlight w:val="none"/>
              </w:rPr>
              <w:t>L380*W500*H490mm</w:t>
            </w:r>
          </w:p>
        </w:tc>
        <w:tc>
          <w:tcPr>
            <w:tcW w:w="349" w:type="pct"/>
            <w:tcBorders>
              <w:top w:val="single" w:color="auto" w:sz="4" w:space="0"/>
              <w:left w:val="nil"/>
              <w:bottom w:val="single" w:color="auto" w:sz="4" w:space="0"/>
              <w:right w:val="single" w:color="auto" w:sz="4" w:space="0"/>
            </w:tcBorders>
            <w:shd w:val="clear" w:color="auto" w:fill="auto"/>
            <w:vAlign w:val="center"/>
          </w:tcPr>
          <w:p w14:paraId="61FA5B71">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2台</w:t>
            </w:r>
          </w:p>
        </w:tc>
      </w:tr>
      <w:tr w14:paraId="1210DDB3">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9C6E91E">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1D21360">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B30342E">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color w:val="000000"/>
                <w:kern w:val="0"/>
                <w:sz w:val="21"/>
                <w:szCs w:val="21"/>
                <w:highlight w:val="none"/>
                <w:lang w:val="en-US" w:eastAsia="zh-CN" w:bidi="ar-SA"/>
              </w:rPr>
              <w:t>分散机</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74EB400">
            <w:pPr>
              <w:keepNext w:val="0"/>
              <w:keepLines w:val="0"/>
              <w:pageBreakBefore w:val="0"/>
              <w:kinsoku/>
              <w:wordWrap/>
              <w:overflowPunct/>
              <w:topLinePunct w:val="0"/>
              <w:autoSpaceDE/>
              <w:bidi w:val="0"/>
              <w:adjustRightInd w:val="0"/>
              <w:snapToGrid w:val="0"/>
              <w:spacing w:line="360" w:lineRule="auto"/>
              <w:jc w:val="left"/>
              <w:rPr>
                <w:rFonts w:hint="eastAsia" w:asciiTheme="minorEastAsia" w:hAnsiTheme="minorEastAsia" w:eastAsiaTheme="minorEastAsia" w:cstheme="minorEastAsia"/>
                <w:highlight w:val="none"/>
                <w:lang w:eastAsia="zh-CN"/>
              </w:rPr>
            </w:pPr>
            <w:r>
              <w:rPr>
                <w:rFonts w:hint="eastAsia"/>
                <w:highlight w:val="none"/>
              </w:rPr>
              <w:t>1</w:t>
            </w:r>
            <w:r>
              <w:rPr>
                <w:rFonts w:hint="eastAsia"/>
                <w:highlight w:val="none"/>
                <w:lang w:val="en-US" w:eastAsia="zh-CN"/>
              </w:rPr>
              <w:t>.</w:t>
            </w:r>
            <w:r>
              <w:rPr>
                <w:rFonts w:hint="eastAsia"/>
                <w:highlight w:val="none"/>
              </w:rPr>
              <w:t>马达输入/输出功</w:t>
            </w:r>
            <w:r>
              <w:rPr>
                <w:rFonts w:hint="eastAsia" w:asciiTheme="minorEastAsia" w:hAnsiTheme="minorEastAsia" w:eastAsiaTheme="minorEastAsia" w:cstheme="minorEastAsia"/>
                <w:highlight w:val="none"/>
              </w:rPr>
              <w:t>率：500/300W</w:t>
            </w:r>
            <w:r>
              <w:rPr>
                <w:rFonts w:hint="eastAsia" w:asciiTheme="minorEastAsia" w:hAnsiTheme="minorEastAsia" w:eastAsiaTheme="minorEastAsia" w:cstheme="minorEastAsia"/>
                <w:highlight w:val="none"/>
                <w:lang w:eastAsia="zh-CN"/>
              </w:rPr>
              <w:t>；</w:t>
            </w:r>
          </w:p>
          <w:p w14:paraId="0034C43E">
            <w:pPr>
              <w:keepNext w:val="0"/>
              <w:keepLines w:val="0"/>
              <w:pageBreakBefore w:val="0"/>
              <w:kinsoku/>
              <w:wordWrap/>
              <w:overflowPunct/>
              <w:topLinePunct w:val="0"/>
              <w:autoSpaceDE/>
              <w:bidi w:val="0"/>
              <w:adjustRightInd w:val="0"/>
              <w:snapToGrid w:val="0"/>
              <w:spacing w:line="360" w:lineRule="auto"/>
              <w:jc w:val="lef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rPr>
              <w:t>2</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处理量 (H2O)</w:t>
            </w:r>
            <w:r>
              <w:rPr>
                <w:rFonts w:hint="eastAsia" w:asciiTheme="minorEastAsia" w:hAnsiTheme="minorEastAsia" w:eastAsiaTheme="minorEastAsia" w:cstheme="minorEastAsia"/>
                <w:highlight w:val="none"/>
                <w:lang w:eastAsia="zh-CN"/>
              </w:rPr>
              <w:t>：</w:t>
            </w:r>
            <w:r>
              <w:rPr>
                <w:rFonts w:hint="eastAsia" w:asciiTheme="minorEastAsia" w:hAnsiTheme="minorEastAsia" w:eastAsiaTheme="minorEastAsia" w:cstheme="minorEastAsia"/>
                <w:highlight w:val="none"/>
              </w:rPr>
              <w:t>1–1500ml；最大工作粘度</w:t>
            </w:r>
            <w:r>
              <w:rPr>
                <w:rFonts w:hint="eastAsia" w:asciiTheme="minorEastAsia" w:hAnsiTheme="minorEastAsia" w:eastAsiaTheme="minorEastAsia" w:cstheme="minorEastAsia"/>
                <w:highlight w:val="none"/>
                <w:lang w:eastAsia="zh-CN"/>
              </w:rPr>
              <w:t>：</w:t>
            </w:r>
            <w:r>
              <w:rPr>
                <w:rFonts w:hint="eastAsia"/>
                <w:highlight w:val="none"/>
                <w:lang w:val="en-US" w:eastAsia="zh-CN"/>
              </w:rPr>
              <w:t>≥</w:t>
            </w:r>
            <w:r>
              <w:rPr>
                <w:rFonts w:hint="eastAsia" w:asciiTheme="minorEastAsia" w:hAnsiTheme="minorEastAsia" w:eastAsiaTheme="minorEastAsia" w:cstheme="minorEastAsia"/>
                <w:highlight w:val="none"/>
              </w:rPr>
              <w:t>5000mPas</w:t>
            </w:r>
            <w:r>
              <w:rPr>
                <w:rFonts w:hint="eastAsia" w:asciiTheme="minorEastAsia" w:hAnsiTheme="minorEastAsia" w:eastAsiaTheme="minorEastAsia" w:cstheme="minorEastAsia"/>
                <w:highlight w:val="none"/>
                <w:lang w:eastAsia="zh-CN"/>
              </w:rPr>
              <w:t>；</w:t>
            </w:r>
          </w:p>
          <w:p w14:paraId="460E5009">
            <w:pPr>
              <w:keepNext w:val="0"/>
              <w:keepLines w:val="0"/>
              <w:pageBreakBefore w:val="0"/>
              <w:kinsoku/>
              <w:wordWrap/>
              <w:overflowPunct/>
              <w:topLinePunct w:val="0"/>
              <w:autoSpaceDE/>
              <w:bidi w:val="0"/>
              <w:adjustRightInd w:val="0"/>
              <w:snapToGrid w:val="0"/>
              <w:spacing w:line="360" w:lineRule="auto"/>
              <w:jc w:val="lef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rPr>
              <w:t>3</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速度范围</w:t>
            </w:r>
            <w:r>
              <w:rPr>
                <w:rFonts w:hint="eastAsia" w:asciiTheme="minorEastAsia" w:hAnsiTheme="minorEastAsia" w:eastAsiaTheme="minorEastAsia" w:cstheme="minorEastAsia"/>
                <w:highlight w:val="none"/>
                <w:lang w:eastAsia="zh-CN"/>
              </w:rPr>
              <w:t>：</w:t>
            </w:r>
            <w:r>
              <w:rPr>
                <w:rFonts w:hint="eastAsia" w:asciiTheme="minorEastAsia" w:hAnsiTheme="minorEastAsia" w:eastAsiaTheme="minorEastAsia" w:cstheme="minorEastAsia"/>
                <w:highlight w:val="none"/>
              </w:rPr>
              <w:t>3,000–25,000 rpm，转速无级可调，转速显示为LED 显示</w:t>
            </w:r>
            <w:r>
              <w:rPr>
                <w:rFonts w:hint="eastAsia" w:asciiTheme="minorEastAsia" w:hAnsiTheme="minorEastAsia" w:eastAsiaTheme="minorEastAsia" w:cstheme="minorEastAsia"/>
                <w:highlight w:val="none"/>
                <w:lang w:eastAsia="zh-CN"/>
              </w:rPr>
              <w:t>；</w:t>
            </w:r>
          </w:p>
          <w:p w14:paraId="69F0CE51">
            <w:pPr>
              <w:keepNext w:val="0"/>
              <w:keepLines w:val="0"/>
              <w:pageBreakBefore w:val="0"/>
              <w:kinsoku/>
              <w:wordWrap/>
              <w:overflowPunct/>
              <w:topLinePunct w:val="0"/>
              <w:autoSpaceDE/>
              <w:bidi w:val="0"/>
              <w:adjustRightInd w:val="0"/>
              <w:snapToGrid w:val="0"/>
              <w:spacing w:line="360" w:lineRule="auto"/>
              <w:jc w:val="lef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rPr>
              <w:t>4</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即使粘度改变时也能保证转速恒定，负载变化时转速波动范围小于1%，有效保证操作的可重复性</w:t>
            </w:r>
            <w:r>
              <w:rPr>
                <w:rFonts w:hint="eastAsia" w:asciiTheme="minorEastAsia" w:hAnsiTheme="minorEastAsia" w:eastAsiaTheme="minorEastAsia" w:cstheme="minorEastAsia"/>
                <w:highlight w:val="none"/>
                <w:lang w:eastAsia="zh-CN"/>
              </w:rPr>
              <w:t>；</w:t>
            </w:r>
          </w:p>
          <w:p w14:paraId="479B2E7A">
            <w:pPr>
              <w:keepNext w:val="0"/>
              <w:keepLines w:val="0"/>
              <w:pageBreakBefore w:val="0"/>
              <w:kinsoku/>
              <w:wordWrap/>
              <w:overflowPunct/>
              <w:topLinePunct w:val="0"/>
              <w:autoSpaceDE/>
              <w:bidi w:val="0"/>
              <w:adjustRightInd w:val="0"/>
              <w:snapToGrid w:val="0"/>
              <w:spacing w:line="360" w:lineRule="auto"/>
              <w:jc w:val="left"/>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rPr>
              <w:t>5</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空载噪音：</w:t>
            </w:r>
            <w:r>
              <w:rPr>
                <w:rFonts w:hint="eastAsia"/>
                <w:highlight w:val="none"/>
                <w:lang w:val="en-US" w:eastAsia="zh-CN"/>
              </w:rPr>
              <w:t>≤</w:t>
            </w:r>
            <w:r>
              <w:rPr>
                <w:rFonts w:hint="eastAsia" w:asciiTheme="minorEastAsia" w:hAnsiTheme="minorEastAsia" w:eastAsiaTheme="minorEastAsia" w:cstheme="minorEastAsia"/>
                <w:highlight w:val="none"/>
              </w:rPr>
              <w:t>75dB (A)</w:t>
            </w:r>
            <w:r>
              <w:rPr>
                <w:rFonts w:hint="eastAsia" w:asciiTheme="minorEastAsia" w:hAnsiTheme="minorEastAsia" w:eastAsiaTheme="minorEastAsia" w:cstheme="minorEastAsia"/>
                <w:highlight w:val="none"/>
                <w:lang w:eastAsia="zh-CN"/>
              </w:rPr>
              <w:t>；</w:t>
            </w:r>
          </w:p>
          <w:p w14:paraId="38668708">
            <w:pPr>
              <w:keepNext w:val="0"/>
              <w:keepLines w:val="0"/>
              <w:pageBreakBefore w:val="0"/>
              <w:kinsoku/>
              <w:wordWrap/>
              <w:overflowPunct/>
              <w:topLinePunct w:val="0"/>
              <w:autoSpaceDE/>
              <w:bidi w:val="0"/>
              <w:adjustRightInd w:val="0"/>
              <w:snapToGrid w:val="0"/>
              <w:spacing w:line="360" w:lineRule="auto"/>
              <w:jc w:val="left"/>
              <w:rPr>
                <w:rFonts w:hint="eastAsia" w:eastAsia="宋体"/>
                <w:highlight w:val="none"/>
                <w:lang w:eastAsia="zh-CN"/>
              </w:rPr>
            </w:pPr>
            <w:r>
              <w:rPr>
                <w:rFonts w:hint="eastAsia" w:asciiTheme="minorEastAsia" w:hAnsiTheme="minorEastAsia" w:eastAsiaTheme="minorEastAsia" w:cstheme="minorEastAsia"/>
                <w:highlight w:val="none"/>
              </w:rPr>
              <w:t>6</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拥有马达过载、过热保护功能。</w:t>
            </w:r>
            <w:r>
              <w:rPr>
                <w:rFonts w:hint="eastAsia"/>
                <w:highlight w:val="none"/>
              </w:rPr>
              <w:t>支持100%连续运行</w:t>
            </w:r>
            <w:r>
              <w:rPr>
                <w:rFonts w:hint="eastAsia"/>
                <w:highlight w:val="none"/>
                <w:lang w:eastAsia="zh-CN"/>
              </w:rPr>
              <w:t>；</w:t>
            </w:r>
          </w:p>
          <w:p w14:paraId="26FD4D51">
            <w:pPr>
              <w:keepNext w:val="0"/>
              <w:keepLines w:val="0"/>
              <w:pageBreakBefore w:val="0"/>
              <w:kinsoku/>
              <w:wordWrap/>
              <w:overflowPunct/>
              <w:topLinePunct w:val="0"/>
              <w:autoSpaceDE/>
              <w:bidi w:val="0"/>
              <w:adjustRightInd w:val="0"/>
              <w:snapToGrid w:val="0"/>
              <w:spacing w:line="360" w:lineRule="auto"/>
              <w:jc w:val="left"/>
              <w:rPr>
                <w:rFonts w:hint="eastAsia" w:eastAsia="宋体"/>
                <w:highlight w:val="none"/>
                <w:lang w:eastAsia="zh-CN"/>
              </w:rPr>
            </w:pPr>
            <w:r>
              <w:rPr>
                <w:rFonts w:hint="eastAsia"/>
                <w:highlight w:val="none"/>
              </w:rPr>
              <w:t>7</w:t>
            </w:r>
            <w:r>
              <w:rPr>
                <w:rFonts w:hint="eastAsia"/>
                <w:highlight w:val="none"/>
                <w:lang w:val="en-US" w:eastAsia="zh-CN"/>
              </w:rPr>
              <w:t>.</w:t>
            </w:r>
            <w:r>
              <w:rPr>
                <w:rFonts w:hint="eastAsia"/>
                <w:highlight w:val="none"/>
              </w:rPr>
              <w:t>如果操作时过载，仪器将自动切换至冷却模式，马达转速将自动设置，直至仪器冷却</w:t>
            </w:r>
            <w:r>
              <w:rPr>
                <w:rFonts w:hint="eastAsia"/>
                <w:highlight w:val="none"/>
                <w:lang w:eastAsia="zh-CN"/>
              </w:rPr>
              <w:t>；</w:t>
            </w:r>
          </w:p>
          <w:p w14:paraId="5B406F97">
            <w:pPr>
              <w:keepNext w:val="0"/>
              <w:keepLines w:val="0"/>
              <w:pageBreakBefore w:val="0"/>
              <w:kinsoku/>
              <w:wordWrap/>
              <w:overflowPunct/>
              <w:topLinePunct w:val="0"/>
              <w:autoSpaceDE/>
              <w:bidi w:val="0"/>
              <w:adjustRightInd w:val="0"/>
              <w:snapToGrid w:val="0"/>
              <w:spacing w:line="360" w:lineRule="auto"/>
              <w:jc w:val="left"/>
              <w:rPr>
                <w:rFonts w:hint="eastAsia" w:eastAsia="宋体"/>
                <w:highlight w:val="none"/>
                <w:lang w:eastAsia="zh-CN"/>
              </w:rPr>
            </w:pPr>
            <w:r>
              <w:rPr>
                <w:rFonts w:hint="eastAsia"/>
                <w:highlight w:val="none"/>
              </w:rPr>
              <w:t>8</w:t>
            </w:r>
            <w:r>
              <w:rPr>
                <w:rFonts w:hint="eastAsia"/>
                <w:highlight w:val="none"/>
                <w:lang w:val="en-US" w:eastAsia="zh-CN"/>
              </w:rPr>
              <w:t>.</w:t>
            </w:r>
            <w:r>
              <w:rPr>
                <w:rFonts w:hint="eastAsia"/>
                <w:highlight w:val="none"/>
              </w:rPr>
              <w:t>可兼</w:t>
            </w:r>
            <w:r>
              <w:rPr>
                <w:rFonts w:hint="eastAsia"/>
                <w:color w:val="auto"/>
                <w:highlight w:val="none"/>
              </w:rPr>
              <w:t>容所有S18分</w:t>
            </w:r>
            <w:r>
              <w:rPr>
                <w:rFonts w:hint="eastAsia"/>
                <w:highlight w:val="none"/>
              </w:rPr>
              <w:t>散刀具，可选不锈钢分散刀具，以及一次性分散刀具和一次性分散管，用于处理高通量易交叉污染样品，免清洗维护，可彻底避免交叉污染，提高实验效率</w:t>
            </w:r>
            <w:r>
              <w:rPr>
                <w:rFonts w:hint="eastAsia"/>
                <w:highlight w:val="none"/>
                <w:lang w:eastAsia="zh-CN"/>
              </w:rPr>
              <w:t>；</w:t>
            </w:r>
          </w:p>
          <w:p w14:paraId="4149FDE9">
            <w:pPr>
              <w:keepNext w:val="0"/>
              <w:keepLines w:val="0"/>
              <w:pageBreakBefore w:val="0"/>
              <w:kinsoku/>
              <w:wordWrap/>
              <w:overflowPunct/>
              <w:topLinePunct w:val="0"/>
              <w:autoSpaceDE/>
              <w:bidi w:val="0"/>
              <w:adjustRightInd w:val="0"/>
              <w:snapToGrid w:val="0"/>
              <w:spacing w:line="360" w:lineRule="auto"/>
              <w:jc w:val="left"/>
              <w:rPr>
                <w:rFonts w:hint="eastAsia" w:eastAsia="宋体"/>
                <w:highlight w:val="none"/>
                <w:lang w:eastAsia="zh-CN"/>
              </w:rPr>
            </w:pPr>
            <w:r>
              <w:rPr>
                <w:rFonts w:hint="eastAsia"/>
                <w:highlight w:val="none"/>
              </w:rPr>
              <w:t>9</w:t>
            </w:r>
            <w:r>
              <w:rPr>
                <w:rFonts w:hint="eastAsia"/>
                <w:highlight w:val="none"/>
                <w:lang w:val="en-US" w:eastAsia="zh-CN"/>
              </w:rPr>
              <w:t>.</w:t>
            </w:r>
            <w:r>
              <w:rPr>
                <w:rFonts w:hint="eastAsia"/>
                <w:highlight w:val="none"/>
              </w:rPr>
              <w:t xml:space="preserve">外形尺寸 </w:t>
            </w:r>
            <w:r>
              <w:rPr>
                <w:rFonts w:hint="eastAsia"/>
                <w:highlight w:val="none"/>
                <w:lang w:val="en-US" w:eastAsia="zh-CN"/>
              </w:rPr>
              <w:t>≤</w:t>
            </w:r>
            <w:r>
              <w:rPr>
                <w:rFonts w:hint="eastAsia"/>
                <w:highlight w:val="none"/>
              </w:rPr>
              <w:t>(W x D x H)</w:t>
            </w:r>
            <w:r>
              <w:rPr>
                <w:rFonts w:hint="eastAsia"/>
                <w:highlight w:val="none"/>
                <w:lang w:eastAsia="zh-CN"/>
              </w:rPr>
              <w:t>：</w:t>
            </w:r>
            <w:r>
              <w:rPr>
                <w:rFonts w:hint="eastAsia"/>
                <w:highlight w:val="none"/>
              </w:rPr>
              <w:t>87 x 106 x 271 mm</w:t>
            </w:r>
            <w:r>
              <w:rPr>
                <w:rFonts w:hint="eastAsia"/>
                <w:highlight w:val="none"/>
                <w:lang w:eastAsia="zh-CN"/>
              </w:rPr>
              <w:t>；</w:t>
            </w:r>
          </w:p>
          <w:p w14:paraId="7967F873">
            <w:pPr>
              <w:keepNext w:val="0"/>
              <w:keepLines w:val="0"/>
              <w:pageBreakBefore w:val="0"/>
              <w:kinsoku/>
              <w:wordWrap/>
              <w:overflowPunct/>
              <w:topLinePunct w:val="0"/>
              <w:autoSpaceDE/>
              <w:bidi w:val="0"/>
              <w:adjustRightInd w:val="0"/>
              <w:snapToGrid w:val="0"/>
              <w:spacing w:line="360" w:lineRule="auto"/>
              <w:jc w:val="left"/>
              <w:rPr>
                <w:rFonts w:hint="eastAsia" w:eastAsia="宋体"/>
                <w:highlight w:val="none"/>
                <w:lang w:eastAsia="zh-CN"/>
              </w:rPr>
            </w:pPr>
            <w:r>
              <w:rPr>
                <w:rFonts w:hint="eastAsia"/>
                <w:highlight w:val="none"/>
              </w:rPr>
              <w:t>10</w:t>
            </w:r>
            <w:r>
              <w:rPr>
                <w:rFonts w:hint="eastAsia"/>
                <w:highlight w:val="none"/>
                <w:lang w:val="en-US" w:eastAsia="zh-CN"/>
              </w:rPr>
              <w:t>.</w:t>
            </w:r>
            <w:r>
              <w:rPr>
                <w:rFonts w:hint="eastAsia"/>
                <w:highlight w:val="none"/>
              </w:rPr>
              <w:t>保护等级：IP20</w:t>
            </w:r>
            <w:r>
              <w:rPr>
                <w:rFonts w:hint="eastAsia"/>
                <w:highlight w:val="none"/>
                <w:lang w:eastAsia="zh-CN"/>
              </w:rPr>
              <w:t>；</w:t>
            </w:r>
          </w:p>
          <w:p w14:paraId="1A178C85">
            <w:pPr>
              <w:keepNext w:val="0"/>
              <w:keepLines w:val="0"/>
              <w:pageBreakBefore w:val="0"/>
              <w:kinsoku/>
              <w:wordWrap/>
              <w:overflowPunct/>
              <w:topLinePunct w:val="0"/>
              <w:autoSpaceDE/>
              <w:bidi w:val="0"/>
              <w:adjustRightInd w:val="0"/>
              <w:snapToGrid w:val="0"/>
              <w:spacing w:line="360" w:lineRule="auto"/>
              <w:jc w:val="left"/>
              <w:rPr>
                <w:rFonts w:hint="eastAsia" w:eastAsia="宋体"/>
                <w:highlight w:val="none"/>
                <w:lang w:eastAsia="zh-CN"/>
              </w:rPr>
            </w:pPr>
            <w:r>
              <w:rPr>
                <w:rFonts w:hint="eastAsia"/>
                <w:highlight w:val="none"/>
              </w:rPr>
              <w:t>11</w:t>
            </w:r>
            <w:r>
              <w:rPr>
                <w:rFonts w:hint="eastAsia"/>
                <w:highlight w:val="none"/>
                <w:lang w:val="en-US" w:eastAsia="zh-CN"/>
              </w:rPr>
              <w:t>.</w:t>
            </w:r>
            <w:r>
              <w:rPr>
                <w:rFonts w:hint="eastAsia"/>
                <w:highlight w:val="none"/>
              </w:rPr>
              <w:t>主机重量</w:t>
            </w:r>
            <w:r>
              <w:rPr>
                <w:rFonts w:hint="eastAsia"/>
                <w:highlight w:val="none"/>
                <w:lang w:eastAsia="zh-CN"/>
              </w:rPr>
              <w:t>：</w:t>
            </w:r>
            <w:r>
              <w:rPr>
                <w:rFonts w:hint="eastAsia"/>
                <w:highlight w:val="none"/>
                <w:lang w:val="en-US" w:eastAsia="zh-CN"/>
              </w:rPr>
              <w:t>≤</w:t>
            </w:r>
            <w:r>
              <w:rPr>
                <w:rFonts w:hint="eastAsia"/>
                <w:highlight w:val="none"/>
              </w:rPr>
              <w:t>2.5kg</w:t>
            </w:r>
            <w:r>
              <w:rPr>
                <w:rFonts w:hint="eastAsia"/>
                <w:highlight w:val="none"/>
                <w:lang w:eastAsia="zh-CN"/>
              </w:rPr>
              <w:t>；</w:t>
            </w:r>
          </w:p>
          <w:p w14:paraId="19AA0D8F">
            <w:pPr>
              <w:keepNext w:val="0"/>
              <w:keepLines w:val="0"/>
              <w:pageBreakBefore w:val="0"/>
              <w:kinsoku/>
              <w:wordWrap/>
              <w:overflowPunct/>
              <w:topLinePunct w:val="0"/>
              <w:autoSpaceDE/>
              <w:bidi w:val="0"/>
              <w:adjustRightInd w:val="0"/>
              <w:snapToGrid w:val="0"/>
              <w:spacing w:line="360" w:lineRule="auto"/>
              <w:jc w:val="left"/>
              <w:rPr>
                <w:rFonts w:hint="eastAsia" w:eastAsia="宋体"/>
                <w:highlight w:val="none"/>
                <w:lang w:eastAsia="zh-CN"/>
              </w:rPr>
            </w:pPr>
            <w:r>
              <w:rPr>
                <w:rFonts w:hint="eastAsia"/>
                <w:highlight w:val="none"/>
              </w:rPr>
              <w:t>12</w:t>
            </w:r>
            <w:r>
              <w:rPr>
                <w:rFonts w:hint="eastAsia"/>
                <w:highlight w:val="none"/>
                <w:lang w:val="en-US" w:eastAsia="zh-CN"/>
              </w:rPr>
              <w:t>.</w:t>
            </w:r>
            <w:r>
              <w:rPr>
                <w:rFonts w:hint="eastAsia"/>
                <w:highlight w:val="none"/>
              </w:rPr>
              <w:t>允许环境温度</w:t>
            </w:r>
            <w:r>
              <w:rPr>
                <w:rFonts w:hint="eastAsia"/>
                <w:highlight w:val="none"/>
                <w:lang w:eastAsia="zh-CN"/>
              </w:rPr>
              <w:t>：</w:t>
            </w:r>
            <w:r>
              <w:rPr>
                <w:rFonts w:hint="eastAsia"/>
                <w:highlight w:val="none"/>
              </w:rPr>
              <w:t>5–40℃</w:t>
            </w:r>
            <w:r>
              <w:rPr>
                <w:rFonts w:hint="eastAsia"/>
                <w:highlight w:val="none"/>
                <w:lang w:eastAsia="zh-CN"/>
              </w:rPr>
              <w:t>；</w:t>
            </w:r>
          </w:p>
          <w:p w14:paraId="70E86FFD">
            <w:pPr>
              <w:keepNext w:val="0"/>
              <w:keepLines w:val="0"/>
              <w:pageBreakBefore w:val="0"/>
              <w:kinsoku/>
              <w:wordWrap/>
              <w:overflowPunct/>
              <w:topLinePunct w:val="0"/>
              <w:autoSpaceDE/>
              <w:bidi w:val="0"/>
              <w:adjustRightInd w:val="0"/>
              <w:snapToGrid w:val="0"/>
              <w:spacing w:line="360" w:lineRule="auto"/>
              <w:jc w:val="left"/>
              <w:rPr>
                <w:rFonts w:hint="eastAsia" w:eastAsia="宋体"/>
                <w:highlight w:val="none"/>
                <w:lang w:eastAsia="zh-CN"/>
              </w:rPr>
            </w:pPr>
            <w:r>
              <w:rPr>
                <w:rFonts w:hint="eastAsia"/>
                <w:highlight w:val="none"/>
              </w:rPr>
              <w:t>13</w:t>
            </w:r>
            <w:r>
              <w:rPr>
                <w:rFonts w:hint="eastAsia"/>
                <w:highlight w:val="none"/>
                <w:lang w:val="en-US" w:eastAsia="zh-CN"/>
              </w:rPr>
              <w:t>.</w:t>
            </w:r>
            <w:r>
              <w:rPr>
                <w:rFonts w:hint="eastAsia"/>
                <w:highlight w:val="none"/>
              </w:rPr>
              <w:t>允许相对湿度</w:t>
            </w:r>
            <w:r>
              <w:rPr>
                <w:rFonts w:hint="eastAsia"/>
                <w:highlight w:val="none"/>
                <w:lang w:eastAsia="zh-CN"/>
              </w:rPr>
              <w:t>：</w:t>
            </w:r>
            <w:r>
              <w:rPr>
                <w:rFonts w:hint="eastAsia" w:asciiTheme="minorEastAsia" w:hAnsiTheme="minorEastAsia" w:eastAsiaTheme="minorEastAsia" w:cstheme="minorEastAsia"/>
                <w:highlight w:val="none"/>
              </w:rPr>
              <w:t>80%</w:t>
            </w:r>
            <w:r>
              <w:rPr>
                <w:rFonts w:hint="eastAsia" w:asciiTheme="minorEastAsia" w:hAnsiTheme="minorEastAsia" w:eastAsiaTheme="minorEastAsia" w:cstheme="minorEastAsia"/>
                <w:highlight w:val="none"/>
                <w:lang w:eastAsia="zh-CN"/>
              </w:rPr>
              <w:t>；</w:t>
            </w:r>
          </w:p>
          <w:p w14:paraId="217E6BD3">
            <w:pPr>
              <w:keepNext w:val="0"/>
              <w:keepLines w:val="0"/>
              <w:pageBreakBefore w:val="0"/>
              <w:kinsoku/>
              <w:wordWrap/>
              <w:overflowPunct/>
              <w:topLinePunct w:val="0"/>
              <w:autoSpaceDE/>
              <w:bidi w:val="0"/>
              <w:adjustRightInd w:val="0"/>
              <w:snapToGrid w:val="0"/>
              <w:spacing w:line="360" w:lineRule="auto"/>
              <w:jc w:val="left"/>
              <w:rPr>
                <w:rFonts w:hint="eastAsia" w:eastAsia="宋体"/>
                <w:highlight w:val="none"/>
                <w:lang w:eastAsia="zh-CN"/>
              </w:rPr>
            </w:pPr>
            <w:r>
              <w:rPr>
                <w:rFonts w:hint="eastAsia"/>
                <w:highlight w:val="none"/>
              </w:rPr>
              <w:t>14</w:t>
            </w:r>
            <w:r>
              <w:rPr>
                <w:rFonts w:hint="eastAsia"/>
                <w:highlight w:val="none"/>
                <w:lang w:val="en-US" w:eastAsia="zh-CN"/>
              </w:rPr>
              <w:t>.</w:t>
            </w:r>
            <w:r>
              <w:rPr>
                <w:rFonts w:hint="eastAsia"/>
                <w:highlight w:val="none"/>
              </w:rPr>
              <w:t>保护等级：</w:t>
            </w:r>
            <w:r>
              <w:rPr>
                <w:rFonts w:hint="eastAsia" w:asciiTheme="minorEastAsia" w:hAnsiTheme="minorEastAsia" w:eastAsiaTheme="minorEastAsia" w:cstheme="minorEastAsia"/>
                <w:highlight w:val="none"/>
              </w:rPr>
              <w:t>IP20</w:t>
            </w:r>
            <w:r>
              <w:rPr>
                <w:rFonts w:hint="eastAsia"/>
                <w:highlight w:val="none"/>
                <w:lang w:eastAsia="zh-CN"/>
              </w:rPr>
              <w:t>；</w:t>
            </w:r>
          </w:p>
          <w:p w14:paraId="4FFF48D5">
            <w:pPr>
              <w:keepNext w:val="0"/>
              <w:keepLines w:val="0"/>
              <w:pageBreakBefore w:val="0"/>
              <w:kinsoku/>
              <w:wordWrap/>
              <w:overflowPunct/>
              <w:topLinePunct w:val="0"/>
              <w:autoSpaceDE/>
              <w:bidi w:val="0"/>
              <w:adjustRightInd w:val="0"/>
              <w:snapToGrid w:val="0"/>
              <w:spacing w:line="360" w:lineRule="auto"/>
              <w:jc w:val="left"/>
              <w:rPr>
                <w:rFonts w:hint="eastAsia" w:eastAsia="宋体" w:asciiTheme="minorEastAsia" w:hAnsiTheme="minorEastAsia" w:cstheme="minorEastAsia"/>
                <w:color w:val="000000"/>
                <w:kern w:val="0"/>
                <w:sz w:val="21"/>
                <w:szCs w:val="21"/>
                <w:highlight w:val="none"/>
                <w:lang w:val="en-US" w:eastAsia="zh-CN" w:bidi="ar-SA"/>
              </w:rPr>
            </w:pPr>
            <w:r>
              <w:rPr>
                <w:rFonts w:hint="eastAsia"/>
                <w:highlight w:val="none"/>
              </w:rPr>
              <w:t>15</w:t>
            </w:r>
            <w:r>
              <w:rPr>
                <w:rFonts w:hint="eastAsia"/>
                <w:highlight w:val="none"/>
                <w:lang w:val="en-US" w:eastAsia="zh-CN"/>
              </w:rPr>
              <w:t>.</w:t>
            </w:r>
            <w:r>
              <w:rPr>
                <w:rFonts w:hint="eastAsia"/>
                <w:highlight w:val="none"/>
              </w:rPr>
              <w:t>质保：</w:t>
            </w:r>
            <w:r>
              <w:rPr>
                <w:rFonts w:hint="eastAsia" w:asciiTheme="minorEastAsia" w:hAnsiTheme="minorEastAsia" w:eastAsiaTheme="minorEastAsia" w:cstheme="minorEastAsia"/>
                <w:highlight w:val="none"/>
              </w:rPr>
              <w:t>2</w:t>
            </w:r>
            <w:r>
              <w:rPr>
                <w:rFonts w:hint="eastAsia"/>
                <w:highlight w:val="none"/>
              </w:rPr>
              <w:t>年</w:t>
            </w:r>
            <w:r>
              <w:rPr>
                <w:rFonts w:hint="eastAsia"/>
                <w:highlight w:val="none"/>
                <w:lang w:eastAsia="zh-CN"/>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66739C0A">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1台</w:t>
            </w:r>
          </w:p>
        </w:tc>
      </w:tr>
      <w:tr w14:paraId="7EC2F105">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C41C7DC">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B0DA609">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9A9BF0A">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sz w:val="21"/>
                <w:szCs w:val="21"/>
                <w:highlight w:val="none"/>
              </w:rPr>
              <w:t>双通道注射泵</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7F5723A">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通道数：2</w:t>
            </w:r>
            <w:r>
              <w:rPr>
                <w:rFonts w:hint="eastAsia" w:ascii="宋体" w:hAnsi="宋体" w:cs="宋体"/>
                <w:color w:val="000000"/>
                <w:kern w:val="0"/>
                <w:sz w:val="21"/>
                <w:szCs w:val="21"/>
                <w:highlight w:val="none"/>
                <w:lang w:val="en-US" w:eastAsia="zh-CN" w:bidi="ar-SA"/>
              </w:rPr>
              <w:t>；</w:t>
            </w:r>
          </w:p>
          <w:p w14:paraId="53E50977">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工作模式：灌注、抽取、灌注/抽取、 抽取/灌注、连续、多次灌注</w:t>
            </w:r>
            <w:r>
              <w:rPr>
                <w:rFonts w:hint="eastAsia" w:ascii="宋体" w:hAnsi="宋体" w:cs="宋体"/>
                <w:color w:val="000000"/>
                <w:kern w:val="0"/>
                <w:sz w:val="21"/>
                <w:szCs w:val="21"/>
                <w:highlight w:val="none"/>
                <w:lang w:val="en-US" w:eastAsia="zh-CN" w:bidi="ar-SA"/>
              </w:rPr>
              <w:t>；</w:t>
            </w:r>
          </w:p>
          <w:p w14:paraId="64274A0F">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最大行程：</w:t>
            </w:r>
            <w:r>
              <w:rPr>
                <w:rFonts w:hint="eastAsia"/>
                <w:highlight w:val="none"/>
                <w:lang w:val="en-US" w:eastAsia="zh-CN"/>
              </w:rPr>
              <w:t>≥</w:t>
            </w:r>
            <w:r>
              <w:rPr>
                <w:rFonts w:hint="eastAsia" w:ascii="宋体" w:hAnsi="宋体" w:eastAsia="宋体" w:cs="宋体"/>
                <w:color w:val="000000"/>
                <w:kern w:val="0"/>
                <w:sz w:val="21"/>
                <w:szCs w:val="21"/>
                <w:highlight w:val="none"/>
                <w:lang w:val="en-US" w:eastAsia="zh-CN" w:bidi="ar-SA"/>
              </w:rPr>
              <w:t>150mm</w:t>
            </w:r>
            <w:r>
              <w:rPr>
                <w:rFonts w:hint="eastAsia" w:ascii="宋体" w:hAnsi="宋体" w:cs="宋体"/>
                <w:color w:val="000000"/>
                <w:kern w:val="0"/>
                <w:sz w:val="21"/>
                <w:szCs w:val="21"/>
                <w:highlight w:val="none"/>
                <w:lang w:val="en-US" w:eastAsia="zh-CN" w:bidi="ar-SA"/>
              </w:rPr>
              <w:t>；</w:t>
            </w:r>
          </w:p>
          <w:p w14:paraId="343EFCF2">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注射器规格：0.5ul-60ml</w:t>
            </w:r>
            <w:r>
              <w:rPr>
                <w:rFonts w:hint="eastAsia" w:ascii="宋体" w:hAnsi="宋体" w:cs="宋体"/>
                <w:color w:val="000000"/>
                <w:kern w:val="0"/>
                <w:sz w:val="21"/>
                <w:szCs w:val="21"/>
                <w:highlight w:val="none"/>
                <w:lang w:val="en-US" w:eastAsia="zh-CN" w:bidi="ar-SA"/>
              </w:rPr>
              <w:t>；</w:t>
            </w:r>
          </w:p>
          <w:p w14:paraId="6FA62BA4">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5</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线性推力：&gt;280N</w:t>
            </w:r>
            <w:r>
              <w:rPr>
                <w:rFonts w:hint="eastAsia" w:ascii="宋体" w:hAnsi="宋体" w:cs="宋体"/>
                <w:color w:val="000000"/>
                <w:kern w:val="0"/>
                <w:sz w:val="21"/>
                <w:szCs w:val="21"/>
                <w:highlight w:val="none"/>
                <w:lang w:val="en-US" w:eastAsia="zh-CN" w:bidi="ar-SA"/>
              </w:rPr>
              <w:t>；</w:t>
            </w:r>
          </w:p>
          <w:p w14:paraId="35DCB889">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6</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准确度：塑料注射器&lt;1%校准后&lt;0.5%</w:t>
            </w:r>
            <w:r>
              <w:rPr>
                <w:rFonts w:hint="eastAsia" w:ascii="宋体" w:hAnsi="宋体" w:cs="宋体"/>
                <w:color w:val="000000"/>
                <w:kern w:val="0"/>
                <w:sz w:val="21"/>
                <w:szCs w:val="21"/>
                <w:highlight w:val="none"/>
                <w:lang w:val="en-US" w:eastAsia="zh-CN" w:bidi="ar-SA"/>
              </w:rPr>
              <w:t>；</w:t>
            </w:r>
          </w:p>
          <w:p w14:paraId="77259E6E">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7</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玻璃进样器&lt;0.5%校准后&lt;0.25%</w:t>
            </w:r>
            <w:r>
              <w:rPr>
                <w:rFonts w:hint="eastAsia" w:ascii="宋体" w:hAnsi="宋体" w:cs="宋体"/>
                <w:color w:val="000000"/>
                <w:kern w:val="0"/>
                <w:sz w:val="21"/>
                <w:szCs w:val="21"/>
                <w:highlight w:val="none"/>
                <w:lang w:val="en-US" w:eastAsia="zh-CN" w:bidi="ar-SA"/>
              </w:rPr>
              <w:t>；</w:t>
            </w:r>
          </w:p>
          <w:p w14:paraId="5945CDB0">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8</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重复精度：&lt;0.05%</w:t>
            </w:r>
            <w:r>
              <w:rPr>
                <w:rFonts w:hint="eastAsia" w:ascii="宋体" w:hAnsi="宋体" w:cs="宋体"/>
                <w:color w:val="000000"/>
                <w:kern w:val="0"/>
                <w:sz w:val="21"/>
                <w:szCs w:val="21"/>
                <w:highlight w:val="none"/>
                <w:lang w:val="en-US" w:eastAsia="zh-CN" w:bidi="ar-SA"/>
              </w:rPr>
              <w:t>；</w:t>
            </w:r>
          </w:p>
          <w:p w14:paraId="74810538">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9</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线速度范围：0.08um/min~160mm/min</w:t>
            </w:r>
            <w:r>
              <w:rPr>
                <w:rFonts w:hint="eastAsia" w:ascii="宋体" w:hAnsi="宋体" w:cs="宋体"/>
                <w:color w:val="000000"/>
                <w:kern w:val="0"/>
                <w:sz w:val="21"/>
                <w:szCs w:val="21"/>
                <w:highlight w:val="none"/>
                <w:lang w:val="en-US" w:eastAsia="zh-CN" w:bidi="ar-SA"/>
              </w:rPr>
              <w:t>；</w:t>
            </w:r>
          </w:p>
          <w:p w14:paraId="56C8CD49">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10</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控制分辨率：</w:t>
            </w:r>
            <w:r>
              <w:rPr>
                <w:rFonts w:hint="eastAsia"/>
                <w:highlight w:val="none"/>
                <w:lang w:val="en-US" w:eastAsia="zh-CN"/>
              </w:rPr>
              <w:t>≤</w:t>
            </w:r>
            <w:r>
              <w:rPr>
                <w:rFonts w:hint="eastAsia" w:ascii="宋体" w:hAnsi="宋体" w:eastAsia="宋体" w:cs="宋体"/>
                <w:color w:val="000000"/>
                <w:kern w:val="0"/>
                <w:sz w:val="21"/>
                <w:szCs w:val="21"/>
                <w:highlight w:val="none"/>
                <w:lang w:val="en-US" w:eastAsia="zh-CN" w:bidi="ar-SA"/>
              </w:rPr>
              <w:t>0.0625um/ustep</w:t>
            </w:r>
            <w:r>
              <w:rPr>
                <w:rFonts w:hint="eastAsia" w:ascii="宋体" w:hAnsi="宋体" w:cs="宋体"/>
                <w:color w:val="000000"/>
                <w:kern w:val="0"/>
                <w:sz w:val="21"/>
                <w:szCs w:val="21"/>
                <w:highlight w:val="none"/>
                <w:lang w:val="en-US" w:eastAsia="zh-CN" w:bidi="ar-SA"/>
              </w:rPr>
              <w:t>；</w:t>
            </w:r>
          </w:p>
          <w:p w14:paraId="71F162BB">
            <w:pPr>
              <w:pStyle w:val="10"/>
              <w:spacing w:line="360" w:lineRule="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11</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触屏显示：</w:t>
            </w:r>
            <w:r>
              <w:rPr>
                <w:rFonts w:hint="eastAsia"/>
                <w:highlight w:val="none"/>
                <w:lang w:val="en-US" w:eastAsia="zh-CN"/>
              </w:rPr>
              <w:t>分辨率：≥</w:t>
            </w:r>
            <w:r>
              <w:rPr>
                <w:rFonts w:hint="eastAsia" w:ascii="宋体" w:hAnsi="宋体" w:eastAsia="宋体" w:cs="宋体"/>
                <w:color w:val="000000"/>
                <w:kern w:val="0"/>
                <w:sz w:val="21"/>
                <w:szCs w:val="21"/>
                <w:highlight w:val="none"/>
                <w:lang w:val="en-US" w:eastAsia="zh-CN" w:bidi="ar-SA"/>
              </w:rPr>
              <w:t>800*480，</w:t>
            </w:r>
            <w:r>
              <w:rPr>
                <w:rFonts w:hint="eastAsia"/>
                <w:highlight w:val="none"/>
                <w:lang w:val="en-US" w:eastAsia="zh-CN"/>
              </w:rPr>
              <w:t>≥</w:t>
            </w:r>
            <w:r>
              <w:rPr>
                <w:rFonts w:hint="eastAsia" w:ascii="宋体" w:hAnsi="宋体" w:eastAsia="宋体" w:cs="宋体"/>
                <w:color w:val="000000"/>
                <w:kern w:val="0"/>
                <w:sz w:val="21"/>
                <w:szCs w:val="21"/>
                <w:highlight w:val="none"/>
                <w:lang w:val="en-US" w:eastAsia="zh-CN" w:bidi="ar-SA"/>
              </w:rPr>
              <w:t>5寸高清触屏</w:t>
            </w:r>
            <w:r>
              <w:rPr>
                <w:rFonts w:hint="eastAsia" w:ascii="宋体" w:hAnsi="宋体" w:cs="宋体"/>
                <w:color w:val="000000"/>
                <w:kern w:val="0"/>
                <w:sz w:val="21"/>
                <w:szCs w:val="21"/>
                <w:highlight w:val="none"/>
                <w:lang w:val="en-US" w:eastAsia="zh-CN" w:bidi="ar-SA"/>
              </w:rPr>
              <w:t>；</w:t>
            </w:r>
          </w:p>
          <w:p w14:paraId="0D01F863">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12</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适用电源：适用电源：AC 100~240V  50/60Hz</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 xml:space="preserve">  </w:t>
            </w:r>
          </w:p>
          <w:p w14:paraId="70054764">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bidi="ar-SA"/>
              </w:rPr>
              <w:t>13.</w:t>
            </w:r>
            <w:r>
              <w:rPr>
                <w:rFonts w:hint="eastAsia" w:ascii="宋体" w:hAnsi="宋体" w:eastAsia="宋体" w:cs="宋体"/>
                <w:color w:val="000000"/>
                <w:kern w:val="0"/>
                <w:sz w:val="21"/>
                <w:szCs w:val="21"/>
                <w:highlight w:val="none"/>
                <w:lang w:val="en-US" w:eastAsia="zh-CN" w:bidi="ar-SA"/>
              </w:rPr>
              <w:t>整机功率≤30W</w:t>
            </w:r>
            <w:r>
              <w:rPr>
                <w:rFonts w:hint="eastAsia" w:ascii="宋体" w:hAnsi="宋体" w:cs="宋体"/>
                <w:color w:val="000000"/>
                <w:kern w:val="0"/>
                <w:sz w:val="21"/>
                <w:szCs w:val="21"/>
                <w:highlight w:val="none"/>
                <w:lang w:val="en-US" w:eastAsia="zh-CN" w:bidi="ar-SA"/>
              </w:rPr>
              <w:t>；</w:t>
            </w:r>
          </w:p>
          <w:p w14:paraId="7D7B534E">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w:t>
            </w:r>
            <w:r>
              <w:rPr>
                <w:rFonts w:hint="eastAsia" w:ascii="宋体" w:hAnsi="宋体" w:cs="宋体"/>
                <w:color w:val="000000"/>
                <w:kern w:val="0"/>
                <w:sz w:val="21"/>
                <w:szCs w:val="21"/>
                <w:highlight w:val="none"/>
                <w:lang w:val="en-US" w:eastAsia="zh-CN" w:bidi="ar-SA"/>
              </w:rPr>
              <w:t>4.</w:t>
            </w:r>
            <w:r>
              <w:rPr>
                <w:rFonts w:hint="eastAsia" w:ascii="宋体" w:hAnsi="宋体" w:eastAsia="宋体" w:cs="宋体"/>
                <w:color w:val="000000"/>
                <w:kern w:val="0"/>
                <w:sz w:val="21"/>
                <w:szCs w:val="21"/>
                <w:highlight w:val="none"/>
                <w:lang w:val="en-US" w:eastAsia="zh-CN" w:bidi="ar-SA"/>
              </w:rPr>
              <w:t>防护等级：IP31</w:t>
            </w:r>
            <w:r>
              <w:rPr>
                <w:rFonts w:hint="eastAsia" w:ascii="宋体" w:hAnsi="宋体" w:cs="宋体"/>
                <w:color w:val="000000"/>
                <w:kern w:val="0"/>
                <w:sz w:val="21"/>
                <w:szCs w:val="21"/>
                <w:highlight w:val="none"/>
                <w:lang w:val="en-US" w:eastAsia="zh-CN" w:bidi="ar-SA"/>
              </w:rPr>
              <w:t>；</w:t>
            </w:r>
          </w:p>
          <w:p w14:paraId="598632DF">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w:t>
            </w:r>
            <w:r>
              <w:rPr>
                <w:rFonts w:hint="eastAsia" w:ascii="宋体" w:hAnsi="宋体" w:cs="宋体"/>
                <w:color w:val="000000"/>
                <w:kern w:val="0"/>
                <w:sz w:val="21"/>
                <w:szCs w:val="21"/>
                <w:highlight w:val="none"/>
                <w:lang w:val="en-US" w:eastAsia="zh-CN" w:bidi="ar-SA"/>
              </w:rPr>
              <w:t>5.</w:t>
            </w:r>
            <w:r>
              <w:rPr>
                <w:rFonts w:hint="eastAsia" w:ascii="宋体" w:hAnsi="宋体" w:eastAsia="宋体" w:cs="宋体"/>
                <w:color w:val="000000"/>
                <w:kern w:val="0"/>
                <w:sz w:val="21"/>
                <w:szCs w:val="21"/>
                <w:highlight w:val="none"/>
                <w:lang w:val="en-US" w:eastAsia="zh-CN" w:bidi="ar-SA"/>
              </w:rPr>
              <w:t>工作环境：温度0-40℃</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湿度20%-80%RH</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无凝露</w:t>
            </w:r>
            <w:r>
              <w:rPr>
                <w:rFonts w:hint="eastAsia" w:ascii="宋体" w:hAnsi="宋体" w:cs="宋体"/>
                <w:color w:val="000000"/>
                <w:kern w:val="0"/>
                <w:sz w:val="21"/>
                <w:szCs w:val="21"/>
                <w:highlight w:val="none"/>
                <w:lang w:val="en-US" w:eastAsia="zh-CN" w:bidi="ar-SA"/>
              </w:rPr>
              <w:t>；</w:t>
            </w:r>
          </w:p>
          <w:p w14:paraId="5A1BCAD8">
            <w:pPr>
              <w:keepNext w:val="0"/>
              <w:keepLines w:val="0"/>
              <w:pageBreakBefore w:val="0"/>
              <w:kinsoku/>
              <w:wordWrap/>
              <w:overflowPunct/>
              <w:topLinePunct w:val="0"/>
              <w:autoSpaceDE/>
              <w:bidi w:val="0"/>
              <w:adjustRightInd w:val="0"/>
              <w:snapToGrid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w:t>
            </w:r>
            <w:r>
              <w:rPr>
                <w:rFonts w:hint="eastAsia" w:ascii="宋体" w:hAnsi="宋体" w:cs="宋体"/>
                <w:color w:val="000000"/>
                <w:kern w:val="0"/>
                <w:sz w:val="21"/>
                <w:szCs w:val="21"/>
                <w:highlight w:val="none"/>
                <w:lang w:val="en-US" w:eastAsia="zh-CN" w:bidi="ar-SA"/>
              </w:rPr>
              <w:t>6.</w:t>
            </w:r>
            <w:r>
              <w:rPr>
                <w:rFonts w:hint="eastAsia" w:ascii="宋体" w:hAnsi="宋体" w:eastAsia="宋体" w:cs="宋体"/>
                <w:color w:val="000000"/>
                <w:kern w:val="0"/>
                <w:sz w:val="21"/>
                <w:szCs w:val="21"/>
                <w:highlight w:val="none"/>
                <w:lang w:val="en-US" w:eastAsia="zh-CN" w:bidi="ar-SA"/>
              </w:rPr>
              <w:t>外形尺寸</w:t>
            </w:r>
            <w:r>
              <w:rPr>
                <w:rFonts w:hint="eastAsia" w:asciiTheme="minorEastAsia" w:hAnsiTheme="minorEastAsia" w:eastAsiaTheme="minorEastAsia" w:cstheme="minorEastAsia"/>
                <w:b w:val="0"/>
                <w:bCs w:val="0"/>
                <w:sz w:val="21"/>
                <w:szCs w:val="21"/>
                <w:highlight w:val="none"/>
                <w:vertAlign w:val="baseline"/>
                <w:lang w:val="en-US" w:eastAsia="zh-CN"/>
              </w:rPr>
              <w:t>(长*宽*高)</w:t>
            </w:r>
            <w:r>
              <w:rPr>
                <w:rFonts w:hint="eastAsia" w:ascii="宋体" w:hAnsi="宋体" w:eastAsia="宋体" w:cs="宋体"/>
                <w:color w:val="000000"/>
                <w:kern w:val="0"/>
                <w:sz w:val="21"/>
                <w:szCs w:val="21"/>
                <w:highlight w:val="none"/>
                <w:lang w:val="en-US" w:eastAsia="zh-CN" w:bidi="ar-SA"/>
              </w:rPr>
              <w:t>：</w:t>
            </w:r>
            <w:r>
              <w:rPr>
                <w:rFonts w:hint="eastAsia"/>
                <w:highlight w:val="none"/>
                <w:lang w:val="en-US" w:eastAsia="zh-CN"/>
              </w:rPr>
              <w:t>≤</w:t>
            </w:r>
            <w:r>
              <w:rPr>
                <w:rFonts w:hint="eastAsia" w:ascii="宋体" w:hAnsi="宋体" w:eastAsia="宋体" w:cs="宋体"/>
                <w:color w:val="000000"/>
                <w:kern w:val="0"/>
                <w:sz w:val="21"/>
                <w:szCs w:val="21"/>
                <w:highlight w:val="none"/>
                <w:lang w:val="en-US" w:eastAsia="zh-CN" w:bidi="ar-SA"/>
              </w:rPr>
              <w:t>256*190*146(mm)</w:t>
            </w:r>
            <w:r>
              <w:rPr>
                <w:rFonts w:hint="eastAsia" w:ascii="宋体" w:hAnsi="宋体" w:cs="宋体"/>
                <w:color w:val="000000"/>
                <w:kern w:val="0"/>
                <w:sz w:val="21"/>
                <w:szCs w:val="21"/>
                <w:highlight w:val="none"/>
                <w:lang w:val="en-US" w:eastAsia="zh-CN" w:bidi="ar-SA"/>
              </w:rPr>
              <w:t>；</w:t>
            </w:r>
          </w:p>
          <w:p w14:paraId="2C222633">
            <w:pPr>
              <w:keepNext w:val="0"/>
              <w:keepLines w:val="0"/>
              <w:pageBreakBefore w:val="0"/>
              <w:kinsoku/>
              <w:wordWrap/>
              <w:overflowPunct/>
              <w:topLinePunct w:val="0"/>
              <w:autoSpaceDE/>
              <w:bidi w:val="0"/>
              <w:adjustRightInd w:val="0"/>
              <w:snapToGrid w:val="0"/>
              <w:spacing w:line="360" w:lineRule="auto"/>
              <w:jc w:val="left"/>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w:t>
            </w:r>
            <w:r>
              <w:rPr>
                <w:rFonts w:hint="eastAsia" w:ascii="宋体" w:hAnsi="宋体" w:cs="宋体"/>
                <w:color w:val="000000"/>
                <w:kern w:val="0"/>
                <w:sz w:val="21"/>
                <w:szCs w:val="21"/>
                <w:highlight w:val="none"/>
                <w:lang w:val="en-US" w:eastAsia="zh-CN" w:bidi="ar-SA"/>
              </w:rPr>
              <w:t>7.</w:t>
            </w:r>
            <w:r>
              <w:rPr>
                <w:rFonts w:hint="eastAsia" w:ascii="宋体" w:hAnsi="宋体" w:eastAsia="宋体" w:cs="宋体"/>
                <w:color w:val="000000"/>
                <w:kern w:val="0"/>
                <w:sz w:val="21"/>
                <w:szCs w:val="21"/>
                <w:highlight w:val="none"/>
                <w:lang w:val="en-US" w:eastAsia="zh-CN" w:bidi="ar-SA"/>
              </w:rPr>
              <w:t>重   量：</w:t>
            </w:r>
            <w:r>
              <w:rPr>
                <w:rFonts w:hint="eastAsia"/>
                <w:highlight w:val="none"/>
                <w:lang w:val="en-US" w:eastAsia="zh-CN"/>
              </w:rPr>
              <w:t>≤</w:t>
            </w:r>
            <w:r>
              <w:rPr>
                <w:rFonts w:hint="eastAsia" w:ascii="宋体" w:hAnsi="宋体" w:eastAsia="宋体" w:cs="宋体"/>
                <w:color w:val="000000"/>
                <w:kern w:val="0"/>
                <w:sz w:val="21"/>
                <w:szCs w:val="21"/>
                <w:highlight w:val="none"/>
                <w:lang w:val="en-US" w:eastAsia="zh-CN" w:bidi="ar-SA"/>
              </w:rPr>
              <w:t>3.80Kg</w:t>
            </w:r>
            <w:r>
              <w:rPr>
                <w:rFonts w:hint="eastAsia" w:ascii="宋体" w:hAnsi="宋体" w:cs="宋体"/>
                <w:color w:val="000000"/>
                <w:kern w:val="0"/>
                <w:sz w:val="21"/>
                <w:szCs w:val="21"/>
                <w:highlight w:val="none"/>
                <w:lang w:val="en-US" w:eastAsia="zh-CN" w:bidi="ar-SA"/>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1EE8D735">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2台</w:t>
            </w:r>
          </w:p>
        </w:tc>
      </w:tr>
      <w:tr w14:paraId="27E20ABD">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ADF57A6">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3EEBF0E">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054DB31">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立式压力蒸汽灭菌器</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E9E4956">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一、技术性能</w:t>
            </w:r>
          </w:p>
          <w:p w14:paraId="78FBE2B7">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蒸汽产生方式：加热自产饱和蒸汽，无需外接蒸汽源</w:t>
            </w:r>
            <w:r>
              <w:rPr>
                <w:rFonts w:hint="eastAsia" w:ascii="宋体" w:hAnsi="宋体" w:cs="宋体"/>
                <w:sz w:val="21"/>
                <w:szCs w:val="21"/>
                <w:highlight w:val="none"/>
                <w:lang w:eastAsia="zh-CN"/>
              </w:rPr>
              <w:t>；</w:t>
            </w:r>
          </w:p>
          <w:p w14:paraId="3FA300B0">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最高使用温度</w:t>
            </w:r>
            <w:r>
              <w:rPr>
                <w:rFonts w:hint="eastAsia"/>
                <w:highlight w:val="none"/>
                <w:lang w:val="en-US" w:eastAsia="zh-CN"/>
              </w:rPr>
              <w:t>≥</w:t>
            </w:r>
            <w:r>
              <w:rPr>
                <w:rFonts w:hint="eastAsia" w:ascii="宋体" w:hAnsi="宋体" w:eastAsia="宋体" w:cs="宋体"/>
                <w:sz w:val="21"/>
                <w:szCs w:val="21"/>
                <w:highlight w:val="none"/>
              </w:rPr>
              <w:t>135℃。使用温度范围：45 - 80℃（预热）、45 - 60℃（保温）、65 -100℃（溶解）、105 - 135℃（灭菌）。温度控制与显示精度为</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0.1℃</w:t>
            </w:r>
            <w:r>
              <w:rPr>
                <w:rFonts w:hint="eastAsia" w:ascii="宋体" w:hAnsi="宋体" w:cs="宋体"/>
                <w:sz w:val="21"/>
                <w:szCs w:val="21"/>
                <w:highlight w:val="none"/>
                <w:lang w:eastAsia="zh-CN"/>
              </w:rPr>
              <w:t>；</w:t>
            </w:r>
          </w:p>
          <w:p w14:paraId="42B890A9">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最高使用压力为</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0.255MPa</w:t>
            </w:r>
            <w:r>
              <w:rPr>
                <w:rFonts w:hint="eastAsia" w:ascii="宋体" w:hAnsi="宋体" w:cs="宋体"/>
                <w:sz w:val="21"/>
                <w:szCs w:val="21"/>
                <w:highlight w:val="none"/>
                <w:lang w:eastAsia="zh-CN"/>
              </w:rPr>
              <w:t>；</w:t>
            </w:r>
          </w:p>
          <w:p w14:paraId="082C02E3">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4</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设计使用年限</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20年，设计压力</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0.42Mpa，设计温度</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151℃</w:t>
            </w:r>
            <w:r>
              <w:rPr>
                <w:rFonts w:hint="eastAsia" w:ascii="宋体" w:hAnsi="宋体" w:cs="宋体"/>
                <w:sz w:val="21"/>
                <w:szCs w:val="21"/>
                <w:highlight w:val="none"/>
                <w:lang w:eastAsia="zh-CN"/>
              </w:rPr>
              <w:t>；</w:t>
            </w:r>
          </w:p>
          <w:p w14:paraId="063BDC57">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5</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提供多种运行功能：标配适用于器具、橡胶、液体、培养基等的器具灭菌工程、液体灭菌工程、灭菌保温工程、溶解保温工程、手动操作模式。可以自定义并重复运行任意工程</w:t>
            </w:r>
            <w:r>
              <w:rPr>
                <w:rFonts w:hint="eastAsia" w:ascii="宋体" w:hAnsi="宋体" w:cs="宋体"/>
                <w:sz w:val="21"/>
                <w:szCs w:val="21"/>
                <w:highlight w:val="none"/>
                <w:lang w:eastAsia="zh-CN"/>
              </w:rPr>
              <w:t>；</w:t>
            </w:r>
          </w:p>
          <w:p w14:paraId="312DDFFE">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6</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门关闭互锁检测系统：所有锁钩和和电磁锁位置开关检测到位后才能启动程序</w:t>
            </w:r>
            <w:r>
              <w:rPr>
                <w:rFonts w:hint="eastAsia" w:ascii="宋体" w:hAnsi="宋体" w:cs="宋体"/>
                <w:sz w:val="21"/>
                <w:szCs w:val="21"/>
                <w:highlight w:val="none"/>
                <w:lang w:eastAsia="zh-CN"/>
              </w:rPr>
              <w:t>；</w:t>
            </w:r>
          </w:p>
          <w:p w14:paraId="6FA2883D">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7</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灭菌器的盖子设计了蒸汽导流系统，当高温开盖时，蒸汽会从两侧平稳释放，避免正面喷出，确保实验人员的安全</w:t>
            </w:r>
            <w:r>
              <w:rPr>
                <w:rFonts w:hint="eastAsia" w:ascii="宋体" w:hAnsi="宋体" w:cs="宋体"/>
                <w:sz w:val="21"/>
                <w:szCs w:val="21"/>
                <w:highlight w:val="none"/>
                <w:lang w:eastAsia="zh-CN"/>
              </w:rPr>
              <w:t>；</w:t>
            </w:r>
          </w:p>
          <w:p w14:paraId="6D9D13E3">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8</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自适应饱和水蒸气判定系统：智能识别饱和水蒸气状态，确保最佳灭菌效果，无需设定海拔或沸点</w:t>
            </w:r>
            <w:r>
              <w:rPr>
                <w:rFonts w:hint="eastAsia" w:ascii="宋体" w:hAnsi="宋体" w:cs="宋体"/>
                <w:sz w:val="21"/>
                <w:szCs w:val="21"/>
                <w:highlight w:val="none"/>
                <w:lang w:eastAsia="zh-CN"/>
              </w:rPr>
              <w:t>；</w:t>
            </w:r>
          </w:p>
          <w:p w14:paraId="3F1B4D16">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9</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传感器自检保护功能：自动检测传感器故障，并通过声音和控制面板提示</w:t>
            </w:r>
            <w:r>
              <w:rPr>
                <w:rFonts w:hint="eastAsia" w:ascii="宋体" w:hAnsi="宋体" w:cs="宋体"/>
                <w:sz w:val="21"/>
                <w:szCs w:val="21"/>
                <w:highlight w:val="none"/>
                <w:lang w:eastAsia="zh-CN"/>
              </w:rPr>
              <w:t>；</w:t>
            </w:r>
          </w:p>
          <w:p w14:paraId="78563C8F">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10</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控制器采用电脑PID控制温度，全程自动程序控制升温、灭菌和排汽。灭菌循环结束后，通过蜂鸣声和控制面板文字提示</w:t>
            </w:r>
            <w:r>
              <w:rPr>
                <w:rFonts w:hint="eastAsia" w:ascii="宋体" w:hAnsi="宋体" w:cs="宋体"/>
                <w:sz w:val="21"/>
                <w:szCs w:val="21"/>
                <w:highlight w:val="none"/>
                <w:lang w:eastAsia="zh-CN"/>
              </w:rPr>
              <w:t>；</w:t>
            </w:r>
          </w:p>
          <w:p w14:paraId="40176F57">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11</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控制器定时范围：0或1min</w:t>
            </w:r>
            <w:r>
              <w:rPr>
                <w:rFonts w:hint="eastAsia" w:ascii="微软雅黑" w:hAnsi="微软雅黑" w:eastAsia="微软雅黑" w:cs="微软雅黑"/>
                <w:sz w:val="21"/>
                <w:szCs w:val="21"/>
                <w:highlight w:val="none"/>
              </w:rPr>
              <w:t>~</w:t>
            </w:r>
            <w:r>
              <w:rPr>
                <w:rFonts w:hint="eastAsia" w:ascii="宋体" w:hAnsi="宋体" w:eastAsia="宋体" w:cs="宋体"/>
                <w:sz w:val="21"/>
                <w:szCs w:val="21"/>
                <w:highlight w:val="none"/>
              </w:rPr>
              <w:t>99 h 59 min，分辨率：1 min</w:t>
            </w:r>
            <w:r>
              <w:rPr>
                <w:rFonts w:hint="eastAsia" w:ascii="宋体" w:hAnsi="宋体" w:cs="宋体"/>
                <w:sz w:val="21"/>
                <w:szCs w:val="21"/>
                <w:highlight w:val="none"/>
                <w:lang w:eastAsia="zh-CN"/>
              </w:rPr>
              <w:t>；</w:t>
            </w:r>
          </w:p>
          <w:p w14:paraId="33EFCF0D">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12</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其他功能：按键锁、预约、记忆、预热、强制冷却、程序锁、警报发生记录（</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20件）、时间</w:t>
            </w:r>
            <w:r>
              <w:rPr>
                <w:rFonts w:hint="eastAsia" w:ascii="宋体" w:hAnsi="宋体" w:cs="宋体"/>
                <w:sz w:val="21"/>
                <w:szCs w:val="21"/>
                <w:highlight w:val="none"/>
                <w:lang w:val="en-US" w:eastAsia="zh-CN"/>
              </w:rPr>
              <w:t>计</w:t>
            </w:r>
            <w:r>
              <w:rPr>
                <w:rFonts w:hint="eastAsia" w:ascii="宋体" w:hAnsi="宋体" w:eastAsia="宋体" w:cs="宋体"/>
                <w:sz w:val="21"/>
                <w:szCs w:val="21"/>
                <w:highlight w:val="none"/>
              </w:rPr>
              <w:t>算显示、时刻显示、操作音开关、选配试料温度传感器</w:t>
            </w:r>
            <w:r>
              <w:rPr>
                <w:rFonts w:hint="eastAsia" w:ascii="宋体" w:hAnsi="宋体" w:cs="宋体"/>
                <w:sz w:val="21"/>
                <w:szCs w:val="21"/>
                <w:highlight w:val="none"/>
                <w:lang w:eastAsia="zh-CN"/>
              </w:rPr>
              <w:t>；</w:t>
            </w:r>
          </w:p>
          <w:p w14:paraId="1689E7C6">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13</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安全装置包括：传感器异常检测、SSR短路保护、加热器断线检测、防空烧（液胀式温控器）、冷却水壶异常警告、盖锁异常检测、记忆异常检测、压力安全阀（0.255MPa）</w:t>
            </w:r>
            <w:r>
              <w:rPr>
                <w:rFonts w:hint="eastAsia" w:ascii="宋体" w:hAnsi="宋体" w:cs="宋体"/>
                <w:sz w:val="21"/>
                <w:szCs w:val="21"/>
                <w:highlight w:val="none"/>
                <w:lang w:eastAsia="zh-CN"/>
              </w:rPr>
              <w:t>；</w:t>
            </w:r>
          </w:p>
          <w:p w14:paraId="33923BC1">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14</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故障报警：故障时，声音提示、控制面板显示故障代码和文本信息，帮助操作人员排除故障，确保人员和设备安全</w:t>
            </w:r>
            <w:r>
              <w:rPr>
                <w:rFonts w:hint="eastAsia" w:ascii="宋体" w:hAnsi="宋体" w:cs="宋体"/>
                <w:sz w:val="21"/>
                <w:szCs w:val="21"/>
                <w:highlight w:val="none"/>
                <w:lang w:eastAsia="zh-CN"/>
              </w:rPr>
              <w:t>；</w:t>
            </w:r>
          </w:p>
          <w:p w14:paraId="7F9B2565">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二、结构参数</w:t>
            </w:r>
          </w:p>
          <w:p w14:paraId="26216DD8">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操作面板位于盖子前侧，方便操作和观看</w:t>
            </w:r>
            <w:r>
              <w:rPr>
                <w:rFonts w:hint="eastAsia" w:ascii="宋体" w:hAnsi="宋体" w:cs="宋体"/>
                <w:sz w:val="21"/>
                <w:szCs w:val="21"/>
                <w:highlight w:val="none"/>
                <w:lang w:eastAsia="zh-CN"/>
              </w:rPr>
              <w:t>；</w:t>
            </w:r>
          </w:p>
          <w:p w14:paraId="6D7597BE">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盖部结构为手动上下开关式，节省空间。配备自涨式密封圈。多重压力盖开启保护锁确保安全</w:t>
            </w:r>
            <w:r>
              <w:rPr>
                <w:rFonts w:hint="eastAsia" w:ascii="宋体" w:hAnsi="宋体" w:cs="宋体"/>
                <w:sz w:val="21"/>
                <w:szCs w:val="21"/>
                <w:highlight w:val="none"/>
                <w:lang w:eastAsia="zh-CN"/>
              </w:rPr>
              <w:t>；</w:t>
            </w:r>
          </w:p>
          <w:p w14:paraId="69E7B6AF">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灭菌器内腔采用</w:t>
            </w:r>
            <w:r>
              <w:rPr>
                <w:rFonts w:hint="eastAsia"/>
                <w:highlight w:val="none"/>
                <w:lang w:val="en-US" w:eastAsia="zh-CN"/>
              </w:rPr>
              <w:t>≥</w:t>
            </w:r>
            <w:r>
              <w:rPr>
                <w:rFonts w:hint="eastAsia" w:ascii="宋体" w:hAnsi="宋体" w:eastAsia="宋体" w:cs="宋体"/>
                <w:sz w:val="21"/>
                <w:szCs w:val="21"/>
                <w:highlight w:val="none"/>
              </w:rPr>
              <w:t>3mm耐腐蚀不锈钢材质，表面镜面处理</w:t>
            </w:r>
            <w:r>
              <w:rPr>
                <w:rFonts w:hint="eastAsia" w:ascii="宋体" w:hAnsi="宋体" w:cs="宋体"/>
                <w:sz w:val="21"/>
                <w:szCs w:val="21"/>
                <w:highlight w:val="none"/>
                <w:lang w:eastAsia="zh-CN"/>
              </w:rPr>
              <w:t>；</w:t>
            </w:r>
          </w:p>
          <w:p w14:paraId="5BF9DC9C">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4</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压力表和安全阀可轻松拆卸以进行校验</w:t>
            </w:r>
            <w:r>
              <w:rPr>
                <w:rFonts w:hint="eastAsia" w:ascii="宋体" w:hAnsi="宋体" w:cs="宋体"/>
                <w:sz w:val="21"/>
                <w:szCs w:val="21"/>
                <w:highlight w:val="none"/>
                <w:lang w:eastAsia="zh-CN"/>
              </w:rPr>
              <w:t>；</w:t>
            </w:r>
          </w:p>
          <w:p w14:paraId="2AAE6D63">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5</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标准装备冷却风叶（轴流风机）</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支持强制冷却和自然冷却</w:t>
            </w:r>
            <w:r>
              <w:rPr>
                <w:rFonts w:hint="eastAsia" w:ascii="宋体" w:hAnsi="宋体" w:cs="宋体"/>
                <w:sz w:val="21"/>
                <w:szCs w:val="21"/>
                <w:highlight w:val="none"/>
                <w:lang w:eastAsia="zh-CN"/>
              </w:rPr>
              <w:t>；</w:t>
            </w:r>
          </w:p>
          <w:p w14:paraId="6505B44C">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6</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灭菌用加热器：110V，968Wx2</w:t>
            </w:r>
            <w:r>
              <w:rPr>
                <w:rFonts w:hint="eastAsia" w:ascii="宋体" w:hAnsi="宋体" w:cs="宋体"/>
                <w:sz w:val="21"/>
                <w:szCs w:val="21"/>
                <w:highlight w:val="none"/>
                <w:lang w:eastAsia="zh-CN"/>
              </w:rPr>
              <w:t>；</w:t>
            </w:r>
          </w:p>
          <w:p w14:paraId="5DE4EA51">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7</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排气阀：</w:t>
            </w:r>
            <w:r>
              <w:rPr>
                <w:rFonts w:hint="eastAsia" w:ascii="宋体" w:hAnsi="宋体" w:cs="宋体"/>
                <w:sz w:val="21"/>
                <w:szCs w:val="21"/>
                <w:highlight w:val="none"/>
                <w:lang w:val="en-US" w:eastAsia="zh-CN"/>
              </w:rPr>
              <w:t>具备</w:t>
            </w:r>
            <w:r>
              <w:rPr>
                <w:rFonts w:ascii="宋体" w:hAnsi="宋体" w:eastAsia="宋体" w:cs="宋体"/>
                <w:sz w:val="21"/>
                <w:szCs w:val="21"/>
                <w:highlight w:val="none"/>
              </w:rPr>
              <w:t>分段自动排气，防止液体暴沸</w:t>
            </w:r>
            <w:r>
              <w:rPr>
                <w:rFonts w:hint="eastAsia"/>
                <w:highlight w:val="none"/>
                <w:lang w:eastAsia="zh-CN"/>
              </w:rPr>
              <w:t>；</w:t>
            </w:r>
          </w:p>
          <w:p w14:paraId="6319E358">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8</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选购品：生物安全过滤系统、标准提篮、加高型提篮</w:t>
            </w:r>
            <w:r>
              <w:rPr>
                <w:rFonts w:hint="eastAsia" w:ascii="宋体" w:hAnsi="宋体" w:cs="宋体"/>
                <w:sz w:val="21"/>
                <w:szCs w:val="21"/>
                <w:highlight w:val="none"/>
                <w:lang w:eastAsia="zh-CN"/>
              </w:rPr>
              <w:t>；</w:t>
            </w:r>
          </w:p>
          <w:p w14:paraId="64FFF4FC">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9</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外形尺寸（宽×深×高mm）：≤460×590×848</w:t>
            </w:r>
            <w:r>
              <w:rPr>
                <w:rFonts w:hint="eastAsia" w:ascii="宋体" w:hAnsi="宋体" w:cs="宋体"/>
                <w:sz w:val="21"/>
                <w:szCs w:val="21"/>
                <w:highlight w:val="none"/>
                <w:lang w:eastAsia="zh-CN"/>
              </w:rPr>
              <w:t>；</w:t>
            </w:r>
          </w:p>
          <w:p w14:paraId="6BA03796">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10</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缸体有效尺寸（直径×高mm）：</w:t>
            </w:r>
            <w:r>
              <w:rPr>
                <w:rFonts w:hint="eastAsia"/>
                <w:highlight w:val="none"/>
                <w:lang w:val="en-US" w:eastAsia="zh-CN"/>
              </w:rPr>
              <w:t>≥</w:t>
            </w:r>
            <w:r>
              <w:rPr>
                <w:rFonts w:hint="eastAsia" w:ascii="宋体" w:hAnsi="宋体" w:eastAsia="宋体" w:cs="宋体"/>
                <w:sz w:val="21"/>
                <w:szCs w:val="21"/>
                <w:highlight w:val="none"/>
              </w:rPr>
              <w:t>300×445</w:t>
            </w:r>
            <w:r>
              <w:rPr>
                <w:rFonts w:hint="eastAsia" w:ascii="宋体" w:hAnsi="宋体" w:cs="宋体"/>
                <w:sz w:val="21"/>
                <w:szCs w:val="21"/>
                <w:highlight w:val="none"/>
                <w:lang w:eastAsia="zh-CN"/>
              </w:rPr>
              <w:t>；</w:t>
            </w:r>
          </w:p>
          <w:p w14:paraId="71A7EF17">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11</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缸体有效内容积：≥32L</w:t>
            </w:r>
            <w:r>
              <w:rPr>
                <w:rFonts w:hint="eastAsia" w:ascii="宋体" w:hAnsi="宋体" w:cs="宋体"/>
                <w:sz w:val="21"/>
                <w:szCs w:val="21"/>
                <w:highlight w:val="none"/>
                <w:lang w:eastAsia="zh-CN"/>
              </w:rPr>
              <w:t>；</w:t>
            </w:r>
          </w:p>
          <w:p w14:paraId="4F73FA7A">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12</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重量：≤75kg</w:t>
            </w:r>
            <w:r>
              <w:rPr>
                <w:rFonts w:hint="eastAsia" w:ascii="宋体" w:hAnsi="宋体" w:cs="宋体"/>
                <w:sz w:val="21"/>
                <w:szCs w:val="21"/>
                <w:highlight w:val="none"/>
                <w:lang w:eastAsia="zh-CN"/>
              </w:rPr>
              <w:t>；</w:t>
            </w:r>
          </w:p>
          <w:p w14:paraId="49826805">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13</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电源（50/60Hz）额定电流：AC220V</w:t>
            </w:r>
            <w:r>
              <w:rPr>
                <w:rFonts w:hint="eastAsia" w:ascii="宋体" w:hAnsi="宋体" w:cs="宋体"/>
                <w:sz w:val="21"/>
                <w:szCs w:val="21"/>
                <w:highlight w:val="none"/>
                <w:lang w:eastAsia="zh-CN"/>
              </w:rPr>
              <w:t>，</w:t>
            </w:r>
            <w:r>
              <w:rPr>
                <w:rFonts w:hint="eastAsia"/>
                <w:highlight w:val="none"/>
                <w:lang w:val="en-US" w:eastAsia="zh-CN"/>
              </w:rPr>
              <w:t>≤</w:t>
            </w:r>
            <w:r>
              <w:rPr>
                <w:rFonts w:hint="eastAsia" w:ascii="宋体" w:hAnsi="宋体" w:eastAsia="宋体" w:cs="宋体"/>
                <w:sz w:val="21"/>
                <w:szCs w:val="21"/>
                <w:highlight w:val="none"/>
              </w:rPr>
              <w:t>9A</w:t>
            </w:r>
            <w:r>
              <w:rPr>
                <w:rFonts w:hint="eastAsia" w:ascii="宋体" w:hAnsi="宋体" w:cs="宋体"/>
                <w:sz w:val="21"/>
                <w:szCs w:val="21"/>
                <w:highlight w:val="none"/>
                <w:lang w:eastAsia="zh-CN"/>
              </w:rPr>
              <w:t>；</w:t>
            </w:r>
          </w:p>
          <w:p w14:paraId="328144E8">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三、配置</w:t>
            </w:r>
          </w:p>
          <w:p w14:paraId="16F79B2C">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立式压力蒸汽灭菌器 1台</w:t>
            </w:r>
            <w:r>
              <w:rPr>
                <w:rFonts w:hint="eastAsia" w:ascii="宋体" w:hAnsi="宋体" w:cs="宋体"/>
                <w:sz w:val="21"/>
                <w:szCs w:val="21"/>
                <w:highlight w:val="none"/>
                <w:lang w:eastAsia="zh-CN"/>
              </w:rPr>
              <w:t>；</w:t>
            </w:r>
          </w:p>
          <w:p w14:paraId="0602E72F">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附属品：提篮2个</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蒸汽接水杯1个</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冷却水壶1个</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加热器挡板1个</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过滤器1个</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排水管1根</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抱箍1个</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接水盘1个</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灭菌测试卡1套</w:t>
            </w:r>
            <w:r>
              <w:rPr>
                <w:rFonts w:hint="eastAsia" w:ascii="宋体" w:hAnsi="宋体" w:cs="宋体"/>
                <w:sz w:val="21"/>
                <w:szCs w:val="21"/>
                <w:highlight w:val="none"/>
                <w:lang w:eastAsia="zh-CN"/>
              </w:rPr>
              <w:t>；</w:t>
            </w:r>
          </w:p>
          <w:p w14:paraId="73CCDB66">
            <w:pPr>
              <w:keepNext w:val="0"/>
              <w:keepLines w:val="0"/>
              <w:pageBreakBefore w:val="0"/>
              <w:kinsoku/>
              <w:wordWrap/>
              <w:overflowPunct/>
              <w:topLinePunct w:val="0"/>
              <w:autoSpaceDE/>
              <w:bidi w:val="0"/>
              <w:spacing w:line="360" w:lineRule="auto"/>
              <w:jc w:val="left"/>
              <w:rPr>
                <w:rFonts w:hint="eastAsia" w:eastAsia="宋体" w:asciiTheme="minorEastAsia" w:hAnsiTheme="minorEastAsia" w:cstheme="minorEastAsia"/>
                <w:color w:val="000000"/>
                <w:kern w:val="0"/>
                <w:sz w:val="21"/>
                <w:szCs w:val="21"/>
                <w:highlight w:val="none"/>
                <w:lang w:val="en-US" w:eastAsia="zh-CN" w:bidi="ar-SA"/>
              </w:rPr>
            </w:pPr>
            <w:r>
              <w:rPr>
                <w:rFonts w:hint="eastAsia" w:ascii="宋体" w:hAnsi="宋体" w:eastAsia="宋体" w:cs="宋体"/>
                <w:sz w:val="21"/>
                <w:szCs w:val="21"/>
                <w:highlight w:val="none"/>
              </w:rPr>
              <w:t>3</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资料：压力容器产品质量证明书1份</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安全阀合格证1份</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使用说明书1份</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保证书1份</w:t>
            </w:r>
            <w:r>
              <w:rPr>
                <w:rFonts w:hint="eastAsia" w:ascii="宋体" w:hAnsi="宋体" w:cs="宋体"/>
                <w:sz w:val="21"/>
                <w:szCs w:val="21"/>
                <w:highlight w:val="none"/>
                <w:lang w:eastAsia="zh-CN"/>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3810C1DE">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1台</w:t>
            </w:r>
          </w:p>
        </w:tc>
      </w:tr>
      <w:tr w14:paraId="0C3B72DB">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1D41D43">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B609562">
            <w:pPr>
              <w:keepNext w:val="0"/>
              <w:keepLines w:val="0"/>
              <w:pageBreakBefore w:val="0"/>
              <w:kinsoku/>
              <w:wordWrap/>
              <w:overflowPunct/>
              <w:topLinePunct w:val="0"/>
              <w:autoSpaceDE/>
              <w:bidi w:val="0"/>
              <w:adjustRightInd w:val="0"/>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A81AA09">
            <w:pPr>
              <w:keepNext w:val="0"/>
              <w:keepLines w:val="0"/>
              <w:pageBreakBefore w:val="0"/>
              <w:kinsoku/>
              <w:wordWrap/>
              <w:overflowPunct/>
              <w:topLinePunct w:val="0"/>
              <w:autoSpaceDE/>
              <w:bidi w:val="0"/>
              <w:adjustRightInd w:val="0"/>
              <w:snapToGrid w:val="0"/>
              <w:spacing w:line="360" w:lineRule="auto"/>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color w:val="auto"/>
                <w:szCs w:val="21"/>
                <w:highlight w:val="none"/>
              </w:rPr>
              <w:t>双层</w:t>
            </w:r>
            <w:r>
              <w:rPr>
                <w:rFonts w:hint="eastAsia" w:asciiTheme="minorEastAsia" w:hAnsiTheme="minorEastAsia" w:eastAsiaTheme="minorEastAsia" w:cstheme="minorEastAsia"/>
                <w:szCs w:val="21"/>
                <w:highlight w:val="none"/>
              </w:rPr>
              <w:t>恒温振荡器</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top"/>
          </w:tcPr>
          <w:p w14:paraId="3AA727DE">
            <w:pPr>
              <w:adjustRightInd w:val="0"/>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可一层、二层或三层叠加组合，以最小的占地面积为用户提供最大的使用空间；</w:t>
            </w:r>
          </w:p>
          <w:p w14:paraId="3257996D">
            <w:pPr>
              <w:adjustRightInd w:val="0"/>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三维一体的偏三轮驱动，运转平滑、稳定、耐久、可靠；</w:t>
            </w:r>
          </w:p>
          <w:p w14:paraId="3B6CCC38">
            <w:pPr>
              <w:adjustRightInd w:val="0"/>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具有超温报警功能及异常情况自动断电；</w:t>
            </w:r>
          </w:p>
          <w:p w14:paraId="54A3D9F6">
            <w:pPr>
              <w:adjustRightInd w:val="0"/>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4</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具有断电恢复功能，避免因停电、死机而造成的数据丢失问题；</w:t>
            </w:r>
          </w:p>
          <w:p w14:paraId="6632F2DA">
            <w:pPr>
              <w:adjustRightInd w:val="0"/>
              <w:snapToGrid w:val="0"/>
              <w:spacing w:line="360" w:lineRule="auto"/>
              <w:rPr>
                <w:rFonts w:hint="eastAsia" w:asciiTheme="minorEastAsia" w:hAnsiTheme="minorEastAsia" w:eastAsiaTheme="minorEastAsia" w:cstheme="minorEastAsia"/>
                <w:highlight w:val="none"/>
              </w:rPr>
            </w:pPr>
            <w:r>
              <w:rPr>
                <w:rFonts w:hint="eastAsia" w:ascii="微软雅黑" w:hAnsi="微软雅黑" w:eastAsia="微软雅黑" w:cs="微软雅黑"/>
                <w:highlight w:val="none"/>
                <w:lang w:val="en-US" w:eastAsia="zh-CN"/>
              </w:rPr>
              <w:t>▲</w:t>
            </w:r>
            <w:r>
              <w:rPr>
                <w:rFonts w:hint="eastAsia" w:asciiTheme="minorEastAsia" w:hAnsiTheme="minorEastAsia" w:eastAsiaTheme="minorEastAsia" w:cstheme="minorEastAsia"/>
                <w:highlight w:val="none"/>
              </w:rPr>
              <w:t>5</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中空钢化玻璃门，不锈钢无螺丝固定，整体更加美观、整洁，方便随时在不开门情况下在各个角度观察箱体内部情况；</w:t>
            </w:r>
          </w:p>
          <w:p w14:paraId="75CECFC1">
            <w:pPr>
              <w:adjustRightInd w:val="0"/>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6</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外壳采用静电喷塑，流线型外观，美观大方；内衬采用圆弧角（R角）镜面不锈钢设计，便于清洁，不易滋生细菌、防腐蚀；</w:t>
            </w:r>
          </w:p>
          <w:p w14:paraId="1714A830">
            <w:pPr>
              <w:adjustRightInd w:val="0"/>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7</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每层独立控制，各层可在不同温度转速下同时运转或根据需要运行一层、两层或三层；</w:t>
            </w:r>
          </w:p>
          <w:p w14:paraId="4DEC80D8">
            <w:pPr>
              <w:adjustRightInd w:val="0"/>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8</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精选优质压缩机、无氟环保制冷剂，噪音低、制冷效果好，确保设备在低温状态下长时间稳定运行；</w:t>
            </w:r>
          </w:p>
          <w:p w14:paraId="36E5C705">
            <w:pPr>
              <w:adjustRightInd w:val="0"/>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9</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具备电磁抗干扰设计，减少外界和自身对机器稳定性的干扰；</w:t>
            </w:r>
          </w:p>
          <w:p w14:paraId="7C3E9657">
            <w:pPr>
              <w:adjustRightInd w:val="0"/>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10</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人性化设计的开门即停功能，使用更加安全便捷；</w:t>
            </w:r>
          </w:p>
          <w:p w14:paraId="3C9525F0">
            <w:pPr>
              <w:adjustRightInd w:val="0"/>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11</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具有紫外线灭菌功能；</w:t>
            </w:r>
          </w:p>
          <w:p w14:paraId="0397691D">
            <w:pPr>
              <w:adjustRightInd w:val="0"/>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12</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摇床内胆采用无缝焊接技术，底部可进行全方位无死角冲洗，无需专业工具，清理方便；</w:t>
            </w:r>
          </w:p>
          <w:p w14:paraId="1EF7B99E">
            <w:pPr>
              <w:adjustRightInd w:val="0"/>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13</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LCD触摸屏，设定温度、转速、时间和实测温度、转速、剩余时间在同一界面显示，不用相互切换界面，观察更直观；操作界面加密锁定功能，杜绝重复操作和人为误操作；可自由设定摇板正转或反转；</w:t>
            </w:r>
          </w:p>
          <w:p w14:paraId="39ECC19F">
            <w:pPr>
              <w:adjustRightInd w:val="0"/>
              <w:snapToGrid w:val="0"/>
              <w:spacing w:line="360" w:lineRule="auto"/>
              <w:rPr>
                <w:rFonts w:hint="eastAsia" w:asciiTheme="minorEastAsia" w:hAnsiTheme="minorEastAsia" w:eastAsiaTheme="minorEastAsia" w:cstheme="minorEastAsia"/>
                <w:highlight w:val="none"/>
              </w:rPr>
            </w:pPr>
            <w:r>
              <w:rPr>
                <w:rFonts w:hint="eastAsia" w:ascii="微软雅黑" w:hAnsi="微软雅黑" w:eastAsia="微软雅黑" w:cs="微软雅黑"/>
                <w:highlight w:val="none"/>
                <w:lang w:val="en-US" w:eastAsia="zh-CN"/>
              </w:rPr>
              <w:t>▲</w:t>
            </w:r>
            <w:r>
              <w:rPr>
                <w:rFonts w:hint="eastAsia" w:asciiTheme="minorEastAsia" w:hAnsiTheme="minorEastAsia" w:eastAsiaTheme="minorEastAsia" w:cstheme="minorEastAsia"/>
                <w:highlight w:val="none"/>
              </w:rPr>
              <w:t>14</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具备数据记录存储功能，可采集记录温度、运行速度等关键运行参数，支持本地显示历史数据便于数据分析；具备 USB 数据导出接口，可导出存储的运行数据；设备存储容量应可支持不少于 3 个月运行数据存储；</w:t>
            </w:r>
          </w:p>
          <w:p w14:paraId="4ED68273">
            <w:pPr>
              <w:adjustRightInd w:val="0"/>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15</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配备高质伺服电机，</w:t>
            </w:r>
            <w:r>
              <w:rPr>
                <w:rFonts w:hint="eastAsia"/>
                <w:highlight w:val="none"/>
                <w:lang w:val="en-US" w:eastAsia="zh-CN"/>
              </w:rPr>
              <w:t>≤</w:t>
            </w:r>
            <w:r>
              <w:rPr>
                <w:rFonts w:hint="eastAsia" w:asciiTheme="minorEastAsia" w:hAnsiTheme="minorEastAsia" w:eastAsiaTheme="minorEastAsia" w:cstheme="minorEastAsia"/>
                <w:highlight w:val="none"/>
              </w:rPr>
              <w:t>10rpm起转对样品剪切力小，控制速度精确、高速性能好、稳定性强；</w:t>
            </w:r>
          </w:p>
          <w:p w14:paraId="7862128F">
            <w:pPr>
              <w:adjustRightInd w:val="0"/>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16</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具备智能自动除霜功能，可自定义除霜时长与间隔周期；</w:t>
            </w:r>
          </w:p>
          <w:p w14:paraId="4E1BEA13">
            <w:pPr>
              <w:adjustRightInd w:val="0"/>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17</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空载振荡频率：10-300rpm；</w:t>
            </w:r>
          </w:p>
          <w:p w14:paraId="6AA6C317">
            <w:pPr>
              <w:adjustRightInd w:val="0"/>
              <w:snapToGrid w:val="0"/>
              <w:spacing w:line="360" w:lineRule="auto"/>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rPr>
              <w:t>19</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振荡频率精度：±1rpm</w:t>
            </w:r>
            <w:r>
              <w:rPr>
                <w:rFonts w:hint="eastAsia" w:asciiTheme="minorEastAsia" w:hAnsiTheme="minorEastAsia" w:eastAsiaTheme="minorEastAsia" w:cstheme="minorEastAsia"/>
                <w:highlight w:val="none"/>
                <w:lang w:eastAsia="zh-CN"/>
              </w:rPr>
              <w:t>；</w:t>
            </w:r>
          </w:p>
          <w:p w14:paraId="7BCF0A9A">
            <w:pPr>
              <w:adjustRightInd w:val="0"/>
              <w:snapToGrid w:val="0"/>
              <w:spacing w:line="360" w:lineRule="auto"/>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rPr>
              <w:t>20</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摇板振幅：Ф</w:t>
            </w:r>
            <w:r>
              <w:rPr>
                <w:rFonts w:hint="eastAsia"/>
                <w:highlight w:val="none"/>
                <w:lang w:val="en-US" w:eastAsia="zh-CN"/>
              </w:rPr>
              <w:t>≥</w:t>
            </w:r>
            <w:r>
              <w:rPr>
                <w:rFonts w:hint="eastAsia" w:asciiTheme="minorEastAsia" w:hAnsiTheme="minorEastAsia" w:eastAsiaTheme="minorEastAsia" w:cstheme="minorEastAsia"/>
                <w:highlight w:val="none"/>
              </w:rPr>
              <w:t>26mm</w:t>
            </w:r>
            <w:r>
              <w:rPr>
                <w:rFonts w:hint="eastAsia" w:asciiTheme="minorEastAsia" w:hAnsiTheme="minorEastAsia" w:eastAsiaTheme="minorEastAsia" w:cstheme="minorEastAsia"/>
                <w:highlight w:val="none"/>
                <w:lang w:eastAsia="zh-CN"/>
              </w:rPr>
              <w:t>；</w:t>
            </w:r>
          </w:p>
          <w:p w14:paraId="305AE621">
            <w:pPr>
              <w:adjustRightInd w:val="0"/>
              <w:snapToGrid w:val="0"/>
              <w:spacing w:line="360" w:lineRule="auto"/>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rPr>
              <w:t>21</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温控范围：4～60℃（在室温23℃～25℃）</w:t>
            </w:r>
            <w:r>
              <w:rPr>
                <w:rFonts w:hint="eastAsia" w:asciiTheme="minorEastAsia" w:hAnsiTheme="minorEastAsia" w:eastAsiaTheme="minorEastAsia" w:cstheme="minorEastAsia"/>
                <w:highlight w:val="none"/>
                <w:lang w:eastAsia="zh-CN"/>
              </w:rPr>
              <w:t>；</w:t>
            </w:r>
          </w:p>
          <w:p w14:paraId="2C079FDE">
            <w:pPr>
              <w:adjustRightInd w:val="0"/>
              <w:snapToGrid w:val="0"/>
              <w:spacing w:line="360" w:lineRule="auto"/>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rPr>
              <w:t>22</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温度调节精度：±0.1℃</w:t>
            </w:r>
            <w:r>
              <w:rPr>
                <w:rFonts w:hint="eastAsia" w:asciiTheme="minorEastAsia" w:hAnsiTheme="minorEastAsia" w:eastAsiaTheme="minorEastAsia" w:cstheme="minorEastAsia"/>
                <w:highlight w:val="none"/>
                <w:lang w:eastAsia="zh-CN"/>
              </w:rPr>
              <w:t>；</w:t>
            </w:r>
          </w:p>
          <w:p w14:paraId="705B05F2">
            <w:pPr>
              <w:adjustRightInd w:val="0"/>
              <w:snapToGrid w:val="0"/>
              <w:spacing w:line="360" w:lineRule="auto"/>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rPr>
              <w:t>23</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温度均匀度：±0.5℃（at37℃）</w:t>
            </w:r>
            <w:r>
              <w:rPr>
                <w:rFonts w:hint="eastAsia" w:asciiTheme="minorEastAsia" w:hAnsiTheme="minorEastAsia" w:eastAsiaTheme="minorEastAsia" w:cstheme="minorEastAsia"/>
                <w:highlight w:val="none"/>
                <w:lang w:eastAsia="zh-CN"/>
              </w:rPr>
              <w:t>；</w:t>
            </w:r>
          </w:p>
          <w:p w14:paraId="674EE110">
            <w:pPr>
              <w:adjustRightInd w:val="0"/>
              <w:snapToGrid w:val="0"/>
              <w:spacing w:line="360" w:lineRule="auto"/>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rPr>
              <w:t>24</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最大容量（不锈钢夹具）：单层250ml×25或500ml×16或1000ml×9或2000ml×5或3000mlx5</w:t>
            </w:r>
            <w:r>
              <w:rPr>
                <w:rFonts w:hint="eastAsia" w:asciiTheme="minorEastAsia" w:hAnsiTheme="minorEastAsia" w:eastAsiaTheme="minorEastAsia" w:cstheme="minorEastAsia"/>
                <w:highlight w:val="none"/>
                <w:lang w:eastAsia="zh-CN"/>
              </w:rPr>
              <w:t>；</w:t>
            </w:r>
          </w:p>
          <w:p w14:paraId="6510BCAF">
            <w:pPr>
              <w:adjustRightInd w:val="0"/>
              <w:snapToGrid w:val="0"/>
              <w:spacing w:line="360" w:lineRule="auto"/>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rPr>
              <w:t>25</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摇板尺寸（长×宽）：单层475mm×465mm</w:t>
            </w:r>
            <w:r>
              <w:rPr>
                <w:rFonts w:hint="eastAsia" w:asciiTheme="minorEastAsia" w:hAnsiTheme="minorEastAsia" w:eastAsiaTheme="minorEastAsia" w:cstheme="minorEastAsia"/>
                <w:highlight w:val="none"/>
                <w:lang w:eastAsia="zh-CN"/>
              </w:rPr>
              <w:t>；</w:t>
            </w:r>
          </w:p>
          <w:p w14:paraId="3E43514F">
            <w:pPr>
              <w:adjustRightInd w:val="0"/>
              <w:snapToGrid w:val="0"/>
              <w:spacing w:line="360" w:lineRule="auto"/>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26</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考虑到实验室空间大小问题外形尺寸（长×宽×高）：≤820×700×635mm</w:t>
            </w:r>
            <w:r>
              <w:rPr>
                <w:rFonts w:hint="eastAsia" w:asciiTheme="minorEastAsia" w:hAnsiTheme="minorEastAsia" w:eastAsiaTheme="minorEastAsia" w:cstheme="minorEastAsia"/>
                <w:highlight w:val="none"/>
                <w:lang w:eastAsia="zh-CN"/>
              </w:rPr>
              <w:t>；</w:t>
            </w:r>
          </w:p>
          <w:p w14:paraId="2BF17232">
            <w:pPr>
              <w:adjustRightInd w:val="0"/>
              <w:snapToGrid w:val="0"/>
              <w:spacing w:line="360" w:lineRule="auto"/>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27</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考虑楼层承重问题空载重量≤115kg</w:t>
            </w:r>
            <w:r>
              <w:rPr>
                <w:rFonts w:hint="eastAsia" w:asciiTheme="minorEastAsia" w:hAnsiTheme="minorEastAsia" w:eastAsiaTheme="minorEastAsia" w:cstheme="minorEastAsia"/>
                <w:highlight w:val="none"/>
                <w:lang w:eastAsia="zh-CN"/>
              </w:rPr>
              <w:t>；</w:t>
            </w:r>
          </w:p>
          <w:p w14:paraId="2322753C">
            <w:pPr>
              <w:adjustRightInd w:val="0"/>
              <w:snapToGrid w:val="0"/>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28</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噪音：低于65dB；</w:t>
            </w:r>
          </w:p>
          <w:p w14:paraId="71F8A593">
            <w:pPr>
              <w:adjustRightInd w:val="0"/>
              <w:snapToGrid w:val="0"/>
              <w:spacing w:line="360" w:lineRule="auto"/>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rPr>
              <w:t>29</w:t>
            </w:r>
            <w:r>
              <w:rPr>
                <w:rFonts w:hint="eastAsia" w:asciiTheme="minorEastAsia" w:hAnsiTheme="minorEastAsia" w:eastAsiaTheme="minorEastAsia" w:cstheme="minorEastAsia"/>
                <w:highlight w:val="none"/>
                <w:lang w:val="en-US" w:eastAsia="zh-CN"/>
              </w:rPr>
              <w:t>.</w:t>
            </w:r>
            <w:r>
              <w:rPr>
                <w:rFonts w:hint="eastAsia" w:asciiTheme="minorEastAsia" w:hAnsiTheme="minorEastAsia" w:eastAsiaTheme="minorEastAsia" w:cstheme="minorEastAsia"/>
                <w:highlight w:val="none"/>
              </w:rPr>
              <w:t>夹具板到顶部距离：</w:t>
            </w:r>
            <w:r>
              <w:rPr>
                <w:rFonts w:hint="eastAsia"/>
                <w:highlight w:val="none"/>
                <w:lang w:val="en-US" w:eastAsia="zh-CN"/>
              </w:rPr>
              <w:t>≥</w:t>
            </w:r>
            <w:r>
              <w:rPr>
                <w:rFonts w:hint="eastAsia" w:asciiTheme="minorEastAsia" w:hAnsiTheme="minorEastAsia" w:eastAsiaTheme="minorEastAsia" w:cstheme="minorEastAsia"/>
                <w:highlight w:val="none"/>
              </w:rPr>
              <w:t>365mm</w:t>
            </w:r>
            <w:r>
              <w:rPr>
                <w:rFonts w:hint="eastAsia" w:asciiTheme="minorEastAsia" w:hAnsiTheme="minorEastAsia" w:eastAsiaTheme="minorEastAsia" w:cstheme="minorEastAsia"/>
                <w:highlight w:val="none"/>
                <w:lang w:eastAsia="zh-CN"/>
              </w:rPr>
              <w:t>；</w:t>
            </w:r>
          </w:p>
          <w:p w14:paraId="1B9E7833">
            <w:pPr>
              <w:adjustRightInd w:val="0"/>
              <w:snapToGrid w:val="0"/>
              <w:spacing w:line="360" w:lineRule="auto"/>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color w:val="auto"/>
                <w:highlight w:val="none"/>
              </w:rPr>
              <w:t>30</w:t>
            </w:r>
            <w:r>
              <w:rPr>
                <w:rFonts w:hint="eastAsia" w:asciiTheme="minorEastAsia" w:hAnsiTheme="minorEastAsia" w:eastAsiaTheme="minorEastAsia" w:cstheme="minorEastAsia"/>
                <w:color w:val="auto"/>
                <w:highlight w:val="none"/>
                <w:lang w:val="en-US" w:eastAsia="zh-CN"/>
              </w:rPr>
              <w:t>.</w:t>
            </w:r>
            <w:r>
              <w:rPr>
                <w:rFonts w:hint="eastAsia" w:asciiTheme="minorEastAsia" w:hAnsiTheme="minorEastAsia" w:eastAsiaTheme="minorEastAsia" w:cstheme="minorEastAsia"/>
                <w:color w:val="auto"/>
                <w:highlight w:val="none"/>
              </w:rPr>
              <w:t>配置：双层</w:t>
            </w:r>
            <w:r>
              <w:rPr>
                <w:rFonts w:hint="eastAsia" w:asciiTheme="minorEastAsia" w:hAnsiTheme="minorEastAsia" w:eastAsiaTheme="minorEastAsia" w:cstheme="minorEastAsia"/>
                <w:color w:val="auto"/>
                <w:highlight w:val="none"/>
                <w:lang w:eastAsia="zh-CN"/>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197A2C2D">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1台</w:t>
            </w:r>
          </w:p>
        </w:tc>
      </w:tr>
      <w:tr w14:paraId="5E035913">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21369BE">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29DF5D8">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8461F96">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多参数分析仪</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7121877">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一、应用范围</w:t>
            </w:r>
          </w:p>
          <w:p w14:paraId="75118047">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适用于实验室溶电位值、pH值、pX值、氧化还原电位、离子浓度值、电导率、电阻率、总固态溶解物(TDS)、盐度值、灰分和温度测定</w:t>
            </w:r>
            <w:r>
              <w:rPr>
                <w:rFonts w:hint="eastAsia" w:ascii="宋体" w:hAnsi="宋体" w:cs="宋体"/>
                <w:sz w:val="21"/>
                <w:szCs w:val="21"/>
                <w:highlight w:val="none"/>
                <w:lang w:eastAsia="zh-CN"/>
              </w:rPr>
              <w:t>；</w:t>
            </w:r>
          </w:p>
          <w:p w14:paraId="2BFE24B6">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二、技术参数</w:t>
            </w:r>
          </w:p>
          <w:p w14:paraId="22A648A0">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mV范围(-2000.00～2000.00)mV，最小分辨率</w:t>
            </w:r>
            <w:r>
              <w:rPr>
                <w:rFonts w:hint="eastAsia" w:asciiTheme="minorEastAsia" w:hAnsiTheme="minorEastAsia" w:eastAsiaTheme="minorEastAsia" w:cstheme="minorEastAsia"/>
                <w:highlight w:val="none"/>
              </w:rPr>
              <w:t>≤</w:t>
            </w:r>
            <w:r>
              <w:rPr>
                <w:rFonts w:hint="eastAsia" w:ascii="宋体" w:hAnsi="宋体" w:eastAsia="宋体" w:cs="宋体"/>
                <w:sz w:val="21"/>
                <w:szCs w:val="21"/>
                <w:highlight w:val="none"/>
              </w:rPr>
              <w:t>0.01 mV，电子单元示值误差≤±0.03% FS 或 ±0.1mV</w:t>
            </w:r>
            <w:r>
              <w:rPr>
                <w:rFonts w:hint="eastAsia" w:ascii="宋体" w:hAnsi="宋体" w:cs="宋体"/>
                <w:sz w:val="21"/>
                <w:szCs w:val="21"/>
                <w:highlight w:val="none"/>
                <w:lang w:eastAsia="zh-CN"/>
              </w:rPr>
              <w:t>；</w:t>
            </w:r>
          </w:p>
          <w:p w14:paraId="1D6E5E4B">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pH范围(-2.000～20.000)pH，最小分辨率</w:t>
            </w:r>
            <w:r>
              <w:rPr>
                <w:rFonts w:hint="eastAsia" w:asciiTheme="minorEastAsia" w:hAnsiTheme="minorEastAsia" w:eastAsiaTheme="minorEastAsia" w:cstheme="minorEastAsia"/>
                <w:highlight w:val="none"/>
              </w:rPr>
              <w:t>≤</w:t>
            </w:r>
            <w:r>
              <w:rPr>
                <w:rFonts w:hint="eastAsia" w:ascii="宋体" w:hAnsi="宋体" w:eastAsia="宋体" w:cs="宋体"/>
                <w:sz w:val="21"/>
                <w:szCs w:val="21"/>
                <w:highlight w:val="none"/>
              </w:rPr>
              <w:t>0.001 pH，电子单元示值误差±0.002pH</w:t>
            </w:r>
            <w:r>
              <w:rPr>
                <w:rFonts w:hint="eastAsia" w:ascii="宋体" w:hAnsi="宋体" w:cs="宋体"/>
                <w:sz w:val="21"/>
                <w:szCs w:val="21"/>
                <w:highlight w:val="none"/>
                <w:lang w:eastAsia="zh-CN"/>
              </w:rPr>
              <w:t>；</w:t>
            </w:r>
          </w:p>
          <w:p w14:paraId="62ED62F8">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pX范围(-2.000～20.000)pX，最小分辨率</w:t>
            </w:r>
            <w:r>
              <w:rPr>
                <w:rFonts w:hint="eastAsia" w:asciiTheme="minorEastAsia" w:hAnsiTheme="minorEastAsia" w:eastAsiaTheme="minorEastAsia" w:cstheme="minorEastAsia"/>
                <w:highlight w:val="none"/>
              </w:rPr>
              <w:t>≤</w:t>
            </w:r>
            <w:r>
              <w:rPr>
                <w:rFonts w:hint="eastAsia" w:ascii="宋体" w:hAnsi="宋体" w:eastAsia="宋体" w:cs="宋体"/>
                <w:sz w:val="21"/>
                <w:szCs w:val="21"/>
                <w:highlight w:val="none"/>
              </w:rPr>
              <w:t>0.001pX，电子单元示值误差±0.002 pX</w:t>
            </w:r>
            <w:r>
              <w:rPr>
                <w:rFonts w:hint="eastAsia" w:ascii="宋体" w:hAnsi="宋体" w:cs="宋体"/>
                <w:sz w:val="21"/>
                <w:szCs w:val="21"/>
                <w:highlight w:val="none"/>
                <w:lang w:eastAsia="zh-CN"/>
              </w:rPr>
              <w:t>；</w:t>
            </w:r>
          </w:p>
          <w:p w14:paraId="27BCB711">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4</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离子浓度范围(1.000e-9～9.999e+9)，最小分辨率</w:t>
            </w:r>
            <w:r>
              <w:rPr>
                <w:rFonts w:hint="eastAsia"/>
                <w:highlight w:val="none"/>
                <w:lang w:val="en-US" w:eastAsia="zh-CN"/>
              </w:rPr>
              <w:t>≥</w:t>
            </w:r>
            <w:r>
              <w:rPr>
                <w:rFonts w:hint="eastAsia" w:ascii="宋体" w:hAnsi="宋体" w:eastAsia="宋体" w:cs="宋体"/>
                <w:sz w:val="21"/>
                <w:szCs w:val="21"/>
                <w:highlight w:val="none"/>
              </w:rPr>
              <w:t>4位有效数字，电子单元示值误差±0.3%</w:t>
            </w:r>
            <w:r>
              <w:rPr>
                <w:rFonts w:hint="eastAsia" w:ascii="宋体" w:hAnsi="宋体" w:cs="宋体"/>
                <w:sz w:val="21"/>
                <w:szCs w:val="21"/>
                <w:highlight w:val="none"/>
                <w:lang w:eastAsia="zh-CN"/>
              </w:rPr>
              <w:t>；</w:t>
            </w:r>
          </w:p>
          <w:p w14:paraId="3B1F5225">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5</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电导率范围0.000μS/cm～2000mS/cm，最小分辨率</w:t>
            </w:r>
            <w:r>
              <w:rPr>
                <w:rFonts w:hint="eastAsia" w:asciiTheme="minorEastAsia" w:hAnsiTheme="minorEastAsia" w:eastAsiaTheme="minorEastAsia" w:cstheme="minorEastAsia"/>
                <w:highlight w:val="none"/>
              </w:rPr>
              <w:t>≤</w:t>
            </w:r>
            <w:r>
              <w:rPr>
                <w:rFonts w:hint="eastAsia" w:ascii="宋体" w:hAnsi="宋体" w:eastAsia="宋体" w:cs="宋体"/>
                <w:sz w:val="21"/>
                <w:szCs w:val="21"/>
                <w:highlight w:val="none"/>
              </w:rPr>
              <w:t>0.001μS/cm，根据量程自动切换，电子单元引用误差±0.5% FS</w:t>
            </w:r>
            <w:r>
              <w:rPr>
                <w:rFonts w:hint="eastAsia" w:ascii="宋体" w:hAnsi="宋体" w:cs="宋体"/>
                <w:sz w:val="21"/>
                <w:szCs w:val="21"/>
                <w:highlight w:val="none"/>
                <w:lang w:eastAsia="zh-CN"/>
              </w:rPr>
              <w:t>；</w:t>
            </w:r>
          </w:p>
          <w:p w14:paraId="11433AF0">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6</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电阻率范围5.00Ω•cm～100.0MΩ•cm，最小分辨率</w:t>
            </w:r>
            <w:r>
              <w:rPr>
                <w:rFonts w:hint="eastAsia"/>
                <w:highlight w:val="none"/>
                <w:lang w:val="en-US" w:eastAsia="zh-CN"/>
              </w:rPr>
              <w:t>≤</w:t>
            </w:r>
            <w:r>
              <w:rPr>
                <w:rFonts w:hint="eastAsia" w:ascii="宋体" w:hAnsi="宋体" w:eastAsia="宋体" w:cs="宋体"/>
                <w:sz w:val="21"/>
                <w:szCs w:val="21"/>
                <w:highlight w:val="none"/>
              </w:rPr>
              <w:t>0.01Ω·cm，根据量程自动切换，电子单元引用误差±0.5% FS</w:t>
            </w:r>
            <w:r>
              <w:rPr>
                <w:rFonts w:hint="eastAsia" w:ascii="宋体" w:hAnsi="宋体" w:cs="宋体"/>
                <w:sz w:val="21"/>
                <w:szCs w:val="21"/>
                <w:highlight w:val="none"/>
                <w:lang w:eastAsia="zh-CN"/>
              </w:rPr>
              <w:t>；</w:t>
            </w:r>
          </w:p>
          <w:p w14:paraId="7FC93C96">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7</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TDS范围0.000 mg/L～1000g/L，最小分辨率≤0.001mg/L，根据量程自动切换，电子单元引用误差±0.5% FS</w:t>
            </w:r>
            <w:r>
              <w:rPr>
                <w:rFonts w:hint="eastAsia" w:ascii="宋体" w:hAnsi="宋体" w:cs="宋体"/>
                <w:sz w:val="21"/>
                <w:szCs w:val="21"/>
                <w:highlight w:val="none"/>
                <w:lang w:eastAsia="zh-CN"/>
              </w:rPr>
              <w:t>；</w:t>
            </w:r>
          </w:p>
          <w:p w14:paraId="2496A5AB">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8</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盐度范围(0.00～8.00)%，最小分辨率≤0.01%，电子单元引用误差±0.1%</w:t>
            </w:r>
            <w:r>
              <w:rPr>
                <w:rFonts w:hint="eastAsia" w:ascii="宋体" w:hAnsi="宋体" w:cs="宋体"/>
                <w:sz w:val="21"/>
                <w:szCs w:val="21"/>
                <w:highlight w:val="none"/>
                <w:lang w:eastAsia="zh-CN"/>
              </w:rPr>
              <w:t>；</w:t>
            </w:r>
          </w:p>
          <w:p w14:paraId="54DC5337">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Theme="minorEastAsia" w:hAnsiTheme="minorEastAsia" w:eastAsiaTheme="minorEastAsia" w:cstheme="minorEastAsia"/>
                <w:highlight w:val="none"/>
                <w:lang w:val="en-US" w:eastAsia="zh-CN"/>
              </w:rPr>
              <w:t>9</w:t>
            </w:r>
            <w:r>
              <w:rPr>
                <w:rFonts w:hint="eastAsia"/>
                <w:highlight w:val="none"/>
                <w:lang w:val="en-US" w:eastAsia="zh-CN"/>
              </w:rPr>
              <w:t>.</w:t>
            </w:r>
            <w:r>
              <w:rPr>
                <w:rFonts w:hint="eastAsia" w:ascii="宋体" w:hAnsi="宋体" w:eastAsia="宋体" w:cs="宋体"/>
                <w:sz w:val="21"/>
                <w:szCs w:val="21"/>
                <w:highlight w:val="none"/>
              </w:rPr>
              <w:t>支持灰分白砂糖灰分测量，果葡糖浆灰分测量</w:t>
            </w:r>
            <w:r>
              <w:rPr>
                <w:rFonts w:hint="eastAsia" w:ascii="宋体" w:hAnsi="宋体" w:cs="宋体"/>
                <w:sz w:val="21"/>
                <w:szCs w:val="21"/>
                <w:highlight w:val="none"/>
                <w:lang w:eastAsia="zh-CN"/>
              </w:rPr>
              <w:t>；</w:t>
            </w:r>
          </w:p>
          <w:p w14:paraId="27563CEC">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10.</w:t>
            </w:r>
            <w:r>
              <w:rPr>
                <w:rFonts w:hint="eastAsia" w:ascii="宋体" w:hAnsi="宋体" w:eastAsia="宋体" w:cs="宋体"/>
                <w:sz w:val="21"/>
                <w:szCs w:val="21"/>
                <w:highlight w:val="none"/>
              </w:rPr>
              <w:t>温度范围(-10.0～135.0)℃/(14.0～275.0)℉，最小分辨率</w:t>
            </w:r>
            <w:r>
              <w:rPr>
                <w:rFonts w:hint="eastAsia" w:ascii="宋体" w:hAnsi="宋体" w:eastAsia="宋体" w:cs="宋体"/>
                <w:kern w:val="2"/>
                <w:sz w:val="21"/>
                <w:szCs w:val="21"/>
                <w:highlight w:val="none"/>
              </w:rPr>
              <w:t>≤</w:t>
            </w:r>
            <w:r>
              <w:rPr>
                <w:rFonts w:hint="eastAsia" w:ascii="宋体" w:hAnsi="宋体" w:eastAsia="宋体" w:cs="宋体"/>
                <w:sz w:val="21"/>
                <w:szCs w:val="21"/>
                <w:highlight w:val="none"/>
              </w:rPr>
              <w:t>0.1℃/0.1℉，电子单元示值误差±0.1℃</w:t>
            </w:r>
            <w:r>
              <w:rPr>
                <w:rFonts w:hint="eastAsia" w:ascii="宋体" w:hAnsi="宋体" w:cs="宋体"/>
                <w:sz w:val="21"/>
                <w:szCs w:val="21"/>
                <w:highlight w:val="none"/>
                <w:lang w:eastAsia="zh-CN"/>
              </w:rPr>
              <w:t>；</w:t>
            </w:r>
          </w:p>
          <w:p w14:paraId="41F4C793">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三、主要特点</w:t>
            </w:r>
          </w:p>
          <w:p w14:paraId="0D7FFCAC">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≥7英寸彩色液晶触摸屏，清晰直观</w:t>
            </w:r>
            <w:r>
              <w:rPr>
                <w:rFonts w:hint="eastAsia" w:ascii="宋体" w:hAnsi="宋体" w:cs="宋体"/>
                <w:sz w:val="21"/>
                <w:szCs w:val="21"/>
                <w:highlight w:val="none"/>
                <w:lang w:eastAsia="zh-CN"/>
              </w:rPr>
              <w:t>；</w:t>
            </w:r>
          </w:p>
          <w:p w14:paraId="2954F00A">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支持连接自动进样器，实现样品的自动测量和批量检测</w:t>
            </w:r>
            <w:r>
              <w:rPr>
                <w:rFonts w:hint="eastAsia" w:ascii="宋体" w:hAnsi="宋体" w:cs="宋体"/>
                <w:sz w:val="21"/>
                <w:szCs w:val="21"/>
                <w:highlight w:val="none"/>
                <w:lang w:eastAsia="zh-CN"/>
              </w:rPr>
              <w:t>；</w:t>
            </w:r>
          </w:p>
          <w:p w14:paraId="3A3173DB">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具有RS-232接口，支持连接标准RS-232串口打印机，直接打印测量结果，打印格式可选</w:t>
            </w:r>
            <w:r>
              <w:rPr>
                <w:rFonts w:hint="eastAsia" w:ascii="宋体" w:hAnsi="宋体" w:cs="宋体"/>
                <w:sz w:val="21"/>
                <w:szCs w:val="21"/>
                <w:highlight w:val="none"/>
                <w:lang w:eastAsia="zh-CN"/>
              </w:rPr>
              <w:t>；</w:t>
            </w:r>
          </w:p>
          <w:p w14:paraId="07D34A34">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4.具有USB接口，通过专用通信软件与PC连接，实现数据传输；支持连接LIMS系统；支持U盘导出和导入测量方法，支持U盘导出数据和连接扫描枪</w:t>
            </w:r>
            <w:r>
              <w:rPr>
                <w:rFonts w:hint="eastAsia" w:ascii="宋体" w:hAnsi="宋体" w:cs="宋体"/>
                <w:sz w:val="21"/>
                <w:szCs w:val="21"/>
                <w:highlight w:val="none"/>
                <w:lang w:eastAsia="zh-CN"/>
              </w:rPr>
              <w:t>；</w:t>
            </w:r>
          </w:p>
          <w:p w14:paraId="6718D05C">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5</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智能操作系统，具有方法管理，电极管理，数据管理和用户管理等功能</w:t>
            </w:r>
            <w:r>
              <w:rPr>
                <w:rFonts w:hint="eastAsia" w:ascii="宋体" w:hAnsi="宋体" w:cs="宋体"/>
                <w:sz w:val="21"/>
                <w:szCs w:val="21"/>
                <w:highlight w:val="none"/>
                <w:lang w:eastAsia="zh-CN"/>
              </w:rPr>
              <w:t>；</w:t>
            </w:r>
          </w:p>
          <w:p w14:paraId="09224783">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6</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支持仪器自检和用户分级权限管理，支持密码管理</w:t>
            </w:r>
            <w:r>
              <w:rPr>
                <w:rFonts w:hint="eastAsia" w:ascii="宋体" w:hAnsi="宋体" w:cs="宋体"/>
                <w:sz w:val="21"/>
                <w:szCs w:val="21"/>
                <w:highlight w:val="none"/>
                <w:lang w:eastAsia="zh-CN"/>
              </w:rPr>
              <w:t>；</w:t>
            </w:r>
          </w:p>
          <w:p w14:paraId="48F963D3">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7</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支持标定提醒和强制标定功能，支持pH标液，电导率标液核查和强制核查功能</w:t>
            </w:r>
            <w:r>
              <w:rPr>
                <w:rFonts w:hint="eastAsia" w:ascii="宋体" w:hAnsi="宋体" w:cs="宋体"/>
                <w:sz w:val="21"/>
                <w:szCs w:val="21"/>
                <w:highlight w:val="none"/>
                <w:lang w:eastAsia="zh-CN"/>
              </w:rPr>
              <w:t>；</w:t>
            </w:r>
          </w:p>
          <w:p w14:paraId="5F4BC24D">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8</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支持pH标定和测量报警限值设置，支持ORP测量报警限值设置，支持电导率标定和测量报警限值设置</w:t>
            </w:r>
            <w:r>
              <w:rPr>
                <w:rFonts w:hint="eastAsia" w:ascii="宋体" w:hAnsi="宋体" w:cs="宋体"/>
                <w:sz w:val="21"/>
                <w:szCs w:val="21"/>
                <w:highlight w:val="none"/>
                <w:lang w:eastAsia="zh-CN"/>
              </w:rPr>
              <w:t>；</w:t>
            </w:r>
          </w:p>
          <w:p w14:paraId="69A44916">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9</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智能判别终点，支持连续读数、平衡读数、定时读数</w:t>
            </w:r>
            <w:r>
              <w:rPr>
                <w:rFonts w:hint="eastAsia" w:ascii="宋体" w:hAnsi="宋体" w:cs="宋体"/>
                <w:sz w:val="21"/>
                <w:szCs w:val="21"/>
                <w:highlight w:val="none"/>
                <w:lang w:eastAsia="zh-CN"/>
              </w:rPr>
              <w:t>；</w:t>
            </w:r>
          </w:p>
          <w:p w14:paraId="5C5891C2">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0</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支持自动/手动温度补偿，温度单位可选：℃ 和 °F</w:t>
            </w:r>
            <w:r>
              <w:rPr>
                <w:rFonts w:hint="eastAsia" w:ascii="宋体" w:hAnsi="宋体" w:cs="宋体"/>
                <w:sz w:val="21"/>
                <w:szCs w:val="21"/>
                <w:highlight w:val="none"/>
                <w:lang w:eastAsia="zh-CN"/>
              </w:rPr>
              <w:t>；</w:t>
            </w:r>
          </w:p>
          <w:p w14:paraId="4BE916C8">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11</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支持自动关机，断电保护和恢复出厂设置、恢复默认参数等功能</w:t>
            </w:r>
            <w:r>
              <w:rPr>
                <w:rFonts w:hint="eastAsia" w:ascii="宋体" w:hAnsi="宋体" w:cs="宋体"/>
                <w:sz w:val="21"/>
                <w:szCs w:val="21"/>
                <w:highlight w:val="none"/>
                <w:lang w:eastAsia="zh-CN"/>
              </w:rPr>
              <w:t>；</w:t>
            </w:r>
          </w:p>
          <w:p w14:paraId="08EF9459">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2</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符合GLP规范，支持数据存储(各≥1000套)，查阅，删除，统计，分析，传输和打印</w:t>
            </w:r>
            <w:r>
              <w:rPr>
                <w:rFonts w:hint="eastAsia" w:ascii="宋体" w:hAnsi="宋体" w:cs="宋体"/>
                <w:sz w:val="21"/>
                <w:szCs w:val="21"/>
                <w:highlight w:val="none"/>
                <w:lang w:eastAsia="zh-CN"/>
              </w:rPr>
              <w:t>；</w:t>
            </w:r>
          </w:p>
          <w:p w14:paraId="19FE12FF">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13</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支持GMP管理，支持GMP操作日志查阅，实现数据的完整溯源和追踪</w:t>
            </w:r>
            <w:r>
              <w:rPr>
                <w:rFonts w:hint="eastAsia" w:ascii="宋体" w:hAnsi="宋体" w:cs="宋体"/>
                <w:sz w:val="21"/>
                <w:szCs w:val="21"/>
                <w:highlight w:val="none"/>
                <w:lang w:eastAsia="zh-CN"/>
              </w:rPr>
              <w:t>；</w:t>
            </w:r>
          </w:p>
          <w:p w14:paraId="336E4C70">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14</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支持IP54防护等级</w:t>
            </w:r>
            <w:r>
              <w:rPr>
                <w:rFonts w:hint="eastAsia" w:ascii="宋体" w:hAnsi="宋体" w:cs="宋体"/>
                <w:sz w:val="21"/>
                <w:szCs w:val="21"/>
                <w:highlight w:val="none"/>
                <w:lang w:eastAsia="zh-CN"/>
              </w:rPr>
              <w:t>；</w:t>
            </w:r>
          </w:p>
          <w:p w14:paraId="26DADA3F">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15</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标配主机，三复合pH电极，复合电导电极，pH4.00/6.86/9.18袋装缓冲溶液各10包，电导率溶液1408μS/cm10包，多功能电极架，电源适配器，防尘罩，三芯电源线，通用USB连接线，触屏笔，软件卡，简易操作指南，使用说明书</w:t>
            </w:r>
            <w:r>
              <w:rPr>
                <w:rFonts w:hint="eastAsia" w:ascii="宋体" w:hAnsi="宋体" w:eastAsia="宋体" w:cs="宋体"/>
                <w:sz w:val="21"/>
                <w:szCs w:val="21"/>
                <w:highlight w:val="none"/>
                <w:lang w:eastAsia="zh-CN"/>
              </w:rPr>
              <w:t>；</w:t>
            </w:r>
          </w:p>
          <w:p w14:paraId="0176DE2D">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16.</w:t>
            </w:r>
            <w:r>
              <w:rPr>
                <w:rFonts w:hint="eastAsia" w:ascii="宋体" w:hAnsi="宋体" w:eastAsia="宋体" w:cs="宋体"/>
                <w:sz w:val="21"/>
                <w:szCs w:val="21"/>
                <w:highlight w:val="none"/>
              </w:rPr>
              <w:t>仪器端操作软件，提供配套操作软件</w:t>
            </w:r>
            <w:r>
              <w:rPr>
                <w:rFonts w:hint="eastAsia" w:ascii="宋体" w:hAnsi="宋体" w:eastAsia="宋体" w:cs="宋体"/>
                <w:sz w:val="21"/>
                <w:szCs w:val="21"/>
                <w:highlight w:val="none"/>
                <w:lang w:eastAsia="zh-CN"/>
              </w:rPr>
              <w:t>；</w:t>
            </w:r>
          </w:p>
          <w:p w14:paraId="0F3AA7D1">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17.</w:t>
            </w:r>
            <w:r>
              <w:rPr>
                <w:rFonts w:hint="eastAsia" w:ascii="宋体" w:hAnsi="宋体" w:eastAsia="宋体" w:cs="宋体"/>
                <w:sz w:val="21"/>
                <w:szCs w:val="21"/>
                <w:highlight w:val="none"/>
              </w:rPr>
              <w:t>PC端操作软件，可同步数据，测量数据，提供配套操作软件</w:t>
            </w:r>
            <w:r>
              <w:rPr>
                <w:rFonts w:hint="eastAsia" w:ascii="宋体" w:hAnsi="宋体" w:cs="宋体"/>
                <w:sz w:val="21"/>
                <w:szCs w:val="21"/>
                <w:highlight w:val="none"/>
                <w:lang w:eastAsia="zh-CN"/>
              </w:rPr>
              <w:t>；</w:t>
            </w:r>
          </w:p>
          <w:p w14:paraId="187127DF">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四、pH测量功能：</w:t>
            </w:r>
          </w:p>
          <w:p w14:paraId="5031EC40">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支持pH电极1-6点标定，ORP电极1点标定，支持pH电极诊断功能</w:t>
            </w:r>
            <w:r>
              <w:rPr>
                <w:rFonts w:hint="eastAsia" w:ascii="宋体" w:hAnsi="宋体" w:cs="宋体"/>
                <w:sz w:val="21"/>
                <w:szCs w:val="21"/>
                <w:highlight w:val="none"/>
                <w:lang w:eastAsia="zh-CN"/>
              </w:rPr>
              <w:t>；</w:t>
            </w:r>
          </w:p>
          <w:p w14:paraId="2FE02F35">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2</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自动识别GB、DIN、NIST、USA、MERK、JIS六组pH缓冲溶液，支持自定义标准溶液及标液组</w:t>
            </w:r>
            <w:r>
              <w:rPr>
                <w:rFonts w:hint="eastAsia" w:ascii="宋体" w:hAnsi="宋体" w:cs="宋体"/>
                <w:sz w:val="21"/>
                <w:szCs w:val="21"/>
                <w:highlight w:val="none"/>
                <w:lang w:eastAsia="zh-CN"/>
              </w:rPr>
              <w:t>；</w:t>
            </w:r>
          </w:p>
          <w:p w14:paraId="23A24181">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五、离子测量功能：</w:t>
            </w:r>
          </w:p>
          <w:p w14:paraId="465827CA">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支持离子电极1-6点标定</w:t>
            </w:r>
            <w:r>
              <w:rPr>
                <w:rFonts w:hint="eastAsia" w:ascii="宋体" w:hAnsi="宋体" w:cs="宋体"/>
                <w:sz w:val="21"/>
                <w:szCs w:val="21"/>
                <w:highlight w:val="none"/>
                <w:lang w:eastAsia="zh-CN"/>
              </w:rPr>
              <w:t>；</w:t>
            </w:r>
          </w:p>
          <w:p w14:paraId="12B1B250">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2</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内置Na+，K+，NH4+，Cl-，F-等多种离子模式，允许用户自建</w:t>
            </w:r>
            <w:r>
              <w:rPr>
                <w:rFonts w:hint="eastAsia" w:ascii="宋体" w:hAnsi="宋体" w:cs="宋体"/>
                <w:sz w:val="21"/>
                <w:szCs w:val="21"/>
                <w:highlight w:val="none"/>
                <w:lang w:eastAsia="zh-CN"/>
              </w:rPr>
              <w:t>；</w:t>
            </w:r>
          </w:p>
          <w:p w14:paraId="2379FD58">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3</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支持离子浓度单位选择：μg/L、mg/L、g/L、mol/L、mmol/L、ppm和ppb</w:t>
            </w:r>
            <w:r>
              <w:rPr>
                <w:rFonts w:hint="eastAsia" w:ascii="宋体" w:hAnsi="宋体" w:cs="宋体"/>
                <w:sz w:val="21"/>
                <w:szCs w:val="21"/>
                <w:highlight w:val="none"/>
                <w:lang w:eastAsia="zh-CN"/>
              </w:rPr>
              <w:t>；</w:t>
            </w:r>
          </w:p>
          <w:p w14:paraId="1A40874D">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4</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多种离子测量模式：直读浓度法测量，标准添加法测量，样品添加法测量，GRAN法测量</w:t>
            </w:r>
            <w:r>
              <w:rPr>
                <w:rFonts w:hint="eastAsia" w:ascii="宋体" w:hAnsi="宋体" w:cs="宋体"/>
                <w:sz w:val="21"/>
                <w:szCs w:val="21"/>
                <w:highlight w:val="none"/>
                <w:lang w:eastAsia="zh-CN"/>
              </w:rPr>
              <w:t>；</w:t>
            </w:r>
          </w:p>
          <w:p w14:paraId="075986F2">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六、电导率测量功能：</w:t>
            </w:r>
          </w:p>
          <w:p w14:paraId="1E7CCD23">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参比温度5.0℃，10.0℃，15.0℃，18.0℃，20.0℃和25.0℃可选，默认25℃</w:t>
            </w:r>
            <w:r>
              <w:rPr>
                <w:rFonts w:hint="eastAsia" w:ascii="宋体" w:hAnsi="宋体" w:cs="宋体"/>
                <w:sz w:val="21"/>
                <w:szCs w:val="21"/>
                <w:highlight w:val="none"/>
                <w:lang w:eastAsia="zh-CN"/>
              </w:rPr>
              <w:t>；</w:t>
            </w:r>
          </w:p>
          <w:p w14:paraId="19C98186">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2</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支持不补偿，线性，非线性，纯水补偿等多种电导率补偿模式</w:t>
            </w:r>
            <w:r>
              <w:rPr>
                <w:rFonts w:hint="eastAsia" w:ascii="宋体" w:hAnsi="宋体" w:cs="宋体"/>
                <w:sz w:val="21"/>
                <w:szCs w:val="21"/>
                <w:highlight w:val="none"/>
                <w:lang w:eastAsia="zh-CN"/>
              </w:rPr>
              <w:t>；</w:t>
            </w:r>
          </w:p>
          <w:p w14:paraId="1A9529C2">
            <w:pPr>
              <w:keepNext w:val="0"/>
              <w:keepLines w:val="0"/>
              <w:pageBreakBefore w:val="0"/>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3</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支持海水盐度和默认盐度等多种盐度补偿模式</w:t>
            </w:r>
            <w:r>
              <w:rPr>
                <w:rFonts w:hint="eastAsia" w:ascii="宋体" w:hAnsi="宋体" w:cs="宋体"/>
                <w:sz w:val="21"/>
                <w:szCs w:val="21"/>
                <w:highlight w:val="none"/>
                <w:lang w:eastAsia="zh-CN"/>
              </w:rPr>
              <w:t>；</w:t>
            </w:r>
          </w:p>
          <w:p w14:paraId="45E51C00">
            <w:pPr>
              <w:keepNext w:val="0"/>
              <w:keepLines w:val="0"/>
              <w:pageBreakBefore w:val="0"/>
              <w:kinsoku/>
              <w:wordWrap/>
              <w:overflowPunct/>
              <w:topLinePunct w:val="0"/>
              <w:autoSpaceDE/>
              <w:bidi w:val="0"/>
              <w:spacing w:line="360" w:lineRule="auto"/>
              <w:jc w:val="left"/>
              <w:rPr>
                <w:rFonts w:hint="eastAsia" w:eastAsia="宋体" w:asciiTheme="minorEastAsia" w:hAnsiTheme="minorEastAsia" w:cstheme="minorEastAsia"/>
                <w:color w:val="000000"/>
                <w:kern w:val="0"/>
                <w:sz w:val="21"/>
                <w:szCs w:val="21"/>
                <w:highlight w:val="none"/>
                <w:lang w:val="en-US" w:eastAsia="zh-CN" w:bidi="ar-SA"/>
              </w:rPr>
            </w:pPr>
            <w:r>
              <w:rPr>
                <w:rFonts w:hint="eastAsia" w:ascii="宋体" w:hAnsi="宋体" w:eastAsia="宋体" w:cs="宋体"/>
                <w:sz w:val="21"/>
                <w:szCs w:val="21"/>
                <w:highlight w:val="none"/>
                <w:lang w:val="en-US" w:eastAsia="zh-CN"/>
              </w:rPr>
              <w:t>4</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支持自动频率切换</w:t>
            </w:r>
            <w:r>
              <w:rPr>
                <w:rFonts w:hint="eastAsia" w:ascii="宋体" w:hAnsi="宋体" w:cs="宋体"/>
                <w:sz w:val="21"/>
                <w:szCs w:val="21"/>
                <w:highlight w:val="none"/>
                <w:lang w:eastAsia="zh-CN"/>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469B28F4">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1台</w:t>
            </w:r>
          </w:p>
        </w:tc>
      </w:tr>
      <w:tr w14:paraId="26035A0E">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941EFA8">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24066DE">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0D52898">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半导体C-V特性分析仪</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045F72C">
            <w:pPr>
              <w:keepNext w:val="0"/>
              <w:keepLines w:val="0"/>
              <w:pageBreakBefore w:val="0"/>
              <w:numPr>
                <w:ilvl w:val="0"/>
                <w:numId w:val="6"/>
              </w:numPr>
              <w:kinsoku/>
              <w:wordWrap/>
              <w:overflowPunct/>
              <w:topLinePunct w:val="0"/>
              <w:autoSpaceDE/>
              <w:bidi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性能特点</w:t>
            </w:r>
          </w:p>
          <w:p w14:paraId="0B038EF0">
            <w:pPr>
              <w:keepNext w:val="0"/>
              <w:keepLines w:val="0"/>
              <w:pageBreakBefore w:val="0"/>
              <w:numPr>
                <w:ilvl w:val="0"/>
                <w:numId w:val="7"/>
              </w:numPr>
              <w:kinsoku/>
              <w:wordWrap/>
              <w:overflowPunct/>
              <w:topLinePunct w:val="0"/>
              <w:autoSpaceDE/>
              <w:bidi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一体化设计，集成LCR、栅极电压V</w:t>
            </w:r>
            <w:r>
              <w:rPr>
                <w:rFonts w:hint="eastAsia" w:ascii="宋体" w:hAnsi="宋体" w:eastAsia="宋体" w:cs="宋体"/>
                <w:sz w:val="21"/>
                <w:szCs w:val="21"/>
                <w:highlight w:val="none"/>
                <w:vertAlign w:val="subscript"/>
              </w:rPr>
              <w:t>GS</w:t>
            </w:r>
            <w:r>
              <w:rPr>
                <w:rFonts w:hint="eastAsia" w:ascii="宋体" w:hAnsi="宋体" w:eastAsia="宋体" w:cs="宋体"/>
                <w:sz w:val="21"/>
                <w:szCs w:val="21"/>
                <w:highlight w:val="none"/>
              </w:rPr>
              <w:t>、漏极电压V</w:t>
            </w:r>
            <w:r>
              <w:rPr>
                <w:rFonts w:hint="eastAsia" w:ascii="宋体" w:hAnsi="宋体" w:eastAsia="宋体" w:cs="宋体"/>
                <w:sz w:val="21"/>
                <w:szCs w:val="21"/>
                <w:highlight w:val="none"/>
                <w:vertAlign w:val="subscript"/>
              </w:rPr>
              <w:t>DS</w:t>
            </w:r>
            <w:r>
              <w:rPr>
                <w:rFonts w:hint="eastAsia" w:ascii="宋体" w:hAnsi="宋体" w:eastAsia="宋体" w:cs="宋体"/>
                <w:sz w:val="21"/>
                <w:szCs w:val="21"/>
                <w:highlight w:val="none"/>
              </w:rPr>
              <w:t>、通道切换及上位机软件功能</w:t>
            </w:r>
            <w:r>
              <w:rPr>
                <w:rFonts w:hint="eastAsia" w:ascii="宋体" w:hAnsi="宋体" w:eastAsia="宋体" w:cs="宋体"/>
                <w:sz w:val="21"/>
                <w:szCs w:val="21"/>
                <w:highlight w:val="none"/>
                <w:lang w:eastAsia="zh-CN"/>
              </w:rPr>
              <w:t>；</w:t>
            </w:r>
          </w:p>
          <w:p w14:paraId="2B483F03">
            <w:pPr>
              <w:keepNext w:val="0"/>
              <w:keepLines w:val="0"/>
              <w:pageBreakBefore w:val="0"/>
              <w:numPr>
                <w:ilvl w:val="0"/>
                <w:numId w:val="7"/>
              </w:numPr>
              <w:kinsoku/>
              <w:wordWrap/>
              <w:overflowPunct/>
              <w:topLinePunct w:val="0"/>
              <w:autoSpaceDE/>
              <w:bidi w:val="0"/>
              <w:spacing w:line="360" w:lineRule="auto"/>
              <w:ind w:left="0" w:lef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支持单管器件（点测）、模组器件（列表扫描）、曲线扫描（选件）三种测试方式</w:t>
            </w:r>
            <w:r>
              <w:rPr>
                <w:rFonts w:hint="eastAsia" w:ascii="宋体" w:hAnsi="宋体" w:eastAsia="宋体" w:cs="宋体"/>
                <w:sz w:val="21"/>
                <w:szCs w:val="21"/>
                <w:highlight w:val="none"/>
                <w:lang w:eastAsia="zh-CN"/>
              </w:rPr>
              <w:t>；</w:t>
            </w:r>
          </w:p>
          <w:p w14:paraId="00971D85">
            <w:pPr>
              <w:keepNext w:val="0"/>
              <w:keepLines w:val="0"/>
              <w:pageBreakBefore w:val="0"/>
              <w:numPr>
                <w:ilvl w:val="0"/>
                <w:numId w:val="7"/>
              </w:numPr>
              <w:kinsoku/>
              <w:wordWrap/>
              <w:overflowPunct/>
              <w:topLinePunct w:val="0"/>
              <w:autoSpaceDE/>
              <w:bidi w:val="0"/>
              <w:spacing w:line="360" w:lineRule="auto"/>
              <w:ind w:left="0" w:lef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可同屏一键测量并显示</w:t>
            </w:r>
            <w:r>
              <w:rPr>
                <w:rFonts w:hint="eastAsia" w:ascii="宋体" w:hAnsi="宋体" w:cs="宋体"/>
                <w:sz w:val="21"/>
                <w:szCs w:val="21"/>
                <w:highlight w:val="none"/>
                <w:lang w:val="en-US" w:eastAsia="zh-CN"/>
              </w:rPr>
              <w:t>4个测试</w:t>
            </w:r>
            <w:r>
              <w:rPr>
                <w:rFonts w:hint="eastAsia" w:ascii="宋体" w:hAnsi="宋体" w:eastAsia="宋体" w:cs="宋体"/>
                <w:sz w:val="21"/>
                <w:szCs w:val="21"/>
                <w:highlight w:val="none"/>
              </w:rPr>
              <w:t>参数（Ciss、Coss、Crss、Rg或Cies、Coes、Cres、Rg）</w:t>
            </w:r>
            <w:r>
              <w:rPr>
                <w:rFonts w:hint="eastAsia" w:ascii="宋体" w:hAnsi="宋体" w:eastAsia="宋体" w:cs="宋体"/>
                <w:sz w:val="21"/>
                <w:szCs w:val="21"/>
                <w:highlight w:val="none"/>
                <w:lang w:eastAsia="zh-CN"/>
              </w:rPr>
              <w:t>；</w:t>
            </w:r>
          </w:p>
          <w:p w14:paraId="29E9F86F">
            <w:pPr>
              <w:keepNext w:val="0"/>
              <w:keepLines w:val="0"/>
              <w:pageBreakBefore w:val="0"/>
              <w:numPr>
                <w:ilvl w:val="0"/>
                <w:numId w:val="7"/>
              </w:numPr>
              <w:kinsoku/>
              <w:wordWrap/>
              <w:overflowPunct/>
              <w:topLinePunct w:val="0"/>
              <w:autoSpaceDE/>
              <w:bidi w:val="0"/>
              <w:spacing w:line="360" w:lineRule="auto"/>
              <w:ind w:left="0" w:lef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标配2通道，可扩展至6通道，支持单管、多芯或模组器件测试</w:t>
            </w:r>
            <w:r>
              <w:rPr>
                <w:rFonts w:hint="eastAsia" w:ascii="宋体" w:hAnsi="宋体" w:eastAsia="宋体" w:cs="宋体"/>
                <w:sz w:val="21"/>
                <w:szCs w:val="21"/>
                <w:highlight w:val="none"/>
                <w:lang w:eastAsia="zh-CN"/>
              </w:rPr>
              <w:t>；</w:t>
            </w:r>
          </w:p>
          <w:p w14:paraId="6DF81226">
            <w:pPr>
              <w:keepNext w:val="0"/>
              <w:keepLines w:val="0"/>
              <w:pageBreakBefore w:val="0"/>
              <w:numPr>
                <w:ilvl w:val="0"/>
                <w:numId w:val="7"/>
              </w:numPr>
              <w:kinsoku/>
              <w:wordWrap/>
              <w:overflowPunct/>
              <w:topLinePunct w:val="0"/>
              <w:autoSpaceDE/>
              <w:bidi w:val="0"/>
              <w:spacing w:line="360" w:lineRule="auto"/>
              <w:ind w:left="0" w:lef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具备CV曲线扫描、Ciss-Rg曲线扫描功能，搭载电容快速充电技术，实现快速测试</w:t>
            </w:r>
            <w:r>
              <w:rPr>
                <w:rFonts w:hint="eastAsia" w:ascii="宋体" w:hAnsi="宋体" w:eastAsia="宋体" w:cs="宋体"/>
                <w:sz w:val="21"/>
                <w:szCs w:val="21"/>
                <w:highlight w:val="none"/>
                <w:lang w:eastAsia="zh-CN"/>
              </w:rPr>
              <w:t>；</w:t>
            </w:r>
          </w:p>
          <w:p w14:paraId="3F296E70">
            <w:pPr>
              <w:keepNext w:val="0"/>
              <w:keepLines w:val="0"/>
              <w:pageBreakBefore w:val="0"/>
              <w:numPr>
                <w:ilvl w:val="0"/>
                <w:numId w:val="7"/>
              </w:numPr>
              <w:kinsoku/>
              <w:wordWrap/>
              <w:overflowPunct/>
              <w:topLinePunct w:val="0"/>
              <w:autoSpaceDE/>
              <w:bidi w:val="0"/>
              <w:spacing w:line="360" w:lineRule="auto"/>
              <w:ind w:left="0" w:lef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内置接触检查（Cont）、通断测试（OP_SH）功能，支持自动延时设置</w:t>
            </w:r>
            <w:r>
              <w:rPr>
                <w:rFonts w:hint="eastAsia" w:ascii="宋体" w:hAnsi="宋体" w:eastAsia="宋体" w:cs="宋体"/>
                <w:sz w:val="21"/>
                <w:szCs w:val="21"/>
                <w:highlight w:val="none"/>
                <w:lang w:eastAsia="zh-CN"/>
              </w:rPr>
              <w:t>；</w:t>
            </w:r>
          </w:p>
          <w:p w14:paraId="6438C19C">
            <w:pPr>
              <w:keepNext w:val="0"/>
              <w:keepLines w:val="0"/>
              <w:pageBreakBefore w:val="0"/>
              <w:numPr>
                <w:ilvl w:val="0"/>
                <w:numId w:val="7"/>
              </w:numPr>
              <w:kinsoku/>
              <w:wordWrap/>
              <w:overflowPunct/>
              <w:topLinePunct w:val="0"/>
              <w:autoSpaceDE/>
              <w:bidi w:val="0"/>
              <w:spacing w:line="360" w:lineRule="auto"/>
              <w:ind w:left="0" w:lef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具备高频下反向传输电容(Crss)测量校正功能，可解决高频测试时Crss出现负值的问题；配备高压击穿保护，DS瞬间短路时可保护仪器；支持Cs-V功能，可完成二极管结电容CV特性测试分析；具备等效模式转换功能，可选Cs或Cp模式</w:t>
            </w:r>
            <w:r>
              <w:rPr>
                <w:rFonts w:hint="eastAsia" w:ascii="宋体" w:hAnsi="宋体" w:eastAsia="宋体" w:cs="宋体"/>
                <w:sz w:val="21"/>
                <w:szCs w:val="21"/>
                <w:highlight w:val="none"/>
                <w:lang w:eastAsia="zh-CN"/>
              </w:rPr>
              <w:t>；</w:t>
            </w:r>
          </w:p>
          <w:p w14:paraId="177632F7">
            <w:pPr>
              <w:keepNext w:val="0"/>
              <w:keepLines w:val="0"/>
              <w:pageBreakBefore w:val="0"/>
              <w:numPr>
                <w:ilvl w:val="0"/>
                <w:numId w:val="7"/>
              </w:numPr>
              <w:kinsoku/>
              <w:wordWrap/>
              <w:overflowPunct/>
              <w:topLinePunct w:val="0"/>
              <w:autoSpaceDE/>
              <w:bidi w:val="0"/>
              <w:spacing w:line="360" w:lineRule="auto"/>
              <w:ind w:left="0" w:lef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支持10档分选，满足器件分级检测需求</w:t>
            </w:r>
            <w:r>
              <w:rPr>
                <w:rFonts w:hint="eastAsia" w:ascii="宋体" w:hAnsi="宋体" w:eastAsia="宋体" w:cs="宋体"/>
                <w:sz w:val="21"/>
                <w:szCs w:val="21"/>
                <w:highlight w:val="none"/>
                <w:lang w:eastAsia="zh-CN"/>
              </w:rPr>
              <w:t>。</w:t>
            </w:r>
          </w:p>
          <w:p w14:paraId="1BDC071B">
            <w:pPr>
              <w:keepNext w:val="0"/>
              <w:keepLines w:val="0"/>
              <w:pageBreakBefore w:val="0"/>
              <w:numPr>
                <w:ilvl w:val="0"/>
                <w:numId w:val="6"/>
              </w:numPr>
              <w:kinsoku/>
              <w:wordWrap/>
              <w:overflowPunct/>
              <w:topLinePunct w:val="0"/>
              <w:autoSpaceDE/>
              <w:bidi w:val="0"/>
              <w:spacing w:line="360" w:lineRule="auto"/>
              <w:ind w:left="0" w:lef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基础硬件参数</w:t>
            </w:r>
          </w:p>
          <w:p w14:paraId="02C2454A">
            <w:pPr>
              <w:keepNext w:val="0"/>
              <w:keepLines w:val="0"/>
              <w:pageBreakBefore w:val="0"/>
              <w:numPr>
                <w:ilvl w:val="0"/>
                <w:numId w:val="0"/>
              </w:numPr>
              <w:kinsoku/>
              <w:wordWrap/>
              <w:overflowPunct/>
              <w:topLinePunct w:val="0"/>
              <w:autoSpaceDE/>
              <w:bidi w:val="0"/>
              <w:spacing w:line="360" w:lineRule="auto"/>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rPr>
              <w:t>通道数：标配2通道，可扩展至4/6通道</w:t>
            </w:r>
            <w:r>
              <w:rPr>
                <w:rFonts w:hint="eastAsia" w:ascii="宋体" w:hAnsi="宋体" w:eastAsia="宋体" w:cs="宋体"/>
                <w:sz w:val="21"/>
                <w:szCs w:val="21"/>
                <w:highlight w:val="none"/>
                <w:lang w:eastAsia="zh-CN"/>
              </w:rPr>
              <w:t>；</w:t>
            </w:r>
          </w:p>
          <w:p w14:paraId="1350A067">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显示器：≥10.1英寸（对角线）电容触摸屏，比例16</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9，分辨率≥1280×800</w:t>
            </w:r>
            <w:r>
              <w:rPr>
                <w:rFonts w:hint="eastAsia" w:asciiTheme="minorEastAsia" w:hAnsiTheme="minorEastAsia" w:eastAsiaTheme="minorEastAsia" w:cstheme="minorEastAsia"/>
                <w:highlight w:val="none"/>
                <w:lang w:eastAsia="zh-CN"/>
              </w:rPr>
              <w:t>（</w:t>
            </w:r>
            <w:r>
              <w:rPr>
                <w:rFonts w:hint="eastAsia" w:asciiTheme="minorEastAsia" w:hAnsiTheme="minorEastAsia" w:eastAsiaTheme="minorEastAsia" w:cstheme="minorEastAsia"/>
                <w:highlight w:val="none"/>
                <w:lang w:val="en-US" w:eastAsia="zh-CN"/>
              </w:rPr>
              <w:t>RGB彩色</w:t>
            </w:r>
            <w:r>
              <w:rPr>
                <w:rFonts w:hint="eastAsia"/>
                <w:highlight w:val="none"/>
                <w:lang w:eastAsia="zh-CN"/>
              </w:rPr>
              <w:t>）</w:t>
            </w:r>
            <w:r>
              <w:rPr>
                <w:rFonts w:hint="eastAsia" w:ascii="宋体" w:hAnsi="宋体" w:eastAsia="宋体" w:cs="宋体"/>
                <w:sz w:val="21"/>
                <w:szCs w:val="21"/>
                <w:highlight w:val="none"/>
                <w:lang w:eastAsia="zh-CN"/>
              </w:rPr>
              <w:t>；</w:t>
            </w:r>
          </w:p>
          <w:p w14:paraId="7E3B393C">
            <w:pPr>
              <w:keepNext w:val="0"/>
              <w:keepLines w:val="0"/>
              <w:pageBreakBefore w:val="0"/>
              <w:numPr>
                <w:ilvl w:val="0"/>
                <w:numId w:val="0"/>
              </w:numPr>
              <w:kinsoku/>
              <w:wordWrap/>
              <w:overflowPunct/>
              <w:topLinePunct w:val="0"/>
              <w:autoSpaceDE/>
              <w:bidi w:val="0"/>
              <w:spacing w:line="360" w:lineRule="auto"/>
              <w:ind w:leftChars="0"/>
              <w:rPr>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体积：≥430(W)×177(H)×405(D)mm</w:t>
            </w:r>
            <w:r>
              <w:rPr>
                <w:rFonts w:hint="eastAsia" w:ascii="宋体" w:hAnsi="宋体" w:eastAsia="宋体" w:cs="宋体"/>
                <w:sz w:val="21"/>
                <w:szCs w:val="21"/>
                <w:highlight w:val="none"/>
                <w:lang w:eastAsia="zh-CN"/>
              </w:rPr>
              <w:t>；</w:t>
            </w:r>
          </w:p>
          <w:p w14:paraId="781BB978">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4.净重：</w:t>
            </w:r>
            <w:r>
              <w:rPr>
                <w:rFonts w:hint="eastAsia" w:ascii="宋体" w:hAnsi="宋体" w:cs="宋体"/>
                <w:color w:val="auto"/>
                <w:sz w:val="21"/>
                <w:szCs w:val="21"/>
                <w:highlight w:val="none"/>
                <w:lang w:val="en-US" w:eastAsia="zh-CN"/>
              </w:rPr>
              <w:t>约</w:t>
            </w:r>
            <w:r>
              <w:rPr>
                <w:rFonts w:hint="eastAsia" w:ascii="宋体" w:hAnsi="宋体" w:eastAsia="宋体" w:cs="宋体"/>
                <w:sz w:val="21"/>
                <w:szCs w:val="21"/>
                <w:highlight w:val="none"/>
              </w:rPr>
              <w:t>16kg</w:t>
            </w:r>
            <w:r>
              <w:rPr>
                <w:rFonts w:hint="eastAsia" w:ascii="宋体" w:hAnsi="宋体" w:eastAsia="宋体" w:cs="宋体"/>
                <w:sz w:val="21"/>
                <w:szCs w:val="21"/>
                <w:highlight w:val="none"/>
                <w:lang w:eastAsia="zh-CN"/>
              </w:rPr>
              <w:t>；</w:t>
            </w:r>
          </w:p>
          <w:p w14:paraId="3636331B">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5.标配附件：标配附件：单管器件测试夹具、模组器件测试夹具、测试连接电缆、测试延长线(带延长线校准功能)、USB转RS232通讯线缆</w:t>
            </w:r>
            <w:r>
              <w:rPr>
                <w:rFonts w:hint="eastAsia" w:ascii="宋体" w:hAnsi="宋体" w:eastAsia="宋体" w:cs="宋体"/>
                <w:sz w:val="21"/>
                <w:szCs w:val="21"/>
                <w:highlight w:val="none"/>
                <w:lang w:eastAsia="zh-CN"/>
              </w:rPr>
              <w:t>。</w:t>
            </w:r>
          </w:p>
          <w:p w14:paraId="04B5E524">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三、电气测试参数</w:t>
            </w:r>
          </w:p>
          <w:p w14:paraId="18E425A3">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（一）测量参数与范围 </w:t>
            </w:r>
          </w:p>
          <w:p w14:paraId="647EC373">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核心测量参数：Ciss、Coss、Crss、Rg，四参数可任意选择</w:t>
            </w:r>
            <w:r>
              <w:rPr>
                <w:rFonts w:hint="eastAsia" w:ascii="宋体" w:hAnsi="宋体" w:eastAsia="宋体" w:cs="宋体"/>
                <w:sz w:val="21"/>
                <w:szCs w:val="21"/>
                <w:highlight w:val="none"/>
                <w:lang w:eastAsia="zh-CN"/>
              </w:rPr>
              <w:t>；</w:t>
            </w:r>
          </w:p>
          <w:p w14:paraId="5306B181">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2.电容范围（Ciss、Coss、Crss）：0.00001pF - 9.99999F</w:t>
            </w:r>
            <w:r>
              <w:rPr>
                <w:rFonts w:hint="eastAsia" w:ascii="宋体" w:hAnsi="宋体" w:eastAsia="宋体" w:cs="宋体"/>
                <w:sz w:val="21"/>
                <w:szCs w:val="21"/>
                <w:highlight w:val="none"/>
                <w:lang w:eastAsia="zh-CN"/>
              </w:rPr>
              <w:t>；</w:t>
            </w:r>
          </w:p>
          <w:p w14:paraId="3F2BB70C">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3.栅极电阻（Rg）范围：0.001mΩ-99.9999MΩ，偏差显示范围±0.000% -999.9%</w:t>
            </w:r>
            <w:r>
              <w:rPr>
                <w:rFonts w:hint="eastAsia" w:ascii="宋体" w:hAnsi="宋体" w:eastAsia="宋体" w:cs="宋体"/>
                <w:sz w:val="21"/>
                <w:szCs w:val="21"/>
                <w:highlight w:val="none"/>
                <w:lang w:eastAsia="zh-CN"/>
              </w:rPr>
              <w:t>。</w:t>
            </w:r>
          </w:p>
          <w:p w14:paraId="54767A51">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（二）测试频率 </w:t>
            </w:r>
          </w:p>
          <w:p w14:paraId="6B5DD8A3">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1.频率范围：1kHz-2MHz</w:t>
            </w:r>
            <w:r>
              <w:rPr>
                <w:rFonts w:hint="eastAsia" w:ascii="宋体" w:hAnsi="宋体" w:eastAsia="宋体" w:cs="宋体"/>
                <w:sz w:val="21"/>
                <w:szCs w:val="21"/>
                <w:highlight w:val="none"/>
                <w:lang w:eastAsia="zh-CN"/>
              </w:rPr>
              <w:t>；</w:t>
            </w:r>
          </w:p>
          <w:p w14:paraId="3BFFCE19">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2.频率分辨率：全频率范围内最小分辨率不劣于 10mHz</w:t>
            </w:r>
            <w:r>
              <w:rPr>
                <w:rFonts w:hint="eastAsia" w:ascii="宋体" w:hAnsi="宋体" w:cs="宋体"/>
                <w:sz w:val="21"/>
                <w:szCs w:val="21"/>
                <w:highlight w:val="none"/>
                <w:lang w:eastAsia="zh-CN"/>
              </w:rPr>
              <w:t>；</w:t>
            </w:r>
          </w:p>
          <w:p w14:paraId="798EDE6E">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3.频率精度：0.01%</w:t>
            </w:r>
            <w:r>
              <w:rPr>
                <w:rFonts w:hint="eastAsia" w:ascii="宋体" w:hAnsi="宋体" w:eastAsia="宋体" w:cs="宋体"/>
                <w:sz w:val="21"/>
                <w:szCs w:val="21"/>
                <w:highlight w:val="none"/>
                <w:lang w:eastAsia="zh-CN"/>
              </w:rPr>
              <w:t>。</w:t>
            </w:r>
          </w:p>
          <w:p w14:paraId="075EA3B4">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（三）测试电平 </w:t>
            </w:r>
          </w:p>
          <w:p w14:paraId="663D38DA">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1.电压范围：5mVrms-1Vrms</w:t>
            </w:r>
            <w:r>
              <w:rPr>
                <w:rFonts w:hint="eastAsia" w:ascii="宋体" w:hAnsi="宋体" w:eastAsia="宋体" w:cs="宋体"/>
                <w:sz w:val="21"/>
                <w:szCs w:val="21"/>
                <w:highlight w:val="none"/>
                <w:lang w:eastAsia="zh-CN"/>
              </w:rPr>
              <w:t>；</w:t>
            </w:r>
          </w:p>
          <w:p w14:paraId="5DF20A1F">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2.准确度：±(10%×设定值+2mV)</w:t>
            </w:r>
            <w:r>
              <w:rPr>
                <w:rFonts w:hint="eastAsia" w:ascii="宋体" w:hAnsi="宋体" w:eastAsia="宋体" w:cs="宋体"/>
                <w:sz w:val="21"/>
                <w:szCs w:val="21"/>
                <w:highlight w:val="none"/>
                <w:lang w:eastAsia="zh-CN"/>
              </w:rPr>
              <w:t>；</w:t>
            </w:r>
          </w:p>
          <w:p w14:paraId="7014090A">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3.分辨率：1mVrms</w:t>
            </w:r>
            <w:r>
              <w:rPr>
                <w:rFonts w:hint="eastAsia" w:ascii="宋体" w:hAnsi="宋体" w:eastAsia="宋体" w:cs="宋体"/>
                <w:sz w:val="21"/>
                <w:szCs w:val="21"/>
                <w:highlight w:val="none"/>
                <w:lang w:eastAsia="zh-CN"/>
              </w:rPr>
              <w:t>。</w:t>
            </w:r>
          </w:p>
          <w:p w14:paraId="3E19D473">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（四）栅极电压（V</w:t>
            </w:r>
            <w:r>
              <w:rPr>
                <w:rFonts w:hint="eastAsia" w:ascii="宋体" w:hAnsi="宋体" w:eastAsia="宋体" w:cs="宋体"/>
                <w:sz w:val="21"/>
                <w:szCs w:val="21"/>
                <w:highlight w:val="none"/>
                <w:vertAlign w:val="subscript"/>
              </w:rPr>
              <w:t>GS</w:t>
            </w:r>
            <w:r>
              <w:rPr>
                <w:rFonts w:hint="eastAsia" w:ascii="宋体" w:hAnsi="宋体" w:eastAsia="宋体" w:cs="宋体"/>
                <w:sz w:val="21"/>
                <w:szCs w:val="21"/>
                <w:highlight w:val="none"/>
              </w:rPr>
              <w:t>）</w:t>
            </w:r>
          </w:p>
          <w:p w14:paraId="608AFA15">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1.电压范围：0-±40V</w:t>
            </w:r>
            <w:r>
              <w:rPr>
                <w:rFonts w:hint="eastAsia" w:ascii="宋体" w:hAnsi="宋体" w:eastAsia="宋体" w:cs="宋体"/>
                <w:sz w:val="21"/>
                <w:szCs w:val="21"/>
                <w:highlight w:val="none"/>
                <w:lang w:eastAsia="zh-CN"/>
              </w:rPr>
              <w:t>；</w:t>
            </w:r>
          </w:p>
          <w:p w14:paraId="72C1670C">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2.准确度：1%×设定电压+8mV</w:t>
            </w:r>
            <w:r>
              <w:rPr>
                <w:rFonts w:hint="eastAsia" w:ascii="宋体" w:hAnsi="宋体" w:eastAsia="宋体" w:cs="宋体"/>
                <w:sz w:val="21"/>
                <w:szCs w:val="21"/>
                <w:highlight w:val="none"/>
                <w:lang w:eastAsia="zh-CN"/>
              </w:rPr>
              <w:t>；</w:t>
            </w:r>
          </w:p>
          <w:p w14:paraId="441BCD67">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3.分辨率：1mV（0V - ±10V）、10mV（±10V - ±40V）</w:t>
            </w:r>
            <w:r>
              <w:rPr>
                <w:rFonts w:hint="eastAsia" w:ascii="宋体" w:hAnsi="宋体" w:eastAsia="宋体" w:cs="宋体"/>
                <w:sz w:val="21"/>
                <w:szCs w:val="21"/>
                <w:highlight w:val="none"/>
                <w:lang w:eastAsia="zh-CN"/>
              </w:rPr>
              <w:t>。</w:t>
            </w:r>
          </w:p>
          <w:p w14:paraId="076D3FD8">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（五）漏极电压（V</w:t>
            </w:r>
            <w:r>
              <w:rPr>
                <w:rFonts w:hint="eastAsia" w:ascii="宋体" w:hAnsi="宋体" w:eastAsia="宋体" w:cs="宋体"/>
                <w:sz w:val="21"/>
                <w:szCs w:val="21"/>
                <w:highlight w:val="none"/>
                <w:vertAlign w:val="subscript"/>
              </w:rPr>
              <w:t>DS</w:t>
            </w:r>
            <w:r>
              <w:rPr>
                <w:rFonts w:hint="eastAsia" w:ascii="宋体" w:hAnsi="宋体" w:eastAsia="宋体" w:cs="宋体"/>
                <w:sz w:val="21"/>
                <w:szCs w:val="21"/>
                <w:highlight w:val="none"/>
              </w:rPr>
              <w:t xml:space="preserve">） </w:t>
            </w:r>
          </w:p>
          <w:p w14:paraId="3A60F22C">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1.电压范围：0-±</w:t>
            </w:r>
            <w:r>
              <w:rPr>
                <w:rFonts w:hint="eastAsia" w:ascii="宋体" w:hAnsi="宋体" w:eastAsia="宋体" w:cs="宋体"/>
                <w:sz w:val="21"/>
                <w:szCs w:val="21"/>
                <w:highlight w:val="none"/>
                <w:lang w:val="en-US" w:eastAsia="zh-CN"/>
              </w:rPr>
              <w:t>15</w:t>
            </w:r>
            <w:r>
              <w:rPr>
                <w:rFonts w:hint="eastAsia" w:ascii="宋体" w:hAnsi="宋体" w:eastAsia="宋体" w:cs="宋体"/>
                <w:sz w:val="21"/>
                <w:szCs w:val="21"/>
                <w:highlight w:val="none"/>
              </w:rPr>
              <w:t>00V</w:t>
            </w:r>
            <w:r>
              <w:rPr>
                <w:rFonts w:hint="eastAsia" w:ascii="宋体" w:hAnsi="宋体" w:eastAsia="宋体" w:cs="宋体"/>
                <w:sz w:val="21"/>
                <w:szCs w:val="21"/>
                <w:highlight w:val="none"/>
                <w:lang w:eastAsia="zh-CN"/>
              </w:rPr>
              <w:t>；</w:t>
            </w:r>
          </w:p>
          <w:p w14:paraId="5B307853">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2.准确度：1%×设定电压+100mV</w:t>
            </w:r>
            <w:r>
              <w:rPr>
                <w:rFonts w:hint="eastAsia" w:ascii="宋体" w:hAnsi="宋体" w:eastAsia="宋体" w:cs="宋体"/>
                <w:sz w:val="21"/>
                <w:szCs w:val="21"/>
                <w:highlight w:val="none"/>
                <w:lang w:eastAsia="zh-CN"/>
              </w:rPr>
              <w:t>。</w:t>
            </w:r>
          </w:p>
          <w:p w14:paraId="26064163">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（六）输出阻抗</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100 Ω，±2%@1kHz</w:t>
            </w:r>
            <w:r>
              <w:rPr>
                <w:rFonts w:hint="eastAsia" w:ascii="宋体" w:hAnsi="宋体" w:eastAsia="宋体" w:cs="宋体"/>
                <w:sz w:val="21"/>
                <w:szCs w:val="21"/>
                <w:highlight w:val="none"/>
                <w:lang w:eastAsia="zh-CN"/>
              </w:rPr>
              <w:t>。</w:t>
            </w:r>
          </w:p>
          <w:p w14:paraId="2A4E3F08">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四、测试与分析功能参数</w:t>
            </w:r>
          </w:p>
          <w:p w14:paraId="6AE102D4">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 xml:space="preserve">1. </w:t>
            </w:r>
            <w:r>
              <w:rPr>
                <w:rFonts w:hint="eastAsia" w:ascii="宋体" w:hAnsi="宋体" w:eastAsia="宋体" w:cs="宋体"/>
                <w:sz w:val="21"/>
                <w:szCs w:val="21"/>
                <w:highlight w:val="none"/>
              </w:rPr>
              <w:t>校准功能 支持测量平均（1-32次）、开路OPEN、短路SHORT、负载LOAD、夹具校准</w:t>
            </w:r>
            <w:r>
              <w:rPr>
                <w:rFonts w:hint="eastAsia" w:ascii="宋体" w:hAnsi="宋体" w:eastAsia="宋体" w:cs="宋体"/>
                <w:sz w:val="21"/>
                <w:szCs w:val="21"/>
                <w:highlight w:val="none"/>
                <w:lang w:eastAsia="zh-CN"/>
              </w:rPr>
              <w:t>；</w:t>
            </w:r>
          </w:p>
          <w:p w14:paraId="12859A39">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测量速度</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多档可调，最快单次测量时间≤2.5ms(测试频率≥5kHz)</w:t>
            </w:r>
            <w:r>
              <w:rPr>
                <w:rFonts w:hint="eastAsia" w:ascii="宋体" w:hAnsi="宋体" w:eastAsia="宋体" w:cs="宋体"/>
                <w:sz w:val="21"/>
                <w:szCs w:val="21"/>
                <w:highlight w:val="none"/>
                <w:lang w:eastAsia="zh-CN"/>
              </w:rPr>
              <w:t>；</w:t>
            </w:r>
          </w:p>
          <w:p w14:paraId="49760926">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最高准确度 0.5%</w:t>
            </w:r>
            <w:r>
              <w:rPr>
                <w:rFonts w:hint="eastAsia" w:ascii="宋体" w:hAnsi="宋体" w:eastAsia="宋体" w:cs="宋体"/>
                <w:sz w:val="21"/>
                <w:szCs w:val="21"/>
                <w:highlight w:val="none"/>
                <w:lang w:eastAsia="zh-CN"/>
              </w:rPr>
              <w:t>；</w:t>
            </w:r>
          </w:p>
          <w:p w14:paraId="7B21D924">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（四）列表扫描</w:t>
            </w:r>
          </w:p>
          <w:p w14:paraId="725BC01B">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1.扫描点数：≥50点，每个点可设置平均数，每个点可单独分选</w:t>
            </w:r>
            <w:r>
              <w:rPr>
                <w:rFonts w:hint="eastAsia" w:ascii="宋体" w:hAnsi="宋体" w:eastAsia="宋体" w:cs="宋体"/>
                <w:sz w:val="21"/>
                <w:szCs w:val="21"/>
                <w:highlight w:val="none"/>
                <w:lang w:eastAsia="zh-CN"/>
              </w:rPr>
              <w:t>；</w:t>
            </w:r>
          </w:p>
          <w:p w14:paraId="10EC29F5">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2.可设置参数：测试频率、V</w:t>
            </w:r>
            <w:r>
              <w:rPr>
                <w:rFonts w:hint="eastAsia" w:ascii="宋体" w:hAnsi="宋体" w:eastAsia="宋体" w:cs="宋体"/>
                <w:sz w:val="21"/>
                <w:szCs w:val="21"/>
                <w:highlight w:val="none"/>
                <w:vertAlign w:val="subscript"/>
              </w:rPr>
              <w:t>GS</w:t>
            </w:r>
            <w:r>
              <w:rPr>
                <w:rFonts w:hint="eastAsia" w:ascii="宋体" w:hAnsi="宋体" w:eastAsia="宋体" w:cs="宋体"/>
                <w:sz w:val="21"/>
                <w:szCs w:val="21"/>
                <w:highlight w:val="none"/>
              </w:rPr>
              <w:t>、V</w:t>
            </w:r>
            <w:r>
              <w:rPr>
                <w:rFonts w:hint="eastAsia" w:ascii="宋体" w:hAnsi="宋体" w:eastAsia="宋体" w:cs="宋体"/>
                <w:sz w:val="21"/>
                <w:szCs w:val="21"/>
                <w:highlight w:val="none"/>
                <w:vertAlign w:val="subscript"/>
              </w:rPr>
              <w:t>DS</w:t>
            </w:r>
            <w:r>
              <w:rPr>
                <w:rFonts w:hint="eastAsia" w:ascii="宋体" w:hAnsi="宋体" w:eastAsia="宋体" w:cs="宋体"/>
                <w:sz w:val="21"/>
                <w:szCs w:val="21"/>
                <w:highlight w:val="none"/>
              </w:rPr>
              <w:t>、通道</w:t>
            </w:r>
            <w:r>
              <w:rPr>
                <w:rFonts w:hint="eastAsia" w:ascii="宋体" w:hAnsi="宋体" w:eastAsia="宋体" w:cs="宋体"/>
                <w:sz w:val="21"/>
                <w:szCs w:val="21"/>
                <w:highlight w:val="none"/>
                <w:lang w:eastAsia="zh-CN"/>
              </w:rPr>
              <w:t>；</w:t>
            </w:r>
          </w:p>
          <w:p w14:paraId="21D14AC1">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3.触发模式：顺序SEQ：一次触发后完成所有扫描点测量，/EOM/INDEX仅输出一次</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步进STEP：每次触发执行一个扫描点测量，每点均输出/EOM/INDEX，列表扫描比较器结果仅在最后/EOM输出</w:t>
            </w:r>
            <w:r>
              <w:rPr>
                <w:rFonts w:hint="eastAsia" w:ascii="宋体" w:hAnsi="宋体" w:eastAsia="宋体" w:cs="宋体"/>
                <w:sz w:val="21"/>
                <w:szCs w:val="21"/>
                <w:highlight w:val="none"/>
                <w:lang w:eastAsia="zh-CN"/>
              </w:rPr>
              <w:t>。</w:t>
            </w:r>
          </w:p>
          <w:p w14:paraId="6F8DFE71">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（五）图形扫描</w:t>
            </w:r>
          </w:p>
          <w:p w14:paraId="4619F8EC">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1.扫描点数：任意点可选，</w:t>
            </w:r>
            <w:r>
              <w:rPr>
                <w:rFonts w:hint="eastAsia" w:ascii="宋体" w:hAnsi="宋体" w:cs="宋体"/>
                <w:sz w:val="21"/>
                <w:szCs w:val="21"/>
                <w:highlight w:val="none"/>
                <w:lang w:val="en-US" w:eastAsia="zh-CN"/>
              </w:rPr>
              <w:t>至少</w:t>
            </w:r>
            <w:r>
              <w:rPr>
                <w:rFonts w:hint="eastAsia" w:ascii="宋体" w:hAnsi="宋体" w:eastAsia="宋体" w:cs="宋体"/>
                <w:sz w:val="21"/>
                <w:szCs w:val="21"/>
                <w:highlight w:val="none"/>
              </w:rPr>
              <w:t>1001点</w:t>
            </w:r>
            <w:r>
              <w:rPr>
                <w:rFonts w:hint="eastAsia" w:ascii="宋体" w:hAnsi="宋体" w:eastAsia="宋体" w:cs="宋体"/>
                <w:sz w:val="21"/>
                <w:szCs w:val="21"/>
                <w:highlight w:val="none"/>
                <w:lang w:eastAsia="zh-CN"/>
              </w:rPr>
              <w:t>；</w:t>
            </w:r>
          </w:p>
          <w:p w14:paraId="747CD112">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2.曲线显示：支持同一参数、不同V</w:t>
            </w:r>
            <w:r>
              <w:rPr>
                <w:rFonts w:hint="eastAsia" w:ascii="宋体" w:hAnsi="宋体" w:eastAsia="宋体" w:cs="宋体"/>
                <w:sz w:val="21"/>
                <w:szCs w:val="21"/>
                <w:highlight w:val="none"/>
                <w:vertAlign w:val="subscript"/>
              </w:rPr>
              <w:t>GS</w:t>
            </w:r>
            <w:r>
              <w:rPr>
                <w:rFonts w:hint="eastAsia" w:ascii="宋体" w:hAnsi="宋体" w:eastAsia="宋体" w:cs="宋体"/>
                <w:sz w:val="21"/>
                <w:szCs w:val="21"/>
                <w:highlight w:val="none"/>
              </w:rPr>
              <w:t>的多条曲线；同一V</w:t>
            </w:r>
            <w:r>
              <w:rPr>
                <w:rFonts w:hint="eastAsia" w:ascii="宋体" w:hAnsi="宋体" w:eastAsia="宋体" w:cs="宋体"/>
                <w:sz w:val="21"/>
                <w:szCs w:val="21"/>
                <w:highlight w:val="none"/>
                <w:vertAlign w:val="subscript"/>
              </w:rPr>
              <w:t>GS</w:t>
            </w:r>
            <w:r>
              <w:rPr>
                <w:rFonts w:hint="eastAsia" w:ascii="宋体" w:hAnsi="宋体" w:eastAsia="宋体" w:cs="宋体"/>
                <w:sz w:val="21"/>
                <w:szCs w:val="21"/>
                <w:highlight w:val="none"/>
              </w:rPr>
              <w:t>、不同参数的多条曲线</w:t>
            </w:r>
            <w:r>
              <w:rPr>
                <w:rFonts w:hint="eastAsia" w:ascii="宋体" w:hAnsi="宋体" w:eastAsia="宋体" w:cs="宋体"/>
                <w:sz w:val="21"/>
                <w:szCs w:val="21"/>
                <w:highlight w:val="none"/>
                <w:lang w:eastAsia="zh-CN"/>
              </w:rPr>
              <w:t>；</w:t>
            </w:r>
          </w:p>
          <w:p w14:paraId="4204E11F">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3.扫描参数：V</w:t>
            </w:r>
            <w:r>
              <w:rPr>
                <w:rFonts w:hint="eastAsia" w:ascii="宋体" w:hAnsi="宋体" w:eastAsia="宋体" w:cs="宋体"/>
                <w:sz w:val="21"/>
                <w:szCs w:val="21"/>
                <w:highlight w:val="none"/>
                <w:vertAlign w:val="subscript"/>
              </w:rPr>
              <w:t>GS</w:t>
            </w:r>
            <w:r>
              <w:rPr>
                <w:rFonts w:hint="eastAsia" w:ascii="宋体" w:hAnsi="宋体" w:eastAsia="宋体" w:cs="宋体"/>
                <w:sz w:val="21"/>
                <w:szCs w:val="21"/>
                <w:highlight w:val="none"/>
              </w:rPr>
              <w:t>、V</w:t>
            </w:r>
            <w:r>
              <w:rPr>
                <w:rFonts w:hint="eastAsia" w:ascii="宋体" w:hAnsi="宋体" w:eastAsia="宋体" w:cs="宋体"/>
                <w:sz w:val="21"/>
                <w:szCs w:val="21"/>
                <w:highlight w:val="none"/>
                <w:vertAlign w:val="subscript"/>
              </w:rPr>
              <w:t>DS</w:t>
            </w:r>
            <w:r>
              <w:rPr>
                <w:rFonts w:hint="eastAsia" w:ascii="宋体" w:hAnsi="宋体" w:eastAsia="宋体" w:cs="宋体"/>
                <w:sz w:val="21"/>
                <w:szCs w:val="21"/>
                <w:highlight w:val="none"/>
              </w:rPr>
              <w:t>、Freq</w:t>
            </w:r>
            <w:r>
              <w:rPr>
                <w:rFonts w:hint="eastAsia" w:ascii="宋体" w:hAnsi="宋体" w:eastAsia="宋体" w:cs="宋体"/>
                <w:sz w:val="21"/>
                <w:szCs w:val="21"/>
                <w:highlight w:val="none"/>
                <w:lang w:eastAsia="zh-CN"/>
              </w:rPr>
              <w:t>；</w:t>
            </w:r>
          </w:p>
          <w:p w14:paraId="775AC8DD">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4.触发方式：手动触发一次，从起点到终点完成一次扫描，下个触发信号启动新一次扫描</w:t>
            </w:r>
            <w:r>
              <w:rPr>
                <w:rFonts w:hint="eastAsia" w:ascii="宋体" w:hAnsi="宋体" w:eastAsia="宋体" w:cs="宋体"/>
                <w:sz w:val="21"/>
                <w:szCs w:val="21"/>
                <w:highlight w:val="none"/>
                <w:lang w:eastAsia="zh-CN"/>
              </w:rPr>
              <w:t>；</w:t>
            </w:r>
          </w:p>
          <w:p w14:paraId="72376817">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5. 结果显示：显示范围支持实时自动、锁定；坐标标尺支持对数、线性</w:t>
            </w:r>
            <w:r>
              <w:rPr>
                <w:rFonts w:hint="eastAsia" w:ascii="宋体" w:hAnsi="宋体" w:cs="宋体"/>
                <w:sz w:val="21"/>
                <w:szCs w:val="21"/>
                <w:highlight w:val="none"/>
                <w:lang w:eastAsia="zh-CN"/>
              </w:rPr>
              <w:t>；</w:t>
            </w:r>
          </w:p>
          <w:p w14:paraId="7222882C">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 xml:space="preserve"> 6. 结果保存：支持图形、文件格式保存</w:t>
            </w:r>
            <w:r>
              <w:rPr>
                <w:rFonts w:hint="eastAsia" w:ascii="宋体" w:hAnsi="宋体" w:eastAsia="宋体" w:cs="宋体"/>
                <w:sz w:val="21"/>
                <w:szCs w:val="21"/>
                <w:highlight w:val="none"/>
                <w:lang w:eastAsia="zh-CN"/>
              </w:rPr>
              <w:t>。</w:t>
            </w:r>
          </w:p>
          <w:p w14:paraId="6152E125">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（六）比较器（分选） </w:t>
            </w:r>
          </w:p>
          <w:p w14:paraId="7B0ADE85">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 Bin分档：</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10Bin、PASS、FAIL</w:t>
            </w:r>
            <w:r>
              <w:rPr>
                <w:rFonts w:hint="eastAsia" w:ascii="宋体" w:hAnsi="宋体" w:eastAsia="宋体" w:cs="宋体"/>
                <w:sz w:val="21"/>
                <w:szCs w:val="21"/>
                <w:highlight w:val="none"/>
                <w:lang w:eastAsia="zh-CN"/>
              </w:rPr>
              <w:t>；</w:t>
            </w:r>
          </w:p>
          <w:p w14:paraId="03FB526F">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 Bin偏差设置：支持偏差值、百分偏差值设置，可关闭</w:t>
            </w:r>
            <w:r>
              <w:rPr>
                <w:rFonts w:hint="eastAsia" w:ascii="宋体" w:hAnsi="宋体" w:eastAsia="宋体" w:cs="宋体"/>
                <w:sz w:val="21"/>
                <w:szCs w:val="21"/>
                <w:highlight w:val="none"/>
                <w:lang w:eastAsia="zh-CN"/>
              </w:rPr>
              <w:t>；</w:t>
            </w:r>
          </w:p>
          <w:p w14:paraId="6501EDE9">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 Bin模式：容差模式</w:t>
            </w:r>
            <w:r>
              <w:rPr>
                <w:rFonts w:hint="eastAsia" w:ascii="宋体" w:hAnsi="宋体" w:eastAsia="宋体" w:cs="宋体"/>
                <w:sz w:val="21"/>
                <w:szCs w:val="21"/>
                <w:highlight w:val="none"/>
                <w:lang w:eastAsia="zh-CN"/>
              </w:rPr>
              <w:t>；</w:t>
            </w:r>
          </w:p>
          <w:p w14:paraId="773F517E">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4. Bin计数：0-99999</w:t>
            </w:r>
            <w:r>
              <w:rPr>
                <w:rFonts w:hint="eastAsia" w:ascii="宋体" w:hAnsi="宋体" w:eastAsia="宋体" w:cs="宋体"/>
                <w:sz w:val="21"/>
                <w:szCs w:val="21"/>
                <w:highlight w:val="none"/>
                <w:lang w:eastAsia="zh-CN"/>
              </w:rPr>
              <w:t>；</w:t>
            </w:r>
          </w:p>
          <w:p w14:paraId="4D95AE9D">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5. 档判别规则：每档最多可设置四个参数极限范围，结果在设定范围内显示对应档号；超出最大档号范围显示FAIL；未设置上下限的参数自动忽略档判别</w:t>
            </w:r>
            <w:r>
              <w:rPr>
                <w:rFonts w:hint="eastAsia" w:ascii="宋体" w:hAnsi="宋体" w:eastAsia="宋体" w:cs="宋体"/>
                <w:sz w:val="21"/>
                <w:szCs w:val="21"/>
                <w:highlight w:val="none"/>
                <w:lang w:eastAsia="zh-CN"/>
              </w:rPr>
              <w:t>；</w:t>
            </w:r>
          </w:p>
          <w:p w14:paraId="3FCC2B4D">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6. PASS/FAIL指示：结果满足Bin1-10时前面板PASS灯亮，否则FAIL灯亮</w:t>
            </w:r>
            <w:r>
              <w:rPr>
                <w:rFonts w:hint="eastAsia" w:ascii="宋体" w:hAnsi="宋体" w:eastAsia="宋体" w:cs="宋体"/>
                <w:sz w:val="21"/>
                <w:szCs w:val="21"/>
                <w:highlight w:val="none"/>
                <w:lang w:eastAsia="zh-CN"/>
              </w:rPr>
              <w:t>。</w:t>
            </w:r>
          </w:p>
          <w:p w14:paraId="78958902">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rPr>
            </w:pPr>
            <w:r>
              <w:rPr>
                <w:rFonts w:hint="eastAsia" w:ascii="宋体" w:hAnsi="宋体" w:eastAsia="宋体" w:cs="宋体"/>
                <w:sz w:val="21"/>
                <w:szCs w:val="21"/>
                <w:highlight w:val="none"/>
              </w:rPr>
              <w:t>五、存储与接口参数</w:t>
            </w:r>
          </w:p>
          <w:p w14:paraId="588BAFE4">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（一）存储功能</w:t>
            </w:r>
            <w:r>
              <w:rPr>
                <w:rFonts w:hint="eastAsia" w:ascii="宋体" w:hAnsi="宋体" w:eastAsia="宋体" w:cs="宋体"/>
                <w:sz w:val="21"/>
                <w:szCs w:val="21"/>
                <w:highlight w:val="none"/>
                <w:lang w:eastAsia="zh-CN"/>
              </w:rPr>
              <w:t>：</w:t>
            </w:r>
          </w:p>
          <w:p w14:paraId="7F502289">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1.内部存储：约100M非易失存储器，可存储测试设定文件</w:t>
            </w:r>
            <w:r>
              <w:rPr>
                <w:rFonts w:hint="eastAsia" w:ascii="宋体" w:hAnsi="宋体" w:eastAsia="宋体" w:cs="宋体"/>
                <w:sz w:val="21"/>
                <w:szCs w:val="21"/>
                <w:highlight w:val="none"/>
                <w:lang w:eastAsia="zh-CN"/>
              </w:rPr>
              <w:t>；</w:t>
            </w:r>
          </w:p>
          <w:p w14:paraId="6072B70D">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2.外置USB：可存储测试设定文件、截屏图形、记录文件</w:t>
            </w:r>
            <w:r>
              <w:rPr>
                <w:rFonts w:hint="eastAsia" w:ascii="宋体" w:hAnsi="宋体" w:eastAsia="宋体" w:cs="宋体"/>
                <w:sz w:val="21"/>
                <w:szCs w:val="21"/>
                <w:highlight w:val="none"/>
                <w:lang w:eastAsia="zh-CN"/>
              </w:rPr>
              <w:t>；</w:t>
            </w:r>
          </w:p>
          <w:p w14:paraId="1EE3EEAA">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3.键盘锁定：支持锁定前面板按键，其他功能待扩充</w:t>
            </w:r>
            <w:r>
              <w:rPr>
                <w:rFonts w:hint="eastAsia" w:ascii="宋体" w:hAnsi="宋体" w:eastAsia="宋体" w:cs="宋体"/>
                <w:sz w:val="21"/>
                <w:szCs w:val="21"/>
                <w:highlight w:val="none"/>
                <w:lang w:eastAsia="zh-CN"/>
              </w:rPr>
              <w:t>。</w:t>
            </w:r>
          </w:p>
          <w:p w14:paraId="0AF864B3">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（二）接口配置</w:t>
            </w:r>
            <w:r>
              <w:rPr>
                <w:rFonts w:hint="eastAsia" w:ascii="宋体" w:hAnsi="宋体" w:eastAsia="宋体" w:cs="宋体"/>
                <w:sz w:val="21"/>
                <w:szCs w:val="21"/>
                <w:highlight w:val="none"/>
                <w:lang w:eastAsia="zh-CN"/>
              </w:rPr>
              <w:t>：</w:t>
            </w:r>
          </w:p>
          <w:p w14:paraId="76C45BA2">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1.USB HOST：2个接口，可同时接鼠标、键盘，U盘同时仅能使用一个</w:t>
            </w:r>
            <w:r>
              <w:rPr>
                <w:rFonts w:hint="eastAsia" w:ascii="宋体" w:hAnsi="宋体" w:eastAsia="宋体" w:cs="宋体"/>
                <w:sz w:val="21"/>
                <w:szCs w:val="21"/>
                <w:highlight w:val="none"/>
                <w:lang w:eastAsia="zh-CN"/>
              </w:rPr>
              <w:t>；</w:t>
            </w:r>
          </w:p>
          <w:p w14:paraId="193BA210">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2.USB DEVICE：通用串行总线插座（小型B类，4个接触位置），与USB TMC-USB488和USB2.0相符合，阴接头用于连接外部控制器</w:t>
            </w:r>
            <w:r>
              <w:rPr>
                <w:rFonts w:hint="eastAsia" w:ascii="宋体" w:hAnsi="宋体" w:eastAsia="宋体" w:cs="宋体"/>
                <w:sz w:val="21"/>
                <w:szCs w:val="21"/>
                <w:highlight w:val="none"/>
                <w:lang w:eastAsia="zh-CN"/>
              </w:rPr>
              <w:t>；</w:t>
            </w:r>
          </w:p>
          <w:p w14:paraId="11F76CBF">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3.LAN：10/100M以太网，8引脚，两种速度选择</w:t>
            </w:r>
            <w:r>
              <w:rPr>
                <w:rFonts w:hint="eastAsia" w:ascii="宋体" w:hAnsi="宋体" w:eastAsia="宋体" w:cs="宋体"/>
                <w:sz w:val="21"/>
                <w:szCs w:val="21"/>
                <w:highlight w:val="none"/>
                <w:lang w:eastAsia="zh-CN"/>
              </w:rPr>
              <w:t>；</w:t>
            </w:r>
          </w:p>
          <w:p w14:paraId="788571E9">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4.HANDLER：用于Bin分档信号输出</w:t>
            </w:r>
            <w:r>
              <w:rPr>
                <w:rFonts w:hint="eastAsia" w:ascii="宋体" w:hAnsi="宋体" w:eastAsia="宋体" w:cs="宋体"/>
                <w:sz w:val="21"/>
                <w:szCs w:val="21"/>
                <w:highlight w:val="none"/>
                <w:lang w:eastAsia="zh-CN"/>
              </w:rPr>
              <w:t>；</w:t>
            </w:r>
          </w:p>
          <w:p w14:paraId="11982514">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5.RS232C：标准9针，交叉</w:t>
            </w:r>
            <w:r>
              <w:rPr>
                <w:rFonts w:hint="eastAsia" w:ascii="宋体" w:hAnsi="宋体" w:eastAsia="宋体" w:cs="宋体"/>
                <w:sz w:val="21"/>
                <w:szCs w:val="21"/>
                <w:highlight w:val="none"/>
                <w:lang w:eastAsia="zh-CN"/>
              </w:rPr>
              <w:t>；</w:t>
            </w:r>
          </w:p>
          <w:p w14:paraId="772F2F62">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6.RS485：标准差分线</w:t>
            </w:r>
            <w:r>
              <w:rPr>
                <w:rFonts w:hint="eastAsia" w:ascii="宋体" w:hAnsi="宋体" w:eastAsia="宋体" w:cs="宋体"/>
                <w:sz w:val="21"/>
                <w:szCs w:val="21"/>
                <w:highlight w:val="none"/>
                <w:lang w:eastAsia="zh-CN"/>
              </w:rPr>
              <w:t>；</w:t>
            </w:r>
          </w:p>
          <w:p w14:paraId="5ED217E6">
            <w:pPr>
              <w:keepNext w:val="0"/>
              <w:keepLines w:val="0"/>
              <w:pageBreakBefore w:val="0"/>
              <w:numPr>
                <w:ilvl w:val="0"/>
                <w:numId w:val="0"/>
              </w:numPr>
              <w:kinsoku/>
              <w:wordWrap/>
              <w:overflowPunct/>
              <w:topLinePunct w:val="0"/>
              <w:autoSpaceDE/>
              <w:bidi w:val="0"/>
              <w:spacing w:line="360" w:lineRule="auto"/>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7.GPIB：D-Sub端口，阴接头与IEEE488.1、2和SCPI兼容</w:t>
            </w:r>
            <w:r>
              <w:rPr>
                <w:rFonts w:hint="eastAsia" w:ascii="宋体" w:hAnsi="宋体" w:eastAsia="宋体" w:cs="宋体"/>
                <w:sz w:val="21"/>
                <w:szCs w:val="21"/>
                <w:highlight w:val="none"/>
                <w:lang w:eastAsia="zh-CN"/>
              </w:rPr>
              <w:t>。</w:t>
            </w:r>
          </w:p>
          <w:p w14:paraId="0E1A25B1">
            <w:pPr>
              <w:keepNext w:val="0"/>
              <w:keepLines w:val="0"/>
              <w:pageBreakBefore w:val="0"/>
              <w:numPr>
                <w:ilvl w:val="0"/>
                <w:numId w:val="0"/>
              </w:numPr>
              <w:kinsoku/>
              <w:wordWrap/>
              <w:overflowPunct/>
              <w:topLinePunct w:val="0"/>
              <w:autoSpaceDE/>
              <w:bidi w:val="0"/>
              <w:spacing w:line="360" w:lineRule="auto"/>
              <w:ind w:left="0" w:leftChars="0" w:firstLine="0" w:firstLine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六、供电与预热参数</w:t>
            </w:r>
            <w:r>
              <w:rPr>
                <w:rFonts w:hint="eastAsia" w:ascii="宋体" w:hAnsi="宋体" w:eastAsia="宋体" w:cs="宋体"/>
                <w:sz w:val="21"/>
                <w:szCs w:val="21"/>
                <w:highlight w:val="none"/>
                <w:lang w:eastAsia="zh-CN"/>
              </w:rPr>
              <w:t>：</w:t>
            </w:r>
          </w:p>
          <w:p w14:paraId="0759680D">
            <w:pPr>
              <w:keepNext w:val="0"/>
              <w:keepLines w:val="0"/>
              <w:pageBreakBefore w:val="0"/>
              <w:numPr>
                <w:ilvl w:val="0"/>
                <w:numId w:val="0"/>
              </w:numPr>
              <w:kinsoku/>
              <w:wordWrap/>
              <w:overflowPunct/>
              <w:topLinePunct w:val="0"/>
              <w:autoSpaceDE/>
              <w:bidi w:val="0"/>
              <w:spacing w:line="360" w:lineRule="auto"/>
              <w:ind w:left="0" w:leftChars="0" w:firstLine="0" w:firstLine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1.输入电压：100-120VAC/198-242VAC可选择，47-63H</w:t>
            </w:r>
            <w:r>
              <w:rPr>
                <w:rFonts w:hint="eastAsia" w:ascii="宋体" w:hAnsi="宋体" w:eastAsia="宋体" w:cs="宋体"/>
                <w:sz w:val="21"/>
                <w:szCs w:val="21"/>
                <w:highlight w:val="none"/>
                <w:lang w:eastAsia="zh-CN"/>
              </w:rPr>
              <w:t>；</w:t>
            </w:r>
          </w:p>
          <w:p w14:paraId="49268E7F">
            <w:pPr>
              <w:keepNext w:val="0"/>
              <w:keepLines w:val="0"/>
              <w:pageBreakBefore w:val="0"/>
              <w:numPr>
                <w:ilvl w:val="0"/>
                <w:numId w:val="0"/>
              </w:numPr>
              <w:kinsoku/>
              <w:wordWrap/>
              <w:overflowPunct/>
              <w:topLinePunct w:val="0"/>
              <w:autoSpaceDE/>
              <w:bidi w:val="0"/>
              <w:spacing w:line="360" w:lineRule="auto"/>
              <w:ind w:left="0" w:leftChars="0" w:firstLine="0" w:firstLineChars="0"/>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供电电源功率：不小于130VA</w:t>
            </w:r>
            <w:r>
              <w:rPr>
                <w:rFonts w:hint="eastAsia" w:ascii="宋体" w:hAnsi="宋体" w:eastAsia="宋体" w:cs="宋体"/>
                <w:sz w:val="21"/>
                <w:szCs w:val="21"/>
                <w:highlight w:val="none"/>
                <w:lang w:eastAsia="zh-CN"/>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20C4CB13">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1台</w:t>
            </w:r>
          </w:p>
        </w:tc>
      </w:tr>
      <w:tr w14:paraId="700927DC">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7456587">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4608257">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AF4A762">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智能耗材管理终端</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840053F">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一、硬件终端参数</w:t>
            </w:r>
          </w:p>
          <w:p w14:paraId="2914478F">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1.终端显示屏尺寸≥15.6英寸，分辨率≥1920×1080，支持触控操作</w:t>
            </w:r>
            <w:r>
              <w:rPr>
                <w:rFonts w:hint="eastAsia" w:ascii="宋体" w:hAnsi="宋体" w:cs="宋体"/>
                <w:sz w:val="21"/>
                <w:szCs w:val="21"/>
                <w:highlight w:val="none"/>
                <w:lang w:eastAsia="zh-CN"/>
              </w:rPr>
              <w:t>；</w:t>
            </w:r>
          </w:p>
          <w:p w14:paraId="08462B75">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2.终端内置≥58mm热敏打印模块，支持凭条及日志输出</w:t>
            </w:r>
            <w:r>
              <w:rPr>
                <w:rFonts w:hint="eastAsia" w:ascii="宋体" w:hAnsi="宋体" w:cs="宋体"/>
                <w:sz w:val="21"/>
                <w:szCs w:val="21"/>
                <w:highlight w:val="none"/>
                <w:lang w:eastAsia="zh-CN"/>
              </w:rPr>
              <w:t>；</w:t>
            </w:r>
          </w:p>
          <w:p w14:paraId="48391A9D">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3.终端内置称重接口，支持串口台秤实时数据采集</w:t>
            </w:r>
            <w:r>
              <w:rPr>
                <w:rFonts w:hint="eastAsia" w:ascii="宋体" w:hAnsi="宋体" w:cs="宋体"/>
                <w:sz w:val="21"/>
                <w:szCs w:val="21"/>
                <w:highlight w:val="none"/>
                <w:lang w:eastAsia="zh-CN"/>
              </w:rPr>
              <w:t>；</w:t>
            </w:r>
          </w:p>
          <w:p w14:paraId="5BA9F72B">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4.终端内置扫码识别接口，支持USB扫码枪即插即用</w:t>
            </w:r>
            <w:r>
              <w:rPr>
                <w:rFonts w:hint="eastAsia" w:ascii="宋体" w:hAnsi="宋体" w:cs="宋体"/>
                <w:sz w:val="21"/>
                <w:szCs w:val="21"/>
                <w:highlight w:val="none"/>
                <w:lang w:eastAsia="zh-CN"/>
              </w:rPr>
              <w:t>；</w:t>
            </w:r>
          </w:p>
          <w:p w14:paraId="656A9957">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5.终端内置标签打印接口，支持物品标签输出</w:t>
            </w:r>
            <w:r>
              <w:rPr>
                <w:rFonts w:hint="eastAsia" w:ascii="宋体" w:hAnsi="宋体" w:cs="宋体"/>
                <w:sz w:val="21"/>
                <w:szCs w:val="21"/>
                <w:highlight w:val="none"/>
                <w:lang w:eastAsia="zh-CN"/>
              </w:rPr>
              <w:t>；</w:t>
            </w:r>
          </w:p>
          <w:p w14:paraId="49CDC986">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6.终端内置麦克风，支持语音采集</w:t>
            </w:r>
            <w:r>
              <w:rPr>
                <w:rFonts w:hint="eastAsia" w:ascii="宋体" w:hAnsi="宋体" w:cs="宋体"/>
                <w:sz w:val="21"/>
                <w:szCs w:val="21"/>
                <w:highlight w:val="none"/>
                <w:lang w:eastAsia="zh-CN"/>
              </w:rPr>
              <w:t>；</w:t>
            </w:r>
          </w:p>
          <w:p w14:paraId="5C25DFE5">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7.终端内置摄像头接口，支持USB摄像头接入，用于物品拍照及人脸识别</w:t>
            </w:r>
            <w:r>
              <w:rPr>
                <w:rFonts w:hint="eastAsia" w:ascii="宋体" w:hAnsi="宋体" w:cs="宋体"/>
                <w:sz w:val="21"/>
                <w:szCs w:val="21"/>
                <w:highlight w:val="none"/>
                <w:lang w:eastAsia="zh-CN"/>
              </w:rPr>
              <w:t>；</w:t>
            </w:r>
          </w:p>
          <w:p w14:paraId="44C1ADA9">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8.终端处理器性能不低于Intel i7同等运算能力（兼容 AMD、国产处理器</w:t>
            </w:r>
            <w:r>
              <w:rPr>
                <w:rFonts w:hint="eastAsia"/>
                <w:highlight w:val="none"/>
                <w:lang w:eastAsia="zh-CN"/>
              </w:rPr>
              <w:t>；</w:t>
            </w:r>
          </w:p>
          <w:p w14:paraId="7A21752E">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9.终端运行内存≥8GB，存储空间≥128GB</w:t>
            </w:r>
            <w:r>
              <w:rPr>
                <w:rFonts w:hint="eastAsia" w:ascii="宋体" w:hAnsi="宋体" w:cs="宋体"/>
                <w:sz w:val="21"/>
                <w:szCs w:val="21"/>
                <w:highlight w:val="none"/>
                <w:lang w:eastAsia="zh-CN"/>
              </w:rPr>
              <w:t>；</w:t>
            </w:r>
          </w:p>
          <w:p w14:paraId="5BB516D8">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10.终端电源规格220V / DC 12V 6A，国标电源线</w:t>
            </w:r>
            <w:r>
              <w:rPr>
                <w:rFonts w:hint="eastAsia" w:ascii="宋体" w:hAnsi="宋体" w:cs="宋体"/>
                <w:sz w:val="21"/>
                <w:szCs w:val="21"/>
                <w:highlight w:val="none"/>
                <w:lang w:eastAsia="zh-CN"/>
              </w:rPr>
              <w:t>；</w:t>
            </w:r>
          </w:p>
          <w:p w14:paraId="4835F600">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11.整机符合国家3C认证</w:t>
            </w:r>
            <w:r>
              <w:rPr>
                <w:rFonts w:hint="eastAsia" w:ascii="宋体" w:hAnsi="宋体" w:cs="宋体"/>
                <w:sz w:val="21"/>
                <w:szCs w:val="21"/>
                <w:highlight w:val="none"/>
                <w:lang w:eastAsia="zh-CN"/>
              </w:rPr>
              <w:t>；</w:t>
            </w:r>
          </w:p>
          <w:p w14:paraId="4C8C1793">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微软雅黑" w:hAnsi="微软雅黑" w:eastAsia="微软雅黑" w:cs="微软雅黑"/>
                <w:sz w:val="21"/>
                <w:szCs w:val="21"/>
                <w:highlight w:val="none"/>
              </w:rPr>
              <w:t>▲</w:t>
            </w:r>
            <w:r>
              <w:rPr>
                <w:rFonts w:hint="eastAsia" w:ascii="宋体" w:hAnsi="宋体" w:eastAsia="宋体" w:cs="宋体"/>
                <w:sz w:val="21"/>
                <w:szCs w:val="21"/>
                <w:highlight w:val="none"/>
              </w:rPr>
              <w:t>12.终端支持WiFi及以太网双网络接入，具备网络状态实时监测能力</w:t>
            </w:r>
            <w:r>
              <w:rPr>
                <w:rFonts w:hint="eastAsia" w:ascii="宋体" w:hAnsi="宋体" w:cs="宋体"/>
                <w:sz w:val="21"/>
                <w:szCs w:val="21"/>
                <w:highlight w:val="none"/>
                <w:lang w:eastAsia="zh-CN"/>
              </w:rPr>
              <w:t>；</w:t>
            </w:r>
          </w:p>
          <w:p w14:paraId="220ABEC9">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二、入库管理参数</w:t>
            </w:r>
          </w:p>
          <w:p w14:paraId="2799EC08">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1.系统须支持初次入库与归还入库两种入库模式，初次入库须支持分步操作流程，至少包含物品登记、标签输出、扫码确认三个步骤，归还入库须支持称重与扫码组合确认</w:t>
            </w:r>
            <w:r>
              <w:rPr>
                <w:rFonts w:hint="eastAsia" w:ascii="宋体" w:hAnsi="宋体" w:cs="宋体"/>
                <w:sz w:val="21"/>
                <w:szCs w:val="21"/>
                <w:highlight w:val="none"/>
                <w:lang w:eastAsia="zh-CN"/>
              </w:rPr>
              <w:t>；</w:t>
            </w:r>
          </w:p>
          <w:p w14:paraId="1A709B59">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2.系统须支持入库会话机制，允许操作中断后从断点继续，避免因异常退出导致数据丢失</w:t>
            </w:r>
            <w:r>
              <w:rPr>
                <w:rFonts w:hint="eastAsia" w:ascii="宋体" w:hAnsi="宋体" w:cs="宋体"/>
                <w:sz w:val="21"/>
                <w:szCs w:val="21"/>
                <w:highlight w:val="none"/>
                <w:lang w:eastAsia="zh-CN"/>
              </w:rPr>
              <w:t>；</w:t>
            </w:r>
          </w:p>
          <w:p w14:paraId="528CC213">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微软雅黑" w:hAnsi="微软雅黑" w:eastAsia="微软雅黑" w:cs="微软雅黑"/>
                <w:sz w:val="21"/>
                <w:szCs w:val="21"/>
                <w:highlight w:val="none"/>
              </w:rPr>
              <w:t>▲</w:t>
            </w:r>
            <w:r>
              <w:rPr>
                <w:rFonts w:hint="eastAsia" w:ascii="宋体" w:hAnsi="宋体" w:eastAsia="宋体" w:cs="宋体"/>
                <w:sz w:val="21"/>
                <w:szCs w:val="21"/>
                <w:highlight w:val="none"/>
              </w:rPr>
              <w:t>3.系统须支持为同一物品批量生成具有独立子编码的实例，每个实例拥有唯一标识，便于逐件追踪管理</w:t>
            </w:r>
            <w:r>
              <w:rPr>
                <w:rFonts w:hint="eastAsia" w:ascii="宋体" w:hAnsi="宋体" w:cs="宋体"/>
                <w:sz w:val="21"/>
                <w:szCs w:val="21"/>
                <w:highlight w:val="none"/>
                <w:lang w:eastAsia="zh-CN"/>
              </w:rPr>
              <w:t>；</w:t>
            </w:r>
          </w:p>
          <w:p w14:paraId="414B86CA">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4.系统须支持标签输出功能，标签内容须包含物品编码及基本信息，支持二维码及一维码两种编码方式</w:t>
            </w:r>
            <w:r>
              <w:rPr>
                <w:rFonts w:hint="eastAsia" w:ascii="宋体" w:hAnsi="宋体" w:cs="宋体"/>
                <w:sz w:val="21"/>
                <w:szCs w:val="21"/>
                <w:highlight w:val="none"/>
                <w:lang w:eastAsia="zh-CN"/>
              </w:rPr>
              <w:t>；</w:t>
            </w:r>
          </w:p>
          <w:p w14:paraId="46386A00">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5.系统须支持逐件扫码确认入库，入库时自动记录操作人、时间、重量等关键信息</w:t>
            </w:r>
            <w:r>
              <w:rPr>
                <w:rFonts w:hint="eastAsia" w:ascii="宋体" w:hAnsi="宋体" w:cs="宋体"/>
                <w:sz w:val="21"/>
                <w:szCs w:val="21"/>
                <w:highlight w:val="none"/>
                <w:lang w:eastAsia="zh-CN"/>
              </w:rPr>
              <w:t>；</w:t>
            </w:r>
          </w:p>
          <w:p w14:paraId="5AAB65CE">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6.系统须支持入库历史记录查询，支持按时间、物品等条件检索</w:t>
            </w:r>
            <w:r>
              <w:rPr>
                <w:rFonts w:hint="eastAsia" w:ascii="宋体" w:hAnsi="宋体" w:cs="宋体"/>
                <w:sz w:val="21"/>
                <w:szCs w:val="21"/>
                <w:highlight w:val="none"/>
                <w:lang w:eastAsia="zh-CN"/>
              </w:rPr>
              <w:t>；</w:t>
            </w:r>
          </w:p>
          <w:p w14:paraId="114B8423">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7.系统须支持入库表单字段包含：试剂名称、条码编号、分类、分级、规格型号、CAS号、单位、存放位置、是否称量、入库数量、批次号、有效期等完整信息</w:t>
            </w:r>
            <w:r>
              <w:rPr>
                <w:rFonts w:hint="eastAsia" w:ascii="宋体" w:hAnsi="宋体" w:cs="宋体"/>
                <w:sz w:val="21"/>
                <w:szCs w:val="21"/>
                <w:highlight w:val="none"/>
                <w:lang w:eastAsia="zh-CN"/>
              </w:rPr>
              <w:t>；</w:t>
            </w:r>
          </w:p>
          <w:p w14:paraId="7CEE4E8B">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8.系统须支持入库时填写有效期开关配置，默认关闭，可通过系统设置开启</w:t>
            </w:r>
            <w:r>
              <w:rPr>
                <w:rFonts w:hint="eastAsia" w:ascii="宋体" w:hAnsi="宋体" w:cs="宋体"/>
                <w:sz w:val="21"/>
                <w:szCs w:val="21"/>
                <w:highlight w:val="none"/>
                <w:lang w:eastAsia="zh-CN"/>
              </w:rPr>
              <w:t>；</w:t>
            </w:r>
          </w:p>
          <w:p w14:paraId="21E69836">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9.系统须支持CAS号输入辅助功能，包含CAS号查找弹窗及安全周知卡快捷查看入口</w:t>
            </w:r>
            <w:r>
              <w:rPr>
                <w:rFonts w:hint="eastAsia" w:ascii="宋体" w:hAnsi="宋体" w:cs="宋体"/>
                <w:sz w:val="21"/>
                <w:szCs w:val="21"/>
                <w:highlight w:val="none"/>
                <w:lang w:eastAsia="zh-CN"/>
              </w:rPr>
              <w:t>；</w:t>
            </w:r>
          </w:p>
          <w:p w14:paraId="40B2836F">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10.系统须支持物品是否称量的两段式切换按钮（称量/不称量），选中态使用主题色高亮</w:t>
            </w:r>
            <w:r>
              <w:rPr>
                <w:rFonts w:hint="eastAsia" w:ascii="宋体" w:hAnsi="宋体" w:cs="宋体"/>
                <w:sz w:val="21"/>
                <w:szCs w:val="21"/>
                <w:highlight w:val="none"/>
                <w:lang w:eastAsia="zh-CN"/>
              </w:rPr>
              <w:t>；</w:t>
            </w:r>
          </w:p>
          <w:p w14:paraId="7698BB74">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11.系统须支持长按「初次入库」卡片3秒快速进入已打标签未入库流程的快捷操作</w:t>
            </w:r>
            <w:r>
              <w:rPr>
                <w:rFonts w:hint="eastAsia"/>
                <w:highlight w:val="none"/>
                <w:lang w:eastAsia="zh-CN"/>
              </w:rPr>
              <w:t>；</w:t>
            </w:r>
          </w:p>
          <w:p w14:paraId="6DD2D649">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三、出库与归还参数</w:t>
            </w:r>
          </w:p>
          <w:p w14:paraId="6EB9F00E">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1.系统须支持称重出库模式，实时读取台秤称重数据，重量稳定后自动锁定读数，避免人为读数误差</w:t>
            </w:r>
            <w:r>
              <w:rPr>
                <w:rFonts w:hint="eastAsia" w:ascii="宋体" w:hAnsi="宋体" w:cs="宋体"/>
                <w:sz w:val="21"/>
                <w:szCs w:val="21"/>
                <w:highlight w:val="none"/>
                <w:lang w:eastAsia="zh-CN"/>
              </w:rPr>
              <w:t>；</w:t>
            </w:r>
          </w:p>
          <w:p w14:paraId="723081F3">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2.系统须支持扫码出库模式，通过扫描物品子编码快速识别出库物品</w:t>
            </w:r>
            <w:r>
              <w:rPr>
                <w:rFonts w:hint="eastAsia" w:ascii="宋体" w:hAnsi="宋体" w:cs="宋体"/>
                <w:sz w:val="21"/>
                <w:szCs w:val="21"/>
                <w:highlight w:val="none"/>
                <w:lang w:eastAsia="zh-CN"/>
              </w:rPr>
              <w:t>；</w:t>
            </w:r>
          </w:p>
          <w:p w14:paraId="597BDD77">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3.系统须支持领用人选择及用途记录，出库时须登记领用人及使用目的</w:t>
            </w:r>
            <w:r>
              <w:rPr>
                <w:rFonts w:hint="eastAsia" w:ascii="宋体" w:hAnsi="宋体" w:cs="宋体"/>
                <w:sz w:val="21"/>
                <w:szCs w:val="21"/>
                <w:highlight w:val="none"/>
                <w:lang w:eastAsia="zh-CN"/>
              </w:rPr>
              <w:t>；</w:t>
            </w:r>
          </w:p>
          <w:p w14:paraId="2301C45F">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4.系统须支持出库重量异常自动标记，当出库重量与入库重量偏差超过阈值时给予提示</w:t>
            </w:r>
            <w:r>
              <w:rPr>
                <w:rFonts w:hint="eastAsia" w:ascii="宋体" w:hAnsi="宋体" w:cs="宋体"/>
                <w:sz w:val="21"/>
                <w:szCs w:val="21"/>
                <w:highlight w:val="none"/>
                <w:lang w:eastAsia="zh-CN"/>
              </w:rPr>
              <w:t>；</w:t>
            </w:r>
          </w:p>
          <w:p w14:paraId="5AC37D61">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5.系统须支持出库记录查询，支持按时间、物品、领用人等条件检索</w:t>
            </w:r>
            <w:r>
              <w:rPr>
                <w:rFonts w:hint="eastAsia" w:ascii="宋体" w:hAnsi="宋体" w:cs="宋体"/>
                <w:sz w:val="21"/>
                <w:szCs w:val="21"/>
                <w:highlight w:val="none"/>
                <w:lang w:eastAsia="zh-CN"/>
              </w:rPr>
              <w:t>；</w:t>
            </w:r>
          </w:p>
          <w:p w14:paraId="5D2E8990">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6.系统须支持归还入库功能，通过称重与扫码组合确认物品归还</w:t>
            </w:r>
            <w:r>
              <w:rPr>
                <w:rFonts w:hint="eastAsia" w:ascii="宋体" w:hAnsi="宋体" w:cs="宋体"/>
                <w:sz w:val="21"/>
                <w:szCs w:val="21"/>
                <w:highlight w:val="none"/>
                <w:lang w:eastAsia="zh-CN"/>
              </w:rPr>
              <w:t>；</w:t>
            </w:r>
          </w:p>
          <w:p w14:paraId="32295593">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7.系统须支持出库物品生命周期查看功能，点击物品可展示完整流转记录时间轴</w:t>
            </w:r>
            <w:r>
              <w:rPr>
                <w:rFonts w:hint="eastAsia" w:ascii="宋体" w:hAnsi="宋体" w:cs="宋体"/>
                <w:sz w:val="21"/>
                <w:szCs w:val="21"/>
                <w:highlight w:val="none"/>
                <w:lang w:eastAsia="zh-CN"/>
              </w:rPr>
              <w:t>；</w:t>
            </w:r>
          </w:p>
          <w:p w14:paraId="72C19890">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8.系统须支持出库用途选项不少于10种，包含教学实验、科研课题、毕业设计、日常检测、样品分析、仪器校准、质量控制、试剂配制、设备维护及其他（手动输入）</w:t>
            </w:r>
            <w:r>
              <w:rPr>
                <w:rFonts w:hint="eastAsia" w:ascii="宋体" w:hAnsi="宋体" w:cs="宋体"/>
                <w:sz w:val="21"/>
                <w:szCs w:val="21"/>
                <w:highlight w:val="none"/>
                <w:lang w:eastAsia="zh-CN"/>
              </w:rPr>
              <w:t>；</w:t>
            </w:r>
          </w:p>
          <w:p w14:paraId="53F28E85">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9.系统须支持扫码枪丢字符时的模糊匹配功能，通过尾部匹配查找候选物品并弹出确认框，提升扫码容错能力</w:t>
            </w:r>
            <w:r>
              <w:rPr>
                <w:rFonts w:hint="eastAsia" w:ascii="宋体" w:hAnsi="宋体" w:cs="宋体"/>
                <w:sz w:val="21"/>
                <w:szCs w:val="21"/>
                <w:highlight w:val="none"/>
                <w:lang w:eastAsia="zh-CN"/>
              </w:rPr>
              <w:t>；</w:t>
            </w:r>
          </w:p>
          <w:p w14:paraId="7CCAF5F6">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10.系统须支持联网模式下的待办单据清单展示，逐项扫描子条码完成出库，已处理项显示对勾标记</w:t>
            </w:r>
            <w:r>
              <w:rPr>
                <w:rFonts w:hint="eastAsia" w:ascii="宋体" w:hAnsi="宋体" w:cs="宋体"/>
                <w:sz w:val="21"/>
                <w:szCs w:val="21"/>
                <w:highlight w:val="none"/>
                <w:lang w:eastAsia="zh-CN"/>
              </w:rPr>
              <w:t>；</w:t>
            </w:r>
          </w:p>
          <w:p w14:paraId="729A90BB">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四、库存与盘点参数</w:t>
            </w:r>
          </w:p>
          <w:p w14:paraId="20758C3B">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1.系统须支持按名称、编码、子编码等多维度组合搜索库存物品</w:t>
            </w:r>
            <w:r>
              <w:rPr>
                <w:rFonts w:hint="eastAsia" w:ascii="宋体" w:hAnsi="宋体" w:cs="宋体"/>
                <w:sz w:val="21"/>
                <w:szCs w:val="21"/>
                <w:highlight w:val="none"/>
                <w:lang w:eastAsia="zh-CN"/>
              </w:rPr>
              <w:t>；</w:t>
            </w:r>
          </w:p>
          <w:p w14:paraId="30C301CE">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2.系统须支持库存不足预警及过期预警功能，预警阈值可配置</w:t>
            </w:r>
            <w:r>
              <w:rPr>
                <w:rFonts w:hint="eastAsia" w:ascii="宋体" w:hAnsi="宋体" w:cs="宋体"/>
                <w:sz w:val="21"/>
                <w:szCs w:val="21"/>
                <w:highlight w:val="none"/>
                <w:lang w:eastAsia="zh-CN"/>
              </w:rPr>
              <w:t>；</w:t>
            </w:r>
          </w:p>
          <w:p w14:paraId="14E127B3">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3.系统须支持库存盘点功能，可创建盘点任务并自动纳入全部在库物品（含库存为0物品），支持扫码盘点与手动录入两种方式，系统自动计算实盘数量与系统数量的差异</w:t>
            </w:r>
            <w:r>
              <w:rPr>
                <w:rFonts w:hint="eastAsia" w:ascii="宋体" w:hAnsi="宋体" w:cs="宋体"/>
                <w:sz w:val="21"/>
                <w:szCs w:val="21"/>
                <w:highlight w:val="none"/>
                <w:lang w:eastAsia="zh-CN"/>
              </w:rPr>
              <w:t>；</w:t>
            </w:r>
          </w:p>
          <w:p w14:paraId="025F1786">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4.系统须支持按分类、库存状态等条件筛选库存</w:t>
            </w:r>
            <w:r>
              <w:rPr>
                <w:rFonts w:hint="eastAsia" w:ascii="宋体" w:hAnsi="宋体" w:cs="宋体"/>
                <w:sz w:val="21"/>
                <w:szCs w:val="21"/>
                <w:highlight w:val="none"/>
                <w:lang w:eastAsia="zh-CN"/>
              </w:rPr>
              <w:t>；</w:t>
            </w:r>
          </w:p>
          <w:p w14:paraId="1CF7B652">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5.系统须支持查看物品实例明细，展示每件实例的当前状态及流转记录</w:t>
            </w:r>
            <w:r>
              <w:rPr>
                <w:rFonts w:hint="eastAsia" w:ascii="宋体" w:hAnsi="宋体" w:cs="宋体"/>
                <w:sz w:val="21"/>
                <w:szCs w:val="21"/>
                <w:highlight w:val="none"/>
                <w:lang w:eastAsia="zh-CN"/>
              </w:rPr>
              <w:t>；</w:t>
            </w:r>
          </w:p>
          <w:p w14:paraId="5DE2EDF4">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6.系统须支持物品信息在线编辑</w:t>
            </w:r>
            <w:r>
              <w:rPr>
                <w:rFonts w:hint="eastAsia" w:ascii="宋体" w:hAnsi="宋体" w:cs="宋体"/>
                <w:sz w:val="21"/>
                <w:szCs w:val="21"/>
                <w:highlight w:val="none"/>
                <w:lang w:eastAsia="zh-CN"/>
              </w:rPr>
              <w:t>；</w:t>
            </w:r>
          </w:p>
          <w:p w14:paraId="66A0ABD1">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7.系统须支持库存列表显示条码、名称、规格、CAS号、分级、分类、称量、库存、领用数、位置、效期、状态等完整字段</w:t>
            </w:r>
            <w:r>
              <w:rPr>
                <w:rFonts w:hint="eastAsia" w:ascii="宋体" w:hAnsi="宋体" w:cs="宋体"/>
                <w:sz w:val="21"/>
                <w:szCs w:val="21"/>
                <w:highlight w:val="none"/>
                <w:lang w:eastAsia="zh-CN"/>
              </w:rPr>
              <w:t>；</w:t>
            </w:r>
          </w:p>
          <w:p w14:paraId="1CBFEBAC">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8.系统须支持库存条形图直观显示库存水位，状态徽章区分正常/库存不足/已过期</w:t>
            </w:r>
            <w:r>
              <w:rPr>
                <w:rFonts w:hint="eastAsia" w:ascii="宋体" w:hAnsi="宋体" w:cs="宋体"/>
                <w:sz w:val="21"/>
                <w:szCs w:val="21"/>
                <w:highlight w:val="none"/>
                <w:lang w:eastAsia="zh-CN"/>
              </w:rPr>
              <w:t>；</w:t>
            </w:r>
          </w:p>
          <w:p w14:paraId="08CA3D68">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9.系统须支持实例明细视图下钻，按状态筛选（在库/领用/待入库/损耗），实例卡片展示子条码、重量、入库/出库时间</w:t>
            </w:r>
            <w:r>
              <w:rPr>
                <w:rFonts w:hint="eastAsia" w:ascii="宋体" w:hAnsi="宋体" w:cs="宋体"/>
                <w:sz w:val="21"/>
                <w:szCs w:val="21"/>
                <w:highlight w:val="none"/>
                <w:lang w:eastAsia="zh-CN"/>
              </w:rPr>
              <w:t>；</w:t>
            </w:r>
          </w:p>
          <w:p w14:paraId="44471549">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10.系统须支持盘点任务父子级折叠展示，父级商品展开后显示所有子条码实例</w:t>
            </w:r>
            <w:r>
              <w:rPr>
                <w:rFonts w:hint="eastAsia" w:ascii="宋体" w:hAnsi="宋体" w:cs="宋体"/>
                <w:sz w:val="21"/>
                <w:szCs w:val="21"/>
                <w:highlight w:val="none"/>
                <w:lang w:eastAsia="zh-CN"/>
              </w:rPr>
              <w:t>；</w:t>
            </w:r>
          </w:p>
          <w:p w14:paraId="44FABFAC">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11.系统须支持盘点长按子条码3秒报缺失、批量「确认盘点完毕」整组完成</w:t>
            </w:r>
            <w:r>
              <w:rPr>
                <w:rFonts w:hint="eastAsia" w:ascii="宋体" w:hAnsi="宋体" w:cs="宋体"/>
                <w:sz w:val="21"/>
                <w:szCs w:val="21"/>
                <w:highlight w:val="none"/>
                <w:lang w:eastAsia="zh-CN"/>
              </w:rPr>
              <w:t>；</w:t>
            </w:r>
          </w:p>
          <w:p w14:paraId="6EE7BE1A">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12.系统须支持盘点任务管理员密码验证进入，超级管理员可删除已完成/已取消任务</w:t>
            </w:r>
            <w:r>
              <w:rPr>
                <w:rFonts w:hint="eastAsia" w:ascii="宋体" w:hAnsi="宋体" w:cs="宋体"/>
                <w:sz w:val="21"/>
                <w:szCs w:val="21"/>
                <w:highlight w:val="none"/>
                <w:lang w:eastAsia="zh-CN"/>
              </w:rPr>
              <w:t>；</w:t>
            </w:r>
          </w:p>
          <w:p w14:paraId="4A3DBE5B">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13.系统须支持盘点进度百分比、找到数、缺失数实时统计</w:t>
            </w:r>
            <w:r>
              <w:rPr>
                <w:rFonts w:hint="eastAsia" w:ascii="宋体" w:hAnsi="宋体" w:cs="宋体"/>
                <w:sz w:val="21"/>
                <w:szCs w:val="21"/>
                <w:highlight w:val="none"/>
                <w:lang w:eastAsia="zh-CN"/>
              </w:rPr>
              <w:t>；</w:t>
            </w:r>
          </w:p>
          <w:p w14:paraId="208F2AE4">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五、损耗与追踪参数</w:t>
            </w:r>
          </w:p>
          <w:p w14:paraId="6E51D9C2">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1.系统须支持物品全生命周期追踪，每件物品实例从创建、入库、出库、归还到损耗的每次状态变更均须记录操作人、时间、重量、用途等关键信息，确保全程可追溯</w:t>
            </w:r>
            <w:r>
              <w:rPr>
                <w:rFonts w:hint="eastAsia" w:ascii="宋体" w:hAnsi="宋体" w:cs="宋体"/>
                <w:sz w:val="21"/>
                <w:szCs w:val="21"/>
                <w:highlight w:val="none"/>
                <w:lang w:eastAsia="zh-CN"/>
              </w:rPr>
              <w:t>；</w:t>
            </w:r>
          </w:p>
          <w:p w14:paraId="56034688">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2.系统须支持损耗登记功能，通过扫码识别物品后选择损耗原因进行登记，损耗原因种类不少于8种</w:t>
            </w:r>
            <w:r>
              <w:rPr>
                <w:rFonts w:hint="eastAsia" w:ascii="宋体" w:hAnsi="宋体" w:cs="宋体"/>
                <w:sz w:val="21"/>
                <w:szCs w:val="21"/>
                <w:highlight w:val="none"/>
                <w:lang w:eastAsia="zh-CN"/>
              </w:rPr>
              <w:t>；</w:t>
            </w:r>
          </w:p>
          <w:p w14:paraId="780DE855">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3.系统须支持物品实例事件历史查询，可查看单件物品的完整流转记录</w:t>
            </w:r>
            <w:r>
              <w:rPr>
                <w:rFonts w:hint="eastAsia" w:ascii="宋体" w:hAnsi="宋体" w:cs="宋体"/>
                <w:sz w:val="21"/>
                <w:szCs w:val="21"/>
                <w:highlight w:val="none"/>
                <w:lang w:eastAsia="zh-CN"/>
              </w:rPr>
              <w:t>；</w:t>
            </w:r>
          </w:p>
          <w:p w14:paraId="1843E07A">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4.系统须支持损耗记录查询，支持按时间、物品等条件检索</w:t>
            </w:r>
            <w:r>
              <w:rPr>
                <w:rFonts w:hint="eastAsia" w:ascii="宋体" w:hAnsi="宋体" w:cs="宋体"/>
                <w:sz w:val="21"/>
                <w:szCs w:val="21"/>
                <w:highlight w:val="none"/>
                <w:lang w:eastAsia="zh-CN"/>
              </w:rPr>
              <w:t>；</w:t>
            </w:r>
          </w:p>
          <w:p w14:paraId="71277C1F">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5.系统须支持损耗原因包含：过期、变质、污染、破损、消耗完、标签脱落、安全风险、其他（手动输入）共8种</w:t>
            </w:r>
            <w:r>
              <w:rPr>
                <w:rFonts w:hint="eastAsia" w:ascii="宋体" w:hAnsi="宋体" w:cs="宋体"/>
                <w:sz w:val="21"/>
                <w:szCs w:val="21"/>
                <w:highlight w:val="none"/>
                <w:lang w:eastAsia="zh-CN"/>
              </w:rPr>
              <w:t>；</w:t>
            </w:r>
          </w:p>
          <w:p w14:paraId="5FEF0172">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6.系统须支持损耗记录导出到U盘CSV文件功能</w:t>
            </w:r>
            <w:r>
              <w:rPr>
                <w:rFonts w:hint="eastAsia" w:ascii="宋体" w:hAnsi="宋体" w:cs="宋体"/>
                <w:sz w:val="21"/>
                <w:szCs w:val="21"/>
                <w:highlight w:val="none"/>
                <w:lang w:eastAsia="zh-CN"/>
              </w:rPr>
              <w:t>；</w:t>
            </w:r>
          </w:p>
          <w:p w14:paraId="658828D0">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微软雅黑" w:hAnsi="微软雅黑" w:eastAsia="微软雅黑" w:cs="微软雅黑"/>
                <w:sz w:val="21"/>
                <w:szCs w:val="21"/>
                <w:highlight w:val="none"/>
              </w:rPr>
              <w:t>▲</w:t>
            </w:r>
            <w:r>
              <w:rPr>
                <w:rFonts w:hint="eastAsia" w:ascii="宋体" w:hAnsi="宋体" w:eastAsia="宋体" w:cs="宋体"/>
                <w:sz w:val="21"/>
                <w:szCs w:val="21"/>
                <w:highlight w:val="none"/>
              </w:rPr>
              <w:t>7.系统须支持生命周期时间轴可视化展示，包含创建、入库、出库、归还、损耗等事件节点，每节点显示人员、用途、重量、时间</w:t>
            </w:r>
            <w:r>
              <w:rPr>
                <w:rFonts w:hint="eastAsia" w:ascii="宋体" w:hAnsi="宋体" w:cs="宋体"/>
                <w:sz w:val="21"/>
                <w:szCs w:val="21"/>
                <w:highlight w:val="none"/>
                <w:lang w:eastAsia="zh-CN"/>
              </w:rPr>
              <w:t>；</w:t>
            </w:r>
          </w:p>
          <w:p w14:paraId="6D1BF306">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六、安全合规参数</w:t>
            </w:r>
          </w:p>
          <w:p w14:paraId="7C4246F5">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1.系统须支持危险化学品安全周知卡（SDS）功能，预置常用危化品安全数据表，包含盐酸、乙醇、丙酮、甲醇、硫酸、氢氧化钠、乙醚、三氯甲烷、乙酸等不少于9种</w:t>
            </w:r>
            <w:r>
              <w:rPr>
                <w:rFonts w:hint="eastAsia" w:ascii="宋体" w:hAnsi="宋体" w:eastAsia="宋体" w:cs="宋体"/>
                <w:sz w:val="21"/>
                <w:szCs w:val="21"/>
                <w:highlight w:val="none"/>
                <w:lang w:eastAsia="zh-CN"/>
              </w:rPr>
              <w:t>；</w:t>
            </w:r>
          </w:p>
          <w:p w14:paraId="613F347C">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2.系统须支持安全周知卡多入口访问，至少包含5种入口：主导航菜单、扫码出库自动弹出（阻断流程）、库存列表行内按钮、物品详情页Tab、CAS号输入框旁盾牌按钮</w:t>
            </w:r>
            <w:r>
              <w:rPr>
                <w:rFonts w:hint="eastAsia" w:ascii="宋体" w:hAnsi="宋体" w:eastAsia="宋体" w:cs="宋体"/>
                <w:sz w:val="21"/>
                <w:szCs w:val="21"/>
                <w:highlight w:val="none"/>
                <w:lang w:eastAsia="zh-CN"/>
              </w:rPr>
              <w:t>；</w:t>
            </w:r>
          </w:p>
          <w:p w14:paraId="463417A6">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系统须支持安全周知卡完整SDS字段展示，包含CAS号、中英文名、分子式、分子量、危险分类、危险特性、健康危害、急救措施、消防措施、泄漏处理、储运要求、防护措施、理化性质、稳定性/反应性、毒理学数据</w:t>
            </w:r>
            <w:r>
              <w:rPr>
                <w:rFonts w:hint="eastAsia" w:ascii="宋体" w:hAnsi="宋体" w:cs="宋体"/>
                <w:sz w:val="21"/>
                <w:szCs w:val="21"/>
                <w:highlight w:val="none"/>
                <w:lang w:eastAsia="zh-CN"/>
              </w:rPr>
              <w:t>；</w:t>
            </w:r>
          </w:p>
          <w:p w14:paraId="7F2AA062">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4.系统须支持危化品分级管理，预设分级包含：剧毒化学品、易制毒第一/二/三类、易制爆化学品、重点监管危险化学品、一般危险化学品、非危险化学品</w:t>
            </w:r>
            <w:r>
              <w:rPr>
                <w:rFonts w:hint="eastAsia" w:ascii="宋体" w:hAnsi="宋体" w:cs="宋体"/>
                <w:sz w:val="21"/>
                <w:szCs w:val="21"/>
                <w:highlight w:val="none"/>
                <w:lang w:eastAsia="zh-CN"/>
              </w:rPr>
              <w:t>；</w:t>
            </w:r>
          </w:p>
          <w:p w14:paraId="3D213B90">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5.系统须支持分级管理树形结构，支持父子层级关系，支持导入导出</w:t>
            </w:r>
            <w:r>
              <w:rPr>
                <w:rFonts w:hint="eastAsia" w:ascii="宋体" w:hAnsi="宋体" w:cs="宋体"/>
                <w:sz w:val="21"/>
                <w:szCs w:val="21"/>
                <w:highlight w:val="none"/>
                <w:lang w:eastAsia="zh-CN"/>
              </w:rPr>
              <w:t>；</w:t>
            </w:r>
          </w:p>
          <w:p w14:paraId="5DE5728B">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6.系统须支持安全周知卡打印功能，一键调用打印输出，A4单页适配布局</w:t>
            </w:r>
            <w:r>
              <w:rPr>
                <w:rFonts w:hint="eastAsia" w:ascii="宋体" w:hAnsi="宋体" w:cs="宋体"/>
                <w:sz w:val="21"/>
                <w:szCs w:val="21"/>
                <w:highlight w:val="none"/>
                <w:lang w:eastAsia="zh-CN"/>
              </w:rPr>
              <w:t>；</w:t>
            </w:r>
          </w:p>
          <w:p w14:paraId="78459320">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7.系统须支持安全周知卡数据导入功能，从Word .doc文件批量导入SDS数据</w:t>
            </w:r>
            <w:r>
              <w:rPr>
                <w:rFonts w:hint="eastAsia" w:ascii="宋体" w:hAnsi="宋体" w:cs="宋体"/>
                <w:sz w:val="21"/>
                <w:szCs w:val="21"/>
                <w:highlight w:val="none"/>
                <w:lang w:eastAsia="zh-CN"/>
              </w:rPr>
              <w:t>；</w:t>
            </w:r>
          </w:p>
          <w:p w14:paraId="1A7A8BC3">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微软雅黑" w:hAnsi="微软雅黑" w:eastAsia="微软雅黑" w:cs="微软雅黑"/>
                <w:sz w:val="21"/>
                <w:szCs w:val="21"/>
                <w:highlight w:val="none"/>
              </w:rPr>
              <w:t>▲</w:t>
            </w:r>
            <w:r>
              <w:rPr>
                <w:rFonts w:hint="eastAsia" w:ascii="宋体" w:hAnsi="宋体" w:eastAsia="宋体" w:cs="宋体"/>
                <w:sz w:val="21"/>
                <w:szCs w:val="21"/>
                <w:highlight w:val="none"/>
              </w:rPr>
              <w:t>8.系统须支持安全周知卡防护措施SVG图标网格展示，根据防护措施文本关键词自动匹配8种防护装备图标（防护手套、护目镜、防护服、防尘口罩、面罩、通风、洗眼器、安全帽）</w:t>
            </w:r>
            <w:r>
              <w:rPr>
                <w:rFonts w:hint="eastAsia" w:ascii="宋体" w:hAnsi="宋体" w:cs="宋体"/>
                <w:sz w:val="21"/>
                <w:szCs w:val="21"/>
                <w:highlight w:val="none"/>
                <w:lang w:eastAsia="zh-CN"/>
              </w:rPr>
              <w:t>；</w:t>
            </w:r>
          </w:p>
          <w:p w14:paraId="3B32B03F">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七、基础数据与接口参数</w:t>
            </w:r>
          </w:p>
          <w:p w14:paraId="443F1BF3">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1.系统须支持分类、存放位置、人员、部门、物品等基础数据的维护管理，并支持批量导入与导出</w:t>
            </w:r>
            <w:r>
              <w:rPr>
                <w:rFonts w:hint="eastAsia" w:ascii="宋体" w:hAnsi="宋体" w:cs="宋体"/>
                <w:sz w:val="21"/>
                <w:szCs w:val="21"/>
                <w:highlight w:val="none"/>
                <w:lang w:eastAsia="zh-CN"/>
              </w:rPr>
              <w:t>；</w:t>
            </w:r>
          </w:p>
          <w:p w14:paraId="5EDAC308">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2.系统须支持≥7种条码格式的识别与解析，包括二维码及一维码，支持系统内部编码自动生成</w:t>
            </w:r>
            <w:r>
              <w:rPr>
                <w:rFonts w:hint="eastAsia" w:ascii="宋体" w:hAnsi="宋体" w:cs="宋体"/>
                <w:sz w:val="21"/>
                <w:szCs w:val="21"/>
                <w:highlight w:val="none"/>
                <w:lang w:eastAsia="zh-CN"/>
              </w:rPr>
              <w:t>；</w:t>
            </w:r>
          </w:p>
          <w:p w14:paraId="3B11F000">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3.系统须支持串口台秤对接，实现实时称重、去皮、清零操作</w:t>
            </w:r>
            <w:r>
              <w:rPr>
                <w:rFonts w:hint="eastAsia" w:ascii="宋体" w:hAnsi="宋体" w:cs="宋体"/>
                <w:sz w:val="21"/>
                <w:szCs w:val="21"/>
                <w:highlight w:val="none"/>
                <w:lang w:eastAsia="zh-CN"/>
              </w:rPr>
              <w:t>；</w:t>
            </w:r>
          </w:p>
          <w:p w14:paraId="1C5088F1">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微软雅黑" w:hAnsi="微软雅黑" w:eastAsia="微软雅黑" w:cs="微软雅黑"/>
                <w:sz w:val="21"/>
                <w:szCs w:val="21"/>
                <w:highlight w:val="none"/>
              </w:rPr>
              <w:t>▲</w:t>
            </w:r>
            <w:r>
              <w:rPr>
                <w:rFonts w:hint="eastAsia" w:ascii="宋体" w:hAnsi="宋体" w:eastAsia="宋体" w:cs="宋体"/>
                <w:sz w:val="21"/>
                <w:szCs w:val="21"/>
                <w:highlight w:val="none"/>
              </w:rPr>
              <w:t>4.系统须支持USB扫码枪全局监听，无需手动聚焦即可识别扫码输入</w:t>
            </w:r>
            <w:r>
              <w:rPr>
                <w:rFonts w:hint="eastAsia" w:ascii="宋体" w:hAnsi="宋体" w:cs="宋体"/>
                <w:sz w:val="21"/>
                <w:szCs w:val="21"/>
                <w:highlight w:val="none"/>
                <w:lang w:eastAsia="zh-CN"/>
              </w:rPr>
              <w:t>；</w:t>
            </w:r>
          </w:p>
          <w:p w14:paraId="14D24D06">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5.系统须支持标签打印机及热敏打印机双打印机对接，分别用于物品标签输出和入库、出库、损耗、归还日志输出</w:t>
            </w:r>
            <w:r>
              <w:rPr>
                <w:rFonts w:hint="eastAsia" w:ascii="宋体" w:hAnsi="宋体" w:cs="宋体"/>
                <w:sz w:val="21"/>
                <w:szCs w:val="21"/>
                <w:highlight w:val="none"/>
                <w:lang w:eastAsia="zh-CN"/>
              </w:rPr>
              <w:t>；</w:t>
            </w:r>
          </w:p>
          <w:p w14:paraId="711DD167">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6.系统须支持WiFi网络管理，含状态查询、扫描、连接、断开</w:t>
            </w:r>
            <w:r>
              <w:rPr>
                <w:rFonts w:hint="eastAsia" w:ascii="宋体" w:hAnsi="宋体" w:eastAsia="宋体" w:cs="宋体"/>
                <w:sz w:val="21"/>
                <w:szCs w:val="21"/>
                <w:highlight w:val="none"/>
                <w:lang w:eastAsia="zh-CN"/>
              </w:rPr>
              <w:t>；</w:t>
            </w:r>
          </w:p>
          <w:p w14:paraId="1B1A939D">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▲7.系统须支持物品照片存储</w:t>
            </w:r>
            <w:r>
              <w:rPr>
                <w:rFonts w:hint="eastAsia" w:ascii="宋体" w:hAnsi="宋体" w:eastAsia="宋体" w:cs="宋体"/>
                <w:sz w:val="21"/>
                <w:szCs w:val="21"/>
                <w:highlight w:val="none"/>
                <w:lang w:eastAsia="zh-CN"/>
              </w:rPr>
              <w:t>；</w:t>
            </w:r>
          </w:p>
          <w:p w14:paraId="42371E2E">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8.系统须支持分类、位置、部门、分级均采用树形父子层级结构管理</w:t>
            </w:r>
            <w:r>
              <w:rPr>
                <w:rFonts w:hint="eastAsia" w:ascii="宋体" w:hAnsi="宋体" w:cs="宋体"/>
                <w:sz w:val="21"/>
                <w:szCs w:val="21"/>
                <w:highlight w:val="none"/>
                <w:lang w:eastAsia="zh-CN"/>
              </w:rPr>
              <w:t>；</w:t>
            </w:r>
          </w:p>
          <w:p w14:paraId="24B2655F">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9.系统须支持7种条码格式：EAN-13、EAN-8、UPC-A、Code-39、Code-128、QR Code二维码、内部编码，其中EAN-13/EAN-8支持校验位验证</w:t>
            </w:r>
            <w:r>
              <w:rPr>
                <w:rFonts w:hint="eastAsia" w:ascii="宋体" w:hAnsi="宋体" w:cs="宋体"/>
                <w:sz w:val="21"/>
                <w:szCs w:val="21"/>
                <w:highlight w:val="none"/>
                <w:lang w:eastAsia="zh-CN"/>
              </w:rPr>
              <w:t>；</w:t>
            </w:r>
          </w:p>
          <w:p w14:paraId="45A66325">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10.系统须支持硬件设备状态数据库持久化存储，设备配置断电不丢失</w:t>
            </w:r>
            <w:r>
              <w:rPr>
                <w:rFonts w:hint="eastAsia" w:ascii="宋体" w:hAnsi="宋体" w:cs="宋体"/>
                <w:sz w:val="21"/>
                <w:szCs w:val="21"/>
                <w:highlight w:val="none"/>
                <w:lang w:eastAsia="zh-CN"/>
              </w:rPr>
              <w:t>；</w:t>
            </w:r>
          </w:p>
          <w:p w14:paraId="79D77F09">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11.系统应支持硬件状态变化实时推送；当实时推送链路不可用时，能够自动降级为轮询模式，轮询周期不大于10 秒</w:t>
            </w:r>
            <w:r>
              <w:rPr>
                <w:rFonts w:hint="eastAsia"/>
                <w:highlight w:val="none"/>
                <w:lang w:eastAsia="zh-CN"/>
              </w:rPr>
              <w:t>；</w:t>
            </w:r>
          </w:p>
          <w:p w14:paraId="70000DAA">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八、联网模式与LIMS对接参数</w:t>
            </w:r>
          </w:p>
          <w:p w14:paraId="72C65E65">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1.系统须支持单机模式与联网模式双模式运行，单机模式数据本地存储开箱即用，联网模式对接LIMS系统实现数据云端同步</w:t>
            </w:r>
            <w:r>
              <w:rPr>
                <w:rFonts w:hint="eastAsia" w:ascii="宋体" w:hAnsi="宋体" w:cs="宋体"/>
                <w:sz w:val="21"/>
                <w:szCs w:val="21"/>
                <w:highlight w:val="none"/>
                <w:lang w:eastAsia="zh-CN"/>
              </w:rPr>
              <w:t>；</w:t>
            </w:r>
          </w:p>
          <w:p w14:paraId="64C9947E">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2.系统须支持三方案兜底登录体系：APP动态二维码扫码登录（1-2秒）、账号密码登录（10-20秒），确保任何情况均可登录</w:t>
            </w:r>
            <w:r>
              <w:rPr>
                <w:rFonts w:hint="eastAsia" w:ascii="宋体" w:hAnsi="宋体" w:cs="宋体"/>
                <w:sz w:val="21"/>
                <w:szCs w:val="21"/>
                <w:highlight w:val="none"/>
                <w:lang w:eastAsia="zh-CN"/>
              </w:rPr>
              <w:t>；</w:t>
            </w:r>
          </w:p>
          <w:p w14:paraId="23DEA104">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3.系统须支持离线登录功能，LIMS服务器不可达时可选择本地缓存用户并输入账号密码离线登录</w:t>
            </w:r>
            <w:r>
              <w:rPr>
                <w:rFonts w:hint="eastAsia" w:ascii="宋体" w:hAnsi="宋体" w:cs="宋体"/>
                <w:sz w:val="21"/>
                <w:szCs w:val="21"/>
                <w:highlight w:val="none"/>
                <w:lang w:eastAsia="zh-CN"/>
              </w:rPr>
              <w:t>；</w:t>
            </w:r>
          </w:p>
          <w:p w14:paraId="07DDD58E">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4.系统须支持LIMS数据双向同步，包含主数据同步（分类、位置、人员、部门、分级、物品）及交易数据推送队列（出入库、归还、损耗、盘点记录），失败自动重试</w:t>
            </w:r>
            <w:r>
              <w:rPr>
                <w:rFonts w:hint="eastAsia" w:ascii="宋体" w:hAnsi="宋体" w:cs="宋体"/>
                <w:sz w:val="21"/>
                <w:szCs w:val="21"/>
                <w:highlight w:val="none"/>
                <w:lang w:eastAsia="zh-CN"/>
              </w:rPr>
              <w:t>；</w:t>
            </w:r>
          </w:p>
          <w:p w14:paraId="2E48170D">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5.系统须支持待办事项功能，联网模式下拉取LIMS待办单据，点击待办跳转对应操作页（领用→出库、归还/入库→入库、损耗→损耗登记）</w:t>
            </w:r>
          </w:p>
          <w:p w14:paraId="5FBF5DBD">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6.系统须支持同步状态实时指示器，显示待推送数量、失败数、最后同步时间，点击跳转同步设置</w:t>
            </w:r>
            <w:r>
              <w:rPr>
                <w:rFonts w:hint="eastAsia" w:ascii="宋体" w:hAnsi="宋体" w:cs="宋体"/>
                <w:sz w:val="21"/>
                <w:szCs w:val="21"/>
                <w:highlight w:val="none"/>
                <w:lang w:eastAsia="zh-CN"/>
              </w:rPr>
              <w:t>；</w:t>
            </w:r>
          </w:p>
          <w:p w14:paraId="0FD8A624">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7.系统须支持工牌二维码格式</w:t>
            </w:r>
            <w:r>
              <w:rPr>
                <w:rFonts w:hint="eastAsia" w:ascii="宋体" w:hAnsi="宋体" w:cs="宋体"/>
                <w:sz w:val="21"/>
                <w:szCs w:val="21"/>
                <w:highlight w:val="none"/>
                <w:lang w:eastAsia="zh-CN"/>
              </w:rPr>
              <w:t>；</w:t>
            </w:r>
          </w:p>
          <w:p w14:paraId="556B814E">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8.系统应支持业务事件实时推送，覆盖入库完成、出库完成、归还完成、损耗登记、盘点完成、标签生成等 6 类业务事件，事件可实时同步至 LIMS 服务器</w:t>
            </w:r>
            <w:r>
              <w:rPr>
                <w:rFonts w:hint="eastAsia" w:ascii="宋体" w:hAnsi="宋体" w:cs="宋体"/>
                <w:sz w:val="21"/>
                <w:szCs w:val="21"/>
                <w:highlight w:val="none"/>
                <w:lang w:eastAsia="zh-CN"/>
              </w:rPr>
              <w:t>；</w:t>
            </w:r>
          </w:p>
          <w:p w14:paraId="0CD43331">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9.系统应具备设备在线状态心跳上报能力，定时向 LIMS 服务端上报设备在线状态，断网后支持自动重连重试</w:t>
            </w:r>
            <w:r>
              <w:rPr>
                <w:rFonts w:hint="eastAsia" w:ascii="宋体" w:hAnsi="宋体" w:cs="宋体"/>
                <w:sz w:val="21"/>
                <w:szCs w:val="21"/>
                <w:highlight w:val="none"/>
                <w:lang w:eastAsia="zh-CN"/>
              </w:rPr>
              <w:t>；</w:t>
            </w:r>
          </w:p>
          <w:p w14:paraId="0D141BBB">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10.系统应支持接收并执行 LIMS 下发的终端指令，具备设备控制、强制数据同步、设备远程重启能力</w:t>
            </w:r>
            <w:r>
              <w:rPr>
                <w:rFonts w:hint="eastAsia" w:ascii="宋体" w:hAnsi="宋体" w:cs="宋体"/>
                <w:sz w:val="21"/>
                <w:szCs w:val="21"/>
                <w:highlight w:val="none"/>
                <w:lang w:eastAsia="zh-CN"/>
              </w:rPr>
              <w:t>；</w:t>
            </w:r>
          </w:p>
          <w:p w14:paraId="1A2CD60D">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11.系统应提供接口支持动态配置对接服务相关参数，可配置服务地址、端口、用户名、密码等连接信息</w:t>
            </w:r>
            <w:r>
              <w:rPr>
                <w:rFonts w:hint="eastAsia"/>
                <w:highlight w:val="none"/>
                <w:lang w:eastAsia="zh-CN"/>
              </w:rPr>
              <w:t>；</w:t>
            </w:r>
          </w:p>
          <w:p w14:paraId="1E8CE09F">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九、系统运行与安全参数</w:t>
            </w:r>
          </w:p>
          <w:p w14:paraId="5C7F1F19">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1.系统须支持全屏运行模式及开机自启动，适用于无人值守场景</w:t>
            </w:r>
            <w:r>
              <w:rPr>
                <w:rFonts w:hint="eastAsia" w:ascii="宋体" w:hAnsi="宋体" w:cs="宋体"/>
                <w:sz w:val="21"/>
                <w:szCs w:val="21"/>
                <w:highlight w:val="none"/>
                <w:lang w:eastAsia="zh-CN"/>
              </w:rPr>
              <w:t>；</w:t>
            </w:r>
          </w:p>
          <w:p w14:paraId="72105DFB">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2.系统须支持机器码绑定的授权激活机制，一机一码，防止未授权使用</w:t>
            </w:r>
            <w:r>
              <w:rPr>
                <w:rFonts w:hint="eastAsia" w:ascii="宋体" w:hAnsi="宋体" w:cs="宋体"/>
                <w:sz w:val="21"/>
                <w:szCs w:val="21"/>
                <w:highlight w:val="none"/>
                <w:lang w:eastAsia="zh-CN"/>
              </w:rPr>
              <w:t>；</w:t>
            </w:r>
          </w:p>
          <w:p w14:paraId="60121172">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3.系统须支持称重单位、称重精度、息屏时间、标签纸规格、编码类型、预警阈值等运行参数可配置</w:t>
            </w:r>
            <w:r>
              <w:rPr>
                <w:rFonts w:hint="eastAsia" w:ascii="宋体" w:hAnsi="宋体" w:cs="宋体"/>
                <w:sz w:val="21"/>
                <w:szCs w:val="21"/>
                <w:highlight w:val="none"/>
                <w:lang w:eastAsia="zh-CN"/>
              </w:rPr>
              <w:t>；</w:t>
            </w:r>
          </w:p>
          <w:p w14:paraId="3B1C55A4">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4.系统须支持超时自动息屏，触摸唤醒</w:t>
            </w:r>
            <w:r>
              <w:rPr>
                <w:rFonts w:hint="eastAsia" w:ascii="宋体" w:hAnsi="宋体" w:cs="宋体"/>
                <w:sz w:val="21"/>
                <w:szCs w:val="21"/>
                <w:highlight w:val="none"/>
                <w:lang w:eastAsia="zh-CN"/>
              </w:rPr>
              <w:t>；</w:t>
            </w:r>
          </w:p>
          <w:p w14:paraId="25851A87">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5.系统须支持AI智能助手主题皮肤切换</w:t>
            </w:r>
            <w:r>
              <w:rPr>
                <w:rFonts w:hint="eastAsia" w:ascii="宋体" w:hAnsi="宋体" w:cs="宋体"/>
                <w:sz w:val="21"/>
                <w:szCs w:val="21"/>
                <w:highlight w:val="none"/>
                <w:lang w:eastAsia="zh-CN"/>
              </w:rPr>
              <w:t>；</w:t>
            </w:r>
          </w:p>
          <w:p w14:paraId="4D965E38">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6.系统须支持操作音效反馈</w:t>
            </w:r>
            <w:r>
              <w:rPr>
                <w:rFonts w:hint="eastAsia" w:ascii="宋体" w:hAnsi="宋体" w:cs="宋体"/>
                <w:sz w:val="21"/>
                <w:szCs w:val="21"/>
                <w:highlight w:val="none"/>
                <w:lang w:eastAsia="zh-CN"/>
              </w:rPr>
              <w:t>；</w:t>
            </w:r>
          </w:p>
          <w:p w14:paraId="046B2818">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7.系统须支持管理密码保护，系统设置操作需验证密码</w:t>
            </w:r>
            <w:r>
              <w:rPr>
                <w:rFonts w:hint="eastAsia" w:ascii="宋体" w:hAnsi="宋体" w:cs="宋体"/>
                <w:sz w:val="21"/>
                <w:szCs w:val="21"/>
                <w:highlight w:val="none"/>
                <w:lang w:eastAsia="zh-CN"/>
              </w:rPr>
              <w:t>；</w:t>
            </w:r>
          </w:p>
          <w:p w14:paraId="52AEADA0">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8.系统须支持功能模式切换</w:t>
            </w:r>
            <w:r>
              <w:rPr>
                <w:rFonts w:hint="eastAsia" w:ascii="宋体" w:hAnsi="宋体" w:cs="宋体"/>
                <w:sz w:val="21"/>
                <w:szCs w:val="21"/>
                <w:highlight w:val="none"/>
                <w:lang w:eastAsia="zh-CN"/>
              </w:rPr>
              <w:t>；</w:t>
            </w:r>
          </w:p>
          <w:p w14:paraId="7398173A">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9.系统数据本地存储，不出本机</w:t>
            </w:r>
            <w:r>
              <w:rPr>
                <w:rFonts w:hint="eastAsia" w:ascii="宋体" w:hAnsi="宋体" w:eastAsia="宋体" w:cs="宋体"/>
                <w:sz w:val="21"/>
                <w:szCs w:val="21"/>
                <w:highlight w:val="none"/>
                <w:lang w:eastAsia="zh-CN"/>
              </w:rPr>
              <w:t>；</w:t>
            </w:r>
          </w:p>
          <w:p w14:paraId="7F80E65E">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▲10.系统须支持AI智能助手功能</w:t>
            </w:r>
            <w:r>
              <w:rPr>
                <w:rFonts w:hint="eastAsia" w:ascii="宋体" w:hAnsi="宋体" w:eastAsia="宋体" w:cs="宋体"/>
                <w:sz w:val="21"/>
                <w:szCs w:val="21"/>
                <w:highlight w:val="none"/>
                <w:lang w:eastAsia="zh-CN"/>
              </w:rPr>
              <w:t>；</w:t>
            </w:r>
          </w:p>
          <w:p w14:paraId="4422603B">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11.系统须支持不少于</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0套主题皮肤切换</w:t>
            </w:r>
            <w:r>
              <w:rPr>
                <w:rFonts w:hint="eastAsia" w:ascii="宋体" w:hAnsi="宋体" w:cs="宋体"/>
                <w:sz w:val="21"/>
                <w:szCs w:val="21"/>
                <w:highlight w:val="none"/>
                <w:lang w:eastAsia="zh-CN"/>
              </w:rPr>
              <w:t>；</w:t>
            </w:r>
          </w:p>
          <w:p w14:paraId="67773C9D">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12.系统须支持OTA远程升级功能，通过网络下载升级包并执行替换（保留数据目录），支持MQTT远程更换检查地址</w:t>
            </w:r>
            <w:r>
              <w:rPr>
                <w:rFonts w:hint="eastAsia" w:ascii="宋体" w:hAnsi="宋体" w:cs="宋体"/>
                <w:sz w:val="21"/>
                <w:szCs w:val="21"/>
                <w:highlight w:val="none"/>
                <w:lang w:eastAsia="zh-CN"/>
              </w:rPr>
              <w:t>；</w:t>
            </w:r>
          </w:p>
          <w:p w14:paraId="75AE7190">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13.系统须支持守护进程，后端异常自动重启，重连遮罩提示</w:t>
            </w:r>
            <w:r>
              <w:rPr>
                <w:rFonts w:hint="eastAsia" w:ascii="宋体" w:hAnsi="宋体" w:cs="宋体"/>
                <w:sz w:val="21"/>
                <w:szCs w:val="21"/>
                <w:highlight w:val="none"/>
                <w:lang w:eastAsia="zh-CN"/>
              </w:rPr>
              <w:t>；</w:t>
            </w:r>
          </w:p>
          <w:p w14:paraId="41027C30">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14.系统须支持超级管理员与普通管理员双级密码体系，超级管理员可操作联网模式切换、盘点任务删除等高级功能</w:t>
            </w:r>
            <w:r>
              <w:rPr>
                <w:rFonts w:hint="eastAsia" w:ascii="宋体" w:hAnsi="宋体" w:cs="宋体"/>
                <w:sz w:val="21"/>
                <w:szCs w:val="21"/>
                <w:highlight w:val="none"/>
                <w:lang w:eastAsia="zh-CN"/>
              </w:rPr>
              <w:t>；</w:t>
            </w:r>
          </w:p>
          <w:p w14:paraId="127E8DF2">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15.系统须支持授权码基于机器码生成</w:t>
            </w:r>
            <w:r>
              <w:rPr>
                <w:rFonts w:hint="eastAsia" w:ascii="宋体" w:hAnsi="宋体" w:cs="宋体"/>
                <w:sz w:val="21"/>
                <w:szCs w:val="21"/>
                <w:highlight w:val="none"/>
                <w:lang w:eastAsia="zh-CN"/>
              </w:rPr>
              <w:t>；</w:t>
            </w:r>
          </w:p>
          <w:p w14:paraId="47E6EBEE">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16.系统须支持AI助手独立激活机制，与主系统授权分离</w:t>
            </w:r>
            <w:r>
              <w:rPr>
                <w:rFonts w:hint="eastAsia" w:ascii="宋体" w:hAnsi="宋体" w:cs="宋体"/>
                <w:sz w:val="21"/>
                <w:szCs w:val="21"/>
                <w:highlight w:val="none"/>
                <w:lang w:eastAsia="zh-CN"/>
              </w:rPr>
              <w:t>；</w:t>
            </w:r>
          </w:p>
          <w:p w14:paraId="03F1FD76">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十、数据导入导出参数（新增章节）</w:t>
            </w:r>
          </w:p>
          <w:p w14:paraId="3E5D71B4">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1.系统须支持U盘CSV数据导出功能，导出文件采用UTF-8-BOM编码兼容Windows Excel</w:t>
            </w:r>
            <w:r>
              <w:rPr>
                <w:rFonts w:hint="eastAsia" w:ascii="宋体" w:hAnsi="宋体" w:cs="宋体"/>
                <w:sz w:val="21"/>
                <w:szCs w:val="21"/>
                <w:highlight w:val="none"/>
                <w:lang w:eastAsia="zh-CN"/>
              </w:rPr>
              <w:t>；</w:t>
            </w:r>
          </w:p>
          <w:p w14:paraId="2E9A493E">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2.系统须支持导出数据类型包含：库存、出库记录、归还记录、损耗记录、耗材信息、分类、位置、人员、部门、分级、安全周知卡</w:t>
            </w:r>
            <w:r>
              <w:rPr>
                <w:rFonts w:hint="eastAsia" w:ascii="宋体" w:hAnsi="宋体" w:cs="宋体"/>
                <w:sz w:val="21"/>
                <w:szCs w:val="21"/>
                <w:highlight w:val="none"/>
                <w:lang w:eastAsia="zh-CN"/>
              </w:rPr>
              <w:t>；</w:t>
            </w:r>
          </w:p>
          <w:p w14:paraId="53C2E839">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3.系统须支持每类数据导出对应的导入模板，便于规范数据格式</w:t>
            </w:r>
            <w:r>
              <w:rPr>
                <w:rFonts w:hint="eastAsia" w:ascii="宋体" w:hAnsi="宋体" w:cs="宋体"/>
                <w:sz w:val="21"/>
                <w:szCs w:val="21"/>
                <w:highlight w:val="none"/>
                <w:lang w:eastAsia="zh-CN"/>
              </w:rPr>
              <w:t>；</w:t>
            </w:r>
          </w:p>
          <w:p w14:paraId="63128FFE">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4.系统须支持从U盘CSV文件批量导入基础数据</w:t>
            </w:r>
            <w:r>
              <w:rPr>
                <w:rFonts w:hint="eastAsia" w:ascii="宋体" w:hAnsi="宋体" w:cs="宋体"/>
                <w:sz w:val="21"/>
                <w:szCs w:val="21"/>
                <w:highlight w:val="none"/>
                <w:lang w:eastAsia="zh-CN"/>
              </w:rPr>
              <w:t>；</w:t>
            </w:r>
          </w:p>
          <w:p w14:paraId="2F8E6373">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5.系统须支持Excel批量初始化功能，可从Excel文件导入分类、位置、物料数据</w:t>
            </w:r>
            <w:r>
              <w:rPr>
                <w:rFonts w:hint="eastAsia" w:ascii="宋体" w:hAnsi="宋体" w:cs="宋体"/>
                <w:sz w:val="21"/>
                <w:szCs w:val="21"/>
                <w:highlight w:val="none"/>
                <w:lang w:eastAsia="zh-CN"/>
              </w:rPr>
              <w:t>；</w:t>
            </w:r>
          </w:p>
          <w:p w14:paraId="7AA5103D">
            <w:pPr>
              <w:keepNext w:val="0"/>
              <w:keepLines w:val="0"/>
              <w:pageBreakBefore w:val="0"/>
              <w:widowControl/>
              <w:kinsoku/>
              <w:wordWrap/>
              <w:overflowPunct/>
              <w:topLinePunct w:val="0"/>
              <w:autoSpaceDE/>
              <w:bidi w:val="0"/>
              <w:spacing w:line="360" w:lineRule="auto"/>
              <w:jc w:val="left"/>
              <w:rPr>
                <w:rFonts w:hint="eastAsia" w:eastAsia="宋体" w:asciiTheme="minorEastAsia" w:hAnsiTheme="minorEastAsia" w:cstheme="minorEastAsia"/>
                <w:color w:val="000000"/>
                <w:kern w:val="0"/>
                <w:sz w:val="21"/>
                <w:szCs w:val="21"/>
                <w:highlight w:val="none"/>
                <w:lang w:val="en-US" w:eastAsia="zh-CN" w:bidi="ar-SA"/>
              </w:rPr>
            </w:pPr>
            <w:r>
              <w:rPr>
                <w:rFonts w:hint="eastAsia" w:ascii="宋体" w:hAnsi="宋体" w:eastAsia="宋体" w:cs="宋体"/>
                <w:sz w:val="21"/>
                <w:szCs w:val="21"/>
                <w:highlight w:val="none"/>
              </w:rPr>
              <w:t>6.系统须支持分级管理导入导出及恢复默认功能</w:t>
            </w:r>
            <w:r>
              <w:rPr>
                <w:rFonts w:hint="eastAsia" w:ascii="宋体" w:hAnsi="宋体" w:cs="宋体"/>
                <w:sz w:val="21"/>
                <w:szCs w:val="21"/>
                <w:highlight w:val="none"/>
                <w:lang w:eastAsia="zh-CN"/>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6AB311CB">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2台</w:t>
            </w:r>
          </w:p>
        </w:tc>
      </w:tr>
      <w:tr w14:paraId="0267F7C5">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33A5819">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C13039F">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5A0C745">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医用冷蔵箱</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4C4C499">
            <w:pPr>
              <w:keepNext w:val="0"/>
              <w:keepLines w:val="0"/>
              <w:pageBreakBefore w:val="0"/>
              <w:kinsoku/>
              <w:wordWrap/>
              <w:overflowPunct/>
              <w:topLinePunct w:val="0"/>
              <w:autoSpaceDE/>
              <w:bidi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1.产品采用微电脑控制，控制与显示精度0.1℃，LED数码管显示，观察方便； </w:t>
            </w:r>
          </w:p>
          <w:p w14:paraId="6DECE537">
            <w:pPr>
              <w:keepNext w:val="0"/>
              <w:keepLines w:val="0"/>
              <w:pageBreakBefore w:val="0"/>
              <w:kinsoku/>
              <w:wordWrap/>
              <w:overflowPunct/>
              <w:topLinePunct w:val="0"/>
              <w:autoSpaceDE/>
              <w:bidi w:val="0"/>
              <w:spacing w:line="360" w:lineRule="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2.产品箱内温度2～8℃，风冷设计，采用循环风冷背吹，使箱内温度更加均匀</w:t>
            </w:r>
            <w:r>
              <w:rPr>
                <w:rFonts w:hint="eastAsia" w:ascii="宋体" w:hAnsi="宋体" w:cs="宋体"/>
                <w:color w:val="000000"/>
                <w:sz w:val="21"/>
                <w:szCs w:val="21"/>
                <w:highlight w:val="none"/>
                <w:lang w:eastAsia="zh-CN"/>
              </w:rPr>
              <w:t>；</w:t>
            </w:r>
          </w:p>
          <w:p w14:paraId="2F04E776">
            <w:pPr>
              <w:keepNext w:val="0"/>
              <w:keepLines w:val="0"/>
              <w:pageBreakBefore w:val="0"/>
              <w:kinsoku/>
              <w:wordWrap/>
              <w:overflowPunct/>
              <w:topLinePunct w:val="0"/>
              <w:autoSpaceDE/>
              <w:bidi w:val="0"/>
              <w:spacing w:line="360" w:lineRule="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3.温度控制：电子温控器控制，数字温度显示，可通过调整设定温度使箱内温度恒定控制在2℃-8℃，调节增量为0.1℃，分辨率0.1℃</w:t>
            </w:r>
            <w:r>
              <w:rPr>
                <w:rFonts w:hint="eastAsia" w:ascii="宋体" w:hAnsi="宋体" w:cs="宋体"/>
                <w:color w:val="000000"/>
                <w:sz w:val="21"/>
                <w:szCs w:val="21"/>
                <w:highlight w:val="none"/>
                <w:lang w:eastAsia="zh-CN"/>
              </w:rPr>
              <w:t>；</w:t>
            </w:r>
          </w:p>
          <w:p w14:paraId="50CBAF49">
            <w:pPr>
              <w:keepNext w:val="0"/>
              <w:keepLines w:val="0"/>
              <w:pageBreakBefore w:val="0"/>
              <w:kinsoku/>
              <w:wordWrap/>
              <w:overflowPunct/>
              <w:topLinePunct w:val="0"/>
              <w:autoSpaceDE/>
              <w:bidi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4.报警功能齐全，多种故障报警（高低温报警、传感器报警、电池电量低报警、开门报警、断电报警、制冷系统故障报警）；</w:t>
            </w:r>
          </w:p>
          <w:p w14:paraId="1537AA49">
            <w:pPr>
              <w:keepNext w:val="0"/>
              <w:keepLines w:val="0"/>
              <w:pageBreakBefore w:val="0"/>
              <w:kinsoku/>
              <w:wordWrap/>
              <w:overflowPunct/>
              <w:topLinePunct w:val="0"/>
              <w:autoSpaceDE/>
              <w:bidi w:val="0"/>
              <w:spacing w:line="360" w:lineRule="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四种报警方式：声音报警、灯光报警、远程报警、云平台报警</w:t>
            </w:r>
            <w:r>
              <w:rPr>
                <w:rFonts w:hint="eastAsia" w:ascii="宋体" w:hAnsi="宋体" w:cs="宋体"/>
                <w:color w:val="000000"/>
                <w:sz w:val="21"/>
                <w:szCs w:val="21"/>
                <w:highlight w:val="none"/>
                <w:lang w:eastAsia="zh-CN"/>
              </w:rPr>
              <w:t>；</w:t>
            </w:r>
          </w:p>
          <w:p w14:paraId="696B9E60">
            <w:pPr>
              <w:keepNext w:val="0"/>
              <w:keepLines w:val="0"/>
              <w:pageBreakBefore w:val="0"/>
              <w:kinsoku/>
              <w:wordWrap/>
              <w:overflowPunct/>
              <w:topLinePunct w:val="0"/>
              <w:autoSpaceDE/>
              <w:bidi w:val="0"/>
              <w:spacing w:line="360" w:lineRule="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5．冷凝水汇集后自动蒸发，免除人工处理冷凝水的烦恼</w:t>
            </w:r>
            <w:r>
              <w:rPr>
                <w:rFonts w:hint="eastAsia" w:ascii="宋体" w:hAnsi="宋体" w:cs="宋体"/>
                <w:color w:val="000000"/>
                <w:sz w:val="21"/>
                <w:szCs w:val="21"/>
                <w:highlight w:val="none"/>
                <w:lang w:eastAsia="zh-CN"/>
              </w:rPr>
              <w:t>；</w:t>
            </w:r>
          </w:p>
          <w:p w14:paraId="453377D6">
            <w:pPr>
              <w:keepNext w:val="0"/>
              <w:keepLines w:val="0"/>
              <w:pageBreakBefore w:val="0"/>
              <w:kinsoku/>
              <w:wordWrap/>
              <w:overflowPunct/>
              <w:topLinePunct w:val="0"/>
              <w:autoSpaceDE/>
              <w:bidi w:val="0"/>
              <w:spacing w:line="360" w:lineRule="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6.具有远程报警功能，可连接报警器到其他房间实现报警功能</w:t>
            </w:r>
            <w:r>
              <w:rPr>
                <w:rFonts w:hint="eastAsia" w:ascii="宋体" w:hAnsi="宋体" w:cs="宋体"/>
                <w:color w:val="000000"/>
                <w:sz w:val="21"/>
                <w:szCs w:val="21"/>
                <w:highlight w:val="none"/>
                <w:lang w:eastAsia="zh-CN"/>
              </w:rPr>
              <w:t>；</w:t>
            </w:r>
          </w:p>
          <w:p w14:paraId="787087FD">
            <w:pPr>
              <w:keepNext w:val="0"/>
              <w:keepLines w:val="0"/>
              <w:pageBreakBefore w:val="0"/>
              <w:kinsoku/>
              <w:wordWrap/>
              <w:overflowPunct/>
              <w:topLinePunct w:val="0"/>
              <w:autoSpaceDE/>
              <w:bidi w:val="0"/>
              <w:spacing w:line="360" w:lineRule="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7.配备脚轮，灵活，可移动、可通过底脚固定</w:t>
            </w:r>
            <w:r>
              <w:rPr>
                <w:rFonts w:hint="eastAsia" w:ascii="宋体" w:hAnsi="宋体" w:cs="宋体"/>
                <w:color w:val="000000"/>
                <w:sz w:val="21"/>
                <w:szCs w:val="21"/>
                <w:highlight w:val="none"/>
                <w:lang w:eastAsia="zh-CN"/>
              </w:rPr>
              <w:t>；</w:t>
            </w:r>
          </w:p>
          <w:p w14:paraId="01B40182">
            <w:pPr>
              <w:keepNext w:val="0"/>
              <w:keepLines w:val="0"/>
              <w:pageBreakBefore w:val="0"/>
              <w:kinsoku/>
              <w:wordWrap/>
              <w:overflowPunct/>
              <w:topLinePunct w:val="0"/>
              <w:autoSpaceDE/>
              <w:bidi w:val="0"/>
              <w:spacing w:line="360" w:lineRule="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8.冷凝风机：冷凝风机：配置高效冷凝轴流风机，EC 无刷电机，具备调速功能，低噪音、长寿命；风机风量、风压满足设备冷凝散热设计要求</w:t>
            </w:r>
            <w:r>
              <w:rPr>
                <w:rFonts w:hint="eastAsia" w:ascii="宋体" w:hAnsi="宋体" w:cs="宋体"/>
                <w:color w:val="000000"/>
                <w:sz w:val="21"/>
                <w:szCs w:val="21"/>
                <w:highlight w:val="none"/>
                <w:lang w:eastAsia="zh-CN"/>
              </w:rPr>
              <w:t>；</w:t>
            </w:r>
          </w:p>
          <w:p w14:paraId="4892AE32">
            <w:pPr>
              <w:keepNext w:val="0"/>
              <w:keepLines w:val="0"/>
              <w:pageBreakBefore w:val="0"/>
              <w:kinsoku/>
              <w:wordWrap/>
              <w:overflowPunct/>
              <w:topLinePunct w:val="0"/>
              <w:autoSpaceDE/>
              <w:bidi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9.材料：箱体采用彩色喷涂钢板，内胆PS吸附内胆，有效防菌防腐蚀</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rPr>
              <w:t xml:space="preserve"> </w:t>
            </w:r>
          </w:p>
          <w:p w14:paraId="78815C31">
            <w:pPr>
              <w:keepNext w:val="0"/>
              <w:keepLines w:val="0"/>
              <w:pageBreakBefore w:val="0"/>
              <w:kinsoku/>
              <w:wordWrap/>
              <w:overflowPunct/>
              <w:topLinePunct w:val="0"/>
              <w:autoSpaceDE/>
              <w:bidi w:val="0"/>
              <w:spacing w:line="360" w:lineRule="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10.门体：电极式加热玻璃门，实现32℃环温、85%湿度条件下无凝露；自关门功能，防止使用过程中门关不严的情况</w:t>
            </w:r>
            <w:r>
              <w:rPr>
                <w:rFonts w:hint="eastAsia" w:ascii="宋体" w:hAnsi="宋体" w:cs="宋体"/>
                <w:color w:val="000000"/>
                <w:sz w:val="21"/>
                <w:szCs w:val="21"/>
                <w:highlight w:val="none"/>
                <w:lang w:eastAsia="zh-CN"/>
              </w:rPr>
              <w:t>；</w:t>
            </w:r>
          </w:p>
          <w:p w14:paraId="3C9E160C">
            <w:pPr>
              <w:keepNext w:val="0"/>
              <w:keepLines w:val="0"/>
              <w:pageBreakBefore w:val="0"/>
              <w:kinsoku/>
              <w:wordWrap/>
              <w:overflowPunct/>
              <w:topLinePunct w:val="0"/>
              <w:autoSpaceDE/>
              <w:bidi w:val="0"/>
              <w:spacing w:line="360" w:lineRule="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11.多层搁架设计，搁架带标识牌插槽便于区分存储物品，可实现分类存取物品</w:t>
            </w:r>
            <w:r>
              <w:rPr>
                <w:rFonts w:hint="eastAsia" w:ascii="宋体" w:hAnsi="宋体" w:cs="宋体"/>
                <w:color w:val="000000"/>
                <w:sz w:val="21"/>
                <w:szCs w:val="21"/>
                <w:highlight w:val="none"/>
                <w:lang w:eastAsia="zh-CN"/>
              </w:rPr>
              <w:t>；</w:t>
            </w:r>
          </w:p>
          <w:p w14:paraId="6E31D131">
            <w:pPr>
              <w:keepNext w:val="0"/>
              <w:keepLines w:val="0"/>
              <w:pageBreakBefore w:val="0"/>
              <w:kinsoku/>
              <w:wordWrap/>
              <w:overflowPunct/>
              <w:topLinePunct w:val="0"/>
              <w:autoSpaceDE/>
              <w:bidi w:val="0"/>
              <w:spacing w:line="360" w:lineRule="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12.产品照明灯：采用LED冷光源，功耗低，亮度高，更好的方便观察</w:t>
            </w:r>
            <w:r>
              <w:rPr>
                <w:rFonts w:hint="eastAsia" w:ascii="宋体" w:hAnsi="宋体" w:cs="宋体"/>
                <w:color w:val="000000"/>
                <w:sz w:val="21"/>
                <w:szCs w:val="21"/>
                <w:highlight w:val="none"/>
                <w:lang w:eastAsia="zh-CN"/>
              </w:rPr>
              <w:t>；</w:t>
            </w:r>
          </w:p>
          <w:p w14:paraId="486A9343">
            <w:pPr>
              <w:keepNext w:val="0"/>
              <w:keepLines w:val="0"/>
              <w:pageBreakBefore w:val="0"/>
              <w:kinsoku/>
              <w:wordWrap/>
              <w:overflowPunct/>
              <w:topLinePunct w:val="0"/>
              <w:autoSpaceDE/>
              <w:bidi w:val="0"/>
              <w:spacing w:line="360" w:lineRule="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13.门体带门锁，同时在侧面增加锁扣，可配置挂锁，双重安全保障</w:t>
            </w:r>
            <w:r>
              <w:rPr>
                <w:rFonts w:hint="eastAsia" w:ascii="宋体" w:hAnsi="宋体" w:cs="宋体"/>
                <w:color w:val="000000"/>
                <w:sz w:val="21"/>
                <w:szCs w:val="21"/>
                <w:highlight w:val="none"/>
                <w:lang w:eastAsia="zh-CN"/>
              </w:rPr>
              <w:t>；</w:t>
            </w:r>
          </w:p>
          <w:p w14:paraId="232C19AD">
            <w:pPr>
              <w:keepNext w:val="0"/>
              <w:keepLines w:val="0"/>
              <w:pageBreakBefore w:val="0"/>
              <w:kinsoku/>
              <w:wordWrap/>
              <w:overflowPunct/>
              <w:topLinePunct w:val="0"/>
              <w:autoSpaceDE/>
              <w:bidi w:val="0"/>
              <w:spacing w:line="360" w:lineRule="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14.具有后备电池设计，断电后仍可持续显示箱内温度及声光报警48小时以上，且电脑板具有断电记忆功能，报警声音可取消</w:t>
            </w:r>
            <w:r>
              <w:rPr>
                <w:rFonts w:hint="eastAsia" w:ascii="宋体" w:hAnsi="宋体" w:cs="宋体"/>
                <w:color w:val="000000"/>
                <w:sz w:val="21"/>
                <w:szCs w:val="21"/>
                <w:highlight w:val="none"/>
                <w:lang w:eastAsia="zh-CN"/>
              </w:rPr>
              <w:t>；</w:t>
            </w:r>
          </w:p>
          <w:p w14:paraId="5643D241">
            <w:pPr>
              <w:keepNext w:val="0"/>
              <w:keepLines w:val="0"/>
              <w:pageBreakBefore w:val="0"/>
              <w:kinsoku/>
              <w:wordWrap/>
              <w:overflowPunct/>
              <w:topLinePunct w:val="0"/>
              <w:autoSpaceDE/>
              <w:bidi w:val="0"/>
              <w:spacing w:line="360" w:lineRule="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15.选配打印机功能，温度数据可实现实时打印、定义时间段打印、追溯打印功能</w:t>
            </w:r>
            <w:r>
              <w:rPr>
                <w:rFonts w:hint="eastAsia" w:ascii="宋体" w:hAnsi="宋体" w:cs="宋体"/>
                <w:color w:val="000000"/>
                <w:sz w:val="21"/>
                <w:szCs w:val="21"/>
                <w:highlight w:val="none"/>
                <w:lang w:eastAsia="zh-CN"/>
              </w:rPr>
              <w:t>；</w:t>
            </w:r>
          </w:p>
          <w:p w14:paraId="00C13163">
            <w:pPr>
              <w:keepNext w:val="0"/>
              <w:keepLines w:val="0"/>
              <w:pageBreakBefore w:val="0"/>
              <w:kinsoku/>
              <w:wordWrap/>
              <w:overflowPunct/>
              <w:topLinePunct w:val="0"/>
              <w:autoSpaceDE/>
              <w:bidi w:val="0"/>
              <w:spacing w:line="360" w:lineRule="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16.选配USB存储功能，可存储</w:t>
            </w:r>
            <w:r>
              <w:rPr>
                <w:rFonts w:hint="eastAsia"/>
                <w:highlight w:val="none"/>
                <w:lang w:val="en-US" w:eastAsia="zh-CN"/>
              </w:rPr>
              <w:t>≥</w:t>
            </w:r>
            <w:r>
              <w:rPr>
                <w:rFonts w:hint="eastAsia" w:ascii="宋体" w:hAnsi="宋体" w:eastAsia="宋体" w:cs="宋体"/>
                <w:color w:val="000000"/>
                <w:sz w:val="21"/>
                <w:szCs w:val="21"/>
                <w:highlight w:val="none"/>
              </w:rPr>
              <w:t>十年内温度数据，实现产品全生命周期的温度记录</w:t>
            </w:r>
            <w:r>
              <w:rPr>
                <w:rFonts w:hint="eastAsia" w:ascii="宋体" w:hAnsi="宋体" w:cs="宋体"/>
                <w:color w:val="000000"/>
                <w:sz w:val="21"/>
                <w:szCs w:val="21"/>
                <w:highlight w:val="none"/>
                <w:lang w:eastAsia="zh-CN"/>
              </w:rPr>
              <w:t>；</w:t>
            </w:r>
          </w:p>
          <w:p w14:paraId="5D0166C2">
            <w:pPr>
              <w:keepNext w:val="0"/>
              <w:keepLines w:val="0"/>
              <w:pageBreakBefore w:val="0"/>
              <w:kinsoku/>
              <w:wordWrap/>
              <w:overflowPunct/>
              <w:topLinePunct w:val="0"/>
              <w:autoSpaceDE/>
              <w:bidi w:val="0"/>
              <w:spacing w:line="360" w:lineRule="auto"/>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宋体" w:hAnsi="宋体" w:eastAsia="宋体" w:cs="宋体"/>
                <w:color w:val="000000"/>
                <w:sz w:val="21"/>
                <w:szCs w:val="21"/>
                <w:highlight w:val="none"/>
              </w:rPr>
              <w:t>17</w:t>
            </w:r>
            <w:r>
              <w:rPr>
                <w:rFonts w:hint="eastAsia" w:ascii="宋体" w:hAnsi="宋体" w:cs="宋体"/>
                <w:color w:val="000000"/>
                <w:sz w:val="21"/>
                <w:szCs w:val="21"/>
                <w:highlight w:val="none"/>
                <w:lang w:val="en-US" w:eastAsia="zh-CN"/>
              </w:rPr>
              <w:t>.</w:t>
            </w:r>
            <w:r>
              <w:rPr>
                <w:rFonts w:hint="eastAsia" w:ascii="宋体" w:hAnsi="宋体" w:eastAsia="宋体" w:cs="宋体"/>
                <w:color w:val="000000"/>
                <w:sz w:val="21"/>
                <w:szCs w:val="21"/>
                <w:highlight w:val="none"/>
              </w:rPr>
              <w:t>配有WIFI功能，配合手机APP使用，实时监控冰箱运行情况。</w:t>
            </w:r>
          </w:p>
        </w:tc>
        <w:tc>
          <w:tcPr>
            <w:tcW w:w="349" w:type="pct"/>
            <w:tcBorders>
              <w:top w:val="single" w:color="auto" w:sz="4" w:space="0"/>
              <w:left w:val="nil"/>
              <w:bottom w:val="single" w:color="auto" w:sz="4" w:space="0"/>
              <w:right w:val="single" w:color="auto" w:sz="4" w:space="0"/>
            </w:tcBorders>
            <w:shd w:val="clear" w:color="auto" w:fill="auto"/>
            <w:vAlign w:val="center"/>
          </w:tcPr>
          <w:p w14:paraId="398B8A44">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1台</w:t>
            </w:r>
          </w:p>
        </w:tc>
      </w:tr>
      <w:tr w14:paraId="28AE8B86">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B4F0268">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9C55C80">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A4BFC62">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实验压机</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9886DF3">
            <w:pPr>
              <w:keepNext w:val="0"/>
              <w:keepLines w:val="0"/>
              <w:pageBreakBefore w:val="0"/>
              <w:widowControl/>
              <w:numPr>
                <w:ilvl w:val="0"/>
                <w:numId w:val="0"/>
              </w:numPr>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bidi="ar-SA"/>
              </w:rPr>
              <w:t>1.</w:t>
            </w:r>
            <w:r>
              <w:rPr>
                <w:rFonts w:hint="eastAsia" w:ascii="宋体" w:hAnsi="宋体" w:eastAsia="宋体" w:cs="宋体"/>
                <w:color w:val="000000"/>
                <w:kern w:val="0"/>
                <w:sz w:val="21"/>
                <w:szCs w:val="21"/>
                <w:highlight w:val="none"/>
                <w:lang w:val="en-US" w:eastAsia="zh-CN" w:bidi="ar-SA"/>
              </w:rPr>
              <w:t xml:space="preserve">额定压力：0–24T，最大表压 </w:t>
            </w:r>
            <w:r>
              <w:rPr>
                <w:rFonts w:hint="eastAsia"/>
                <w:highlight w:val="none"/>
                <w:lang w:val="en-US" w:eastAsia="zh-CN"/>
              </w:rPr>
              <w:t>≥</w:t>
            </w:r>
            <w:r>
              <w:rPr>
                <w:rFonts w:hint="eastAsia" w:ascii="宋体" w:hAnsi="宋体" w:eastAsia="宋体" w:cs="宋体"/>
                <w:color w:val="000000"/>
                <w:kern w:val="0"/>
                <w:sz w:val="21"/>
                <w:szCs w:val="21"/>
                <w:highlight w:val="none"/>
                <w:lang w:val="en-US" w:eastAsia="zh-CN" w:bidi="ar-SA"/>
              </w:rPr>
              <w:t>45MPa，换算系数 1MPa≈0.5T</w:t>
            </w:r>
            <w:r>
              <w:rPr>
                <w:rFonts w:hint="eastAsia"/>
                <w:highlight w:val="none"/>
                <w:lang w:eastAsia="zh-CN"/>
              </w:rPr>
              <w:t>；</w:t>
            </w:r>
          </w:p>
          <w:p w14:paraId="7E89570C">
            <w:pPr>
              <w:keepNext w:val="0"/>
              <w:keepLines w:val="0"/>
              <w:pageBreakBefore w:val="0"/>
              <w:widowControl/>
              <w:numPr>
                <w:ilvl w:val="0"/>
                <w:numId w:val="0"/>
              </w:numPr>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bidi="ar-SA"/>
              </w:rPr>
              <w:t>2.</w:t>
            </w:r>
            <w:r>
              <w:rPr>
                <w:rFonts w:hint="eastAsia" w:ascii="宋体" w:hAnsi="宋体" w:eastAsia="宋体" w:cs="宋体"/>
                <w:color w:val="000000"/>
                <w:kern w:val="0"/>
                <w:sz w:val="21"/>
                <w:szCs w:val="21"/>
                <w:highlight w:val="none"/>
                <w:lang w:val="en-US" w:eastAsia="zh-CN" w:bidi="ar-SA"/>
              </w:rPr>
              <w:t>油缸行程：0–35mm，快速加压 + 快速退模</w:t>
            </w:r>
            <w:r>
              <w:rPr>
                <w:rFonts w:hint="eastAsia" w:ascii="宋体" w:hAnsi="宋体" w:cs="宋体"/>
                <w:color w:val="000000"/>
                <w:kern w:val="0"/>
                <w:sz w:val="21"/>
                <w:szCs w:val="21"/>
                <w:highlight w:val="none"/>
                <w:lang w:val="en-US" w:eastAsia="zh-CN" w:bidi="ar-SA"/>
              </w:rPr>
              <w:t>；</w:t>
            </w:r>
          </w:p>
          <w:p w14:paraId="461239A7">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压力稳定性：10 分钟压降≤1MPa，保压稳定不漏油</w:t>
            </w:r>
            <w:r>
              <w:rPr>
                <w:rFonts w:hint="eastAsia" w:ascii="宋体" w:hAnsi="宋体" w:cs="宋体"/>
                <w:color w:val="000000"/>
                <w:kern w:val="0"/>
                <w:sz w:val="21"/>
                <w:szCs w:val="21"/>
                <w:highlight w:val="none"/>
                <w:lang w:val="en-US" w:eastAsia="zh-CN" w:bidi="ar-SA"/>
              </w:rPr>
              <w:t>；</w:t>
            </w:r>
          </w:p>
          <w:p w14:paraId="1904334B">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工作腔体（mm）：</w:t>
            </w:r>
            <w:r>
              <w:rPr>
                <w:rFonts w:hint="eastAsia"/>
                <w:highlight w:val="none"/>
                <w:lang w:val="en-US" w:eastAsia="zh-CN"/>
              </w:rPr>
              <w:t>≥</w:t>
            </w:r>
            <w:r>
              <w:rPr>
                <w:rFonts w:hint="eastAsia" w:ascii="宋体" w:hAnsi="宋体" w:eastAsia="宋体" w:cs="宋体"/>
                <w:color w:val="000000"/>
                <w:kern w:val="0"/>
                <w:sz w:val="21"/>
                <w:szCs w:val="21"/>
                <w:highlight w:val="none"/>
                <w:lang w:val="en-US" w:eastAsia="zh-CN" w:bidi="ar-SA"/>
              </w:rPr>
              <w:t>150L×210W×140Hmm</w:t>
            </w:r>
            <w:r>
              <w:rPr>
                <w:rFonts w:hint="eastAsia"/>
                <w:highlight w:val="none"/>
                <w:lang w:eastAsia="zh-CN"/>
              </w:rPr>
              <w:t>；</w:t>
            </w:r>
          </w:p>
          <w:p w14:paraId="21F2ED11">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5</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整机外形（mm）：≥450L×510W×470Hmm(升高600mm)</w:t>
            </w:r>
            <w:r>
              <w:rPr>
                <w:rFonts w:hint="eastAsia"/>
                <w:highlight w:val="none"/>
                <w:lang w:eastAsia="zh-CN"/>
              </w:rPr>
              <w:t>；</w:t>
            </w:r>
          </w:p>
          <w:p w14:paraId="50363FF7">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6</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设备净重：≥52kg</w:t>
            </w:r>
            <w:r>
              <w:rPr>
                <w:rFonts w:hint="eastAsia" w:ascii="宋体" w:hAnsi="宋体" w:cs="宋体"/>
                <w:color w:val="000000"/>
                <w:kern w:val="0"/>
                <w:sz w:val="21"/>
                <w:szCs w:val="21"/>
                <w:highlight w:val="none"/>
                <w:lang w:val="en-US" w:eastAsia="zh-CN" w:bidi="ar-SA"/>
              </w:rPr>
              <w:t>；</w:t>
            </w:r>
          </w:p>
          <w:p w14:paraId="15C55A39">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7</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安全配置：全透明有机玻璃安全防护罩，加压必须闭合防护</w:t>
            </w:r>
            <w:r>
              <w:rPr>
                <w:rFonts w:hint="eastAsia" w:ascii="宋体" w:hAnsi="宋体" w:cs="宋体"/>
                <w:color w:val="000000"/>
                <w:kern w:val="0"/>
                <w:sz w:val="21"/>
                <w:szCs w:val="21"/>
                <w:highlight w:val="none"/>
                <w:lang w:val="en-US" w:eastAsia="zh-CN" w:bidi="ar-SA"/>
              </w:rPr>
              <w:t>；</w:t>
            </w:r>
          </w:p>
          <w:p w14:paraId="24F08408">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8</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结构形式：四柱立式、液压泵与主机分体设计，维修便捷</w:t>
            </w:r>
            <w:r>
              <w:rPr>
                <w:rFonts w:hint="eastAsia" w:ascii="宋体" w:hAnsi="宋体" w:cs="宋体"/>
                <w:color w:val="000000"/>
                <w:kern w:val="0"/>
                <w:sz w:val="21"/>
                <w:szCs w:val="21"/>
                <w:highlight w:val="none"/>
                <w:lang w:val="en-US" w:eastAsia="zh-CN" w:bidi="ar-SA"/>
              </w:rPr>
              <w:t>；</w:t>
            </w:r>
          </w:p>
          <w:p w14:paraId="281B1677">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9</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供电：手动款无需外接电源，实验室任意台面摆放</w:t>
            </w:r>
            <w:r>
              <w:rPr>
                <w:rFonts w:hint="eastAsia" w:ascii="宋体" w:hAnsi="宋体" w:cs="宋体"/>
                <w:color w:val="000000"/>
                <w:kern w:val="0"/>
                <w:sz w:val="21"/>
                <w:szCs w:val="21"/>
                <w:highlight w:val="none"/>
                <w:lang w:val="en-US" w:eastAsia="zh-CN" w:bidi="ar-SA"/>
              </w:rPr>
              <w:t>；</w:t>
            </w:r>
          </w:p>
          <w:p w14:paraId="39F897E2">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10</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标准配件：加压摇杆、全套内六角扳手、备用 O 型密封圈、高压油管</w:t>
            </w:r>
            <w:r>
              <w:rPr>
                <w:rFonts w:hint="eastAsia" w:ascii="宋体" w:hAnsi="宋体" w:cs="宋体"/>
                <w:color w:val="000000"/>
                <w:kern w:val="0"/>
                <w:sz w:val="21"/>
                <w:szCs w:val="21"/>
                <w:highlight w:val="none"/>
                <w:lang w:val="en-US" w:eastAsia="zh-CN" w:bidi="ar-SA"/>
              </w:rPr>
              <w:t>；</w:t>
            </w:r>
          </w:p>
          <w:p w14:paraId="1FCA301E">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11</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质保：整机</w:t>
            </w:r>
            <w:r>
              <w:rPr>
                <w:rFonts w:hint="eastAsia"/>
                <w:highlight w:val="none"/>
                <w:lang w:val="en-US" w:eastAsia="zh-CN"/>
              </w:rPr>
              <w:t>≥</w:t>
            </w:r>
            <w:r>
              <w:rPr>
                <w:rFonts w:hint="eastAsia" w:ascii="宋体" w:hAnsi="宋体" w:eastAsia="宋体" w:cs="宋体"/>
                <w:color w:val="000000"/>
                <w:kern w:val="0"/>
                <w:sz w:val="21"/>
                <w:szCs w:val="21"/>
                <w:highlight w:val="none"/>
                <w:lang w:val="en-US" w:eastAsia="zh-CN" w:bidi="ar-SA"/>
              </w:rPr>
              <w:t>12个月，核心油缸、压力表终身维护</w:t>
            </w:r>
            <w:r>
              <w:rPr>
                <w:rFonts w:hint="eastAsia" w:ascii="宋体" w:hAnsi="宋体" w:cs="宋体"/>
                <w:color w:val="000000"/>
                <w:kern w:val="0"/>
                <w:sz w:val="21"/>
                <w:szCs w:val="21"/>
                <w:highlight w:val="none"/>
                <w:lang w:val="en-US" w:eastAsia="zh-CN" w:bidi="ar-SA"/>
              </w:rPr>
              <w:t>；</w:t>
            </w:r>
          </w:p>
          <w:p w14:paraId="1170F535">
            <w:pPr>
              <w:keepNext w:val="0"/>
              <w:keepLines w:val="0"/>
              <w:pageBreakBefore w:val="0"/>
              <w:widowControl/>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12</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适用场景：陶瓷粉体、锂电原料、高分子、地质矿物、红外 / XRD 制样</w:t>
            </w:r>
            <w:r>
              <w:rPr>
                <w:rFonts w:hint="eastAsia" w:ascii="宋体" w:hAnsi="宋体" w:cs="宋体"/>
                <w:color w:val="000000"/>
                <w:kern w:val="0"/>
                <w:sz w:val="21"/>
                <w:szCs w:val="21"/>
                <w:highlight w:val="none"/>
                <w:lang w:val="en-US" w:eastAsia="zh-CN" w:bidi="ar-SA"/>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2FBD0191">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2台</w:t>
            </w:r>
          </w:p>
        </w:tc>
      </w:tr>
      <w:tr w14:paraId="7D46CE02">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BB9FA9E">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6D026C8">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53CFABD">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易燃易爆化学品安全柜</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E6FD979">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尺寸：≥1650*1090*460mm；门类型：双开门</w:t>
            </w:r>
            <w:r>
              <w:rPr>
                <w:rFonts w:hint="eastAsia" w:ascii="宋体" w:hAnsi="宋体" w:cs="宋体"/>
                <w:color w:val="000000"/>
                <w:kern w:val="0"/>
                <w:sz w:val="21"/>
                <w:szCs w:val="21"/>
                <w:highlight w:val="none"/>
                <w:lang w:val="en-US" w:eastAsia="zh-CN" w:bidi="ar-SA"/>
              </w:rPr>
              <w:t>；</w:t>
            </w:r>
          </w:p>
          <w:p w14:paraId="31BED5A3">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柜体经厚度≥1.0mm优质冷轧钢板经过完全焊接，非铆接的构造结识牢固，延长使用寿命，并且由于减少了空隙，能够在火灾中提供更多的保护</w:t>
            </w:r>
            <w:r>
              <w:rPr>
                <w:rFonts w:hint="eastAsia" w:ascii="宋体" w:hAnsi="宋体" w:cs="宋体"/>
                <w:color w:val="000000"/>
                <w:kern w:val="0"/>
                <w:sz w:val="21"/>
                <w:szCs w:val="21"/>
                <w:highlight w:val="none"/>
                <w:lang w:val="en-US" w:eastAsia="zh-CN" w:bidi="ar-SA"/>
              </w:rPr>
              <w:t>；</w:t>
            </w:r>
          </w:p>
          <w:p w14:paraId="28362857">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柜体采用双层钢板结构，两层钢板之间相隔有≥38mm的绝缘层，可有效隔离热源，柜子内外经酸洗磷化后进行环氧树脂粉末静电喷涂，烘热固化处理</w:t>
            </w:r>
            <w:r>
              <w:rPr>
                <w:rFonts w:hint="eastAsia" w:ascii="宋体" w:hAnsi="宋体" w:cs="宋体"/>
                <w:color w:val="000000"/>
                <w:kern w:val="0"/>
                <w:sz w:val="21"/>
                <w:szCs w:val="21"/>
                <w:highlight w:val="none"/>
                <w:lang w:val="en-US" w:eastAsia="zh-CN" w:bidi="ar-SA"/>
              </w:rPr>
              <w:t>；</w:t>
            </w:r>
          </w:p>
          <w:p w14:paraId="7392CD2D">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柜中部配有≥2块独有的镀锌层板，四周折弯加强结构，承重性能更佳</w:t>
            </w:r>
            <w:r>
              <w:rPr>
                <w:rFonts w:hint="eastAsia" w:ascii="宋体" w:hAnsi="宋体" w:cs="宋体"/>
                <w:color w:val="000000"/>
                <w:kern w:val="0"/>
                <w:sz w:val="21"/>
                <w:szCs w:val="21"/>
                <w:highlight w:val="none"/>
                <w:lang w:val="en-US" w:eastAsia="zh-CN" w:bidi="ar-SA"/>
              </w:rPr>
              <w:t>；</w:t>
            </w:r>
          </w:p>
          <w:p w14:paraId="623D8086">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5</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安全柜符合 GB 15603-2022《危险化学品仓库储存通则》及 GB</w:t>
            </w:r>
            <w:r>
              <w:rPr>
                <w:rFonts w:hint="eastAsia" w:ascii="宋体" w:hAnsi="宋体" w:cs="宋体"/>
                <w:color w:val="000000"/>
                <w:kern w:val="0"/>
                <w:sz w:val="21"/>
                <w:szCs w:val="21"/>
                <w:highlight w:val="none"/>
                <w:lang w:val="en-US" w:eastAsia="zh-CN" w:bidi="ar-SA"/>
              </w:rPr>
              <w:t xml:space="preserve"> </w:t>
            </w:r>
            <w:r>
              <w:rPr>
                <w:rFonts w:hint="eastAsia" w:ascii="宋体" w:hAnsi="宋体" w:eastAsia="宋体" w:cs="宋体"/>
                <w:color w:val="000000"/>
                <w:kern w:val="0"/>
                <w:sz w:val="21"/>
                <w:szCs w:val="21"/>
                <w:highlight w:val="none"/>
                <w:lang w:val="en-US" w:eastAsia="zh-CN" w:bidi="ar-SA"/>
              </w:rPr>
              <w:t>17914-2013《易燃易爆性商品储存养护技术条件》 等国家强制性标准要求，用于规范存储易燃易爆液体及危险化学品</w:t>
            </w:r>
            <w:r>
              <w:rPr>
                <w:rFonts w:hint="eastAsia" w:ascii="宋体" w:hAnsi="宋体" w:cs="宋体"/>
                <w:color w:val="000000"/>
                <w:kern w:val="0"/>
                <w:sz w:val="21"/>
                <w:szCs w:val="21"/>
                <w:highlight w:val="none"/>
                <w:lang w:val="en-US" w:eastAsia="zh-CN" w:bidi="ar-SA"/>
              </w:rPr>
              <w:t>；</w:t>
            </w:r>
          </w:p>
          <w:p w14:paraId="656F8190">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6</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双GA锁具，符合公安部GA标准，满足双人双锁管理</w:t>
            </w:r>
            <w:r>
              <w:rPr>
                <w:rFonts w:hint="eastAsia" w:ascii="宋体" w:hAnsi="宋体" w:cs="宋体"/>
                <w:color w:val="000000"/>
                <w:kern w:val="0"/>
                <w:sz w:val="21"/>
                <w:szCs w:val="21"/>
                <w:highlight w:val="none"/>
                <w:lang w:val="en-US" w:eastAsia="zh-CN" w:bidi="ar-SA"/>
              </w:rPr>
              <w:t>；</w:t>
            </w:r>
          </w:p>
          <w:p w14:paraId="6B672A60">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7</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铰链：铰链应为钢琴式铰链，确保门能开180度</w:t>
            </w:r>
            <w:r>
              <w:rPr>
                <w:rFonts w:hint="eastAsia" w:ascii="宋体" w:hAnsi="宋体" w:cs="宋体"/>
                <w:color w:val="000000"/>
                <w:kern w:val="0"/>
                <w:sz w:val="21"/>
                <w:szCs w:val="21"/>
                <w:highlight w:val="none"/>
                <w:lang w:val="en-US" w:eastAsia="zh-CN" w:bidi="ar-SA"/>
              </w:rPr>
              <w:t>；</w:t>
            </w:r>
          </w:p>
          <w:p w14:paraId="487AE80B">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8</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柜体两侧一上一下装设有防闭火装置的双透气孔；方便空气排散，防止有害气体聚集</w:t>
            </w:r>
            <w:r>
              <w:rPr>
                <w:rFonts w:hint="eastAsia" w:ascii="宋体" w:hAnsi="宋体" w:cs="宋体"/>
                <w:color w:val="000000"/>
                <w:kern w:val="0"/>
                <w:sz w:val="21"/>
                <w:szCs w:val="21"/>
                <w:highlight w:val="none"/>
                <w:lang w:val="en-US" w:eastAsia="zh-CN" w:bidi="ar-SA"/>
              </w:rPr>
              <w:t>；</w:t>
            </w:r>
          </w:p>
          <w:p w14:paraId="150E1574">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9</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柜身设有静电接地传导端口，方便连接静电接地导线，防止静电聚集产生火花风险；</w:t>
            </w:r>
          </w:p>
          <w:p w14:paraId="1E1F0FD9">
            <w:pPr>
              <w:keepNext w:val="0"/>
              <w:keepLines w:val="0"/>
              <w:pageBreakBefore w:val="0"/>
              <w:widowControl/>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10</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装箱时柜内外的说明标识：《合格证》，《化学品存取说明》，柜门设有专业，规范，显眼的警示标志。</w:t>
            </w:r>
          </w:p>
        </w:tc>
        <w:tc>
          <w:tcPr>
            <w:tcW w:w="349" w:type="pct"/>
            <w:tcBorders>
              <w:top w:val="single" w:color="auto" w:sz="4" w:space="0"/>
              <w:left w:val="nil"/>
              <w:bottom w:val="single" w:color="auto" w:sz="4" w:space="0"/>
              <w:right w:val="single" w:color="auto" w:sz="4" w:space="0"/>
            </w:tcBorders>
            <w:shd w:val="clear" w:color="auto" w:fill="auto"/>
            <w:vAlign w:val="center"/>
          </w:tcPr>
          <w:p w14:paraId="76561ED3">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1台</w:t>
            </w:r>
          </w:p>
        </w:tc>
      </w:tr>
      <w:tr w14:paraId="2B0FCAD1">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F7E6EF2">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7DCD036">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02B4CA2">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易燃易爆化学品安全柜</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ADDF655">
            <w:pPr>
              <w:keepNext w:val="0"/>
              <w:keepLines w:val="0"/>
              <w:pageBreakBefore w:val="0"/>
              <w:widowControl/>
              <w:kinsoku/>
              <w:wordWrap/>
              <w:overflowPunct/>
              <w:topLinePunct w:val="0"/>
              <w:autoSpaceDE/>
              <w:bidi w:val="0"/>
              <w:spacing w:line="360" w:lineRule="auto"/>
              <w:jc w:val="left"/>
              <w:rPr>
                <w:rFonts w:hint="eastAsia" w:ascii="宋体" w:hAnsi="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尺寸：</w:t>
            </w:r>
            <w:r>
              <w:rPr>
                <w:rFonts w:hint="eastAsia"/>
                <w:highlight w:val="none"/>
                <w:lang w:val="en-US" w:eastAsia="zh-CN"/>
              </w:rPr>
              <w:t>≥</w:t>
            </w:r>
            <w:r>
              <w:rPr>
                <w:rFonts w:hint="eastAsia" w:ascii="宋体" w:hAnsi="宋体" w:eastAsia="宋体" w:cs="宋体"/>
                <w:color w:val="000000"/>
                <w:kern w:val="0"/>
                <w:sz w:val="21"/>
                <w:szCs w:val="21"/>
                <w:highlight w:val="none"/>
                <w:lang w:val="en-US" w:eastAsia="zh-CN" w:bidi="ar-SA"/>
              </w:rPr>
              <w:t>1120*1090*460mm；门类型：双开门</w:t>
            </w:r>
            <w:r>
              <w:rPr>
                <w:rFonts w:hint="eastAsia" w:ascii="宋体" w:hAnsi="宋体" w:cs="宋体"/>
                <w:color w:val="000000"/>
                <w:kern w:val="0"/>
                <w:sz w:val="21"/>
                <w:szCs w:val="21"/>
                <w:highlight w:val="none"/>
                <w:lang w:val="en-US" w:eastAsia="zh-CN" w:bidi="ar-SA"/>
              </w:rPr>
              <w:t>；</w:t>
            </w:r>
          </w:p>
          <w:p w14:paraId="2D77156A">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柜体经厚度≥1.0mm优质冷轧钢板经过完全焊接，非铆接的构造结识牢固，延长使用寿命，并且由于减少了空隙，能够在火灾中提供更多的保护</w:t>
            </w:r>
            <w:r>
              <w:rPr>
                <w:rFonts w:hint="eastAsia" w:ascii="宋体" w:hAnsi="宋体" w:cs="宋体"/>
                <w:color w:val="000000"/>
                <w:kern w:val="0"/>
                <w:sz w:val="21"/>
                <w:szCs w:val="21"/>
                <w:highlight w:val="none"/>
                <w:lang w:val="en-US" w:eastAsia="zh-CN" w:bidi="ar-SA"/>
              </w:rPr>
              <w:t>；</w:t>
            </w:r>
          </w:p>
          <w:p w14:paraId="2383B366">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柜体采用双层钢板结构，两层钢板之间相隔有≥38mm的绝缘层，可有效隔离热源，柜子内外经酸洗磷化后进行环氧树脂粉末静电喷涂，烘热固化处理</w:t>
            </w:r>
            <w:r>
              <w:rPr>
                <w:rFonts w:hint="eastAsia" w:ascii="宋体" w:hAnsi="宋体" w:cs="宋体"/>
                <w:color w:val="000000"/>
                <w:kern w:val="0"/>
                <w:sz w:val="21"/>
                <w:szCs w:val="21"/>
                <w:highlight w:val="none"/>
                <w:lang w:val="en-US" w:eastAsia="zh-CN" w:bidi="ar-SA"/>
              </w:rPr>
              <w:t>；</w:t>
            </w:r>
          </w:p>
          <w:p w14:paraId="677F172A">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柜中部配有≥1块镀锌层板，四周折弯加强结构，承重性能更佳</w:t>
            </w:r>
            <w:r>
              <w:rPr>
                <w:rFonts w:hint="eastAsia" w:ascii="宋体" w:hAnsi="宋体" w:cs="宋体"/>
                <w:color w:val="000000"/>
                <w:kern w:val="0"/>
                <w:sz w:val="21"/>
                <w:szCs w:val="21"/>
                <w:highlight w:val="none"/>
                <w:lang w:val="en-US" w:eastAsia="zh-CN" w:bidi="ar-SA"/>
              </w:rPr>
              <w:t>；</w:t>
            </w:r>
          </w:p>
          <w:p w14:paraId="6CE9B0B7">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5</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安全柜符合 GB 15603-2022《危险化学品仓库储存通则》及 GB</w:t>
            </w:r>
            <w:r>
              <w:rPr>
                <w:rFonts w:hint="eastAsia" w:ascii="宋体" w:hAnsi="宋体" w:cs="宋体"/>
                <w:color w:val="000000"/>
                <w:kern w:val="0"/>
                <w:sz w:val="21"/>
                <w:szCs w:val="21"/>
                <w:highlight w:val="none"/>
                <w:lang w:val="en-US" w:eastAsia="zh-CN" w:bidi="ar-SA"/>
              </w:rPr>
              <w:t xml:space="preserve"> </w:t>
            </w:r>
            <w:r>
              <w:rPr>
                <w:rFonts w:hint="eastAsia" w:ascii="宋体" w:hAnsi="宋体" w:eastAsia="宋体" w:cs="宋体"/>
                <w:color w:val="000000"/>
                <w:kern w:val="0"/>
                <w:sz w:val="21"/>
                <w:szCs w:val="21"/>
                <w:highlight w:val="none"/>
                <w:lang w:val="en-US" w:eastAsia="zh-CN" w:bidi="ar-SA"/>
              </w:rPr>
              <w:t>17914-2013《易燃易爆性商品储存养护技术条件》 等国家强制性标准要求，用于规范存储易燃易爆液体及危险化学品</w:t>
            </w:r>
            <w:r>
              <w:rPr>
                <w:rFonts w:hint="eastAsia" w:ascii="宋体" w:hAnsi="宋体" w:cs="宋体"/>
                <w:color w:val="000000"/>
                <w:kern w:val="0"/>
                <w:sz w:val="21"/>
                <w:szCs w:val="21"/>
                <w:highlight w:val="none"/>
                <w:lang w:val="en-US" w:eastAsia="zh-CN" w:bidi="ar-SA"/>
              </w:rPr>
              <w:t>；</w:t>
            </w:r>
          </w:p>
          <w:p w14:paraId="73F38916">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6</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双GA锁具，符合公安部GA标准，满足双人双锁管理</w:t>
            </w:r>
            <w:r>
              <w:rPr>
                <w:rFonts w:hint="eastAsia" w:ascii="宋体" w:hAnsi="宋体" w:cs="宋体"/>
                <w:color w:val="000000"/>
                <w:kern w:val="0"/>
                <w:sz w:val="21"/>
                <w:szCs w:val="21"/>
                <w:highlight w:val="none"/>
                <w:lang w:val="en-US" w:eastAsia="zh-CN" w:bidi="ar-SA"/>
              </w:rPr>
              <w:t>；</w:t>
            </w:r>
          </w:p>
          <w:p w14:paraId="3A08BA2F">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7</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铰链：铰链应为钢琴式铰链，确保门能开</w:t>
            </w:r>
            <w:r>
              <w:rPr>
                <w:rFonts w:hint="eastAsia"/>
                <w:highlight w:val="none"/>
              </w:rPr>
              <w:t>≥</w:t>
            </w:r>
            <w:r>
              <w:rPr>
                <w:rFonts w:hint="eastAsia" w:ascii="宋体" w:hAnsi="宋体" w:eastAsia="宋体" w:cs="宋体"/>
                <w:color w:val="000000"/>
                <w:kern w:val="0"/>
                <w:sz w:val="21"/>
                <w:szCs w:val="21"/>
                <w:highlight w:val="none"/>
                <w:lang w:val="en-US" w:eastAsia="zh-CN" w:bidi="ar-SA"/>
              </w:rPr>
              <w:t>180度</w:t>
            </w:r>
            <w:r>
              <w:rPr>
                <w:rFonts w:hint="eastAsia" w:ascii="宋体" w:hAnsi="宋体" w:cs="宋体"/>
                <w:color w:val="000000"/>
                <w:kern w:val="0"/>
                <w:sz w:val="21"/>
                <w:szCs w:val="21"/>
                <w:highlight w:val="none"/>
                <w:lang w:val="en-US" w:eastAsia="zh-CN" w:bidi="ar-SA"/>
              </w:rPr>
              <w:t>；</w:t>
            </w:r>
          </w:p>
          <w:p w14:paraId="33FAF420">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8</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柜体两侧一上一下装设有防闭火装置的双透气孔；方便空气排散，防止有害气体聚集</w:t>
            </w:r>
            <w:r>
              <w:rPr>
                <w:rFonts w:hint="eastAsia" w:ascii="宋体" w:hAnsi="宋体" w:cs="宋体"/>
                <w:color w:val="000000"/>
                <w:kern w:val="0"/>
                <w:sz w:val="21"/>
                <w:szCs w:val="21"/>
                <w:highlight w:val="none"/>
                <w:lang w:val="en-US" w:eastAsia="zh-CN" w:bidi="ar-SA"/>
              </w:rPr>
              <w:t>；</w:t>
            </w:r>
          </w:p>
          <w:p w14:paraId="6E140B4C">
            <w:pPr>
              <w:keepNext w:val="0"/>
              <w:keepLines w:val="0"/>
              <w:pageBreakBefore w:val="0"/>
              <w:widowControl/>
              <w:kinsoku/>
              <w:wordWrap/>
              <w:overflowPunct/>
              <w:topLinePunct w:val="0"/>
              <w:autoSpaceDE/>
              <w:bidi w:val="0"/>
              <w:spacing w:line="360" w:lineRule="auto"/>
              <w:jc w:val="left"/>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9</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柜身设有静电接地传导端口，方便连接静电接地导线，防止静电聚集产生火花风险；</w:t>
            </w:r>
          </w:p>
          <w:p w14:paraId="4F2E44CF">
            <w:pPr>
              <w:keepNext w:val="0"/>
              <w:keepLines w:val="0"/>
              <w:pageBreakBefore w:val="0"/>
              <w:widowControl/>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10</w:t>
            </w: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装箱时柜内外的说明标识：《合格证》，《化学品存取说明》，柜门设有专业，规范，显眼的警示标志。</w:t>
            </w:r>
          </w:p>
        </w:tc>
        <w:tc>
          <w:tcPr>
            <w:tcW w:w="349" w:type="pct"/>
            <w:tcBorders>
              <w:top w:val="single" w:color="auto" w:sz="4" w:space="0"/>
              <w:left w:val="nil"/>
              <w:bottom w:val="single" w:color="auto" w:sz="4" w:space="0"/>
              <w:right w:val="single" w:color="auto" w:sz="4" w:space="0"/>
            </w:tcBorders>
            <w:shd w:val="clear" w:color="auto" w:fill="auto"/>
            <w:vAlign w:val="center"/>
          </w:tcPr>
          <w:p w14:paraId="7D0D7C2E">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1台</w:t>
            </w:r>
          </w:p>
        </w:tc>
      </w:tr>
      <w:tr w14:paraId="46AD307C">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C0974CD">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A991EB6">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867190D">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全钢通风柜（陶瓷台面）</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C61A178">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一、尺寸：</w:t>
            </w:r>
            <w:r>
              <w:rPr>
                <w:rFonts w:hint="eastAsia"/>
                <w:highlight w:val="none"/>
                <w:lang w:val="en-US" w:eastAsia="zh-CN"/>
              </w:rPr>
              <w:t>≥</w:t>
            </w:r>
            <w:r>
              <w:rPr>
                <w:rFonts w:hint="eastAsia" w:ascii="宋体" w:hAnsi="宋体" w:eastAsia="宋体" w:cs="宋体"/>
                <w:i w:val="0"/>
                <w:iCs w:val="0"/>
                <w:color w:val="000000"/>
                <w:kern w:val="0"/>
                <w:sz w:val="21"/>
                <w:szCs w:val="21"/>
                <w:highlight w:val="none"/>
                <w:u w:val="none"/>
                <w:lang w:val="en-US" w:eastAsia="zh-CN" w:bidi="ar"/>
              </w:rPr>
              <w:t>长1500mm*宽850mm*高2350mm</w:t>
            </w:r>
          </w:p>
          <w:p w14:paraId="26C21C8B">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二、主要参数：</w:t>
            </w:r>
          </w:p>
          <w:p w14:paraId="2F902B1C">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1.壳体部分：采用</w:t>
            </w:r>
            <w:r>
              <w:rPr>
                <w:rFonts w:hint="eastAsia"/>
                <w:highlight w:val="none"/>
                <w:lang w:val="en-US" w:eastAsia="zh-CN"/>
              </w:rPr>
              <w:t>≥</w:t>
            </w:r>
            <w:r>
              <w:rPr>
                <w:rFonts w:hint="eastAsia" w:ascii="宋体" w:hAnsi="宋体" w:eastAsia="宋体" w:cs="宋体"/>
                <w:i w:val="0"/>
                <w:iCs w:val="0"/>
                <w:color w:val="000000"/>
                <w:kern w:val="0"/>
                <w:sz w:val="21"/>
                <w:szCs w:val="21"/>
                <w:highlight w:val="none"/>
                <w:u w:val="none"/>
                <w:lang w:val="en-US" w:eastAsia="zh-CN" w:bidi="ar"/>
              </w:rPr>
              <w:t>1.</w:t>
            </w:r>
            <w:r>
              <w:rPr>
                <w:rFonts w:hint="eastAsia" w:ascii="宋体" w:hAnsi="宋体" w:cs="宋体"/>
                <w:i w:val="0"/>
                <w:iCs w:val="0"/>
                <w:color w:val="000000"/>
                <w:kern w:val="0"/>
                <w:sz w:val="21"/>
                <w:szCs w:val="21"/>
                <w:highlight w:val="none"/>
                <w:u w:val="none"/>
                <w:lang w:val="en-US" w:eastAsia="zh-CN" w:bidi="ar"/>
              </w:rPr>
              <w:t>2</w:t>
            </w:r>
            <w:r>
              <w:rPr>
                <w:rFonts w:hint="eastAsia" w:ascii="宋体" w:hAnsi="宋体" w:eastAsia="宋体" w:cs="宋体"/>
                <w:i w:val="0"/>
                <w:iCs w:val="0"/>
                <w:color w:val="000000"/>
                <w:kern w:val="0"/>
                <w:sz w:val="21"/>
                <w:szCs w:val="21"/>
                <w:highlight w:val="none"/>
                <w:u w:val="none"/>
                <w:lang w:val="en-US" w:eastAsia="zh-CN" w:bidi="ar"/>
              </w:rPr>
              <w:t>mm优质冷轧钢板，表面经酸洗磷化处理后喷涂环氧树脂粉末高温烘烤固化；</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2.柜体内衬与导流板：采用通风柜专用抗倍特板，厚度≥4.95mm，鉴于通风柜使用过程中涉及到使用过程中温度高，环境复杂，</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3.顶板视窗：升降门采用同步轮设计，此设计无噪声、无晃动、具有安全式自锁功能，并可停留在任意位置，操作方便。视窗</w:t>
            </w:r>
            <w:r>
              <w:rPr>
                <w:rFonts w:hint="eastAsia"/>
                <w:highlight w:val="none"/>
                <w:lang w:val="en-US" w:eastAsia="zh-CN"/>
              </w:rPr>
              <w:t>≥</w:t>
            </w:r>
            <w:r>
              <w:rPr>
                <w:rFonts w:hint="eastAsia" w:ascii="宋体" w:hAnsi="宋体" w:eastAsia="宋体" w:cs="宋体"/>
                <w:i w:val="0"/>
                <w:iCs w:val="0"/>
                <w:color w:val="000000"/>
                <w:kern w:val="0"/>
                <w:sz w:val="21"/>
                <w:szCs w:val="21"/>
                <w:highlight w:val="none"/>
                <w:u w:val="none"/>
                <w:lang w:val="en-US" w:eastAsia="zh-CN" w:bidi="ar"/>
              </w:rPr>
              <w:t>5mm厚钢化玻璃，带PVC护套同步轮绳，护套与钢丝绳为一体，具有防腐、耐磨特点</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4.窗口把手：厚</w:t>
            </w:r>
            <w:r>
              <w:rPr>
                <w:rFonts w:hint="eastAsia"/>
                <w:highlight w:val="none"/>
                <w:lang w:val="en-US" w:eastAsia="zh-CN"/>
              </w:rPr>
              <w:t>≥</w:t>
            </w:r>
            <w:r>
              <w:rPr>
                <w:rFonts w:hint="eastAsia" w:ascii="宋体" w:hAnsi="宋体" w:eastAsia="宋体" w:cs="宋体"/>
                <w:i w:val="0"/>
                <w:iCs w:val="0"/>
                <w:color w:val="000000"/>
                <w:kern w:val="0"/>
                <w:sz w:val="21"/>
                <w:szCs w:val="21"/>
                <w:highlight w:val="none"/>
                <w:u w:val="none"/>
                <w:lang w:val="en-US" w:eastAsia="zh-CN" w:bidi="ar"/>
              </w:rPr>
              <w:t>2.0mm环氧喷涂的铝型材。</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5.照明：防腐灯座，LED灯，照明不少于350LUX。</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6.台面：采用</w:t>
            </w:r>
            <w:r>
              <w:rPr>
                <w:rFonts w:hint="eastAsia"/>
                <w:highlight w:val="none"/>
                <w:lang w:val="en-US" w:eastAsia="zh-CN"/>
              </w:rPr>
              <w:t>≥</w:t>
            </w:r>
            <w:r>
              <w:rPr>
                <w:rFonts w:hint="eastAsia" w:ascii="宋体" w:hAnsi="宋体" w:eastAsia="宋体" w:cs="宋体"/>
                <w:i w:val="0"/>
                <w:iCs w:val="0"/>
                <w:color w:val="000000"/>
                <w:kern w:val="0"/>
                <w:sz w:val="21"/>
                <w:szCs w:val="21"/>
                <w:highlight w:val="none"/>
                <w:u w:val="none"/>
                <w:lang w:val="en-US" w:eastAsia="zh-CN" w:bidi="ar"/>
              </w:rPr>
              <w:t>20</w:t>
            </w:r>
            <w:r>
              <w:rPr>
                <w:rFonts w:hint="eastAsia" w:ascii="宋体" w:hAnsi="宋体" w:cs="宋体"/>
                <w:i w:val="0"/>
                <w:iCs w:val="0"/>
                <w:color w:val="000000"/>
                <w:kern w:val="0"/>
                <w:sz w:val="21"/>
                <w:szCs w:val="21"/>
                <w:highlight w:val="none"/>
                <w:u w:val="none"/>
                <w:lang w:val="en-US" w:eastAsia="zh-CN" w:bidi="ar"/>
              </w:rPr>
              <w:t>mm</w:t>
            </w:r>
            <w:r>
              <w:rPr>
                <w:rFonts w:hint="eastAsia" w:ascii="宋体" w:hAnsi="宋体" w:eastAsia="宋体" w:cs="宋体"/>
                <w:i w:val="0"/>
                <w:iCs w:val="0"/>
                <w:color w:val="000000"/>
                <w:kern w:val="0"/>
                <w:sz w:val="21"/>
                <w:szCs w:val="21"/>
                <w:highlight w:val="none"/>
                <w:u w:val="none"/>
                <w:lang w:val="en-US" w:eastAsia="zh-CN" w:bidi="ar"/>
              </w:rPr>
              <w:t>厚一体成型高温烧制实验室工业陶瓷台面，见截面采用同色低温上釉（或者黑坯；釉面细腻，不允许荔枝麻面等粗糙釉面效果、不接受两片薄瓷砖粘贴复合型陶瓷板），台面高温一体烧制成型，耐高温，耐强酸、强碱、强有机溶剂、染色剂等各种化学试剂，耐刮磨，抗污染，抗菌。台面四周带安全倒角，工艺细节美观大方。</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台面满足以下参数：</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（1）抗化学污染性能：产品抗化学污染等级达到 5 级，无明显变化；可耐受乳酸、双氧水、过氧乙酸、次氯酸钠、烷类等不少于 60 种化学试剂腐蚀。</w:t>
            </w:r>
            <w:r>
              <w:rPr>
                <w:rStyle w:val="80"/>
                <w:rFonts w:hint="eastAsia" w:ascii="宋体" w:hAnsi="宋体" w:eastAsia="宋体" w:cs="宋体"/>
                <w:b/>
                <w:bCs/>
                <w:sz w:val="21"/>
                <w:szCs w:val="21"/>
                <w:highlight w:val="none"/>
                <w:lang w:val="en-US" w:eastAsia="zh-CN" w:bidi="ar"/>
              </w:rPr>
              <w:t>须提供</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具备CMA（检验检测机构资质认定）或CNAS（中国合格评定国家认可委员会）资质的第三方检验检测机构出具的检测报告复印件</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或厂家型式试验报告，并加盖供应商公章；</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（2）承载性能检测：</w:t>
            </w:r>
            <w:r>
              <w:rPr>
                <w:rStyle w:val="80"/>
                <w:rFonts w:hint="eastAsia" w:ascii="宋体" w:hAnsi="宋体" w:eastAsia="宋体" w:cs="宋体"/>
                <w:sz w:val="21"/>
                <w:szCs w:val="21"/>
                <w:highlight w:val="none"/>
                <w:lang w:val="en-US" w:eastAsia="zh-CN" w:bidi="ar"/>
              </w:rPr>
              <w:t>参照T/CIQA 10-200 4.1.2附录A检测标准，在样品上施加≥400kg载荷</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保载时间≥50h，样品未被破坏</w:t>
            </w:r>
            <w:r>
              <w:rPr>
                <w:rFonts w:hint="eastAsia" w:ascii="宋体" w:hAnsi="宋体" w:cs="宋体"/>
                <w:i w:val="0"/>
                <w:iCs w:val="0"/>
                <w:color w:val="000000"/>
                <w:kern w:val="0"/>
                <w:sz w:val="21"/>
                <w:szCs w:val="21"/>
                <w:highlight w:val="none"/>
                <w:u w:val="none"/>
                <w:lang w:val="en-US" w:eastAsia="zh-CN" w:bidi="ar"/>
              </w:rPr>
              <w:t>；</w:t>
            </w:r>
            <w:r>
              <w:rPr>
                <w:rStyle w:val="80"/>
                <w:rFonts w:hint="eastAsia" w:ascii="宋体" w:hAnsi="宋体" w:eastAsia="宋体" w:cs="宋体"/>
                <w:b/>
                <w:bCs/>
                <w:sz w:val="21"/>
                <w:szCs w:val="21"/>
                <w:highlight w:val="none"/>
                <w:lang w:val="en-US" w:eastAsia="zh-CN" w:bidi="ar"/>
              </w:rPr>
              <w:t>须提供</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具备CMA（检验检测机构资质认定）或CNAS（中国合格评定国家认可委员会）资质的第三方检验检测机构出具的检测报告复印件</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或厂家型式试验报告，并加盖供应商公章；</w:t>
            </w:r>
            <w:r>
              <w:rPr>
                <w:rStyle w:val="80"/>
                <w:rFonts w:hint="eastAsia" w:ascii="宋体" w:hAnsi="宋体" w:eastAsia="宋体" w:cs="宋体"/>
                <w:b/>
                <w:bCs/>
                <w:sz w:val="21"/>
                <w:szCs w:val="21"/>
                <w:highlight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▲（3）光泽度：参照GB/T13891-2008标准，检测结果范围为：21-23；</w:t>
            </w:r>
            <w:r>
              <w:rPr>
                <w:rFonts w:hint="eastAsia" w:ascii="宋体" w:hAnsi="宋体" w:eastAsia="宋体" w:cs="宋体"/>
                <w:b/>
                <w:bCs/>
                <w:i w:val="0"/>
                <w:iCs w:val="0"/>
                <w:color w:val="000000"/>
                <w:kern w:val="0"/>
                <w:sz w:val="21"/>
                <w:szCs w:val="21"/>
                <w:highlight w:val="none"/>
                <w:u w:val="none"/>
                <w:lang w:val="en-US" w:eastAsia="zh-CN" w:bidi="ar"/>
              </w:rPr>
              <w:t>须提供具备CMA（检验检测机构资质认定） 或 CNAS（中国合格评定国家认可委员会）资质的第三方检验检测机构出具的检测报告复印件，并加盖供应商公章</w:t>
            </w:r>
            <w:r>
              <w:rPr>
                <w:rFonts w:hint="eastAsia" w:ascii="宋体" w:hAnsi="宋体" w:cs="宋体"/>
                <w:b/>
                <w:bCs/>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▲（4）抗菌性能：检测标准依据JC/T897-2014检测，要求≥2种细菌的检测，检测样品数量≥3片；其中不低于2种菌种抗菌率不低于90%；（菌种包括金大肠杆菌、金黄色葡萄球菌等），</w:t>
            </w:r>
            <w:r>
              <w:rPr>
                <w:rFonts w:hint="eastAsia" w:ascii="宋体" w:hAnsi="宋体" w:eastAsia="宋体" w:cs="宋体"/>
                <w:b/>
                <w:bCs/>
                <w:i w:val="0"/>
                <w:iCs w:val="0"/>
                <w:color w:val="000000"/>
                <w:kern w:val="0"/>
                <w:sz w:val="21"/>
                <w:szCs w:val="21"/>
                <w:highlight w:val="none"/>
                <w:u w:val="none"/>
                <w:lang w:val="en-US" w:eastAsia="zh-CN" w:bidi="ar"/>
              </w:rPr>
              <w:t>须提供由具备CMA（检验检测机构资质认定） 或 CNAS（中国合格评定国家认可委员会）资质的第三方检验检测机构出具的检测报告复印件，并加盖供应商公章；</w:t>
            </w:r>
          </w:p>
          <w:p w14:paraId="6291B337">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宋体" w:hAnsi="宋体" w:cs="宋体"/>
                <w:b/>
                <w:bCs/>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w:t>
            </w:r>
            <w:r>
              <w:rPr>
                <w:rFonts w:hint="eastAsia" w:ascii="宋体" w:hAnsi="宋体" w:cs="宋体"/>
                <w:i w:val="0"/>
                <w:iCs w:val="0"/>
                <w:color w:val="000000"/>
                <w:kern w:val="0"/>
                <w:sz w:val="21"/>
                <w:szCs w:val="21"/>
                <w:highlight w:val="none"/>
                <w:u w:val="none"/>
                <w:lang w:val="en-US" w:eastAsia="zh-CN" w:bidi="ar"/>
              </w:rPr>
              <w:t>5</w:t>
            </w:r>
            <w:r>
              <w:rPr>
                <w:rFonts w:hint="eastAsia" w:ascii="宋体" w:hAnsi="宋体" w:eastAsia="宋体" w:cs="宋体"/>
                <w:i w:val="0"/>
                <w:iCs w:val="0"/>
                <w:color w:val="000000"/>
                <w:kern w:val="0"/>
                <w:sz w:val="21"/>
                <w:szCs w:val="21"/>
                <w:highlight w:val="none"/>
                <w:u w:val="none"/>
                <w:lang w:val="en-US" w:eastAsia="zh-CN" w:bidi="ar"/>
              </w:rPr>
              <w:t>）为保障实验人员健康，产品甲醛释放量应满足现行强制国标GB18580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2025《室内装饰装修材料 人造板及其制品中甲醛释放限量》要求，达到 E₀级限值（≤0.050mg/m³，1m³气候箱法）；</w:t>
            </w:r>
            <w:r>
              <w:rPr>
                <w:rFonts w:hint="eastAsia" w:ascii="宋体" w:hAnsi="宋体" w:eastAsia="宋体" w:cs="宋体"/>
                <w:b/>
                <w:bCs/>
                <w:i w:val="0"/>
                <w:iCs w:val="0"/>
                <w:color w:val="000000"/>
                <w:kern w:val="0"/>
                <w:sz w:val="21"/>
                <w:szCs w:val="21"/>
                <w:highlight w:val="none"/>
                <w:u w:val="none"/>
                <w:lang w:val="en-US" w:eastAsia="zh-CN" w:bidi="ar"/>
              </w:rPr>
              <w:t>须提供由具备CMA（检验检测机构资质认定）或 CNAS（中国合格评定国家认可委员会）资质的第三方检验检测机构出具的检测报告复印件，并加盖供应商公章</w:t>
            </w:r>
            <w:r>
              <w:rPr>
                <w:rFonts w:hint="eastAsia" w:ascii="宋体" w:hAnsi="宋体" w:cs="宋体"/>
                <w:b/>
                <w:bCs/>
                <w:i w:val="0"/>
                <w:iCs w:val="0"/>
                <w:color w:val="000000"/>
                <w:kern w:val="0"/>
                <w:sz w:val="21"/>
                <w:szCs w:val="21"/>
                <w:highlight w:val="none"/>
                <w:u w:val="none"/>
                <w:lang w:val="en-US" w:eastAsia="zh-CN" w:bidi="ar"/>
              </w:rPr>
              <w:t>；</w:t>
            </w:r>
          </w:p>
          <w:p w14:paraId="65630C17">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cs="宋体"/>
                <w:b/>
                <w:bCs/>
                <w:sz w:val="21"/>
                <w:szCs w:val="21"/>
                <w:highlight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w:t>
            </w:r>
            <w:r>
              <w:rPr>
                <w:rFonts w:hint="eastAsia" w:ascii="宋体" w:hAnsi="宋体" w:cs="宋体"/>
                <w:i w:val="0"/>
                <w:iCs w:val="0"/>
                <w:color w:val="000000"/>
                <w:kern w:val="0"/>
                <w:sz w:val="21"/>
                <w:szCs w:val="21"/>
                <w:highlight w:val="none"/>
                <w:u w:val="none"/>
                <w:lang w:val="en-US" w:eastAsia="zh-CN" w:bidi="ar"/>
              </w:rPr>
              <w:t>6</w:t>
            </w:r>
            <w:r>
              <w:rPr>
                <w:rFonts w:hint="eastAsia" w:ascii="宋体" w:hAnsi="宋体" w:eastAsia="宋体" w:cs="宋体"/>
                <w:i w:val="0"/>
                <w:iCs w:val="0"/>
                <w:color w:val="000000"/>
                <w:kern w:val="0"/>
                <w:sz w:val="21"/>
                <w:szCs w:val="21"/>
                <w:highlight w:val="none"/>
                <w:u w:val="none"/>
                <w:lang w:val="en-US" w:eastAsia="zh-CN" w:bidi="ar"/>
              </w:rPr>
              <w:t>）耐高温性能：参照GB/T24820-2024及QB/T5589-2021标准：检测结果为表面无裂纹；</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12BBBDB0">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w:t>
            </w:r>
            <w:r>
              <w:rPr>
                <w:rFonts w:hint="eastAsia" w:ascii="宋体" w:hAnsi="宋体" w:cs="宋体"/>
                <w:i w:val="0"/>
                <w:iCs w:val="0"/>
                <w:color w:val="000000"/>
                <w:kern w:val="0"/>
                <w:sz w:val="21"/>
                <w:szCs w:val="21"/>
                <w:highlight w:val="none"/>
                <w:u w:val="none"/>
                <w:lang w:val="en-US" w:eastAsia="zh-CN" w:bidi="ar"/>
              </w:rPr>
              <w:t>7</w:t>
            </w:r>
            <w:r>
              <w:rPr>
                <w:rFonts w:hint="eastAsia" w:ascii="宋体" w:hAnsi="宋体" w:eastAsia="宋体" w:cs="宋体"/>
                <w:i w:val="0"/>
                <w:iCs w:val="0"/>
                <w:color w:val="000000"/>
                <w:kern w:val="0"/>
                <w:sz w:val="21"/>
                <w:szCs w:val="21"/>
                <w:highlight w:val="none"/>
                <w:u w:val="none"/>
                <w:lang w:val="en-US" w:eastAsia="zh-CN" w:bidi="ar"/>
              </w:rPr>
              <w:t>）破坏强度</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参照GB/T 3810.4-2016标准：台面破坏强度检测结果为≥23510N；</w:t>
            </w:r>
            <w:r>
              <w:rPr>
                <w:rStyle w:val="80"/>
                <w:rFonts w:hint="eastAsia" w:ascii="宋体" w:hAnsi="宋体" w:eastAsia="宋体" w:cs="宋体"/>
                <w:b/>
                <w:bCs/>
                <w:sz w:val="21"/>
                <w:szCs w:val="21"/>
                <w:highlight w:val="none"/>
                <w:lang w:val="en-US" w:eastAsia="zh-CN" w:bidi="ar"/>
              </w:rPr>
              <w:t>须提供由具备CMA（检验检测机构资质认定）或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5CAD1E46">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25台</w:t>
            </w:r>
          </w:p>
        </w:tc>
      </w:tr>
      <w:tr w14:paraId="365FC58F">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0E3E5DE">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45A6E50">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0320635">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玻璃钢变频离心风机</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B99839B">
            <w:pPr>
              <w:pStyle w:val="10"/>
              <w:spacing w:line="360" w:lineRule="auto"/>
              <w:rPr>
                <w:rFonts w:hint="eastAsia" w:asciiTheme="minorEastAsia" w:hAnsiTheme="minorEastAsia" w:eastAsiaTheme="minorEastAsia" w:cstheme="minorEastAsia"/>
                <w:color w:val="000000"/>
                <w:kern w:val="0"/>
                <w:sz w:val="21"/>
                <w:szCs w:val="21"/>
                <w:highlight w:val="none"/>
                <w:lang w:val="en-US" w:eastAsia="zh-CN" w:bidi="ar-SA"/>
              </w:rPr>
            </w:pPr>
            <w:r>
              <w:rPr>
                <w:rStyle w:val="80"/>
                <w:rFonts w:hint="eastAsia" w:ascii="宋体" w:hAnsi="宋体" w:eastAsia="宋体" w:cs="宋体"/>
                <w:sz w:val="21"/>
                <w:szCs w:val="21"/>
                <w:highlight w:val="none"/>
                <w:lang w:val="en-US" w:eastAsia="zh-CN" w:bidi="ar"/>
              </w:rPr>
              <w:t>配置：3台通风柜共用一套通风系统，包含1台风机功率5.5KW；转速：1450r/min；流量：</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7016-14020m3/h；全压：</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1173-810pa，1套5.5KW变频系统，喷淋塔1套、PP风管35㎡，电动风阀3个，消声器1套，风机基础1套，配风机电源线及控制线。</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风机参数满足：</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b/>
                <w:bCs/>
                <w:sz w:val="21"/>
                <w:szCs w:val="21"/>
                <w:highlight w:val="none"/>
                <w:lang w:val="en-US" w:eastAsia="zh-CN" w:bidi="ar"/>
              </w:rPr>
              <w:t>1.1风机采用国家3C强制认证防爆</w:t>
            </w:r>
            <w:r>
              <w:rPr>
                <w:rStyle w:val="80"/>
                <w:rFonts w:hint="eastAsia" w:ascii="宋体" w:hAnsi="宋体" w:cs="宋体"/>
                <w:b/>
                <w:bCs/>
                <w:sz w:val="21"/>
                <w:szCs w:val="21"/>
                <w:highlight w:val="none"/>
                <w:lang w:val="en-US" w:eastAsia="zh-CN" w:bidi="ar"/>
              </w:rPr>
              <w:t>电机</w:t>
            </w:r>
            <w:r>
              <w:rPr>
                <w:rStyle w:val="80"/>
                <w:rFonts w:hint="eastAsia" w:ascii="宋体" w:hAnsi="宋体" w:eastAsia="宋体" w:cs="宋体"/>
                <w:b/>
                <w:bCs/>
                <w:sz w:val="21"/>
                <w:szCs w:val="21"/>
                <w:highlight w:val="none"/>
                <w:lang w:val="en-US" w:eastAsia="zh-CN" w:bidi="ar"/>
              </w:rPr>
              <w:t>，</w:t>
            </w:r>
            <w:r>
              <w:rPr>
                <w:rStyle w:val="80"/>
                <w:rFonts w:hint="eastAsia" w:ascii="宋体" w:hAnsi="宋体" w:cs="宋体"/>
                <w:b/>
                <w:bCs/>
                <w:sz w:val="21"/>
                <w:szCs w:val="21"/>
                <w:highlight w:val="none"/>
                <w:lang w:val="en-US" w:eastAsia="zh-CN" w:bidi="ar"/>
              </w:rPr>
              <w:t>响应</w:t>
            </w:r>
            <w:r>
              <w:rPr>
                <w:rStyle w:val="80"/>
                <w:rFonts w:hint="eastAsia" w:ascii="宋体" w:hAnsi="宋体" w:eastAsia="宋体" w:cs="宋体"/>
                <w:b/>
                <w:bCs/>
                <w:sz w:val="21"/>
                <w:szCs w:val="21"/>
                <w:highlight w:val="none"/>
                <w:lang w:val="en-US" w:eastAsia="zh-CN" w:bidi="ar"/>
              </w:rPr>
              <w:t>文件中</w:t>
            </w:r>
            <w:r>
              <w:rPr>
                <w:rStyle w:val="80"/>
                <w:rFonts w:hint="eastAsia" w:ascii="宋体" w:hAnsi="宋体" w:cs="宋体"/>
                <w:b/>
                <w:bCs/>
                <w:sz w:val="21"/>
                <w:szCs w:val="21"/>
                <w:highlight w:val="none"/>
                <w:lang w:val="en-US" w:eastAsia="zh-CN" w:bidi="ar"/>
              </w:rPr>
              <w:t>须</w:t>
            </w:r>
            <w:r>
              <w:rPr>
                <w:rStyle w:val="80"/>
                <w:rFonts w:hint="eastAsia" w:ascii="宋体" w:hAnsi="宋体" w:eastAsia="宋体" w:cs="宋体"/>
                <w:b/>
                <w:bCs/>
                <w:sz w:val="21"/>
                <w:szCs w:val="21"/>
                <w:highlight w:val="none"/>
                <w:lang w:val="en-US" w:eastAsia="zh-CN" w:bidi="ar"/>
              </w:rPr>
              <w:t>提供</w:t>
            </w:r>
            <w:r>
              <w:rPr>
                <w:rStyle w:val="80"/>
                <w:rFonts w:hint="eastAsia" w:ascii="宋体" w:hAnsi="宋体" w:cs="宋体"/>
                <w:b/>
                <w:bCs/>
                <w:sz w:val="21"/>
                <w:szCs w:val="21"/>
                <w:highlight w:val="none"/>
                <w:lang w:val="en-US" w:eastAsia="zh-CN" w:bidi="ar"/>
              </w:rPr>
              <w:t>电机</w:t>
            </w:r>
            <w:r>
              <w:rPr>
                <w:rStyle w:val="80"/>
                <w:rFonts w:hint="eastAsia" w:ascii="宋体" w:hAnsi="宋体" w:eastAsia="宋体" w:cs="宋体"/>
                <w:b/>
                <w:bCs/>
                <w:sz w:val="21"/>
                <w:szCs w:val="21"/>
                <w:highlight w:val="none"/>
                <w:lang w:val="en-US" w:eastAsia="zh-CN" w:bidi="ar"/>
              </w:rPr>
              <w:t>产品3C认证证书，并可以通过官网或其它官方渠道查询认证；</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1.2风机性能要求：</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 xml:space="preserve">1.2.1.按GB/T 1236-2017 《工业通风机 用标准化风道性能试验》在规定测试下所对应的流量全压偏差为±5%； </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1.2.2.按JB/T 8689-2014 规定应进行 30min 机械运转试验 转动件应无擦碰等异常现象振动速度有效值 mm/s ≤4.6；</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1.2.3.按JB/T 9101-2014 《通风机转子平衡》规定进行动平衡品质等级 G ≤2.5级 ；</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1.2.4.噪声测试按 GB/T 2888-2008 规定方法执行，比 A 声级应满足 JB/T 8690-2014 对应叶轮型式噪声限值要求；若为后向板型叶轮，比 A 声级≤27dB；</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 xml:space="preserve">1.2.5.按JB/T 6445-2017 《通风机叶轮超速试验》规定进行叶轮超速试验 1.叶轮在规定最高工作转速的 150%转 速下运转，持续时间不少于 2min，试 验结果应符合以下规定： a) 焊缝、轮盘、轮盖、轮毂等不得 有裂纹，铆钉不得有松动或有裂 纹； b) 叶轮直径的尺寸变形量≤ 0.5/1000; c) 叶轮外径处叶片安装角不得超过 图样的规定； 2.符合以上要求后，叶轮在规定最高工作转速的150%转速下运行，转速≥2min 短时超速试验，试验结果应符合焊缝、轮盘、轮盖、轮毂等不得有裂纹，铆钉不得有松动或有裂纹； </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1.2.6.外观质量风机表面光滑，不得有气泡、裂缝及厚度不均缺陷，涂层均匀、无剥落、划伤等缺陷，轴承部位不得漏油，焊接处应 平整、无气孔、裂纹等缺陷，风机内外表面必须清洁，产品铭牌安装平整、牢固；</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1.2.7.按JB/T 10563-2006</w:t>
            </w:r>
            <w:r>
              <w:rPr>
                <w:rStyle w:val="80"/>
                <w:rFonts w:hint="eastAsia" w:ascii="宋体" w:hAnsi="宋体" w:cs="宋体"/>
                <w:sz w:val="21"/>
                <w:szCs w:val="21"/>
                <w:highlight w:val="none"/>
                <w:lang w:val="en-US" w:eastAsia="zh-CN" w:bidi="ar"/>
              </w:rPr>
              <w:t xml:space="preserve"> </w:t>
            </w:r>
            <w:r>
              <w:rPr>
                <w:rStyle w:val="80"/>
                <w:rFonts w:hint="eastAsia" w:ascii="宋体" w:hAnsi="宋体" w:eastAsia="宋体" w:cs="宋体"/>
                <w:sz w:val="21"/>
                <w:szCs w:val="21"/>
                <w:highlight w:val="none"/>
                <w:lang w:val="en-US" w:eastAsia="zh-CN" w:bidi="ar"/>
              </w:rPr>
              <w:t>《一般用途离心通风机技术条件》规定装配要求1）叶轮叶片应均匀分布，任意两相邻叶片间的最大弦长偏差应不大于3mm</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2)叶轮和机壳的径向间隙应均匀。</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1.3外壳及叶轮材质：FRP耐酸碱VinylEster（乙烯基脂树脂+无碱玻璃纤维）制作</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材质要求为FRP玻材质（玻璃钢），风机叶轮，外壳采用乙烯基树脂制作</w:t>
            </w:r>
            <w:r>
              <w:rPr>
                <w:rStyle w:val="80"/>
                <w:rFonts w:hint="eastAsia" w:ascii="宋体" w:hAnsi="宋体" w:cs="宋体"/>
                <w:sz w:val="21"/>
                <w:szCs w:val="21"/>
                <w:highlight w:val="none"/>
                <w:lang w:val="en-US" w:eastAsia="zh-CN" w:bidi="ar"/>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692EC168">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1台</w:t>
            </w:r>
          </w:p>
        </w:tc>
      </w:tr>
      <w:tr w14:paraId="1CE09BEB">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4AB4B3A">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43C4EED">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7A3067C">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耐酸碱药品柜</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493C4CB">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一、尺寸：</w:t>
            </w:r>
            <w:r>
              <w:rPr>
                <w:rFonts w:hint="eastAsia"/>
                <w:highlight w:val="none"/>
                <w:lang w:val="en-US" w:eastAsia="zh-CN"/>
              </w:rPr>
              <w:t>≥</w:t>
            </w:r>
            <w:r>
              <w:rPr>
                <w:rFonts w:hint="eastAsia" w:ascii="宋体" w:hAnsi="宋体" w:eastAsia="宋体" w:cs="宋体"/>
                <w:i w:val="0"/>
                <w:iCs w:val="0"/>
                <w:color w:val="000000"/>
                <w:kern w:val="0"/>
                <w:sz w:val="21"/>
                <w:szCs w:val="21"/>
                <w:highlight w:val="none"/>
                <w:u w:val="none"/>
                <w:lang w:val="en-US" w:eastAsia="zh-CN" w:bidi="ar"/>
              </w:rPr>
              <w:t>长900mm*宽450mm*高1800mm</w:t>
            </w:r>
          </w:p>
          <w:p w14:paraId="6C42E299">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二、主要参数</w:t>
            </w:r>
          </w:p>
          <w:p w14:paraId="72CEAE4A">
            <w:pPr>
              <w:pStyle w:val="10"/>
              <w:spacing w:line="360" w:lineRule="auto"/>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上下四开门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b w:val="0"/>
                <w:bCs w:val="0"/>
                <w:i w:val="0"/>
                <w:iCs w:val="0"/>
                <w:color w:val="000000"/>
                <w:kern w:val="0"/>
                <w:sz w:val="21"/>
                <w:szCs w:val="21"/>
                <w:highlight w:val="none"/>
                <w:u w:val="none"/>
                <w:lang w:val="en-US" w:eastAsia="zh-CN" w:bidi="ar"/>
              </w:rPr>
              <w:t>2、柜体材质：采用</w:t>
            </w:r>
            <w:r>
              <w:rPr>
                <w:rFonts w:hint="eastAsia"/>
                <w:highlight w:val="none"/>
                <w:lang w:val="en-US" w:eastAsia="zh-CN"/>
              </w:rPr>
              <w:t>≥</w:t>
            </w:r>
            <w:r>
              <w:rPr>
                <w:rFonts w:hint="eastAsia" w:ascii="宋体" w:hAnsi="宋体" w:eastAsia="宋体" w:cs="宋体"/>
                <w:b w:val="0"/>
                <w:bCs w:val="0"/>
                <w:i w:val="0"/>
                <w:iCs w:val="0"/>
                <w:color w:val="000000"/>
                <w:kern w:val="0"/>
                <w:sz w:val="21"/>
                <w:szCs w:val="21"/>
                <w:highlight w:val="none"/>
                <w:u w:val="none"/>
                <w:lang w:val="en-US" w:eastAsia="zh-CN" w:bidi="ar"/>
              </w:rPr>
              <w:t>8MM 阻燃PP板，持续高温250℃±5℃，时间不间断，大于15min，测试后无变形，变色，起泡、松动</w:t>
            </w:r>
            <w:r>
              <w:rPr>
                <w:rFonts w:hint="eastAsia" w:ascii="宋体" w:hAnsi="宋体" w:cs="宋体"/>
                <w:b w:val="0"/>
                <w:bCs/>
                <w:snapToGrid w:val="0"/>
                <w:kern w:val="2"/>
                <w:sz w:val="21"/>
                <w:szCs w:val="21"/>
                <w:highlight w:val="none"/>
                <w:lang w:val="en-US" w:eastAsia="zh-CN" w:bidi="ar-SA"/>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门框一体折弯成型，表面无焊缝，内置四根加强型 PP 立柱折弯一次成型，无缝焊接固定，结构坚固结实，承重性能优异；同时柜体下后部预留一排直径</w:t>
            </w:r>
            <w:r>
              <w:rPr>
                <w:rFonts w:hint="eastAsia"/>
                <w:highlight w:val="none"/>
                <w:lang w:val="en-US" w:eastAsia="zh-CN"/>
              </w:rPr>
              <w:t>≥</w:t>
            </w:r>
            <w:r>
              <w:rPr>
                <w:rFonts w:hint="eastAsia" w:ascii="宋体" w:hAnsi="宋体" w:eastAsia="宋体" w:cs="宋体"/>
                <w:i w:val="0"/>
                <w:iCs w:val="0"/>
                <w:color w:val="000000"/>
                <w:kern w:val="0"/>
                <w:sz w:val="21"/>
                <w:szCs w:val="21"/>
                <w:highlight w:val="none"/>
                <w:u w:val="none"/>
                <w:lang w:val="en-US" w:eastAsia="zh-CN" w:bidi="ar"/>
              </w:rPr>
              <w:t xml:space="preserve">10mm进气口，方便以后安装排风，便于进气，柜体顶部预留蜂窝孔，便于以后安装排风管道；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层板：采用瓷白色 PP 聚丙烯原料板制作，四周设有防溢漏立边，一次注塑成型，层板可调，可根据需要任意调节高度，层板承重：</w:t>
            </w:r>
            <w:r>
              <w:rPr>
                <w:rFonts w:hint="eastAsia"/>
                <w:highlight w:val="none"/>
                <w:lang w:val="en-US" w:eastAsia="zh-CN"/>
              </w:rPr>
              <w:t>≥</w:t>
            </w:r>
            <w:r>
              <w:rPr>
                <w:rFonts w:hint="eastAsia" w:ascii="宋体" w:hAnsi="宋体" w:cs="宋体"/>
                <w:i w:val="0"/>
                <w:iCs w:val="0"/>
                <w:color w:val="000000"/>
                <w:kern w:val="0"/>
                <w:sz w:val="21"/>
                <w:szCs w:val="21"/>
                <w:highlight w:val="none"/>
                <w:u w:val="none"/>
                <w:lang w:val="en-US" w:eastAsia="zh-CN" w:bidi="ar"/>
              </w:rPr>
              <w:t>7</w:t>
            </w:r>
            <w:r>
              <w:rPr>
                <w:rFonts w:hint="eastAsia" w:ascii="宋体" w:hAnsi="宋体" w:eastAsia="宋体" w:cs="宋体"/>
                <w:i w:val="0"/>
                <w:iCs w:val="0"/>
                <w:color w:val="000000"/>
                <w:kern w:val="0"/>
                <w:sz w:val="21"/>
                <w:szCs w:val="21"/>
                <w:highlight w:val="none"/>
                <w:u w:val="none"/>
                <w:lang w:val="en-US" w:eastAsia="zh-CN" w:bidi="ar"/>
              </w:rPr>
              <w:t>0kg。底部有坚固防渗漏液体导管，长方形不规则凹槽每一格交叉</w:t>
            </w:r>
            <w:r>
              <w:rPr>
                <w:rFonts w:hint="eastAsia"/>
                <w:highlight w:val="none"/>
                <w:lang w:eastAsia="zh-CN"/>
              </w:rPr>
              <w:t>，</w:t>
            </w:r>
            <w:r>
              <w:rPr>
                <w:rFonts w:hint="eastAsia" w:ascii="宋体" w:hAnsi="宋体" w:cs="宋体"/>
                <w:i w:val="0"/>
                <w:iCs w:val="0"/>
                <w:color w:val="000000"/>
                <w:kern w:val="0"/>
                <w:sz w:val="21"/>
                <w:szCs w:val="21"/>
                <w:highlight w:val="none"/>
                <w:u w:val="none"/>
                <w:lang w:val="en-US" w:eastAsia="zh-CN" w:bidi="ar"/>
              </w:rPr>
              <w:t>层板四周设置防溢漏立边，具备整体防渗漏废液收集功能，设置排液接口，废液可通过排液接口导出，无需取出层板，防止化学品二次伤害；层板厚度≥3mm；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门板：采用</w:t>
            </w:r>
            <w:r>
              <w:rPr>
                <w:rFonts w:hint="eastAsia"/>
                <w:highlight w:val="none"/>
                <w:lang w:val="en-US" w:eastAsia="zh-CN"/>
              </w:rPr>
              <w:t>≥</w:t>
            </w:r>
            <w:r>
              <w:rPr>
                <w:rFonts w:hint="eastAsia" w:ascii="宋体" w:hAnsi="宋体" w:eastAsia="宋体" w:cs="宋体"/>
                <w:i w:val="0"/>
                <w:iCs w:val="0"/>
                <w:color w:val="000000"/>
                <w:kern w:val="0"/>
                <w:sz w:val="21"/>
                <w:szCs w:val="21"/>
                <w:highlight w:val="none"/>
                <w:u w:val="none"/>
                <w:lang w:val="en-US" w:eastAsia="zh-CN" w:bidi="ar"/>
              </w:rPr>
              <w:t xml:space="preserve">15mm 厚 PP 聚丙烯原料板制作，焊枪无缝式焊接，≥5mm 厚 pvc 透明视窗；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6</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绞链：塑胶射出一体成型，抗腐蚀性佳；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7</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 xml:space="preserve">把手：塑胶射出一体成型，抗腐蚀性佳；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cs="宋体"/>
                <w:i w:val="0"/>
                <w:iCs w:val="0"/>
                <w:color w:val="000000"/>
                <w:kern w:val="0"/>
                <w:sz w:val="21"/>
                <w:szCs w:val="21"/>
                <w:highlight w:val="none"/>
                <w:u w:val="none"/>
                <w:lang w:val="en-US" w:eastAsia="zh-CN" w:bidi="ar"/>
              </w:rPr>
              <w:t>8.</w:t>
            </w:r>
            <w:r>
              <w:rPr>
                <w:rFonts w:hint="eastAsia" w:ascii="宋体" w:hAnsi="宋体" w:eastAsia="宋体" w:cs="宋体"/>
                <w:i w:val="0"/>
                <w:iCs w:val="0"/>
                <w:color w:val="000000"/>
                <w:kern w:val="0"/>
                <w:sz w:val="21"/>
                <w:szCs w:val="21"/>
                <w:highlight w:val="none"/>
                <w:u w:val="none"/>
                <w:lang w:val="en-US" w:eastAsia="zh-CN" w:bidi="ar"/>
              </w:rPr>
              <w:t>柜门贴有醒目的“腐蚀性”警示标示，提醒周围人注意安全。</w:t>
            </w:r>
          </w:p>
        </w:tc>
        <w:tc>
          <w:tcPr>
            <w:tcW w:w="349" w:type="pct"/>
            <w:tcBorders>
              <w:top w:val="single" w:color="auto" w:sz="4" w:space="0"/>
              <w:left w:val="nil"/>
              <w:bottom w:val="single" w:color="auto" w:sz="4" w:space="0"/>
              <w:right w:val="single" w:color="auto" w:sz="4" w:space="0"/>
            </w:tcBorders>
            <w:shd w:val="clear" w:color="auto" w:fill="auto"/>
            <w:vAlign w:val="center"/>
          </w:tcPr>
          <w:p w14:paraId="08A7355B">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21台</w:t>
            </w:r>
          </w:p>
        </w:tc>
      </w:tr>
      <w:tr w14:paraId="28B9CFDD">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E4EC72A">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901A17A">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C4E5EAF">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全钢边台</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A8C8113">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一、尺寸：≥</w:t>
            </w:r>
            <w:r>
              <w:rPr>
                <w:rFonts w:hint="eastAsia" w:ascii="宋体" w:hAnsi="宋体" w:eastAsia="宋体" w:cs="宋体"/>
                <w:i w:val="0"/>
                <w:iCs w:val="0"/>
                <w:color w:val="000000"/>
                <w:kern w:val="0"/>
                <w:sz w:val="21"/>
                <w:szCs w:val="21"/>
                <w:highlight w:val="none"/>
                <w:u w:val="none"/>
                <w:lang w:val="en-US" w:eastAsia="zh-CN" w:bidi="ar"/>
              </w:rPr>
              <w:t>长</w:t>
            </w:r>
            <w:r>
              <w:rPr>
                <w:rStyle w:val="80"/>
                <w:rFonts w:hint="eastAsia" w:ascii="宋体" w:hAnsi="宋体" w:eastAsia="宋体" w:cs="宋体"/>
                <w:sz w:val="21"/>
                <w:szCs w:val="21"/>
                <w:highlight w:val="none"/>
                <w:lang w:val="en-US" w:eastAsia="zh-CN" w:bidi="ar"/>
              </w:rPr>
              <w:t>6000mm</w:t>
            </w:r>
            <w:r>
              <w:rPr>
                <w:rFonts w:hint="eastAsia" w:ascii="宋体" w:hAnsi="宋体" w:eastAsia="宋体" w:cs="宋体"/>
                <w:i w:val="0"/>
                <w:iCs w:val="0"/>
                <w:color w:val="000000"/>
                <w:kern w:val="0"/>
                <w:sz w:val="21"/>
                <w:szCs w:val="21"/>
                <w:highlight w:val="none"/>
                <w:u w:val="none"/>
                <w:lang w:val="en-US" w:eastAsia="zh-CN" w:bidi="ar"/>
              </w:rPr>
              <w:t>*宽</w:t>
            </w:r>
            <w:r>
              <w:rPr>
                <w:rStyle w:val="80"/>
                <w:rFonts w:hint="eastAsia" w:ascii="宋体" w:hAnsi="宋体" w:eastAsia="宋体" w:cs="宋体"/>
                <w:sz w:val="21"/>
                <w:szCs w:val="21"/>
                <w:highlight w:val="none"/>
                <w:lang w:val="en-US" w:eastAsia="zh-CN" w:bidi="ar"/>
              </w:rPr>
              <w:t>750mm</w:t>
            </w:r>
            <w:r>
              <w:rPr>
                <w:rFonts w:hint="eastAsia" w:ascii="宋体" w:hAnsi="宋体" w:eastAsia="宋体" w:cs="宋体"/>
                <w:i w:val="0"/>
                <w:iCs w:val="0"/>
                <w:color w:val="000000"/>
                <w:kern w:val="0"/>
                <w:sz w:val="21"/>
                <w:szCs w:val="21"/>
                <w:highlight w:val="none"/>
                <w:u w:val="none"/>
                <w:lang w:val="en-US" w:eastAsia="zh-CN" w:bidi="ar"/>
              </w:rPr>
              <w:t>*高</w:t>
            </w:r>
            <w:r>
              <w:rPr>
                <w:rStyle w:val="80"/>
                <w:rFonts w:hint="eastAsia" w:ascii="宋体" w:hAnsi="宋体" w:eastAsia="宋体" w:cs="宋体"/>
                <w:sz w:val="21"/>
                <w:szCs w:val="21"/>
                <w:highlight w:val="none"/>
                <w:lang w:val="en-US" w:eastAsia="zh-CN" w:bidi="ar"/>
              </w:rPr>
              <w:t>850mm</w:t>
            </w:r>
          </w:p>
          <w:p w14:paraId="0F8B71A8">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二、主要参数</w:t>
            </w:r>
          </w:p>
          <w:p w14:paraId="1F6EC7CC">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配置：全钢结构，≥12.7mm理化板台面，配洗眼器1套、滴水架1套、三口水龙头及水槽1套，岛式插座4套</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柜体：采用≥1.2mm优质冷轧钢板，表面经酸洗磷化处理后喷涂环氧树脂粉末高温烘烤固化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柜门：采用≥1.2mm双层优质冷轧钢板，门板厚度≥18mm，表面经酸洗磷化处理后喷涂环氧树脂粉末高温烘烤固化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合页：采用不锈钢隐藏插销合页</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4</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把手：采用≥1.0mm优质冷轧钢板一体成型拉手</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5</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滑轨：采用16寸优质三节静音导轨</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≥10万次测试无质量问题</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6</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调节脚：采用</w:t>
            </w:r>
            <w:r>
              <w:rPr>
                <w:rStyle w:val="77"/>
                <w:rFonts w:hint="eastAsia" w:ascii="宋体" w:hAnsi="宋体" w:eastAsia="宋体" w:cs="宋体"/>
                <w:sz w:val="21"/>
                <w:szCs w:val="21"/>
                <w:highlight w:val="none"/>
                <w:lang w:val="en-US" w:eastAsia="zh-CN" w:bidi="ar"/>
              </w:rPr>
              <w:t>φ</w:t>
            </w:r>
            <w:r>
              <w:rPr>
                <w:rStyle w:val="80"/>
                <w:rFonts w:hint="eastAsia" w:ascii="宋体" w:hAnsi="宋体" w:eastAsia="宋体" w:cs="宋体"/>
                <w:sz w:val="21"/>
                <w:szCs w:val="21"/>
                <w:highlight w:val="none"/>
                <w:lang w:val="en-US" w:eastAsia="zh-CN" w:bidi="ar"/>
              </w:rPr>
              <w:t>10mm注塑调整脚，可根据室内地坪适当调整柜体高度，最大调节为0-30mm</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7</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台面采用边沿加厚≥26mm实验台</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台面参数要求：</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（1）理化板台面耐化学试剂性能依据“GB/T 17657-2022”检测方法进行检验，乙酸乙酯、乙酸（≥98%）、丙酮、四氯化碳、铬酸（≥60%）、硫酸（≥98%）等至少</w:t>
            </w:r>
            <w:r>
              <w:rPr>
                <w:rStyle w:val="80"/>
                <w:rFonts w:hint="eastAsia" w:ascii="宋体" w:hAnsi="宋体" w:cs="宋体"/>
                <w:sz w:val="21"/>
                <w:szCs w:val="21"/>
                <w:highlight w:val="none"/>
                <w:lang w:val="en-US" w:eastAsia="zh-CN" w:bidi="ar"/>
              </w:rPr>
              <w:t>35</w:t>
            </w:r>
            <w:r>
              <w:rPr>
                <w:rStyle w:val="80"/>
                <w:rFonts w:hint="eastAsia" w:ascii="宋体" w:hAnsi="宋体" w:eastAsia="宋体" w:cs="宋体"/>
                <w:sz w:val="21"/>
                <w:szCs w:val="21"/>
                <w:highlight w:val="none"/>
                <w:lang w:val="en-US" w:eastAsia="zh-CN" w:bidi="ar"/>
              </w:rPr>
              <w:t>项化学试剂通过检测，检测结果等级均达到“5级（无明显变化）”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（2）理化板台面甲醛释放量检测结果＜0.012mg/m³（根据测试结果，依据GB/T39600-2021判定为ENF 级）</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（3）理化板台面物理性能按照“GB/T 17657-2022”或“GB/T 7911-2024”检测方法进行检测：“密度”检测结果需≥1.41g/cm3  、“耐划痕”≥4级、“耐大球冲击（冲击高度≥1800mm）”凹痕直径≤8mm、“静曲强度”≥130MPa、“抗拉强度”≥65MPa、“尺寸稳定性（高温）-纵向”检验结果≤0.35%、“耐辐射热”≥230s</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（4）台面板“色差”检测结果达到E≤0.19（检测方法为GB/T 17657-2022）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7885915E">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highlight w:val="none"/>
              </w:rPr>
              <w:t>▲</w:t>
            </w:r>
            <w:r>
              <w:rPr>
                <w:rStyle w:val="80"/>
                <w:rFonts w:hint="eastAsia" w:ascii="宋体" w:hAnsi="宋体" w:cs="宋体"/>
                <w:sz w:val="21"/>
                <w:szCs w:val="21"/>
                <w:highlight w:val="none"/>
                <w:lang w:val="en-US" w:eastAsia="zh-CN" w:bidi="ar"/>
              </w:rPr>
              <w:t>（5）</w:t>
            </w:r>
            <w:r>
              <w:rPr>
                <w:rStyle w:val="80"/>
                <w:rFonts w:hint="eastAsia" w:ascii="宋体" w:hAnsi="宋体" w:eastAsia="宋体" w:cs="宋体"/>
                <w:sz w:val="21"/>
                <w:szCs w:val="21"/>
                <w:highlight w:val="none"/>
                <w:lang w:val="en-US" w:eastAsia="zh-CN" w:bidi="ar"/>
              </w:rPr>
              <w:t>台面板依据GB/T 17657-2022 检测方法：“板面握螺钉力”检测结果达到≥3320N</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（6）台面板“静曲强度—浸渍-冰冻-干燥处理法”检测结果≥82MPa（检测方法为GB/T 17657-2022）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8、配件配置</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（1）滴水架1套：规格</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550*400mm</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滴水架需提供以下报告：滴水架防霉性能依据 GB/T 24128</w:t>
            </w:r>
            <w:r>
              <w:rPr>
                <w:rStyle w:val="80"/>
                <w:rFonts w:hint="eastAsia" w:ascii="宋体" w:hAnsi="宋体" w:eastAsia="宋体" w:cs="宋体"/>
                <w:sz w:val="21"/>
                <w:szCs w:val="21"/>
                <w:highlight w:val="none"/>
                <w:lang w:val="en-US" w:eastAsia="zh-CN" w:bidi="ar"/>
              </w:rPr>
              <w:noBreakHyphen/>
            </w:r>
            <w:r>
              <w:rPr>
                <w:rStyle w:val="80"/>
                <w:rFonts w:hint="eastAsia" w:ascii="宋体" w:hAnsi="宋体" w:eastAsia="宋体" w:cs="宋体"/>
                <w:sz w:val="21"/>
                <w:szCs w:val="21"/>
                <w:highlight w:val="none"/>
                <w:lang w:val="en-US" w:eastAsia="zh-CN" w:bidi="ar"/>
              </w:rPr>
              <w:t>2018，防霉等级达到 0 级；材质为聚苯乙烯（PS）</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（2）洗眼器1套</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洗眼器接触水部件防霉性能依据 GB/T24128</w:t>
            </w:r>
            <w:r>
              <w:rPr>
                <w:rStyle w:val="80"/>
                <w:rFonts w:hint="eastAsia" w:ascii="宋体" w:hAnsi="宋体" w:eastAsia="宋体" w:cs="宋体"/>
                <w:sz w:val="21"/>
                <w:szCs w:val="21"/>
                <w:highlight w:val="none"/>
                <w:lang w:val="en-US" w:eastAsia="zh-CN" w:bidi="ar"/>
              </w:rPr>
              <w:noBreakHyphen/>
            </w:r>
            <w:r>
              <w:rPr>
                <w:rStyle w:val="80"/>
                <w:rFonts w:hint="eastAsia" w:ascii="宋体" w:hAnsi="宋体" w:eastAsia="宋体" w:cs="宋体"/>
                <w:sz w:val="21"/>
                <w:szCs w:val="21"/>
                <w:highlight w:val="none"/>
                <w:lang w:val="en-US" w:eastAsia="zh-CN" w:bidi="ar"/>
              </w:rPr>
              <w:t>2018，防霉等级0级。</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eastAsia="宋体" w:cs="宋体"/>
                <w:b/>
                <w:bCs/>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（3）水槽水龙头1套</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b/>
                <w:bCs/>
                <w:sz w:val="21"/>
                <w:szCs w:val="21"/>
                <w:highlight w:val="none"/>
                <w:lang w:val="en-US" w:eastAsia="zh-CN" w:bidi="ar"/>
              </w:rPr>
              <w:t>3.1</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水龙头</w:t>
            </w:r>
            <w:r>
              <w:rPr>
                <w:rStyle w:val="80"/>
                <w:rFonts w:hint="eastAsia" w:ascii="宋体" w:hAnsi="宋体" w:cs="宋体"/>
                <w:b/>
                <w:bCs/>
                <w:sz w:val="21"/>
                <w:szCs w:val="21"/>
                <w:highlight w:val="none"/>
                <w:lang w:val="en-US" w:eastAsia="zh-CN" w:bidi="ar"/>
              </w:rPr>
              <w:t>须</w:t>
            </w:r>
            <w:r>
              <w:rPr>
                <w:rStyle w:val="80"/>
                <w:rFonts w:hint="eastAsia" w:ascii="宋体" w:hAnsi="宋体" w:eastAsia="宋体" w:cs="宋体"/>
                <w:b/>
                <w:bCs/>
                <w:sz w:val="21"/>
                <w:szCs w:val="21"/>
                <w:highlight w:val="none"/>
                <w:lang w:val="en-US" w:eastAsia="zh-CN" w:bidi="ar"/>
              </w:rPr>
              <w:t>提供中国节水产品CQC认证证书</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b/>
                <w:bCs/>
                <w:sz w:val="21"/>
                <w:szCs w:val="21"/>
                <w:highlight w:val="none"/>
                <w:lang w:val="en-US" w:eastAsia="zh-CN" w:bidi="ar"/>
              </w:rPr>
              <w:t>3.2</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实验室化验水龙头符合GB 18145-2014标准，水嘴开关寿命≥7万次。（须提供由具备CMA（检验检测机构资质认定）或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3.3水龙头检测表面耐腐蚀性能，依据GB/T 10125-2021 进行≥</w:t>
            </w:r>
            <w:r>
              <w:rPr>
                <w:rStyle w:val="80"/>
                <w:rFonts w:hint="eastAsia" w:ascii="宋体" w:hAnsi="宋体" w:cs="宋体"/>
                <w:sz w:val="21"/>
                <w:szCs w:val="21"/>
                <w:highlight w:val="none"/>
                <w:lang w:val="en-US" w:eastAsia="zh-CN" w:bidi="ar"/>
              </w:rPr>
              <w:t>24</w:t>
            </w:r>
            <w:r>
              <w:rPr>
                <w:rStyle w:val="80"/>
                <w:rFonts w:hint="eastAsia" w:ascii="宋体" w:hAnsi="宋体" w:eastAsia="宋体" w:cs="宋体"/>
                <w:sz w:val="21"/>
                <w:szCs w:val="21"/>
                <w:highlight w:val="none"/>
                <w:lang w:val="en-US" w:eastAsia="zh-CN" w:bidi="ar"/>
              </w:rPr>
              <w:t>h中性盐雾试验，结果为10级</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（4）岛式插座4套</w:t>
            </w:r>
          </w:p>
        </w:tc>
        <w:tc>
          <w:tcPr>
            <w:tcW w:w="349" w:type="pct"/>
            <w:tcBorders>
              <w:top w:val="single" w:color="auto" w:sz="4" w:space="0"/>
              <w:left w:val="nil"/>
              <w:bottom w:val="single" w:color="auto" w:sz="4" w:space="0"/>
              <w:right w:val="single" w:color="auto" w:sz="4" w:space="0"/>
            </w:tcBorders>
            <w:shd w:val="clear" w:color="auto" w:fill="auto"/>
            <w:vAlign w:val="center"/>
          </w:tcPr>
          <w:p w14:paraId="0F72663A">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1张</w:t>
            </w:r>
          </w:p>
        </w:tc>
      </w:tr>
      <w:tr w14:paraId="1C0E8103">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55BCC7E">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91B4D56">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381877D">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全钢边台</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41A7C81">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b/>
                <w:bCs/>
                <w:sz w:val="21"/>
                <w:szCs w:val="21"/>
                <w:highlight w:val="none"/>
                <w:lang w:val="en-US" w:eastAsia="zh-CN" w:bidi="ar"/>
              </w:rPr>
            </w:pPr>
            <w:r>
              <w:rPr>
                <w:rStyle w:val="80"/>
                <w:rFonts w:hint="eastAsia" w:ascii="宋体" w:hAnsi="宋体" w:eastAsia="宋体" w:cs="宋体"/>
                <w:sz w:val="21"/>
                <w:szCs w:val="21"/>
                <w:highlight w:val="none"/>
                <w:lang w:val="en-US" w:eastAsia="zh-CN" w:bidi="ar"/>
              </w:rPr>
              <w:t>一、</w:t>
            </w:r>
            <w:r>
              <w:rPr>
                <w:rStyle w:val="80"/>
                <w:rFonts w:hint="eastAsia" w:ascii="宋体" w:hAnsi="宋体" w:cs="宋体"/>
                <w:b w:val="0"/>
                <w:bCs w:val="0"/>
                <w:sz w:val="21"/>
                <w:szCs w:val="21"/>
                <w:highlight w:val="none"/>
                <w:lang w:val="en-US" w:eastAsia="zh-CN" w:bidi="ar"/>
              </w:rPr>
              <w:t>尺寸：</w:t>
            </w:r>
            <w:r>
              <w:rPr>
                <w:rFonts w:hint="eastAsia" w:ascii="宋体" w:hAnsi="宋体" w:eastAsia="宋体" w:cs="宋体"/>
                <w:b w:val="0"/>
                <w:bCs w:val="0"/>
                <w:i w:val="0"/>
                <w:iCs w:val="0"/>
                <w:color w:val="000000"/>
                <w:kern w:val="0"/>
                <w:sz w:val="21"/>
                <w:szCs w:val="21"/>
                <w:highlight w:val="none"/>
                <w:u w:val="none"/>
                <w:lang w:val="en-US" w:eastAsia="zh-CN" w:bidi="ar"/>
              </w:rPr>
              <w:t>≥长</w:t>
            </w:r>
            <w:r>
              <w:rPr>
                <w:rStyle w:val="80"/>
                <w:rFonts w:hint="eastAsia" w:ascii="宋体" w:hAnsi="宋体" w:eastAsia="宋体" w:cs="宋体"/>
                <w:b w:val="0"/>
                <w:bCs w:val="0"/>
                <w:sz w:val="21"/>
                <w:szCs w:val="21"/>
                <w:highlight w:val="none"/>
                <w:lang w:val="en-US" w:eastAsia="zh-CN" w:bidi="ar"/>
              </w:rPr>
              <w:t>13380mm</w:t>
            </w:r>
            <w:r>
              <w:rPr>
                <w:rFonts w:hint="eastAsia" w:ascii="宋体" w:hAnsi="宋体" w:eastAsia="宋体" w:cs="宋体"/>
                <w:b w:val="0"/>
                <w:bCs w:val="0"/>
                <w:i w:val="0"/>
                <w:iCs w:val="0"/>
                <w:color w:val="000000"/>
                <w:kern w:val="0"/>
                <w:sz w:val="21"/>
                <w:szCs w:val="21"/>
                <w:highlight w:val="none"/>
                <w:u w:val="none"/>
                <w:lang w:val="en-US" w:eastAsia="zh-CN" w:bidi="ar"/>
              </w:rPr>
              <w:t>*宽</w:t>
            </w:r>
            <w:r>
              <w:rPr>
                <w:rStyle w:val="80"/>
                <w:rFonts w:hint="eastAsia" w:ascii="宋体" w:hAnsi="宋体" w:eastAsia="宋体" w:cs="宋体"/>
                <w:b w:val="0"/>
                <w:bCs w:val="0"/>
                <w:sz w:val="21"/>
                <w:szCs w:val="21"/>
                <w:highlight w:val="none"/>
                <w:lang w:val="en-US" w:eastAsia="zh-CN" w:bidi="ar"/>
              </w:rPr>
              <w:t>750mm</w:t>
            </w:r>
            <w:r>
              <w:rPr>
                <w:rFonts w:hint="eastAsia" w:ascii="宋体" w:hAnsi="宋体" w:eastAsia="宋体" w:cs="宋体"/>
                <w:b w:val="0"/>
                <w:bCs w:val="0"/>
                <w:i w:val="0"/>
                <w:iCs w:val="0"/>
                <w:color w:val="000000"/>
                <w:kern w:val="0"/>
                <w:sz w:val="21"/>
                <w:szCs w:val="21"/>
                <w:highlight w:val="none"/>
                <w:u w:val="none"/>
                <w:lang w:val="en-US" w:eastAsia="zh-CN" w:bidi="ar"/>
              </w:rPr>
              <w:t>*高</w:t>
            </w:r>
            <w:r>
              <w:rPr>
                <w:rStyle w:val="80"/>
                <w:rFonts w:hint="eastAsia" w:ascii="宋体" w:hAnsi="宋体" w:eastAsia="宋体" w:cs="宋体"/>
                <w:b w:val="0"/>
                <w:bCs w:val="0"/>
                <w:sz w:val="21"/>
                <w:szCs w:val="21"/>
                <w:highlight w:val="none"/>
                <w:lang w:val="en-US" w:eastAsia="zh-CN" w:bidi="ar"/>
              </w:rPr>
              <w:t>850mm</w:t>
            </w:r>
          </w:p>
          <w:p w14:paraId="22E37EB0">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二、主要参数</w:t>
            </w:r>
          </w:p>
          <w:p w14:paraId="23FBF308">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配置：全钢结构，≥12.7mm理化板台面，配洗眼器2套、滴水架2套、三口水龙头及水槽2套，岛式插座7套</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柜体：采用≥1.2mm优质冷轧钢板，表面经酸洗磷化处理后喷涂环氧树脂粉末高温烘烤固化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柜门：采用≥1.2mm双层优质冷轧钢板，门板厚度≥18mm，表面经酸洗磷化处理后喷涂环氧树脂粉末高温烘烤固化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合页：采用不锈钢隐藏插销合页</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4</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把手：采用1.0mm优质冷轧钢板一体成型拉手</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5</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滑轨：采用16寸优质三节静音导轨</w:t>
            </w:r>
            <w:r>
              <w:rPr>
                <w:rStyle w:val="80"/>
                <w:rFonts w:hint="eastAsia" w:ascii="宋体" w:hAnsi="宋体" w:cs="宋体"/>
                <w:sz w:val="21"/>
                <w:szCs w:val="21"/>
                <w:highlight w:val="none"/>
                <w:lang w:val="en-US" w:eastAsia="zh-CN" w:bidi="ar"/>
              </w:rPr>
              <w:t>，</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10万次测试无质量问题</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6</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调节脚：采用</w:t>
            </w:r>
            <w:r>
              <w:rPr>
                <w:rStyle w:val="77"/>
                <w:rFonts w:hint="eastAsia" w:ascii="宋体" w:hAnsi="宋体" w:eastAsia="宋体" w:cs="宋体"/>
                <w:sz w:val="21"/>
                <w:szCs w:val="21"/>
                <w:highlight w:val="none"/>
                <w:lang w:val="en-US" w:eastAsia="zh-CN" w:bidi="ar"/>
              </w:rPr>
              <w:t>φ</w:t>
            </w:r>
            <w:r>
              <w:rPr>
                <w:rStyle w:val="80"/>
                <w:rFonts w:hint="eastAsia" w:ascii="宋体" w:hAnsi="宋体" w:eastAsia="宋体" w:cs="宋体"/>
                <w:sz w:val="21"/>
                <w:szCs w:val="21"/>
                <w:highlight w:val="none"/>
                <w:lang w:val="en-US" w:eastAsia="zh-CN" w:bidi="ar"/>
              </w:rPr>
              <w:t>10mm注塑调整脚，可根据室内地坪适当调整柜体高度，最大调节为0-30mm</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7</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台面采用边沿加厚≥26mm实验台</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台面参数要求：</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（1）理化板台面耐化学试剂性能依据“GB/T 17657-2022”检测方法进行检验，乙酸乙酯、乙酸（≥98%）、丙酮、四氯化碳、铬酸（≥60%）、硫酸（≥98%）等至少</w:t>
            </w:r>
            <w:r>
              <w:rPr>
                <w:rStyle w:val="80"/>
                <w:rFonts w:hint="eastAsia" w:ascii="宋体" w:hAnsi="宋体" w:cs="宋体"/>
                <w:sz w:val="21"/>
                <w:szCs w:val="21"/>
                <w:highlight w:val="none"/>
                <w:lang w:val="en-US" w:eastAsia="zh-CN" w:bidi="ar"/>
              </w:rPr>
              <w:t>35</w:t>
            </w:r>
            <w:r>
              <w:rPr>
                <w:rStyle w:val="80"/>
                <w:rFonts w:hint="eastAsia" w:ascii="宋体" w:hAnsi="宋体" w:eastAsia="宋体" w:cs="宋体"/>
                <w:sz w:val="21"/>
                <w:szCs w:val="21"/>
                <w:highlight w:val="none"/>
                <w:lang w:val="en-US" w:eastAsia="zh-CN" w:bidi="ar"/>
              </w:rPr>
              <w:t>项化学试剂通过检测，检测结果等级均达到“5级（无明显变化）”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（2）理化板台面甲醛释放量检测结果＜0.012mg/m³（根据测试结果，依据GB/T39600-2021判定为ENF 级）</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（3）理化板台面物理性能按照“GB/T 17657-2022”或“GB/T 7911-2024”检测方法进行检测：“密度”检测结果需≥1.41g/cm3、“耐划痕”≥4级、“耐大球冲击（冲击高度≥800mm）”凹痕直径≤8mm、“静曲强度”≥130MPa、“抗拉强度”≥65MPa、“尺寸稳定性（高温）-纵向”检验结果≤0.35%、“耐辐射热”≥230s</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w:t>
            </w:r>
            <w:r>
              <w:rPr>
                <w:rStyle w:val="80"/>
                <w:rFonts w:hint="eastAsia" w:ascii="宋体" w:hAnsi="宋体" w:cs="宋体"/>
                <w:sz w:val="21"/>
                <w:szCs w:val="21"/>
                <w:highlight w:val="none"/>
                <w:lang w:val="en-US" w:eastAsia="zh-CN" w:bidi="ar"/>
              </w:rPr>
              <w:t>4）</w:t>
            </w:r>
            <w:r>
              <w:rPr>
                <w:rStyle w:val="80"/>
                <w:rFonts w:hint="eastAsia" w:ascii="宋体" w:hAnsi="宋体" w:eastAsia="宋体" w:cs="宋体"/>
                <w:sz w:val="21"/>
                <w:szCs w:val="21"/>
                <w:highlight w:val="none"/>
                <w:lang w:val="en-US" w:eastAsia="zh-CN" w:bidi="ar"/>
              </w:rPr>
              <w:t>台面板“色差”检测结果达到E≤0.19（检测方法为GB/T 17657-2022）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71BE0D66">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（5）台面板依据GB/T 17657-2022 检测方法：“板面握螺钉力”检测结果达到≥3320N</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004F06D2">
            <w:pPr>
              <w:keepNext w:val="0"/>
              <w:keepLines w:val="0"/>
              <w:pageBreakBefore w:val="0"/>
              <w:widowControl/>
              <w:suppressLineNumbers w:val="0"/>
              <w:kinsoku/>
              <w:wordWrap/>
              <w:overflowPunct/>
              <w:topLinePunct w:val="0"/>
              <w:autoSpaceDE/>
              <w:bidi w:val="0"/>
              <w:spacing w:line="360" w:lineRule="auto"/>
              <w:jc w:val="left"/>
              <w:textAlignment w:val="center"/>
              <w:rPr>
                <w:highlight w:val="none"/>
              </w:rPr>
            </w:pPr>
            <w:r>
              <w:rPr>
                <w:rFonts w:hint="eastAsia"/>
                <w:highlight w:val="none"/>
              </w:rPr>
              <w:t>▲</w:t>
            </w:r>
            <w:r>
              <w:rPr>
                <w:rStyle w:val="80"/>
                <w:rFonts w:hint="eastAsia" w:ascii="宋体" w:hAnsi="宋体" w:eastAsia="宋体" w:cs="宋体"/>
                <w:sz w:val="21"/>
                <w:szCs w:val="21"/>
                <w:highlight w:val="none"/>
                <w:lang w:val="en-US" w:eastAsia="zh-CN" w:bidi="ar"/>
              </w:rPr>
              <w:t>（6）台面板“静曲强度—浸渍-冰冻-干燥处理法”检测结果≥82MPa（检测方法为GB/T 17657-2022）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8</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配件配置</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（1）滴水架2套：规格≥550*400mm</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滴水架需提供以下报告：滴水架依据GB/T 24128-2018《塑料防霉剂的防霉效果评估》标准，检测防霉，防霉等级为0</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p>
          <w:p w14:paraId="333F3E4A">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b/>
                <w:bCs/>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（2）洗眼器2套</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台式洗眼器依据GB/T24128-2018方法检测防霉性能：霉菌生长情况为0级</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（3）水槽水龙头2套</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3.1</w:t>
            </w:r>
            <w:r>
              <w:rPr>
                <w:rStyle w:val="80"/>
                <w:rFonts w:hint="eastAsia" w:ascii="宋体" w:hAnsi="宋体" w:eastAsia="宋体" w:cs="宋体"/>
                <w:b/>
                <w:bCs/>
                <w:sz w:val="21"/>
                <w:szCs w:val="21"/>
                <w:highlight w:val="none"/>
                <w:lang w:val="en-US" w:eastAsia="zh-CN" w:bidi="ar"/>
              </w:rPr>
              <w:t>水龙头需提供中国节水产品CQC认证证书。</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3.2实验室化验水龙头符合GB 18145-2014标准，水嘴开关寿命≥7万次</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（须提供由具备CMA（检验检测机构资质认定）或 CNAS（中国合格评定国家认可委员会）资质的第三方检验检测机构出具的检测报告复印件，并加盖供应商公章。</w:t>
            </w:r>
          </w:p>
          <w:p w14:paraId="4F80A88B">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Style w:val="80"/>
                <w:rFonts w:hint="eastAsia" w:ascii="宋体" w:hAnsi="宋体" w:eastAsia="宋体" w:cs="宋体"/>
                <w:sz w:val="21"/>
                <w:szCs w:val="21"/>
                <w:highlight w:val="none"/>
                <w:lang w:val="en-US" w:eastAsia="zh-CN" w:bidi="ar"/>
              </w:rPr>
              <w:t>3.3水龙头检测表面耐腐蚀性能，依据GB/T 10125-2021 进行≥</w:t>
            </w:r>
            <w:r>
              <w:rPr>
                <w:rStyle w:val="80"/>
                <w:rFonts w:hint="eastAsia" w:ascii="宋体" w:hAnsi="宋体" w:cs="宋体"/>
                <w:sz w:val="21"/>
                <w:szCs w:val="21"/>
                <w:highlight w:val="none"/>
                <w:lang w:val="en-US" w:eastAsia="zh-CN" w:bidi="ar"/>
              </w:rPr>
              <w:t>24</w:t>
            </w:r>
            <w:r>
              <w:rPr>
                <w:rStyle w:val="80"/>
                <w:rFonts w:hint="eastAsia" w:ascii="宋体" w:hAnsi="宋体" w:eastAsia="宋体" w:cs="宋体"/>
                <w:sz w:val="21"/>
                <w:szCs w:val="21"/>
                <w:highlight w:val="none"/>
                <w:lang w:val="en-US" w:eastAsia="zh-CN" w:bidi="ar"/>
              </w:rPr>
              <w:t>h中性盐雾试验，结果为10级。</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（4）岛式插座7套</w:t>
            </w:r>
          </w:p>
        </w:tc>
        <w:tc>
          <w:tcPr>
            <w:tcW w:w="349" w:type="pct"/>
            <w:tcBorders>
              <w:top w:val="single" w:color="auto" w:sz="4" w:space="0"/>
              <w:left w:val="nil"/>
              <w:bottom w:val="single" w:color="auto" w:sz="4" w:space="0"/>
              <w:right w:val="single" w:color="auto" w:sz="4" w:space="0"/>
            </w:tcBorders>
            <w:shd w:val="clear" w:color="auto" w:fill="auto"/>
            <w:vAlign w:val="center"/>
          </w:tcPr>
          <w:p w14:paraId="3E0CD984">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1张</w:t>
            </w:r>
          </w:p>
        </w:tc>
      </w:tr>
      <w:tr w14:paraId="68E7744E">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167BC38">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BEAFA82">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9930A4F">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全钢边台</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9BC5E75">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一、</w:t>
            </w:r>
            <w:r>
              <w:rPr>
                <w:rStyle w:val="80"/>
                <w:rFonts w:hint="eastAsia" w:ascii="宋体" w:hAnsi="宋体" w:cs="宋体"/>
                <w:sz w:val="21"/>
                <w:szCs w:val="21"/>
                <w:highlight w:val="none"/>
                <w:lang w:val="en-US" w:eastAsia="zh-CN" w:bidi="ar"/>
              </w:rPr>
              <w:t>尺寸：</w:t>
            </w:r>
            <w:r>
              <w:rPr>
                <w:rStyle w:val="80"/>
                <w:rFonts w:hint="eastAsia" w:ascii="宋体" w:hAnsi="宋体" w:eastAsia="宋体" w:cs="宋体"/>
                <w:sz w:val="21"/>
                <w:szCs w:val="21"/>
                <w:highlight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长</w:t>
            </w:r>
            <w:r>
              <w:rPr>
                <w:rStyle w:val="80"/>
                <w:rFonts w:hint="eastAsia" w:ascii="宋体" w:hAnsi="宋体" w:eastAsia="宋体" w:cs="宋体"/>
                <w:sz w:val="21"/>
                <w:szCs w:val="21"/>
                <w:highlight w:val="none"/>
                <w:lang w:val="en-US" w:eastAsia="zh-CN" w:bidi="ar"/>
              </w:rPr>
              <w:t>3500mm</w:t>
            </w:r>
            <w:r>
              <w:rPr>
                <w:rFonts w:hint="eastAsia" w:ascii="宋体" w:hAnsi="宋体" w:eastAsia="宋体" w:cs="宋体"/>
                <w:i w:val="0"/>
                <w:iCs w:val="0"/>
                <w:color w:val="000000"/>
                <w:kern w:val="0"/>
                <w:sz w:val="21"/>
                <w:szCs w:val="21"/>
                <w:highlight w:val="none"/>
                <w:u w:val="none"/>
                <w:lang w:val="en-US" w:eastAsia="zh-CN" w:bidi="ar"/>
              </w:rPr>
              <w:t>*宽</w:t>
            </w:r>
            <w:r>
              <w:rPr>
                <w:rStyle w:val="80"/>
                <w:rFonts w:hint="eastAsia" w:ascii="宋体" w:hAnsi="宋体" w:eastAsia="宋体" w:cs="宋体"/>
                <w:sz w:val="21"/>
                <w:szCs w:val="21"/>
                <w:highlight w:val="none"/>
                <w:lang w:val="en-US" w:eastAsia="zh-CN" w:bidi="ar"/>
              </w:rPr>
              <w:t>3500mm</w:t>
            </w:r>
            <w:r>
              <w:rPr>
                <w:rFonts w:hint="eastAsia" w:ascii="宋体" w:hAnsi="宋体" w:eastAsia="宋体" w:cs="宋体"/>
                <w:i w:val="0"/>
                <w:iCs w:val="0"/>
                <w:color w:val="000000"/>
                <w:kern w:val="0"/>
                <w:sz w:val="21"/>
                <w:szCs w:val="21"/>
                <w:highlight w:val="none"/>
                <w:u w:val="none"/>
                <w:lang w:val="en-US" w:eastAsia="zh-CN" w:bidi="ar"/>
              </w:rPr>
              <w:t>*高</w:t>
            </w:r>
            <w:r>
              <w:rPr>
                <w:rStyle w:val="80"/>
                <w:rFonts w:hint="eastAsia" w:ascii="宋体" w:hAnsi="宋体" w:eastAsia="宋体" w:cs="宋体"/>
                <w:sz w:val="21"/>
                <w:szCs w:val="21"/>
                <w:highlight w:val="none"/>
                <w:lang w:val="en-US" w:eastAsia="zh-CN" w:bidi="ar"/>
              </w:rPr>
              <w:t>850mm</w:t>
            </w:r>
            <w:r>
              <w:rPr>
                <w:rStyle w:val="80"/>
                <w:rFonts w:hint="eastAsia" w:ascii="宋体" w:hAnsi="宋体" w:cs="宋体"/>
                <w:sz w:val="21"/>
                <w:szCs w:val="21"/>
                <w:highlight w:val="none"/>
                <w:lang w:val="en-US" w:eastAsia="zh-CN" w:bidi="ar"/>
              </w:rPr>
              <w:t>；</w:t>
            </w:r>
          </w:p>
          <w:p w14:paraId="42306785">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二、主要参数</w:t>
            </w:r>
          </w:p>
          <w:p w14:paraId="3C2D76C4">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配置：全钢结构，≥12.7mm理化板台面，配岛式插座3套</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柜体：采用≥1.2mm优质冷轧钢板，表面经酸洗磷化处理后喷涂环氧树脂粉末高温烘烤固化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2、柜门：采用≥1.2mm双层优质冷轧钢板，门板厚度≥18mm，表面经酸洗磷化处理后喷涂环氧树脂粉末高温烘烤固化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合页：采用不锈钢隐藏插销合页</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4</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把手：采用≥1.0mm优质冷轧钢板一体成型拉手</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5</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滑轨：采用16寸优质三节静音导轨</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≥10万次测试无质量问题</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6</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调节脚：采用</w:t>
            </w:r>
            <w:r>
              <w:rPr>
                <w:rStyle w:val="77"/>
                <w:rFonts w:hint="eastAsia" w:ascii="宋体" w:hAnsi="宋体" w:eastAsia="宋体" w:cs="宋体"/>
                <w:sz w:val="21"/>
                <w:szCs w:val="21"/>
                <w:highlight w:val="none"/>
                <w:lang w:val="en-US" w:eastAsia="zh-CN" w:bidi="ar"/>
              </w:rPr>
              <w:t>φ</w:t>
            </w:r>
            <w:r>
              <w:rPr>
                <w:rStyle w:val="80"/>
                <w:rFonts w:hint="eastAsia" w:ascii="宋体" w:hAnsi="宋体" w:eastAsia="宋体" w:cs="宋体"/>
                <w:sz w:val="21"/>
                <w:szCs w:val="21"/>
                <w:highlight w:val="none"/>
                <w:lang w:val="en-US" w:eastAsia="zh-CN" w:bidi="ar"/>
              </w:rPr>
              <w:t>10mm注塑调整脚，可根据室内地坪适当调整柜体高度，最大调节为0-30mm</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7</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台面采用边沿加厚≥26mm实验台</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台面参数要求：</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（1）理化板台面耐化学试剂性能依据“GB/T 17657-2022”检测方法进行检验，乙酸乙酯、乙酸（≥98%）、丙酮、四氯化碳、铬酸（≥60%）、硫酸（≥98%）等至少</w:t>
            </w:r>
            <w:r>
              <w:rPr>
                <w:rStyle w:val="80"/>
                <w:rFonts w:hint="eastAsia" w:ascii="宋体" w:hAnsi="宋体" w:cs="宋体"/>
                <w:sz w:val="21"/>
                <w:szCs w:val="21"/>
                <w:highlight w:val="none"/>
                <w:lang w:val="en-US" w:eastAsia="zh-CN" w:bidi="ar"/>
              </w:rPr>
              <w:t>35</w:t>
            </w:r>
            <w:r>
              <w:rPr>
                <w:rStyle w:val="80"/>
                <w:rFonts w:hint="eastAsia" w:ascii="宋体" w:hAnsi="宋体" w:eastAsia="宋体" w:cs="宋体"/>
                <w:sz w:val="21"/>
                <w:szCs w:val="21"/>
                <w:highlight w:val="none"/>
                <w:lang w:val="en-US" w:eastAsia="zh-CN" w:bidi="ar"/>
              </w:rPr>
              <w:t>项化学试剂通过检测，检测结果等级均达到“5级（无明显变化）”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（2）理化板台面甲醛释放量检测结果＜0.012mg/m³（根据测试结果，依据GB/T39600-2021判定为ENF 级）</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（3）理化板台面物理性能按照“GB/T 17657-2022”或“GB/T 7911-2024”检测方法进行检测：“密度”检测结果需≥1.41g/cm3、“耐划痕”≥4级、“耐大球冲击（冲击高度≥800mm）”凹痕直径≤8mm、“静曲强度”≥130MPa、“抗拉强度”≥65MPa、“尺寸稳定性（高温）-纵向”检验结果≤0.35%、“耐辐射热”≥230s</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（4）台面板“色差”检测结果达到E≤0.19（检测方法为GB/T 17657-2022）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0EC31405">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（5）台面板依据GB/T 17657-2022 检测方法：“板面握螺钉力”检测结果达到≥3320N</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28CE5FAB">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（6）台面板“静曲强度—浸渍-冰冻-干燥处理法”检测结果≥82MPa（检测方法为GB/T 17657-2022）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1A99C9E4">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Style w:val="80"/>
                <w:rFonts w:hint="eastAsia" w:ascii="宋体" w:hAnsi="宋体" w:eastAsia="宋体" w:cs="宋体"/>
                <w:sz w:val="21"/>
                <w:szCs w:val="21"/>
                <w:highlight w:val="none"/>
                <w:lang w:val="en-US" w:eastAsia="zh-CN" w:bidi="ar"/>
              </w:rPr>
              <w:t>8</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配件配置</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岛式插座3套</w:t>
            </w:r>
          </w:p>
        </w:tc>
        <w:tc>
          <w:tcPr>
            <w:tcW w:w="349" w:type="pct"/>
            <w:tcBorders>
              <w:top w:val="single" w:color="auto" w:sz="4" w:space="0"/>
              <w:left w:val="nil"/>
              <w:bottom w:val="single" w:color="auto" w:sz="4" w:space="0"/>
              <w:right w:val="single" w:color="auto" w:sz="4" w:space="0"/>
            </w:tcBorders>
            <w:shd w:val="clear" w:color="auto" w:fill="auto"/>
            <w:vAlign w:val="center"/>
          </w:tcPr>
          <w:p w14:paraId="06E0EE28">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1张</w:t>
            </w:r>
          </w:p>
        </w:tc>
      </w:tr>
      <w:tr w14:paraId="682FF67A">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7704770">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667D14B">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3C7C18C">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全钢中央台</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FD81142">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一、</w:t>
            </w:r>
            <w:r>
              <w:rPr>
                <w:rStyle w:val="80"/>
                <w:rFonts w:hint="eastAsia" w:ascii="宋体" w:hAnsi="宋体" w:cs="宋体"/>
                <w:sz w:val="21"/>
                <w:szCs w:val="21"/>
                <w:highlight w:val="none"/>
                <w:lang w:val="en-US" w:eastAsia="zh-CN" w:bidi="ar"/>
              </w:rPr>
              <w:t>尺寸：</w:t>
            </w:r>
            <w:r>
              <w:rPr>
                <w:rFonts w:hint="eastAsia" w:ascii="宋体" w:hAnsi="宋体" w:eastAsia="宋体" w:cs="宋体"/>
                <w:i w:val="0"/>
                <w:iCs w:val="0"/>
                <w:color w:val="000000"/>
                <w:kern w:val="0"/>
                <w:sz w:val="21"/>
                <w:szCs w:val="21"/>
                <w:highlight w:val="none"/>
                <w:u w:val="none"/>
                <w:lang w:val="en-US" w:eastAsia="zh-CN" w:bidi="ar"/>
              </w:rPr>
              <w:t>≥长5250mm*宽1500mm*高850mm</w:t>
            </w:r>
          </w:p>
          <w:p w14:paraId="411C3DC7">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二、主要参数</w:t>
            </w:r>
          </w:p>
          <w:p w14:paraId="22DE2160">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配置：全钢结构，</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12.7mm理化板台面，配洗眼器1套、滴水架1套、三口水龙头及水槽1套，插座8套，带试剂架</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4.5米</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柜体：采用</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1.2mm优质冷轧钢板，表面经酸洗磷化处理后喷涂环氧树脂粉末高温烘烤固化。</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柜门：采用</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1.2mm双层优质冷轧钢板，门板厚度≥18mm，表面经酸洗磷化处理后喷涂环氧树脂粉末高温烘烤固化。</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合页：采用不锈钢隐藏插销合页。</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4</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把手：采用</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1.0mm优质冷轧钢板一体成型拉手。</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5</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滑轨：采用16寸优质三节静音导轨</w:t>
            </w:r>
            <w:r>
              <w:rPr>
                <w:rStyle w:val="80"/>
                <w:rFonts w:hint="eastAsia" w:ascii="宋体" w:hAnsi="宋体" w:cs="宋体"/>
                <w:sz w:val="21"/>
                <w:szCs w:val="21"/>
                <w:highlight w:val="none"/>
                <w:lang w:val="en-US" w:eastAsia="zh-CN" w:bidi="ar"/>
              </w:rPr>
              <w:t>，</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10万次测试无质量问题。</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6</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调节脚：采用</w:t>
            </w:r>
            <w:r>
              <w:rPr>
                <w:rStyle w:val="77"/>
                <w:rFonts w:hint="eastAsia" w:ascii="宋体" w:hAnsi="宋体" w:eastAsia="宋体" w:cs="宋体"/>
                <w:sz w:val="21"/>
                <w:szCs w:val="21"/>
                <w:highlight w:val="none"/>
                <w:lang w:val="en-US" w:eastAsia="zh-CN" w:bidi="ar"/>
              </w:rPr>
              <w:t>φ</w:t>
            </w:r>
            <w:r>
              <w:rPr>
                <w:rStyle w:val="80"/>
                <w:rFonts w:hint="eastAsia" w:ascii="宋体" w:hAnsi="宋体" w:eastAsia="宋体" w:cs="宋体"/>
                <w:sz w:val="21"/>
                <w:szCs w:val="21"/>
                <w:highlight w:val="none"/>
                <w:lang w:val="en-US" w:eastAsia="zh-CN" w:bidi="ar"/>
              </w:rPr>
              <w:t>10mm注塑调整脚，可根据室内地坪适当调整柜体高度，最大调节为0-30mm。</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7</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台面采用边沿加厚≥26mm实验台</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台面参数要求：</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（1）理化板台面耐化学试剂性能依据“GB/T 17657-2022”检测方法进行检验，乙酸乙酯、乙酸（≥98%）、丙酮、四氯化碳、铬酸（≥60%）、硫酸（≥98%）等至少</w:t>
            </w:r>
            <w:r>
              <w:rPr>
                <w:rStyle w:val="80"/>
                <w:rFonts w:hint="eastAsia" w:ascii="宋体" w:hAnsi="宋体" w:cs="宋体"/>
                <w:sz w:val="21"/>
                <w:szCs w:val="21"/>
                <w:highlight w:val="none"/>
                <w:lang w:val="en-US" w:eastAsia="zh-CN" w:bidi="ar"/>
              </w:rPr>
              <w:t>35</w:t>
            </w:r>
            <w:r>
              <w:rPr>
                <w:rStyle w:val="80"/>
                <w:rFonts w:hint="eastAsia" w:ascii="宋体" w:hAnsi="宋体" w:eastAsia="宋体" w:cs="宋体"/>
                <w:sz w:val="21"/>
                <w:szCs w:val="21"/>
                <w:highlight w:val="none"/>
                <w:lang w:val="en-US" w:eastAsia="zh-CN" w:bidi="ar"/>
              </w:rPr>
              <w:t>项化学试剂通过检测，检测结果等级均达到“5级（无明显变化）”。</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（2）理化板台面甲醛释放量检测结果＜0.012mg/m³（根据测试结果，依据GB/T39600-2021判定为ENF 级）</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（3）理化板台面物理性能按照“GB/T 17657-2022”或“GB/T 7911-2024”检测方法进行检测：“密度”检测结果需≥1.41g/cm3  、“耐划痕”≥4级、“耐大球冲击（冲击高度≥800mm）”凹痕直径≤8mm、“静曲强度”≥130MPa、“抗拉强度”≥65MPa、“尺寸稳定性（高温）-纵向”检验结果≤0.35%、“耐辐射热”≥230s</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（4）台面板“色差”检测结果达到E≤0.19（检测方法为GB/T 17657-2022）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sz w:val="21"/>
                <w:szCs w:val="21"/>
                <w:highlight w:val="none"/>
                <w:lang w:val="en-US" w:eastAsia="zh-CN" w:bidi="ar"/>
              </w:rPr>
              <w:t>；</w:t>
            </w:r>
          </w:p>
          <w:p w14:paraId="6D26616C">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（5）台面板依据GB/T 17657-2022 检测方法：“板面握螺钉力”检测结果达到≥3320N</w:t>
            </w:r>
            <w:r>
              <w:rPr>
                <w:rStyle w:val="80"/>
                <w:rFonts w:hint="eastAsia" w:ascii="宋体" w:hAnsi="宋体" w:cs="宋体"/>
                <w:b w:val="0"/>
                <w:bCs w:val="0"/>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3AE61F7E">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（6）台面板“静曲强度—浸渍-冰冻-干燥处理法”检测结果≥82MPa（检测方法为GB/T 17657-2022）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8</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配件配置</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（1）滴水架1套：规格</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550*400mm</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滴水架需提供以下报告：滴水架依据GB/T 24128-2018《塑料防霉剂的防霉效果评估》标准，检测防霉，防霉等级为0</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eastAsia="宋体" w:cs="宋体"/>
                <w:b/>
                <w:bCs/>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（2）洗眼器1套</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台式洗眼器依据GB/T24128-2018方法检测防霉性能：霉菌生长情况为0级</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（3）水槽水龙头1套</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3.1</w:t>
            </w:r>
            <w:r>
              <w:rPr>
                <w:rStyle w:val="80"/>
                <w:rFonts w:hint="eastAsia" w:ascii="宋体" w:hAnsi="宋体" w:eastAsia="宋体" w:cs="宋体"/>
                <w:b/>
                <w:bCs/>
                <w:sz w:val="21"/>
                <w:szCs w:val="21"/>
                <w:highlight w:val="none"/>
                <w:lang w:val="en-US" w:eastAsia="zh-CN" w:bidi="ar"/>
              </w:rPr>
              <w:t>水龙头需提供中国节水产品CQC认证证书</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3.2实验室化验水龙头符合GB 18145-2014标准，水嘴开关寿命≥7万次</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须提供由具备CMA（检验检测机构资质认定）或 CNAS（中国合格评定国家认可委员会）资质的第三方检验检测机构出具的检测报告复印件，并加盖供应商公章。）</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3.3水龙头检测表面耐腐蚀性能，依据GB/T 10125-2021 进行≥24H中性盐雾试验，结果为10级。</w:t>
            </w:r>
          </w:p>
          <w:p w14:paraId="138B370A">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（4）插座8套</w:t>
            </w:r>
            <w:r>
              <w:rPr>
                <w:rStyle w:val="80"/>
                <w:rFonts w:hint="eastAsia" w:ascii="宋体" w:hAnsi="宋体" w:cs="宋体"/>
                <w:sz w:val="21"/>
                <w:szCs w:val="21"/>
                <w:highlight w:val="none"/>
                <w:lang w:val="en-US" w:eastAsia="zh-CN" w:bidi="ar"/>
              </w:rPr>
              <w:t>；</w:t>
            </w:r>
          </w:p>
          <w:p w14:paraId="015D65E2">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Style w:val="80"/>
                <w:rFonts w:hint="eastAsia" w:ascii="宋体" w:hAnsi="宋体" w:eastAsia="宋体" w:cs="宋体"/>
                <w:sz w:val="21"/>
                <w:szCs w:val="21"/>
                <w:highlight w:val="none"/>
                <w:lang w:val="en-US" w:eastAsia="zh-CN" w:bidi="ar"/>
              </w:rPr>
              <w:t>（5）试剂架≥4.5米</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双层结构，≥10mm钢化玻璃</w:t>
            </w:r>
            <w:r>
              <w:rPr>
                <w:rStyle w:val="80"/>
                <w:rFonts w:hint="eastAsia" w:ascii="宋体" w:hAnsi="宋体" w:cs="宋体"/>
                <w:sz w:val="21"/>
                <w:szCs w:val="21"/>
                <w:highlight w:val="none"/>
                <w:lang w:val="en-US" w:eastAsia="zh-CN" w:bidi="ar"/>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398FC415">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2张</w:t>
            </w:r>
          </w:p>
        </w:tc>
      </w:tr>
      <w:tr w14:paraId="0BC06C87">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639DD3C">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2CD93D7">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BF583AB">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玻璃钢变频离心风机</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6390501">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Style w:val="80"/>
                <w:rFonts w:hint="eastAsia" w:ascii="宋体" w:hAnsi="宋体" w:eastAsia="宋体" w:cs="宋体"/>
                <w:sz w:val="21"/>
                <w:szCs w:val="21"/>
                <w:highlight w:val="none"/>
                <w:lang w:val="en-US" w:eastAsia="zh-CN" w:bidi="ar"/>
              </w:rPr>
              <w:t>配置：4台通风柜共用一套通风系统，包含1台风机功率5.5KW；转速：1450r/min；流量：</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7016-14020m3/h；全压：</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1173-810pa，1套5.5KW变频系统，喷淋塔1套、PP风管35㎡，电动风阀3个，消声器1套，风机基础1套，配风机电源线及控制线。</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风机参数满足：</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b/>
                <w:bCs/>
                <w:sz w:val="21"/>
                <w:szCs w:val="21"/>
                <w:highlight w:val="none"/>
                <w:lang w:val="en-US" w:eastAsia="zh-CN" w:bidi="ar"/>
              </w:rPr>
              <w:t>1.1风机采用国家3C强制认证防爆</w:t>
            </w:r>
            <w:r>
              <w:rPr>
                <w:rStyle w:val="80"/>
                <w:rFonts w:hint="eastAsia" w:ascii="宋体" w:hAnsi="宋体" w:cs="宋体"/>
                <w:b/>
                <w:bCs/>
                <w:sz w:val="21"/>
                <w:szCs w:val="21"/>
                <w:highlight w:val="none"/>
                <w:lang w:val="en-US" w:eastAsia="zh-CN" w:bidi="ar"/>
              </w:rPr>
              <w:t>电</w:t>
            </w:r>
            <w:r>
              <w:rPr>
                <w:rStyle w:val="80"/>
                <w:rFonts w:hint="eastAsia" w:ascii="宋体" w:hAnsi="宋体" w:eastAsia="宋体" w:cs="宋体"/>
                <w:b/>
                <w:bCs/>
                <w:sz w:val="21"/>
                <w:szCs w:val="21"/>
                <w:highlight w:val="none"/>
                <w:lang w:val="en-US" w:eastAsia="zh-CN" w:bidi="ar"/>
              </w:rPr>
              <w:t>机，</w:t>
            </w:r>
            <w:r>
              <w:rPr>
                <w:rStyle w:val="80"/>
                <w:rFonts w:hint="eastAsia" w:ascii="宋体" w:hAnsi="宋体" w:cs="宋体"/>
                <w:b/>
                <w:bCs/>
                <w:sz w:val="21"/>
                <w:szCs w:val="21"/>
                <w:highlight w:val="none"/>
                <w:lang w:val="en-US" w:eastAsia="zh-CN" w:bidi="ar"/>
              </w:rPr>
              <w:t>响应文件</w:t>
            </w:r>
            <w:r>
              <w:rPr>
                <w:rStyle w:val="80"/>
                <w:rFonts w:hint="eastAsia" w:ascii="宋体" w:hAnsi="宋体" w:eastAsia="宋体" w:cs="宋体"/>
                <w:b/>
                <w:bCs/>
                <w:sz w:val="21"/>
                <w:szCs w:val="21"/>
                <w:highlight w:val="none"/>
                <w:lang w:val="en-US" w:eastAsia="zh-CN" w:bidi="ar"/>
              </w:rPr>
              <w:t>中</w:t>
            </w:r>
            <w:r>
              <w:rPr>
                <w:rStyle w:val="80"/>
                <w:rFonts w:hint="eastAsia" w:ascii="宋体" w:hAnsi="宋体" w:cs="宋体"/>
                <w:b/>
                <w:bCs/>
                <w:sz w:val="21"/>
                <w:szCs w:val="21"/>
                <w:highlight w:val="none"/>
                <w:lang w:val="en-US" w:eastAsia="zh-CN" w:bidi="ar"/>
              </w:rPr>
              <w:t>须</w:t>
            </w:r>
            <w:r>
              <w:rPr>
                <w:rStyle w:val="80"/>
                <w:rFonts w:hint="eastAsia" w:ascii="宋体" w:hAnsi="宋体" w:eastAsia="宋体" w:cs="宋体"/>
                <w:b/>
                <w:bCs/>
                <w:sz w:val="21"/>
                <w:szCs w:val="21"/>
                <w:highlight w:val="none"/>
                <w:lang w:val="en-US" w:eastAsia="zh-CN" w:bidi="ar"/>
              </w:rPr>
              <w:t>提供</w:t>
            </w:r>
            <w:r>
              <w:rPr>
                <w:rStyle w:val="80"/>
                <w:rFonts w:hint="eastAsia" w:ascii="宋体" w:hAnsi="宋体" w:cs="宋体"/>
                <w:b/>
                <w:bCs/>
                <w:sz w:val="21"/>
                <w:szCs w:val="21"/>
                <w:highlight w:val="none"/>
                <w:lang w:val="en-US" w:eastAsia="zh-CN" w:bidi="ar"/>
              </w:rPr>
              <w:t>电机</w:t>
            </w:r>
            <w:r>
              <w:rPr>
                <w:rStyle w:val="80"/>
                <w:rFonts w:hint="eastAsia" w:ascii="宋体" w:hAnsi="宋体" w:eastAsia="宋体" w:cs="宋体"/>
                <w:b/>
                <w:bCs/>
                <w:sz w:val="21"/>
                <w:szCs w:val="21"/>
                <w:highlight w:val="none"/>
                <w:lang w:val="en-US" w:eastAsia="zh-CN" w:bidi="ar"/>
              </w:rPr>
              <w:t>产品3C认证证书，并可以通过官网或其它官方渠道查询认证；</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1.2风机性能要求：</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 xml:space="preserve">1.2.1.按GB/T 1236-2017 《工业通风机 用标准化风道性能试验》在规定测试下所对应的流量全压偏差为±5%； </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1.2.2.按JB/T 8689-2014 规定应进行 30min 机械运转试验 转动件应无擦碰等异常现象振动速度有效值 mm/s ≤4.6；</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1.2.3.按JB/T 9101-2014 《通风机转子平衡》规定进行动平衡品质等级 G ≤2.5级；</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1.2.4.噪声测试按 GB/T 2888</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2008 规定方法执行，比 A 声级应满足 JB/T 8690</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 xml:space="preserve">2014 对应叶轮型式噪声限值要求；若为后向板型叶轮，比 A 声级≤27dB； </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 xml:space="preserve">1.2.5.按JB/T 6445-2017 《通风机叶轮超速试验》规定进行叶轮超速试验1.叶轮在规定最高工作转速的 150%转 速下运转，持续时间不少于 2min，试验结果应符合以下规定：a) 焊缝、轮盘、轮盖、轮毂等不得 有裂纹，铆钉不得有松动或有裂 纹；b) 叶轮直径的尺寸变形量≤0.5/1000; c) 叶轮外径处叶片安装角不得超过 图样的规定；2.符合以上要求后，叶轮在规定最高 工作转速的150%转速下运行，持续时间不少于2min，试验结果应符合焊缝、轮盘、轮盖、轮毂等不得有裂 纹，铆钉不得有松动或有裂纹； </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1.2.6.外观质量风机表面光滑，不得有气泡、裂缝及厚 度不均缺陷，涂层均匀、无剥落、划伤 等缺陷，轴承部位不得漏油，焊接处应 平整、无气孔、裂纹等缺陷，风机内外 表面必须清洁，产品铭牌安装平整、牢固；</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1.2.7.按JB/T 10563-2006 《一般用途离心通风机技术条件》 规定装配要求 1）. 叶轮叶片应均匀分布，任意两相邻 叶片间的最大弦长偏差应不大于 3mm 2). 叶轮和机壳的径向间隙应均匀</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1.3外壳及叶轮材质：FRP耐酸碱VinylEster（乙烯基脂树脂+无碱玻璃纤维）制作</w:t>
            </w:r>
            <w:r>
              <w:rPr>
                <w:rStyle w:val="80"/>
                <w:rFonts w:hint="eastAsia" w:ascii="宋体" w:hAnsi="宋体" w:cs="宋体"/>
                <w:sz w:val="21"/>
                <w:szCs w:val="21"/>
                <w:highlight w:val="none"/>
                <w:lang w:val="en-US" w:eastAsia="zh-CN" w:bidi="ar"/>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4A5D275A">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1台</w:t>
            </w:r>
          </w:p>
        </w:tc>
      </w:tr>
      <w:tr w14:paraId="51EAE44B">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0C71582">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7C965E5">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0BB5694">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全钢边台</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AFA4934">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一、</w:t>
            </w:r>
            <w:r>
              <w:rPr>
                <w:rStyle w:val="80"/>
                <w:rFonts w:hint="eastAsia" w:ascii="宋体" w:hAnsi="宋体" w:cs="宋体"/>
                <w:sz w:val="21"/>
                <w:szCs w:val="21"/>
                <w:highlight w:val="none"/>
                <w:lang w:val="en-US" w:eastAsia="zh-CN" w:bidi="ar"/>
              </w:rPr>
              <w:t>尺寸</w:t>
            </w:r>
            <w:r>
              <w:rPr>
                <w:rFonts w:hint="eastAsia" w:ascii="宋体" w:hAnsi="宋体" w:eastAsia="宋体" w:cs="宋体"/>
                <w:i w:val="0"/>
                <w:iCs w:val="0"/>
                <w:color w:val="000000"/>
                <w:kern w:val="0"/>
                <w:sz w:val="21"/>
                <w:szCs w:val="21"/>
                <w:highlight w:val="none"/>
                <w:u w:val="none"/>
                <w:lang w:val="en-US" w:eastAsia="zh-CN" w:bidi="ar"/>
              </w:rPr>
              <w:t>≥长6110mm*宽750m*高850mm</w:t>
            </w:r>
          </w:p>
          <w:p w14:paraId="33CDD5C6">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二、主要参数</w:t>
            </w:r>
          </w:p>
          <w:p w14:paraId="32B26028">
            <w:pPr>
              <w:keepNext w:val="0"/>
              <w:keepLines w:val="0"/>
              <w:pageBreakBefore w:val="0"/>
              <w:widowControl/>
              <w:suppressLineNumbers w:val="0"/>
              <w:kinsoku/>
              <w:wordWrap/>
              <w:overflowPunct/>
              <w:topLinePunct w:val="0"/>
              <w:autoSpaceDE/>
              <w:bidi w:val="0"/>
              <w:spacing w:line="360" w:lineRule="auto"/>
              <w:jc w:val="left"/>
              <w:textAlignment w:val="center"/>
              <w:rPr>
                <w:highlight w:val="none"/>
              </w:rPr>
            </w:pPr>
            <w:r>
              <w:rPr>
                <w:rStyle w:val="80"/>
                <w:rFonts w:hint="eastAsia" w:ascii="宋体" w:hAnsi="宋体" w:eastAsia="宋体" w:cs="宋体"/>
                <w:sz w:val="21"/>
                <w:szCs w:val="21"/>
                <w:highlight w:val="none"/>
                <w:lang w:val="en-US" w:eastAsia="zh-CN" w:bidi="ar"/>
              </w:rPr>
              <w:t>配置：全钢结构，</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12.7mm理化板台面，配岛式插座5套</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柜体：采用</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1.2mm优质冷轧钢板，表面经酸洗磷化处理后喷涂环氧树脂粉末高温烘烤固化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柜门：采用</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1.2mm双层优质冷轧钢板，门板厚度≥18mm，表面经酸洗磷化处理后喷涂环氧树脂粉末高温烘烤固化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合页：采用不锈钢隐藏插销合页</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4</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把手：采用</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1.0mm优质冷轧钢板一体成型拉手</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5</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滑轨：采用16寸优质三节静音导轨</w:t>
            </w:r>
            <w:r>
              <w:rPr>
                <w:rStyle w:val="80"/>
                <w:rFonts w:hint="eastAsia" w:ascii="宋体" w:hAnsi="宋体" w:cs="宋体"/>
                <w:sz w:val="21"/>
                <w:szCs w:val="21"/>
                <w:highlight w:val="none"/>
                <w:lang w:val="en-US" w:eastAsia="zh-CN" w:bidi="ar"/>
              </w:rPr>
              <w:t>，</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10万次测试无质量问题</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6</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调节脚：采用</w:t>
            </w:r>
            <w:r>
              <w:rPr>
                <w:rStyle w:val="77"/>
                <w:rFonts w:hint="eastAsia" w:ascii="宋体" w:hAnsi="宋体" w:eastAsia="宋体" w:cs="宋体"/>
                <w:sz w:val="21"/>
                <w:szCs w:val="21"/>
                <w:highlight w:val="none"/>
                <w:lang w:val="en-US" w:eastAsia="zh-CN" w:bidi="ar"/>
              </w:rPr>
              <w:t>φ</w:t>
            </w:r>
            <w:r>
              <w:rPr>
                <w:rStyle w:val="80"/>
                <w:rFonts w:hint="eastAsia" w:ascii="宋体" w:hAnsi="宋体" w:eastAsia="宋体" w:cs="宋体"/>
                <w:sz w:val="21"/>
                <w:szCs w:val="21"/>
                <w:highlight w:val="none"/>
                <w:lang w:val="en-US" w:eastAsia="zh-CN" w:bidi="ar"/>
              </w:rPr>
              <w:t>10mm注塑调整脚，可根据室内地坪适当调整柜体高度，最大调节为0-30mm</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7</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台面采用边沿加厚≥26mm实验台</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台面参数要求：</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（1）理化板台面耐化学试剂性能依据“GB/T 17657-2022”检测方法进行检验，乙酸乙酯、乙酸（≥98%）、丙酮、四氯化碳、铬酸（≥60%）、硫酸（≥98%）等至少</w:t>
            </w:r>
            <w:r>
              <w:rPr>
                <w:rStyle w:val="80"/>
                <w:rFonts w:hint="eastAsia" w:ascii="宋体" w:hAnsi="宋体" w:cs="宋体"/>
                <w:sz w:val="21"/>
                <w:szCs w:val="21"/>
                <w:highlight w:val="none"/>
                <w:lang w:val="en-US" w:eastAsia="zh-CN" w:bidi="ar"/>
              </w:rPr>
              <w:t>35</w:t>
            </w:r>
            <w:r>
              <w:rPr>
                <w:rStyle w:val="80"/>
                <w:rFonts w:hint="eastAsia" w:ascii="宋体" w:hAnsi="宋体" w:eastAsia="宋体" w:cs="宋体"/>
                <w:sz w:val="21"/>
                <w:szCs w:val="21"/>
                <w:highlight w:val="none"/>
                <w:lang w:val="en-US" w:eastAsia="zh-CN" w:bidi="ar"/>
              </w:rPr>
              <w:t>项化学试剂通过检测，检测结果等级均达到“5级（无明显变化）”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（2）理化板台面甲醛释放量检测结果＜0.012mg/m³（根据测试结果，依据GB/T39600-2021判定为ENF 级）</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（3）理化板台面物理性能按照“GB/T 17657-2022”或“GB/T 7911-2024”检测方法进行检测：“密度”检测结果需≥1.41g/cm3  、“耐划痕”≥4级、“耐大球冲击（冲击高度≥800mm）”凹痕直径≤8mm、“静曲强度”≥130MPa、“抗拉强度”≥65MPa、“尺寸稳定性（高温）-纵向”检验结果≤0.35%、“耐辐射热”≥230s</w:t>
            </w:r>
            <w:r>
              <w:rPr>
                <w:rStyle w:val="80"/>
                <w:rFonts w:hint="eastAsia" w:ascii="宋体" w:hAnsi="宋体" w:cs="宋体"/>
                <w:sz w:val="21"/>
                <w:szCs w:val="21"/>
                <w:highlight w:val="none"/>
                <w:lang w:val="en-US" w:eastAsia="zh-CN" w:bidi="ar"/>
              </w:rPr>
              <w:t>；</w:t>
            </w:r>
          </w:p>
          <w:p w14:paraId="67CDCD5A">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（4）台面板“色差”检测结果达到E≤0.19（检测方法为GB/T 17657-2022）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7CA264BB">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（5）台面板依据GB/T 17657-2022 检测方法：“板面握螺钉力”检测结果达到≥3320N</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345F5458">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highlight w:val="none"/>
              </w:rPr>
              <w:t>▲</w:t>
            </w:r>
            <w:r>
              <w:rPr>
                <w:rStyle w:val="80"/>
                <w:rFonts w:hint="eastAsia" w:ascii="宋体" w:hAnsi="宋体" w:eastAsia="宋体" w:cs="宋体"/>
                <w:sz w:val="21"/>
                <w:szCs w:val="21"/>
                <w:highlight w:val="none"/>
                <w:lang w:val="en-US" w:eastAsia="zh-CN" w:bidi="ar"/>
              </w:rPr>
              <w:t>（6）台面板“静曲强度—浸渍-冰冻-干燥处理法”检测结果≥82MPa（检测方法为GB/T 17657-2022）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8</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配件配置</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岛式插座5套</w:t>
            </w:r>
          </w:p>
        </w:tc>
        <w:tc>
          <w:tcPr>
            <w:tcW w:w="349" w:type="pct"/>
            <w:tcBorders>
              <w:top w:val="single" w:color="auto" w:sz="4" w:space="0"/>
              <w:left w:val="nil"/>
              <w:bottom w:val="single" w:color="auto" w:sz="4" w:space="0"/>
              <w:right w:val="single" w:color="auto" w:sz="4" w:space="0"/>
            </w:tcBorders>
            <w:shd w:val="clear" w:color="auto" w:fill="auto"/>
            <w:vAlign w:val="center"/>
          </w:tcPr>
          <w:p w14:paraId="46DC22A2">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2张</w:t>
            </w:r>
          </w:p>
        </w:tc>
      </w:tr>
      <w:tr w14:paraId="4F81830B">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3CCB833">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0D453CE">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B80E06E">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全钢边台</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E7A3E2F">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一、</w:t>
            </w:r>
            <w:r>
              <w:rPr>
                <w:rStyle w:val="80"/>
                <w:rFonts w:hint="eastAsia" w:ascii="宋体" w:hAnsi="宋体" w:cs="宋体"/>
                <w:sz w:val="21"/>
                <w:szCs w:val="21"/>
                <w:highlight w:val="none"/>
                <w:lang w:val="en-US" w:eastAsia="zh-CN" w:bidi="ar"/>
              </w:rPr>
              <w:t>尺寸：</w:t>
            </w:r>
            <w:r>
              <w:rPr>
                <w:rFonts w:hint="eastAsia" w:ascii="宋体" w:hAnsi="宋体" w:eastAsia="宋体" w:cs="宋体"/>
                <w:i w:val="0"/>
                <w:iCs w:val="0"/>
                <w:color w:val="000000"/>
                <w:kern w:val="0"/>
                <w:sz w:val="21"/>
                <w:szCs w:val="21"/>
                <w:highlight w:val="none"/>
                <w:u w:val="none"/>
                <w:lang w:val="en-US" w:eastAsia="zh-CN" w:bidi="ar"/>
              </w:rPr>
              <w:t>≥长4000mm*宽750mm*高850mm</w:t>
            </w:r>
          </w:p>
          <w:p w14:paraId="0F5A0B19">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二、主要参数</w:t>
            </w:r>
          </w:p>
          <w:p w14:paraId="5E06621B">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配置：全钢结构，</w:t>
            </w:r>
            <w:r>
              <w:rPr>
                <w:rFonts w:hint="eastAsia" w:ascii="宋体" w:hAnsi="宋体" w:eastAsia="宋体" w:cs="宋体"/>
                <w:i w:val="0"/>
                <w:iCs w:val="0"/>
                <w:color w:val="000000"/>
                <w:kern w:val="0"/>
                <w:sz w:val="21"/>
                <w:szCs w:val="21"/>
                <w:highlight w:val="none"/>
                <w:u w:val="none"/>
                <w:lang w:val="en-US" w:eastAsia="zh-CN" w:bidi="ar"/>
              </w:rPr>
              <w:t>≥</w:t>
            </w:r>
            <w:r>
              <w:rPr>
                <w:rStyle w:val="80"/>
                <w:rFonts w:hint="eastAsia" w:ascii="宋体" w:hAnsi="宋体" w:eastAsia="宋体" w:cs="宋体"/>
                <w:sz w:val="21"/>
                <w:szCs w:val="21"/>
                <w:highlight w:val="none"/>
                <w:lang w:val="en-US" w:eastAsia="zh-CN" w:bidi="ar"/>
              </w:rPr>
              <w:t>12.7mm理化板台面，配岛式插座3套</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柜体：采用</w:t>
            </w:r>
            <w:r>
              <w:rPr>
                <w:rFonts w:hint="eastAsia" w:ascii="宋体" w:hAnsi="宋体" w:eastAsia="宋体" w:cs="宋体"/>
                <w:i w:val="0"/>
                <w:iCs w:val="0"/>
                <w:color w:val="000000"/>
                <w:kern w:val="0"/>
                <w:sz w:val="21"/>
                <w:szCs w:val="21"/>
                <w:highlight w:val="none"/>
                <w:u w:val="none"/>
                <w:lang w:val="en-US" w:eastAsia="zh-CN" w:bidi="ar"/>
              </w:rPr>
              <w:t>≥</w:t>
            </w:r>
            <w:r>
              <w:rPr>
                <w:rStyle w:val="80"/>
                <w:rFonts w:hint="eastAsia" w:ascii="宋体" w:hAnsi="宋体" w:eastAsia="宋体" w:cs="宋体"/>
                <w:sz w:val="21"/>
                <w:szCs w:val="21"/>
                <w:highlight w:val="none"/>
                <w:lang w:val="en-US" w:eastAsia="zh-CN" w:bidi="ar"/>
              </w:rPr>
              <w:t>1.2mm优质冷轧钢板，表面经酸洗磷化处理后喷涂环氧树脂粉末高温烘烤固化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柜门：采用</w:t>
            </w:r>
            <w:r>
              <w:rPr>
                <w:rFonts w:hint="eastAsia" w:ascii="宋体" w:hAnsi="宋体" w:eastAsia="宋体" w:cs="宋体"/>
                <w:i w:val="0"/>
                <w:iCs w:val="0"/>
                <w:color w:val="000000"/>
                <w:kern w:val="0"/>
                <w:sz w:val="21"/>
                <w:szCs w:val="21"/>
                <w:highlight w:val="none"/>
                <w:u w:val="none"/>
                <w:lang w:val="en-US" w:eastAsia="zh-CN" w:bidi="ar"/>
              </w:rPr>
              <w:t>≥</w:t>
            </w:r>
            <w:r>
              <w:rPr>
                <w:rStyle w:val="80"/>
                <w:rFonts w:hint="eastAsia" w:ascii="宋体" w:hAnsi="宋体" w:eastAsia="宋体" w:cs="宋体"/>
                <w:sz w:val="21"/>
                <w:szCs w:val="21"/>
                <w:highlight w:val="none"/>
                <w:lang w:val="en-US" w:eastAsia="zh-CN" w:bidi="ar"/>
              </w:rPr>
              <w:t>1.2mm双层优质冷轧钢板，门板厚度≥18mm，表面经酸洗磷化处理后喷涂环氧树脂粉末高温烘烤固化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合页：采用不锈钢隐藏插销合页</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4</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把手：采用</w:t>
            </w:r>
            <w:r>
              <w:rPr>
                <w:rFonts w:hint="eastAsia" w:ascii="宋体" w:hAnsi="宋体" w:eastAsia="宋体" w:cs="宋体"/>
                <w:i w:val="0"/>
                <w:iCs w:val="0"/>
                <w:color w:val="000000"/>
                <w:kern w:val="0"/>
                <w:sz w:val="21"/>
                <w:szCs w:val="21"/>
                <w:highlight w:val="none"/>
                <w:u w:val="none"/>
                <w:lang w:val="en-US" w:eastAsia="zh-CN" w:bidi="ar"/>
              </w:rPr>
              <w:t>≥</w:t>
            </w:r>
            <w:r>
              <w:rPr>
                <w:rStyle w:val="80"/>
                <w:rFonts w:hint="eastAsia" w:ascii="宋体" w:hAnsi="宋体" w:eastAsia="宋体" w:cs="宋体"/>
                <w:sz w:val="21"/>
                <w:szCs w:val="21"/>
                <w:highlight w:val="none"/>
                <w:lang w:val="en-US" w:eastAsia="zh-CN" w:bidi="ar"/>
              </w:rPr>
              <w:t>1.0mm优质冷轧钢板一体成型拉手</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5</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滑轨：采用16寸优质三节静音导轨</w:t>
            </w:r>
            <w:r>
              <w:rPr>
                <w:rStyle w:val="80"/>
                <w:rFonts w:hint="eastAsia" w:ascii="宋体" w:hAnsi="宋体" w:cs="宋体"/>
                <w:sz w:val="21"/>
                <w:szCs w:val="21"/>
                <w:highlight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w:t>
            </w:r>
            <w:r>
              <w:rPr>
                <w:rStyle w:val="80"/>
                <w:rFonts w:hint="eastAsia" w:ascii="宋体" w:hAnsi="宋体" w:eastAsia="宋体" w:cs="宋体"/>
                <w:sz w:val="21"/>
                <w:szCs w:val="21"/>
                <w:highlight w:val="none"/>
                <w:lang w:val="en-US" w:eastAsia="zh-CN" w:bidi="ar"/>
              </w:rPr>
              <w:t>10万次测试无质量问题</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6</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调节脚：采用</w:t>
            </w:r>
            <w:r>
              <w:rPr>
                <w:rStyle w:val="77"/>
                <w:rFonts w:hint="eastAsia" w:ascii="宋体" w:hAnsi="宋体" w:eastAsia="宋体" w:cs="宋体"/>
                <w:sz w:val="21"/>
                <w:szCs w:val="21"/>
                <w:highlight w:val="none"/>
                <w:lang w:val="en-US" w:eastAsia="zh-CN" w:bidi="ar"/>
              </w:rPr>
              <w:t>φ</w:t>
            </w:r>
            <w:r>
              <w:rPr>
                <w:rStyle w:val="80"/>
                <w:rFonts w:hint="eastAsia" w:ascii="宋体" w:hAnsi="宋体" w:eastAsia="宋体" w:cs="宋体"/>
                <w:sz w:val="21"/>
                <w:szCs w:val="21"/>
                <w:highlight w:val="none"/>
                <w:lang w:val="en-US" w:eastAsia="zh-CN" w:bidi="ar"/>
              </w:rPr>
              <w:t>10mm注塑调整脚，可根据室内地坪适当调整柜体高度，最大调节为0-30mm</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7</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台面采用边沿加厚≥26mm实验台</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台面参数要求：</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（1）理化板台面耐化学试剂性能依据“GB/T 17657-2022”检测方法进行检验，乙酸乙酯、乙酸（≥98%）、丙酮、四氯化碳、铬酸（≥60%）、硫酸（≥98%）等至少</w:t>
            </w:r>
            <w:r>
              <w:rPr>
                <w:rStyle w:val="80"/>
                <w:rFonts w:hint="eastAsia" w:ascii="宋体" w:hAnsi="宋体" w:cs="宋体"/>
                <w:sz w:val="21"/>
                <w:szCs w:val="21"/>
                <w:highlight w:val="none"/>
                <w:lang w:val="en-US" w:eastAsia="zh-CN" w:bidi="ar"/>
              </w:rPr>
              <w:t>35</w:t>
            </w:r>
            <w:r>
              <w:rPr>
                <w:rStyle w:val="80"/>
                <w:rFonts w:hint="eastAsia" w:ascii="宋体" w:hAnsi="宋体" w:eastAsia="宋体" w:cs="宋体"/>
                <w:sz w:val="21"/>
                <w:szCs w:val="21"/>
                <w:highlight w:val="none"/>
                <w:lang w:val="en-US" w:eastAsia="zh-CN" w:bidi="ar"/>
              </w:rPr>
              <w:t>项化学试剂通过检测，检测结果等级均达到“5级（无明显变化）”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（2）理化板台面甲醛释放量检测结果＜0.012mg/m³（根据测试结果，依据GB/T39600-2021判定为ENF 级）</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（3）理化板台面物理性能按照“GB/T 17657-2022”或“GB/T 7911-2024”检测方法进行检测：“密度”检测结果需≥1.41g/cm3、“耐划痕”≥4级、“耐大球冲击（冲击高度≥800mm）”凹痕直径≤8mm、“静曲强度”≥130MPa、“抗拉强度”≥65MPa、“尺寸稳定性（高温）-纵向”检验结果≤0.35%、“耐辐射热”≥230s</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（4）台面板“色差”检测结果达到E≤0.19（检测方法为GB/T 17657-2022）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602D64C8">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（5）台面板依据GB/T 17657-2022 检测方法：“板面握螺钉力”检测结果达到≥3320N</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4E9EBBEF">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highlight w:val="none"/>
              </w:rPr>
              <w:t>▲</w:t>
            </w:r>
            <w:r>
              <w:rPr>
                <w:rStyle w:val="80"/>
                <w:rFonts w:hint="eastAsia" w:ascii="宋体" w:hAnsi="宋体" w:eastAsia="宋体" w:cs="宋体"/>
                <w:sz w:val="21"/>
                <w:szCs w:val="21"/>
                <w:highlight w:val="none"/>
                <w:lang w:val="en-US" w:eastAsia="zh-CN" w:bidi="ar"/>
              </w:rPr>
              <w:t>（6）台面板“静曲强度—浸渍-冰冻-干燥处理法”检测结果≥82MPa（检测方法为GB/T 17657-2022）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8</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配件配置</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岛式插座3套</w:t>
            </w:r>
          </w:p>
        </w:tc>
        <w:tc>
          <w:tcPr>
            <w:tcW w:w="349" w:type="pct"/>
            <w:tcBorders>
              <w:top w:val="single" w:color="auto" w:sz="4" w:space="0"/>
              <w:left w:val="nil"/>
              <w:bottom w:val="single" w:color="auto" w:sz="4" w:space="0"/>
              <w:right w:val="single" w:color="auto" w:sz="4" w:space="0"/>
            </w:tcBorders>
            <w:shd w:val="clear" w:color="auto" w:fill="auto"/>
            <w:vAlign w:val="center"/>
          </w:tcPr>
          <w:p w14:paraId="70B57A34">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2张</w:t>
            </w:r>
          </w:p>
        </w:tc>
      </w:tr>
      <w:tr w14:paraId="25BFF4F6">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0B85525">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257B3E1">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C3AA85D">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全钢中央台</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F1D1932">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一、</w:t>
            </w:r>
            <w:r>
              <w:rPr>
                <w:rStyle w:val="80"/>
                <w:rFonts w:hint="eastAsia" w:ascii="宋体" w:hAnsi="宋体" w:cs="宋体"/>
                <w:sz w:val="21"/>
                <w:szCs w:val="21"/>
                <w:highlight w:val="none"/>
                <w:lang w:val="en-US" w:eastAsia="zh-CN" w:bidi="ar"/>
              </w:rPr>
              <w:t>尺寸：</w:t>
            </w:r>
            <w:r>
              <w:rPr>
                <w:rFonts w:hint="eastAsia"/>
                <w:highlight w:val="none"/>
                <w:lang w:val="en-US" w:eastAsia="zh-CN"/>
              </w:rPr>
              <w:t>≥</w:t>
            </w:r>
            <w:r>
              <w:rPr>
                <w:rFonts w:hint="eastAsia" w:ascii="宋体" w:hAnsi="宋体" w:eastAsia="宋体" w:cs="宋体"/>
                <w:i w:val="0"/>
                <w:iCs w:val="0"/>
                <w:color w:val="000000"/>
                <w:kern w:val="0"/>
                <w:sz w:val="21"/>
                <w:szCs w:val="21"/>
                <w:highlight w:val="none"/>
                <w:u w:val="none"/>
                <w:lang w:val="en-US" w:eastAsia="zh-CN" w:bidi="ar"/>
              </w:rPr>
              <w:t>长4000mm*宽1500mm*高850mm</w:t>
            </w:r>
          </w:p>
          <w:p w14:paraId="51DDF924">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二、主要参数</w:t>
            </w:r>
          </w:p>
          <w:p w14:paraId="6E67C4F3">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配置：l全钢结构，</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12.7mm理化板台面，配洗眼器1套、滴水架1套、三口水龙头及水槽1套，插座5套，带试剂架</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3.25米</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柜体：采用</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1.2mm优质冷轧钢板，表面经酸洗磷化处理后喷涂环氧树脂粉末高温烘烤固化。</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柜门：采用</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1.2mm双层优质冷轧钢板，门板厚度≥18mm，表面经酸洗磷化处理后喷涂环氧树脂粉末高温烘烤固化。</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合页：采用不锈钢隐藏插销合页。</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4</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把手：采用</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1.0mm优质冷轧钢板一体成型拉手。</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5</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滑轨：采用16寸优质三节静音导轨</w:t>
            </w:r>
            <w:r>
              <w:rPr>
                <w:rStyle w:val="80"/>
                <w:rFonts w:hint="eastAsia" w:ascii="宋体" w:hAnsi="宋体" w:cs="宋体"/>
                <w:sz w:val="21"/>
                <w:szCs w:val="21"/>
                <w:highlight w:val="none"/>
                <w:lang w:val="en-US" w:eastAsia="zh-CN" w:bidi="ar"/>
              </w:rPr>
              <w:t>，</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10万次测试无质量问题。</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6</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调节脚：采用</w:t>
            </w:r>
            <w:r>
              <w:rPr>
                <w:rStyle w:val="77"/>
                <w:rFonts w:hint="eastAsia" w:ascii="宋体" w:hAnsi="宋体" w:eastAsia="宋体" w:cs="宋体"/>
                <w:sz w:val="21"/>
                <w:szCs w:val="21"/>
                <w:highlight w:val="none"/>
                <w:lang w:val="en-US" w:eastAsia="zh-CN" w:bidi="ar"/>
              </w:rPr>
              <w:t>φ</w:t>
            </w:r>
            <w:r>
              <w:rPr>
                <w:rStyle w:val="80"/>
                <w:rFonts w:hint="eastAsia" w:ascii="宋体" w:hAnsi="宋体" w:eastAsia="宋体" w:cs="宋体"/>
                <w:sz w:val="21"/>
                <w:szCs w:val="21"/>
                <w:highlight w:val="none"/>
                <w:lang w:val="en-US" w:eastAsia="zh-CN" w:bidi="ar"/>
              </w:rPr>
              <w:t>10mm注塑调整脚，可根据室内地坪适当调整柜体高度，最大调节为0-30mm。</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7</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台面采用边沿加厚≥26mm实验台</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台面参数要求：</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（1）理化板台面耐化学试剂性能依据“GB/T 17657-2022”检测方法进行检验，乙酸乙酯、乙酸（≥98%）、丙酮、四氯化碳、铬酸（≥60%）、硫酸（≥98%）等至少</w:t>
            </w:r>
            <w:r>
              <w:rPr>
                <w:rStyle w:val="80"/>
                <w:rFonts w:hint="eastAsia" w:ascii="宋体" w:hAnsi="宋体" w:cs="宋体"/>
                <w:sz w:val="21"/>
                <w:szCs w:val="21"/>
                <w:highlight w:val="none"/>
                <w:lang w:val="en-US" w:eastAsia="zh-CN" w:bidi="ar"/>
              </w:rPr>
              <w:t>35</w:t>
            </w:r>
            <w:r>
              <w:rPr>
                <w:rStyle w:val="80"/>
                <w:rFonts w:hint="eastAsia" w:ascii="宋体" w:hAnsi="宋体" w:eastAsia="宋体" w:cs="宋体"/>
                <w:sz w:val="21"/>
                <w:szCs w:val="21"/>
                <w:highlight w:val="none"/>
                <w:lang w:val="en-US" w:eastAsia="zh-CN" w:bidi="ar"/>
              </w:rPr>
              <w:t>项化学试剂通过检测，检测结果等级均达到“5级（无明显变化）”。</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（2）理化板台面甲醛释放量检测结果＜0.012mg/m³（根据测试结果，依据GB/T39600-2021判定为ENF 级）。</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（3）理化板台面物理性能按照“GB/T 17657-2022”或“GB/T 7911-2024”检测方法进行检测：“密度”检测结果需≥1.41g/cm3  、“耐划痕”≥4级、“耐大球冲击（冲击高度≥800mm）”凹痕直径≤8mm、“静曲强度”≥130MPa、“抗拉强度”≥65MPa、“尺寸稳定性（高温）-纵向”检验结果≤0.35%、“耐辐射热”≥230s。</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（4）台面板“色差”检测结果达到E≤0.19（检测方法为GB/T 17657-2022）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5120461B">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（5）台面板依据GB/T 17657-2022 检测方法：“板面握螺钉力”检测结果达到≥3320N</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422DA9B3">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（6）台面板“静曲强度—浸渍-冰冻-干燥处理法”检测结果≥82MPa（检测方法为GB/T 17657-2022）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8</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配件配置</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（1）滴水架1套：规格</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550*400mm</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滴水架需提供以下报告：滴水架依据GB/T 24128-2018《塑料防霉剂的防霉效果评估》标准，检测防霉，防霉等级为0，</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7DD4A312">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（2）洗眼器1套</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台式洗眼器依据GB/T24128-2018方法检测防霉性能：霉菌生长情况为0级</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（3）水槽水龙头1套</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3.1</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水龙头需提供中国节水产品CQC认证证书</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3.2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实验室化验水龙头符合GB 18145-2014标准，水嘴开关寿命≥7万次</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sz w:val="21"/>
                <w:szCs w:val="21"/>
                <w:highlight w:val="none"/>
                <w:lang w:val="en-US" w:eastAsia="zh-CN" w:bidi="ar"/>
              </w:rPr>
              <w:t>；</w:t>
            </w:r>
          </w:p>
          <w:p w14:paraId="04FBFE2F">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3.3</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水龙头检测表面耐腐蚀性能，依据GB/T 10125-2021 进行≥24H中性盐雾试验，结果为10级。</w:t>
            </w:r>
          </w:p>
          <w:p w14:paraId="28B3F950">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Style w:val="80"/>
                <w:rFonts w:hint="eastAsia" w:ascii="宋体" w:hAnsi="宋体" w:eastAsia="宋体" w:cs="宋体"/>
                <w:sz w:val="21"/>
                <w:szCs w:val="21"/>
                <w:highlight w:val="none"/>
                <w:lang w:val="en-US" w:eastAsia="zh-CN" w:bidi="ar"/>
              </w:rPr>
              <w:t>（4）插座5套</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（5）试剂架</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3.25米。双层结构，</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10mm钢化玻璃</w:t>
            </w:r>
            <w:r>
              <w:rPr>
                <w:rStyle w:val="80"/>
                <w:rFonts w:hint="eastAsia" w:ascii="宋体" w:hAnsi="宋体" w:cs="宋体"/>
                <w:sz w:val="21"/>
                <w:szCs w:val="21"/>
                <w:highlight w:val="none"/>
                <w:lang w:val="en-US" w:eastAsia="zh-CN" w:bidi="ar"/>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779BF5B3">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4张</w:t>
            </w:r>
          </w:p>
        </w:tc>
      </w:tr>
      <w:tr w14:paraId="7785BF7D">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6271814">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E39803C">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A1937C8">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通风系统</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D00555D">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Style w:val="80"/>
                <w:rFonts w:hint="eastAsia" w:ascii="宋体" w:hAnsi="宋体" w:eastAsia="宋体" w:cs="宋体"/>
                <w:sz w:val="21"/>
                <w:szCs w:val="21"/>
                <w:highlight w:val="none"/>
                <w:lang w:val="en-US" w:eastAsia="zh-CN" w:bidi="ar"/>
              </w:rPr>
              <w:t>配置：6台通风柜共用一套通风系统，包含1台风机功率7.5KW；转速：1450r/min；流量：</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10602-21204m3/h；全压：</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1550-984pa，1套7.5KW变频系统，喷淋塔1套，PP风管35㎡，电动风阀6个，消声器1套，风机基础1套，配风机电源线及控制线。</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风机参数满足：</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b/>
                <w:bCs/>
                <w:sz w:val="21"/>
                <w:szCs w:val="21"/>
                <w:highlight w:val="none"/>
                <w:lang w:val="en-US" w:eastAsia="zh-CN" w:bidi="ar"/>
              </w:rPr>
              <w:t>1.1风机采用国家3C强制认证防爆</w:t>
            </w:r>
            <w:r>
              <w:rPr>
                <w:rStyle w:val="80"/>
                <w:rFonts w:hint="eastAsia" w:ascii="宋体" w:hAnsi="宋体" w:cs="宋体"/>
                <w:b/>
                <w:bCs/>
                <w:sz w:val="21"/>
                <w:szCs w:val="21"/>
                <w:highlight w:val="none"/>
                <w:lang w:val="en-US" w:eastAsia="zh-CN" w:bidi="ar"/>
              </w:rPr>
              <w:t>电</w:t>
            </w:r>
            <w:r>
              <w:rPr>
                <w:rStyle w:val="80"/>
                <w:rFonts w:hint="eastAsia" w:ascii="宋体" w:hAnsi="宋体" w:eastAsia="宋体" w:cs="宋体"/>
                <w:b/>
                <w:bCs/>
                <w:sz w:val="21"/>
                <w:szCs w:val="21"/>
                <w:highlight w:val="none"/>
                <w:lang w:val="en-US" w:eastAsia="zh-CN" w:bidi="ar"/>
              </w:rPr>
              <w:t>机，</w:t>
            </w:r>
            <w:r>
              <w:rPr>
                <w:rStyle w:val="80"/>
                <w:rFonts w:hint="eastAsia" w:ascii="宋体" w:hAnsi="宋体" w:cs="宋体"/>
                <w:b/>
                <w:bCs/>
                <w:sz w:val="21"/>
                <w:szCs w:val="21"/>
                <w:highlight w:val="none"/>
                <w:lang w:val="en-US" w:eastAsia="zh-CN" w:bidi="ar"/>
              </w:rPr>
              <w:t>响应文件中须</w:t>
            </w:r>
            <w:r>
              <w:rPr>
                <w:rStyle w:val="80"/>
                <w:rFonts w:hint="eastAsia" w:ascii="宋体" w:hAnsi="宋体" w:eastAsia="宋体" w:cs="宋体"/>
                <w:b/>
                <w:bCs/>
                <w:sz w:val="21"/>
                <w:szCs w:val="21"/>
                <w:highlight w:val="none"/>
                <w:lang w:val="en-US" w:eastAsia="zh-CN" w:bidi="ar"/>
              </w:rPr>
              <w:t>提供</w:t>
            </w:r>
            <w:r>
              <w:rPr>
                <w:rStyle w:val="80"/>
                <w:rFonts w:hint="eastAsia" w:ascii="宋体" w:hAnsi="宋体" w:cs="宋体"/>
                <w:b/>
                <w:bCs/>
                <w:sz w:val="21"/>
                <w:szCs w:val="21"/>
                <w:highlight w:val="none"/>
                <w:lang w:val="en-US" w:eastAsia="zh-CN" w:bidi="ar"/>
              </w:rPr>
              <w:t>电</w:t>
            </w:r>
            <w:r>
              <w:rPr>
                <w:rStyle w:val="80"/>
                <w:rFonts w:hint="eastAsia" w:ascii="宋体" w:hAnsi="宋体" w:eastAsia="宋体" w:cs="宋体"/>
                <w:b/>
                <w:bCs/>
                <w:sz w:val="21"/>
                <w:szCs w:val="21"/>
                <w:highlight w:val="none"/>
                <w:lang w:val="en-US" w:eastAsia="zh-CN" w:bidi="ar"/>
              </w:rPr>
              <w:t>机产品3C认证证书，并可以通过官网或其它官方渠道查询认证；</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1.2风机性能要求：</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 xml:space="preserve">1.2.1.按GB/T 1236-2017 《工业通风机 用标准化风道性能试验》在规定测试下所对应的流量全压偏差为±5%； </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1.2.2.按JB/T 8689-2014 规定应进行 30min 机械运转试验 转动件应无擦碰等异常现象振动速度有效值 mm/s ≤4.6；</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1.2.3.按JB/T 9101-2014 《通风机转子平衡》规定进行动平衡品质等级 G ≤2.5级 ；</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1.2.4.噪声测试按GB/T 2888</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2008 规定方法执行，比 A 声级应满足JB/T 8690</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 xml:space="preserve">2014 对应叶轮型式噪声限值要求；若为后向板型叶轮，比A声级≤27dB； </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1.2.5.按JB/T 6445-2017《通风机叶轮超速试验》规定进行叶轮超速试验 1.叶轮在规定最高工作转速的 150%转 速下运转，持续时间不少于 2min，试验结果应符合以下规定：a) 焊缝、轮盘、轮盖、轮毂等不得 有裂纹，铆钉不得有松动或有裂 纹；b) 叶轮直径的尺寸变形量≤ 0.5/1000</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 xml:space="preserve"> c) 叶轮外径处叶片安装角不得超过 图样的规定； 2.符合以上要求后，叶轮在规定最高工作转速的 150%转速下运行，持续时间不少于2min，试验结果应符合焊 缝、轮盘、轮盖、轮毂等不得有裂纹，铆钉不得有松动或有裂纹； </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1.2.6.外观质量风机表面光滑，不得有气泡、裂缝及厚 度不均缺陷，涂层均匀、无剥落、划伤 等缺陷，轴承部位不得漏油，焊接处应 平整、无气孔、裂纹等缺陷，风机内外 表面必须清洁，产品铭牌安装平整、牢固；</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1.2.7.按JB/T 10563-2006 《一般用途离心通风机技术条件》 规定装配要求 1）. 叶轮叶片应均匀分布，任意两相邻 叶片间的最大弦长偏差应不大于 3mm 2). 叶轮和机壳的径向间隙应均匀</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1.3外壳及叶轮材质：FRP耐酸碱VinylEster（乙烯基脂树脂+无碱玻璃纤维）制作，风机材质技术综合要求：材质要求为FRP玻材质（玻璃钢），风机叶轮，外壳采用乙烯基树脂制作</w:t>
            </w:r>
            <w:r>
              <w:rPr>
                <w:rStyle w:val="80"/>
                <w:rFonts w:hint="eastAsia" w:ascii="宋体" w:hAnsi="宋体" w:cs="宋体"/>
                <w:sz w:val="21"/>
                <w:szCs w:val="21"/>
                <w:highlight w:val="none"/>
                <w:lang w:val="en-US" w:eastAsia="zh-CN" w:bidi="ar"/>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764F45E3">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r>
              <w:rPr>
                <w:rFonts w:hint="eastAsia" w:ascii="宋体" w:hAnsi="宋体" w:cs="宋体"/>
                <w:i w:val="0"/>
                <w:iCs w:val="0"/>
                <w:color w:val="000000"/>
                <w:kern w:val="0"/>
                <w:sz w:val="21"/>
                <w:szCs w:val="21"/>
                <w:highlight w:val="none"/>
                <w:u w:val="none"/>
                <w:lang w:val="en-US" w:eastAsia="zh-CN" w:bidi="ar"/>
              </w:rPr>
              <w:t>套</w:t>
            </w:r>
          </w:p>
        </w:tc>
      </w:tr>
      <w:tr w14:paraId="63BA40AC">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906305D">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A3D29D1">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2EADA42">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全钢边台</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1C7EACD">
            <w:pPr>
              <w:keepNext w:val="0"/>
              <w:keepLines w:val="0"/>
              <w:pageBreakBefore w:val="0"/>
              <w:widowControl/>
              <w:numPr>
                <w:ilvl w:val="0"/>
                <w:numId w:val="8"/>
              </w:numPr>
              <w:suppressLineNumbers w:val="0"/>
              <w:kinsoku/>
              <w:wordWrap/>
              <w:overflowPunct/>
              <w:topLinePunct w:val="0"/>
              <w:autoSpaceDE/>
              <w:bidi w:val="0"/>
              <w:spacing w:line="360" w:lineRule="auto"/>
              <w:jc w:val="left"/>
              <w:textAlignment w:val="center"/>
              <w:rPr>
                <w:highlight w:val="none"/>
              </w:rPr>
            </w:pPr>
            <w:r>
              <w:rPr>
                <w:rStyle w:val="80"/>
                <w:rFonts w:hint="eastAsia" w:ascii="宋体" w:hAnsi="宋体" w:cs="宋体"/>
                <w:sz w:val="21"/>
                <w:szCs w:val="21"/>
                <w:highlight w:val="none"/>
                <w:lang w:val="en-US" w:eastAsia="zh-CN" w:bidi="ar"/>
              </w:rPr>
              <w:t>尺寸：</w:t>
            </w:r>
            <w:r>
              <w:rPr>
                <w:rFonts w:hint="eastAsia" w:ascii="宋体" w:hAnsi="宋体" w:eastAsia="宋体" w:cs="宋体"/>
                <w:sz w:val="21"/>
                <w:szCs w:val="21"/>
                <w:highlight w:val="none"/>
                <w:lang w:val="en-US" w:eastAsia="zh-CN"/>
              </w:rPr>
              <w:t>≥</w:t>
            </w:r>
            <w:r>
              <w:rPr>
                <w:rFonts w:hint="eastAsia" w:ascii="宋体" w:hAnsi="宋体" w:eastAsia="宋体" w:cs="宋体"/>
                <w:i w:val="0"/>
                <w:iCs w:val="0"/>
                <w:color w:val="000000"/>
                <w:kern w:val="0"/>
                <w:sz w:val="21"/>
                <w:szCs w:val="21"/>
                <w:highlight w:val="none"/>
                <w:u w:val="none"/>
                <w:lang w:val="en-US" w:eastAsia="zh-CN" w:bidi="ar"/>
              </w:rPr>
              <w:t>长</w:t>
            </w:r>
            <w:r>
              <w:rPr>
                <w:rFonts w:hint="eastAsia" w:ascii="宋体" w:hAnsi="宋体" w:eastAsia="宋体" w:cs="宋体"/>
                <w:sz w:val="21"/>
                <w:szCs w:val="21"/>
                <w:highlight w:val="none"/>
              </w:rPr>
              <w:t>8800</w:t>
            </w:r>
            <w:r>
              <w:rPr>
                <w:rFonts w:hint="eastAsia" w:ascii="宋体" w:hAnsi="宋体" w:eastAsia="宋体" w:cs="宋体"/>
                <w:sz w:val="21"/>
                <w:szCs w:val="21"/>
                <w:highlight w:val="none"/>
                <w:lang w:val="en-US" w:eastAsia="zh-CN"/>
              </w:rPr>
              <w:t>mm</w:t>
            </w:r>
            <w:r>
              <w:rPr>
                <w:rFonts w:hint="eastAsia" w:ascii="宋体" w:hAnsi="宋体" w:eastAsia="宋体" w:cs="宋体"/>
                <w:i w:val="0"/>
                <w:iCs w:val="0"/>
                <w:color w:val="000000"/>
                <w:kern w:val="0"/>
                <w:sz w:val="21"/>
                <w:szCs w:val="21"/>
                <w:highlight w:val="none"/>
                <w:u w:val="none"/>
                <w:lang w:val="en-US" w:eastAsia="zh-CN" w:bidi="ar"/>
              </w:rPr>
              <w:t>*宽</w:t>
            </w:r>
            <w:r>
              <w:rPr>
                <w:rFonts w:hint="eastAsia" w:ascii="宋体" w:hAnsi="宋体" w:eastAsia="宋体" w:cs="宋体"/>
                <w:sz w:val="21"/>
                <w:szCs w:val="21"/>
                <w:highlight w:val="none"/>
              </w:rPr>
              <w:t>750</w:t>
            </w:r>
            <w:r>
              <w:rPr>
                <w:rFonts w:hint="eastAsia" w:ascii="宋体" w:hAnsi="宋体" w:eastAsia="宋体" w:cs="宋体"/>
                <w:sz w:val="21"/>
                <w:szCs w:val="21"/>
                <w:highlight w:val="none"/>
                <w:lang w:val="en-US" w:eastAsia="zh-CN"/>
              </w:rPr>
              <w:t>mm</w:t>
            </w:r>
            <w:r>
              <w:rPr>
                <w:rFonts w:hint="eastAsia" w:ascii="宋体" w:hAnsi="宋体" w:eastAsia="宋体" w:cs="宋体"/>
                <w:i w:val="0"/>
                <w:iCs w:val="0"/>
                <w:color w:val="000000"/>
                <w:kern w:val="0"/>
                <w:sz w:val="21"/>
                <w:szCs w:val="21"/>
                <w:highlight w:val="none"/>
                <w:u w:val="none"/>
                <w:lang w:val="en-US" w:eastAsia="zh-CN" w:bidi="ar"/>
              </w:rPr>
              <w:t>*高</w:t>
            </w:r>
            <w:r>
              <w:rPr>
                <w:rFonts w:hint="eastAsia" w:ascii="宋体" w:hAnsi="宋体" w:eastAsia="宋体" w:cs="宋体"/>
                <w:sz w:val="21"/>
                <w:szCs w:val="21"/>
                <w:highlight w:val="none"/>
              </w:rPr>
              <w:t>850</w:t>
            </w:r>
            <w:r>
              <w:rPr>
                <w:rFonts w:hint="eastAsia" w:ascii="宋体" w:hAnsi="宋体" w:eastAsia="宋体" w:cs="宋体"/>
                <w:sz w:val="21"/>
                <w:szCs w:val="21"/>
                <w:highlight w:val="none"/>
                <w:lang w:val="en-US" w:eastAsia="zh-CN"/>
              </w:rPr>
              <w:t>mm</w:t>
            </w:r>
          </w:p>
          <w:p w14:paraId="0AAC2C09">
            <w:pPr>
              <w:keepNext w:val="0"/>
              <w:keepLines w:val="0"/>
              <w:pageBreakBefore w:val="0"/>
              <w:widowControl/>
              <w:numPr>
                <w:ilvl w:val="0"/>
                <w:numId w:val="0"/>
              </w:numPr>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二、主要参数</w:t>
            </w:r>
          </w:p>
          <w:p w14:paraId="4731797F">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配置：全钢结构，</w:t>
            </w:r>
            <w:r>
              <w:rPr>
                <w:rFonts w:hint="eastAsia" w:ascii="宋体" w:hAnsi="宋体" w:eastAsia="宋体" w:cs="宋体"/>
                <w:sz w:val="21"/>
                <w:szCs w:val="21"/>
                <w:highlight w:val="none"/>
                <w:lang w:val="en-US" w:eastAsia="zh-CN"/>
              </w:rPr>
              <w:t>≥</w:t>
            </w:r>
            <w:r>
              <w:rPr>
                <w:rStyle w:val="80"/>
                <w:rFonts w:hint="eastAsia" w:ascii="宋体" w:hAnsi="宋体" w:eastAsia="宋体" w:cs="宋体"/>
                <w:sz w:val="21"/>
                <w:szCs w:val="21"/>
                <w:highlight w:val="none"/>
                <w:lang w:val="en-US" w:eastAsia="zh-CN" w:bidi="ar"/>
              </w:rPr>
              <w:t>12.7mm理化板台面，配洗眼器1套、滴水架1套、三口水龙头及水槽1套，插座6套，带试剂架</w:t>
            </w:r>
            <w:r>
              <w:rPr>
                <w:rFonts w:hint="eastAsia" w:ascii="宋体" w:hAnsi="宋体" w:eastAsia="宋体" w:cs="宋体"/>
                <w:sz w:val="21"/>
                <w:szCs w:val="21"/>
                <w:highlight w:val="none"/>
                <w:lang w:val="en-US" w:eastAsia="zh-CN"/>
              </w:rPr>
              <w:t>≥</w:t>
            </w:r>
            <w:r>
              <w:rPr>
                <w:rStyle w:val="80"/>
                <w:rFonts w:hint="eastAsia" w:ascii="宋体" w:hAnsi="宋体" w:eastAsia="宋体" w:cs="宋体"/>
                <w:sz w:val="21"/>
                <w:szCs w:val="21"/>
                <w:highlight w:val="none"/>
                <w:lang w:val="en-US" w:eastAsia="zh-CN" w:bidi="ar"/>
              </w:rPr>
              <w:t>8米</w:t>
            </w:r>
            <w:r>
              <w:rPr>
                <w:rStyle w:val="80"/>
                <w:rFonts w:hint="eastAsia" w:ascii="宋体" w:hAnsi="宋体" w:cs="宋体"/>
                <w:sz w:val="21"/>
                <w:szCs w:val="21"/>
                <w:highlight w:val="none"/>
                <w:lang w:val="en-US" w:eastAsia="zh-CN" w:bidi="ar"/>
              </w:rPr>
              <w:t>；</w:t>
            </w:r>
          </w:p>
          <w:p w14:paraId="7A5DF616">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1</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柜体：采用</w:t>
            </w:r>
            <w:r>
              <w:rPr>
                <w:rFonts w:hint="eastAsia" w:ascii="宋体" w:hAnsi="宋体" w:eastAsia="宋体" w:cs="宋体"/>
                <w:sz w:val="21"/>
                <w:szCs w:val="21"/>
                <w:highlight w:val="none"/>
                <w:lang w:val="en-US" w:eastAsia="zh-CN"/>
              </w:rPr>
              <w:t>≥</w:t>
            </w:r>
            <w:r>
              <w:rPr>
                <w:rStyle w:val="80"/>
                <w:rFonts w:hint="eastAsia" w:ascii="宋体" w:hAnsi="宋体" w:eastAsia="宋体" w:cs="宋体"/>
                <w:sz w:val="21"/>
                <w:szCs w:val="21"/>
                <w:highlight w:val="none"/>
                <w:lang w:val="en-US" w:eastAsia="zh-CN" w:bidi="ar"/>
              </w:rPr>
              <w:t>1.2mm优质冷轧钢板，表面经酸洗磷化处理后喷涂环氧树脂粉末高温烘烤固化</w:t>
            </w:r>
            <w:r>
              <w:rPr>
                <w:rStyle w:val="80"/>
                <w:rFonts w:hint="eastAsia" w:ascii="宋体" w:hAnsi="宋体" w:cs="宋体"/>
                <w:sz w:val="21"/>
                <w:szCs w:val="21"/>
                <w:highlight w:val="none"/>
                <w:lang w:val="en-US" w:eastAsia="zh-CN" w:bidi="ar"/>
              </w:rPr>
              <w:t>；</w:t>
            </w:r>
          </w:p>
          <w:p w14:paraId="4B683912">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柜门：采用</w:t>
            </w:r>
            <w:r>
              <w:rPr>
                <w:rFonts w:hint="eastAsia" w:ascii="宋体" w:hAnsi="宋体" w:eastAsia="宋体" w:cs="宋体"/>
                <w:sz w:val="21"/>
                <w:szCs w:val="21"/>
                <w:highlight w:val="none"/>
                <w:lang w:val="en-US" w:eastAsia="zh-CN"/>
              </w:rPr>
              <w:t>≥</w:t>
            </w:r>
            <w:r>
              <w:rPr>
                <w:rStyle w:val="80"/>
                <w:rFonts w:hint="eastAsia" w:ascii="宋体" w:hAnsi="宋体" w:eastAsia="宋体" w:cs="宋体"/>
                <w:sz w:val="21"/>
                <w:szCs w:val="21"/>
                <w:highlight w:val="none"/>
                <w:lang w:val="en-US" w:eastAsia="zh-CN" w:bidi="ar"/>
              </w:rPr>
              <w:t>1.2mm双层优质冷轧钢板，门板厚度≥18mm，表面经酸洗磷化处理后喷涂环氧树脂粉末高温烘烤固化</w:t>
            </w:r>
            <w:r>
              <w:rPr>
                <w:rStyle w:val="80"/>
                <w:rFonts w:hint="eastAsia" w:ascii="宋体" w:hAnsi="宋体" w:cs="宋体"/>
                <w:sz w:val="21"/>
                <w:szCs w:val="21"/>
                <w:highlight w:val="none"/>
                <w:lang w:val="en-US" w:eastAsia="zh-CN" w:bidi="ar"/>
              </w:rPr>
              <w:t>；</w:t>
            </w:r>
          </w:p>
          <w:p w14:paraId="286E4F30">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3</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合页：采用不锈钢隐藏插销合页</w:t>
            </w:r>
            <w:r>
              <w:rPr>
                <w:rStyle w:val="80"/>
                <w:rFonts w:hint="eastAsia" w:ascii="宋体" w:hAnsi="宋体" w:cs="宋体"/>
                <w:sz w:val="21"/>
                <w:szCs w:val="21"/>
                <w:highlight w:val="none"/>
                <w:lang w:val="en-US" w:eastAsia="zh-CN" w:bidi="ar"/>
              </w:rPr>
              <w:t>；</w:t>
            </w:r>
          </w:p>
          <w:p w14:paraId="35E411CC">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4</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把手：采用</w:t>
            </w:r>
            <w:r>
              <w:rPr>
                <w:rFonts w:hint="eastAsia" w:ascii="宋体" w:hAnsi="宋体" w:eastAsia="宋体" w:cs="宋体"/>
                <w:sz w:val="21"/>
                <w:szCs w:val="21"/>
                <w:highlight w:val="none"/>
                <w:lang w:val="en-US" w:eastAsia="zh-CN"/>
              </w:rPr>
              <w:t>≥</w:t>
            </w:r>
            <w:r>
              <w:rPr>
                <w:rStyle w:val="80"/>
                <w:rFonts w:hint="eastAsia" w:ascii="宋体" w:hAnsi="宋体" w:eastAsia="宋体" w:cs="宋体"/>
                <w:sz w:val="21"/>
                <w:szCs w:val="21"/>
                <w:highlight w:val="none"/>
                <w:lang w:val="en-US" w:eastAsia="zh-CN" w:bidi="ar"/>
              </w:rPr>
              <w:t>1.0mm优质冷轧钢板一体成型拉手</w:t>
            </w:r>
            <w:r>
              <w:rPr>
                <w:rStyle w:val="80"/>
                <w:rFonts w:hint="eastAsia" w:ascii="宋体" w:hAnsi="宋体" w:cs="宋体"/>
                <w:sz w:val="21"/>
                <w:szCs w:val="21"/>
                <w:highlight w:val="none"/>
                <w:lang w:val="en-US" w:eastAsia="zh-CN" w:bidi="ar"/>
              </w:rPr>
              <w:t>；</w:t>
            </w:r>
          </w:p>
          <w:p w14:paraId="6C65C3A7">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5</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滑轨：采用16寸优质三节静音导轨</w:t>
            </w:r>
            <w:r>
              <w:rPr>
                <w:rStyle w:val="80"/>
                <w:rFonts w:hint="eastAsia" w:ascii="宋体" w:hAnsi="宋体" w:cs="宋体"/>
                <w:sz w:val="21"/>
                <w:szCs w:val="21"/>
                <w:highlight w:val="none"/>
                <w:lang w:val="en-US" w:eastAsia="zh-CN" w:bidi="ar"/>
              </w:rPr>
              <w:t>，</w:t>
            </w:r>
            <w:r>
              <w:rPr>
                <w:rFonts w:hint="eastAsia" w:ascii="宋体" w:hAnsi="宋体" w:eastAsia="宋体" w:cs="宋体"/>
                <w:sz w:val="21"/>
                <w:szCs w:val="21"/>
                <w:highlight w:val="none"/>
                <w:lang w:val="en-US" w:eastAsia="zh-CN"/>
              </w:rPr>
              <w:t>≥</w:t>
            </w:r>
            <w:r>
              <w:rPr>
                <w:rStyle w:val="80"/>
                <w:rFonts w:hint="eastAsia" w:ascii="宋体" w:hAnsi="宋体" w:eastAsia="宋体" w:cs="宋体"/>
                <w:sz w:val="21"/>
                <w:szCs w:val="21"/>
                <w:highlight w:val="none"/>
                <w:lang w:val="en-US" w:eastAsia="zh-CN" w:bidi="ar"/>
              </w:rPr>
              <w:t>10万次测试无质量问题</w:t>
            </w:r>
            <w:r>
              <w:rPr>
                <w:rStyle w:val="80"/>
                <w:rFonts w:hint="eastAsia" w:ascii="宋体" w:hAnsi="宋体" w:cs="宋体"/>
                <w:sz w:val="21"/>
                <w:szCs w:val="21"/>
                <w:highlight w:val="none"/>
                <w:lang w:val="en-US" w:eastAsia="zh-CN" w:bidi="ar"/>
              </w:rPr>
              <w:t>；</w:t>
            </w:r>
          </w:p>
          <w:p w14:paraId="0EF29B8A">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6</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调节脚：采用φ10mm注塑调整脚，可根据室内地坪适当调整柜体高度，最大调节为0-30mm</w:t>
            </w:r>
            <w:r>
              <w:rPr>
                <w:rStyle w:val="80"/>
                <w:rFonts w:hint="eastAsia" w:ascii="宋体" w:hAnsi="宋体" w:cs="宋体"/>
                <w:sz w:val="21"/>
                <w:szCs w:val="21"/>
                <w:highlight w:val="none"/>
                <w:lang w:val="en-US" w:eastAsia="zh-CN" w:bidi="ar"/>
              </w:rPr>
              <w:t>；</w:t>
            </w:r>
          </w:p>
          <w:p w14:paraId="088A2C28">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7</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台面采用边沿加厚≥26mm实验台</w:t>
            </w:r>
            <w:r>
              <w:rPr>
                <w:rStyle w:val="80"/>
                <w:rFonts w:hint="eastAsia" w:ascii="宋体" w:hAnsi="宋体" w:cs="宋体"/>
                <w:sz w:val="21"/>
                <w:szCs w:val="21"/>
                <w:highlight w:val="none"/>
                <w:lang w:val="en-US" w:eastAsia="zh-CN" w:bidi="ar"/>
              </w:rPr>
              <w:t>；</w:t>
            </w:r>
          </w:p>
          <w:p w14:paraId="20C2DC1B">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台面参数要求：</w:t>
            </w:r>
          </w:p>
          <w:p w14:paraId="4E204A3B">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（1）理化板台面耐化学试剂性能依据“GB/T 17657-2022”检测方法进行检验，乙酸乙酯、乙酸（≥98%）、丙酮、四氯化碳、铬酸（≥60%）、硫酸（≥98%）等至少</w:t>
            </w:r>
            <w:r>
              <w:rPr>
                <w:rStyle w:val="80"/>
                <w:rFonts w:hint="eastAsia" w:ascii="宋体" w:hAnsi="宋体" w:cs="宋体"/>
                <w:sz w:val="21"/>
                <w:szCs w:val="21"/>
                <w:highlight w:val="none"/>
                <w:lang w:val="en-US" w:eastAsia="zh-CN" w:bidi="ar"/>
              </w:rPr>
              <w:t>35</w:t>
            </w:r>
            <w:r>
              <w:rPr>
                <w:rStyle w:val="80"/>
                <w:rFonts w:hint="eastAsia" w:ascii="宋体" w:hAnsi="宋体" w:eastAsia="宋体" w:cs="宋体"/>
                <w:sz w:val="21"/>
                <w:szCs w:val="21"/>
                <w:highlight w:val="none"/>
                <w:lang w:val="en-US" w:eastAsia="zh-CN" w:bidi="ar"/>
              </w:rPr>
              <w:t>项化学试剂通过检测，检测结果等级均达到“5级（无明显变化）”</w:t>
            </w:r>
            <w:r>
              <w:rPr>
                <w:rStyle w:val="80"/>
                <w:rFonts w:hint="eastAsia" w:ascii="宋体" w:hAnsi="宋体" w:cs="宋体"/>
                <w:sz w:val="21"/>
                <w:szCs w:val="21"/>
                <w:highlight w:val="none"/>
                <w:lang w:val="en-US" w:eastAsia="zh-CN" w:bidi="ar"/>
              </w:rPr>
              <w:t>；</w:t>
            </w:r>
          </w:p>
          <w:p w14:paraId="5BFB6ED5">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（2）理化板台面甲醛释放量检测结果＜0.012mg/m³（根据测试结果，依据GB/T39600-2021判定为ENF 级）</w:t>
            </w:r>
            <w:r>
              <w:rPr>
                <w:rStyle w:val="80"/>
                <w:rFonts w:hint="eastAsia" w:ascii="宋体" w:hAnsi="宋体" w:cs="宋体"/>
                <w:sz w:val="21"/>
                <w:szCs w:val="21"/>
                <w:highlight w:val="none"/>
                <w:lang w:val="en-US" w:eastAsia="zh-CN" w:bidi="ar"/>
              </w:rPr>
              <w:t>；</w:t>
            </w:r>
          </w:p>
          <w:p w14:paraId="794517BE">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（3）理化板台面物理性能按照“GB/T 17657-2022”或“GB/T 7911-2024”检测方法进行检测：“密度”检测结果需≥1.41g/cm3、“耐划痕”≥4级、“耐大球冲击（冲击高度≥800mm）”凹痕直径≤8mm、“静曲强度”≥130MPa、“抗拉强度”≥65MPa、“尺寸稳定性（高温）-纵向”检验结果≤0.35%、“耐辐射热”≥230s</w:t>
            </w:r>
            <w:r>
              <w:rPr>
                <w:rStyle w:val="80"/>
                <w:rFonts w:hint="eastAsia" w:ascii="宋体" w:hAnsi="宋体" w:cs="宋体"/>
                <w:sz w:val="21"/>
                <w:szCs w:val="21"/>
                <w:highlight w:val="none"/>
                <w:lang w:val="en-US" w:eastAsia="zh-CN" w:bidi="ar"/>
              </w:rPr>
              <w:t>；</w:t>
            </w:r>
          </w:p>
          <w:p w14:paraId="63E010A6">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（4）台面板“色差”检测结果达到E≤0.19（检测方法为GB/T 17657-2022）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03100E19">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（5）台面板依据GB/T 17657-2022 检测方法：“板面握螺钉力”检测结果达到≥3320N</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2DE497A9">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（6）台面板“静曲强度—浸渍-冰冻-干燥处理法”检测结果≥82MPa</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（检测方法为GB/T 17657-2022）。须提供由具备CMA（检验检测机构资质认定）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2E5054D2">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8</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配件配置</w:t>
            </w:r>
          </w:p>
          <w:p w14:paraId="217077F8">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（1）滴水架1套：规格</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550*400mm</w:t>
            </w:r>
          </w:p>
          <w:p w14:paraId="09078C3C">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滴水架需提供以下报告：滴水架依据GB/T 24128-2018《塑料防霉剂的防霉效果评估》标准，检测防霉，防霉等级为0，</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6EE09388">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（2）洗眼器1套</w:t>
            </w:r>
          </w:p>
          <w:p w14:paraId="139B75D5">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台式洗眼器依据GB/T24128-2018方法检测防霉性能：霉菌生长情况为0级</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2CEF7512">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（3）水槽水龙头1套</w:t>
            </w:r>
          </w:p>
          <w:p w14:paraId="75E31BDE">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b/>
                <w:bCs/>
                <w:sz w:val="21"/>
                <w:szCs w:val="21"/>
                <w:highlight w:val="none"/>
                <w:lang w:val="en-US" w:eastAsia="zh-CN" w:bidi="ar"/>
              </w:rPr>
            </w:pPr>
            <w:r>
              <w:rPr>
                <w:rFonts w:hint="eastAsia"/>
                <w:highlight w:val="none"/>
              </w:rPr>
              <w:t>▲</w:t>
            </w:r>
            <w:r>
              <w:rPr>
                <w:rStyle w:val="80"/>
                <w:rFonts w:hint="eastAsia" w:ascii="宋体" w:hAnsi="宋体" w:eastAsia="宋体" w:cs="宋体"/>
                <w:b/>
                <w:bCs/>
                <w:sz w:val="21"/>
                <w:szCs w:val="21"/>
                <w:highlight w:val="none"/>
                <w:lang w:val="en-US" w:eastAsia="zh-CN" w:bidi="ar"/>
              </w:rPr>
              <w:t>3.1水龙头需提供中国节水产品CQC认证证书</w:t>
            </w:r>
            <w:r>
              <w:rPr>
                <w:rStyle w:val="80"/>
                <w:rFonts w:hint="eastAsia" w:ascii="宋体" w:hAnsi="宋体" w:cs="宋体"/>
                <w:b/>
                <w:bCs/>
                <w:sz w:val="21"/>
                <w:szCs w:val="21"/>
                <w:highlight w:val="none"/>
                <w:lang w:val="en-US" w:eastAsia="zh-CN" w:bidi="ar"/>
              </w:rPr>
              <w:t>；</w:t>
            </w:r>
          </w:p>
          <w:p w14:paraId="2AD9F7DD">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3.2实验室化验水龙头符合GB 18145-2014标准，水嘴开关寿命≥7万次。</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3B5A03D6">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3.</w:t>
            </w:r>
            <w:r>
              <w:rPr>
                <w:rStyle w:val="80"/>
                <w:rFonts w:hint="eastAsia" w:ascii="宋体" w:hAnsi="宋体" w:cs="宋体"/>
                <w:sz w:val="21"/>
                <w:szCs w:val="21"/>
                <w:highlight w:val="none"/>
                <w:lang w:val="en-US" w:eastAsia="zh-CN" w:bidi="ar"/>
              </w:rPr>
              <w:t>3</w:t>
            </w:r>
            <w:r>
              <w:rPr>
                <w:rStyle w:val="80"/>
                <w:rFonts w:hint="eastAsia" w:ascii="宋体" w:hAnsi="宋体" w:eastAsia="宋体" w:cs="宋体"/>
                <w:sz w:val="21"/>
                <w:szCs w:val="21"/>
                <w:highlight w:val="none"/>
                <w:lang w:val="en-US" w:eastAsia="zh-CN" w:bidi="ar"/>
              </w:rPr>
              <w:t>水龙头检测表面耐腐蚀性能，依据GB/T 10125-2021 进行≥</w:t>
            </w:r>
            <w:r>
              <w:rPr>
                <w:rStyle w:val="80"/>
                <w:rFonts w:hint="eastAsia" w:ascii="宋体" w:hAnsi="宋体" w:cs="宋体"/>
                <w:sz w:val="21"/>
                <w:szCs w:val="21"/>
                <w:highlight w:val="none"/>
                <w:lang w:val="en-US" w:eastAsia="zh-CN" w:bidi="ar"/>
              </w:rPr>
              <w:t>24</w:t>
            </w:r>
            <w:r>
              <w:rPr>
                <w:rStyle w:val="80"/>
                <w:rFonts w:hint="eastAsia" w:ascii="宋体" w:hAnsi="宋体" w:eastAsia="宋体" w:cs="宋体"/>
                <w:sz w:val="21"/>
                <w:szCs w:val="21"/>
                <w:highlight w:val="none"/>
                <w:lang w:val="en-US" w:eastAsia="zh-CN" w:bidi="ar"/>
              </w:rPr>
              <w:t>h中性盐雾试验，结果为10级</w:t>
            </w:r>
            <w:r>
              <w:rPr>
                <w:rStyle w:val="80"/>
                <w:rFonts w:hint="eastAsia" w:ascii="宋体" w:hAnsi="宋体" w:cs="宋体"/>
                <w:sz w:val="21"/>
                <w:szCs w:val="21"/>
                <w:highlight w:val="none"/>
                <w:lang w:val="en-US" w:eastAsia="zh-CN" w:bidi="ar"/>
              </w:rPr>
              <w:t>；</w:t>
            </w:r>
          </w:p>
          <w:p w14:paraId="11959AF6">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cs="宋体"/>
                <w:sz w:val="21"/>
                <w:szCs w:val="21"/>
                <w:highlight w:val="none"/>
                <w:lang w:val="en-US" w:eastAsia="zh-CN" w:bidi="ar"/>
              </w:rPr>
              <w:t>9.</w:t>
            </w:r>
            <w:r>
              <w:rPr>
                <w:rStyle w:val="80"/>
                <w:rFonts w:hint="eastAsia" w:ascii="宋体" w:hAnsi="宋体" w:eastAsia="宋体" w:cs="宋体"/>
                <w:sz w:val="21"/>
                <w:szCs w:val="21"/>
                <w:highlight w:val="none"/>
                <w:lang w:val="en-US" w:eastAsia="zh-CN" w:bidi="ar"/>
              </w:rPr>
              <w:t>配置</w:t>
            </w:r>
          </w:p>
          <w:p w14:paraId="3FC66A98">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cs="宋体"/>
                <w:sz w:val="21"/>
                <w:szCs w:val="21"/>
                <w:highlight w:val="none"/>
                <w:lang w:val="en-US" w:eastAsia="zh-CN" w:bidi="ar"/>
              </w:rPr>
              <w:t>9.1</w:t>
            </w:r>
            <w:r>
              <w:rPr>
                <w:rStyle w:val="80"/>
                <w:rFonts w:hint="eastAsia" w:ascii="宋体" w:hAnsi="宋体" w:eastAsia="宋体" w:cs="宋体"/>
                <w:sz w:val="21"/>
                <w:szCs w:val="21"/>
                <w:highlight w:val="none"/>
                <w:lang w:val="en-US" w:eastAsia="zh-CN" w:bidi="ar"/>
              </w:rPr>
              <w:t>插座6套</w:t>
            </w:r>
          </w:p>
          <w:p w14:paraId="3C63A24C">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Style w:val="80"/>
                <w:rFonts w:hint="eastAsia" w:ascii="宋体" w:hAnsi="宋体" w:cs="宋体"/>
                <w:sz w:val="21"/>
                <w:szCs w:val="21"/>
                <w:highlight w:val="none"/>
                <w:lang w:val="en-US" w:eastAsia="zh-CN" w:bidi="ar"/>
              </w:rPr>
              <w:t>9.2</w:t>
            </w:r>
            <w:r>
              <w:rPr>
                <w:rStyle w:val="80"/>
                <w:rFonts w:hint="eastAsia" w:ascii="宋体" w:hAnsi="宋体" w:eastAsia="宋体" w:cs="宋体"/>
                <w:sz w:val="21"/>
                <w:szCs w:val="21"/>
                <w:highlight w:val="none"/>
                <w:lang w:val="en-US" w:eastAsia="zh-CN" w:bidi="ar"/>
              </w:rPr>
              <w:t>试剂架</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8米</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双层结构，</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10mm钢化玻璃</w:t>
            </w:r>
            <w:r>
              <w:rPr>
                <w:rStyle w:val="80"/>
                <w:rFonts w:hint="eastAsia" w:ascii="宋体" w:hAnsi="宋体" w:cs="宋体"/>
                <w:sz w:val="21"/>
                <w:szCs w:val="21"/>
                <w:highlight w:val="none"/>
                <w:lang w:val="en-US" w:eastAsia="zh-CN" w:bidi="ar"/>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7A4B7DF3">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3张</w:t>
            </w:r>
          </w:p>
        </w:tc>
      </w:tr>
      <w:tr w14:paraId="6A54129A">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9494647">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F6B3EA2">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16EACC6">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全钢边台</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C6E7A66">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一、</w:t>
            </w:r>
            <w:r>
              <w:rPr>
                <w:rStyle w:val="80"/>
                <w:rFonts w:hint="eastAsia" w:ascii="宋体" w:hAnsi="宋体" w:cs="宋体"/>
                <w:sz w:val="21"/>
                <w:szCs w:val="21"/>
                <w:highlight w:val="none"/>
                <w:lang w:val="en-US" w:eastAsia="zh-CN" w:bidi="ar"/>
              </w:rPr>
              <w:t>尺寸：</w:t>
            </w:r>
            <w:r>
              <w:rPr>
                <w:rFonts w:hint="eastAsia"/>
                <w:highlight w:val="none"/>
                <w:lang w:val="en-US" w:eastAsia="zh-CN"/>
              </w:rPr>
              <w:t>≥</w:t>
            </w:r>
            <w:r>
              <w:rPr>
                <w:rFonts w:hint="eastAsia" w:ascii="宋体" w:hAnsi="宋体" w:eastAsia="宋体" w:cs="宋体"/>
                <w:i w:val="0"/>
                <w:iCs w:val="0"/>
                <w:color w:val="000000"/>
                <w:kern w:val="0"/>
                <w:sz w:val="21"/>
                <w:szCs w:val="21"/>
                <w:highlight w:val="none"/>
                <w:u w:val="none"/>
                <w:lang w:val="en-US" w:eastAsia="zh-CN" w:bidi="ar"/>
              </w:rPr>
              <w:t>长6000mm*宽750mm*高500mm</w:t>
            </w:r>
            <w:r>
              <w:rPr>
                <w:rFonts w:hint="eastAsia" w:ascii="宋体" w:hAnsi="宋体" w:cs="宋体"/>
                <w:i w:val="0"/>
                <w:iCs w:val="0"/>
                <w:color w:val="000000"/>
                <w:kern w:val="0"/>
                <w:sz w:val="21"/>
                <w:szCs w:val="21"/>
                <w:highlight w:val="none"/>
                <w:u w:val="none"/>
                <w:lang w:val="en-US" w:eastAsia="zh-CN" w:bidi="ar"/>
              </w:rPr>
              <w:t>；</w:t>
            </w:r>
          </w:p>
          <w:p w14:paraId="7CDD50B6">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二、主要参数</w:t>
            </w:r>
          </w:p>
          <w:p w14:paraId="55E4D495">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配置：全钢结构，</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12.7mm理化板台面，配岛式插座4套</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柜体：采用</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1.2mm优质冷轧钢板，表面经酸洗磷化处理后喷涂环氧树脂粉末高温烘烤固化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柜门：采用</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1.2mm双层优质冷轧钢板，门板厚度≥18mm，表面经酸洗磷化处理后喷涂环氧树脂粉末高温烘烤固化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合页：采用不锈钢隐藏插销合页</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4</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把手：采用</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1.0mm优质冷轧钢板一体成型拉手</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5</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滑轨：采用16寸优质三节静音导轨</w:t>
            </w:r>
            <w:r>
              <w:rPr>
                <w:rStyle w:val="80"/>
                <w:rFonts w:hint="eastAsia" w:ascii="宋体" w:hAnsi="宋体" w:cs="宋体"/>
                <w:sz w:val="21"/>
                <w:szCs w:val="21"/>
                <w:highlight w:val="none"/>
                <w:lang w:val="en-US" w:eastAsia="zh-CN" w:bidi="ar"/>
              </w:rPr>
              <w:t>，</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10万次测试无质量问题</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6</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调节脚：采用</w:t>
            </w:r>
            <w:r>
              <w:rPr>
                <w:rStyle w:val="77"/>
                <w:rFonts w:hint="eastAsia" w:ascii="宋体" w:hAnsi="宋体" w:eastAsia="宋体" w:cs="宋体"/>
                <w:sz w:val="21"/>
                <w:szCs w:val="21"/>
                <w:highlight w:val="none"/>
                <w:lang w:val="en-US" w:eastAsia="zh-CN" w:bidi="ar"/>
              </w:rPr>
              <w:t>φ</w:t>
            </w:r>
            <w:r>
              <w:rPr>
                <w:rStyle w:val="80"/>
                <w:rFonts w:hint="eastAsia" w:ascii="宋体" w:hAnsi="宋体" w:eastAsia="宋体" w:cs="宋体"/>
                <w:sz w:val="21"/>
                <w:szCs w:val="21"/>
                <w:highlight w:val="none"/>
                <w:lang w:val="en-US" w:eastAsia="zh-CN" w:bidi="ar"/>
              </w:rPr>
              <w:t>10mm注塑调整脚，可根据室内地坪适当调整柜体高度，最大调节为0-30mm</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7</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台面采用边沿加厚≥26mm实验台</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台面参数要求：</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（1）理化板台面耐化学试剂性能依据“GB/T 17657-2022”检测方法进行检验，乙酸乙酯、乙酸（≥98%）、丙酮、四氯化碳、铬酸（≥60%）、硫酸（≥98%）等至少</w:t>
            </w:r>
            <w:r>
              <w:rPr>
                <w:rStyle w:val="80"/>
                <w:rFonts w:hint="eastAsia" w:ascii="宋体" w:hAnsi="宋体" w:cs="宋体"/>
                <w:sz w:val="21"/>
                <w:szCs w:val="21"/>
                <w:highlight w:val="none"/>
                <w:lang w:val="en-US" w:eastAsia="zh-CN" w:bidi="ar"/>
              </w:rPr>
              <w:t>35</w:t>
            </w:r>
            <w:r>
              <w:rPr>
                <w:rStyle w:val="80"/>
                <w:rFonts w:hint="eastAsia" w:ascii="宋体" w:hAnsi="宋体" w:eastAsia="宋体" w:cs="宋体"/>
                <w:sz w:val="21"/>
                <w:szCs w:val="21"/>
                <w:highlight w:val="none"/>
                <w:lang w:val="en-US" w:eastAsia="zh-CN" w:bidi="ar"/>
              </w:rPr>
              <w:t>项化学试剂通过检测，检测结果等级均达到“5级（无明显变化）”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（2）理化板台面甲醛释放量检测结果＜0.012mg/m³（根据测试结果，依据GB/T39600-2021判定为ENF 级）</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（3）理化板台面物理性能按照“GB/T 17657-2022”或“GB/T 7911-2024”检测方法进行检测：“密度”检测结果需≥1.41g/cm3  、“耐划痕”≥4级、“耐大球冲击（冲击高度≥800mm）”凹痕直径≤8mm、“静曲强度”≥130MPa、“抗拉强度”≥65MPa、“尺寸稳定性（高温）-纵向”检验结果≤0.35%、“耐辐射热”≥230s</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4）台面板“色差”检测结果达到E≤0.19（检测方法为GB/T 17657-2022）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1824463B">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（5）台面板依据GB/T 17657-2022 检测方法：“板面握螺钉力”检测结果达到≥3320N</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04D407B5">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highlight w:val="none"/>
              </w:rPr>
              <w:t>▲</w:t>
            </w:r>
            <w:r>
              <w:rPr>
                <w:rStyle w:val="80"/>
                <w:rFonts w:hint="eastAsia" w:ascii="宋体" w:hAnsi="宋体" w:eastAsia="宋体" w:cs="宋体"/>
                <w:sz w:val="21"/>
                <w:szCs w:val="21"/>
                <w:highlight w:val="none"/>
                <w:lang w:val="en-US" w:eastAsia="zh-CN" w:bidi="ar"/>
              </w:rPr>
              <w:t>（6）台面板“静曲强度—浸渍-冰冻-干燥处理法”检测结果≥82MPa（检测方法为GB/T 17657-2022）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8</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配件配置</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岛式插座4套</w:t>
            </w:r>
          </w:p>
        </w:tc>
        <w:tc>
          <w:tcPr>
            <w:tcW w:w="349" w:type="pct"/>
            <w:tcBorders>
              <w:top w:val="single" w:color="auto" w:sz="4" w:space="0"/>
              <w:left w:val="nil"/>
              <w:bottom w:val="single" w:color="auto" w:sz="4" w:space="0"/>
              <w:right w:val="single" w:color="auto" w:sz="4" w:space="0"/>
            </w:tcBorders>
            <w:shd w:val="clear" w:color="auto" w:fill="auto"/>
            <w:vAlign w:val="center"/>
          </w:tcPr>
          <w:p w14:paraId="1E659A4F">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1张</w:t>
            </w:r>
          </w:p>
        </w:tc>
      </w:tr>
      <w:tr w14:paraId="4EF3D30F">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3FA61E9">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CC7DE89">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65E181F">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全钢边台</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68AA1B6">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一、</w:t>
            </w:r>
            <w:r>
              <w:rPr>
                <w:rStyle w:val="80"/>
                <w:rFonts w:hint="eastAsia" w:ascii="宋体" w:hAnsi="宋体" w:cs="宋体"/>
                <w:sz w:val="21"/>
                <w:szCs w:val="21"/>
                <w:highlight w:val="none"/>
                <w:lang w:val="en-US" w:eastAsia="zh-CN" w:bidi="ar"/>
              </w:rPr>
              <w:t>尺寸</w:t>
            </w:r>
            <w:r>
              <w:rPr>
                <w:rFonts w:hint="eastAsia" w:ascii="宋体" w:hAnsi="宋体" w:eastAsia="宋体" w:cs="宋体"/>
                <w:i w:val="0"/>
                <w:iCs w:val="0"/>
                <w:color w:val="000000"/>
                <w:kern w:val="0"/>
                <w:sz w:val="21"/>
                <w:szCs w:val="21"/>
                <w:highlight w:val="none"/>
                <w:u w:val="none"/>
                <w:lang w:val="en-US" w:eastAsia="zh-CN" w:bidi="ar"/>
              </w:rPr>
              <w:t>≥长7600mm*宽750mm*高500mm</w:t>
            </w:r>
            <w:r>
              <w:rPr>
                <w:rFonts w:hint="eastAsia" w:ascii="宋体" w:hAnsi="宋体" w:cs="宋体"/>
                <w:i w:val="0"/>
                <w:iCs w:val="0"/>
                <w:color w:val="000000"/>
                <w:kern w:val="0"/>
                <w:sz w:val="21"/>
                <w:szCs w:val="21"/>
                <w:highlight w:val="none"/>
                <w:u w:val="none"/>
                <w:lang w:val="en-US" w:eastAsia="zh-CN" w:bidi="ar"/>
              </w:rPr>
              <w:t>；</w:t>
            </w:r>
          </w:p>
          <w:p w14:paraId="79A7EB41">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二、主要参数</w:t>
            </w:r>
          </w:p>
          <w:p w14:paraId="33A6AF29">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配置：全钢结构，</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12.7mm理化板台面，配洗眼器1套、滴水架1套、三口水龙头及水槽1套，岛式插座5套</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柜体：采用</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1.2mm优质冷轧钢板，表面经酸洗磷化处理后喷涂环氧树脂粉末高温烘烤固化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柜门：采用</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1.2mm双层优质冷轧钢板，门板厚度≥18mm，表面经酸洗磷化处理后喷涂环氧树脂粉末高温烘烤固化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合页：采用不锈钢隐藏插销合页</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4</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把手：采用</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1.0mm优质冷轧钢板一体成型拉手</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5</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滑轨：采用16寸优质三节静音导轨</w:t>
            </w:r>
            <w:r>
              <w:rPr>
                <w:rStyle w:val="80"/>
                <w:rFonts w:hint="eastAsia" w:ascii="宋体" w:hAnsi="宋体" w:cs="宋体"/>
                <w:sz w:val="21"/>
                <w:szCs w:val="21"/>
                <w:highlight w:val="none"/>
                <w:lang w:val="en-US" w:eastAsia="zh-CN" w:bidi="ar"/>
              </w:rPr>
              <w:t>，</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10万次测试无质量问题</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6</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调节脚：采用</w:t>
            </w:r>
            <w:r>
              <w:rPr>
                <w:rStyle w:val="77"/>
                <w:rFonts w:hint="eastAsia" w:ascii="宋体" w:hAnsi="宋体" w:eastAsia="宋体" w:cs="宋体"/>
                <w:sz w:val="21"/>
                <w:szCs w:val="21"/>
                <w:highlight w:val="none"/>
                <w:lang w:val="en-US" w:eastAsia="zh-CN" w:bidi="ar"/>
              </w:rPr>
              <w:t>φ</w:t>
            </w:r>
            <w:r>
              <w:rPr>
                <w:rStyle w:val="80"/>
                <w:rFonts w:hint="eastAsia" w:ascii="宋体" w:hAnsi="宋体" w:eastAsia="宋体" w:cs="宋体"/>
                <w:sz w:val="21"/>
                <w:szCs w:val="21"/>
                <w:highlight w:val="none"/>
                <w:lang w:val="en-US" w:eastAsia="zh-CN" w:bidi="ar"/>
              </w:rPr>
              <w:t>10mm注塑调整脚，可根据室内地坪适当调整柜体高度，最大调节为0-30mm</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7</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台面采用边沿加厚≥26mm实验台</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台面参数要求：</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（1）理化板台面耐化学试剂性能依据“GB/T 17657-2022”检测方法进行检验，乙酸乙酯、乙酸（≥98%）、丙酮、四氯化碳、铬酸（≥60%）、硫酸（≥98%）等至少</w:t>
            </w:r>
            <w:r>
              <w:rPr>
                <w:rStyle w:val="80"/>
                <w:rFonts w:hint="eastAsia" w:ascii="宋体" w:hAnsi="宋体" w:cs="宋体"/>
                <w:sz w:val="21"/>
                <w:szCs w:val="21"/>
                <w:highlight w:val="none"/>
                <w:lang w:val="en-US" w:eastAsia="zh-CN" w:bidi="ar"/>
              </w:rPr>
              <w:t>35</w:t>
            </w:r>
            <w:r>
              <w:rPr>
                <w:rStyle w:val="80"/>
                <w:rFonts w:hint="eastAsia" w:ascii="宋体" w:hAnsi="宋体" w:eastAsia="宋体" w:cs="宋体"/>
                <w:sz w:val="21"/>
                <w:szCs w:val="21"/>
                <w:highlight w:val="none"/>
                <w:lang w:val="en-US" w:eastAsia="zh-CN" w:bidi="ar"/>
              </w:rPr>
              <w:t>项化学试剂通过检测，检测结果等级均达到“5级（无明显变化）”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（2）理化板台面甲醛释放量检测结果＜0.012mg/m³（根据测试结果，依据GB/T39600-2021判定为ENF 级）</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（3）理化板台面物理性能按照“GB/T 17657-2022”或“GB/T 7911-2024”检测方法进行检测：“密度”检测结果需≥1.41g/cm3  、“耐划痕”≥4级、“耐大球冲击（冲击高度≥800mm）”凹痕直径≤8mm、“静曲强度”≥130MPa、“抗拉强度”≥65MPa、“尺寸稳定性（高温）-纵向”检验结果≤0.35%、“耐辐射热”≥230s</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4）台面板“色差”检测结果达到E≤0.19（检测方法为GB/T 17657-2022）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425F2227">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（5）台面板依据GB/T 17657-2022 检测方法：“板面握螺钉力”检测结果达到≥3320N</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32609DA3">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（6）台面板“静曲强度—浸渍-冰冻-干燥处理法”检测结果≥82MPa（检测方法为GB/T 17657-2022）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7CB094E1">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Style w:val="80"/>
                <w:rFonts w:hint="eastAsia" w:ascii="宋体" w:hAnsi="宋体" w:eastAsia="宋体" w:cs="宋体"/>
                <w:sz w:val="21"/>
                <w:szCs w:val="21"/>
                <w:highlight w:val="none"/>
                <w:lang w:val="en-US" w:eastAsia="zh-CN" w:bidi="ar"/>
              </w:rPr>
              <w:t>8</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配件配置</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（1）滴水架1套：规格</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550*400mm</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滴水架需提供以下报告：滴水架依据GB/T 24128-2018《塑料防霉剂的防霉效果评估》标准，检测防霉，防霉等级为0，</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（2）洗眼器1套</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台式洗眼器依据GB/T24128-2018方法检测防霉性能：霉菌生长情况为0级</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（3）水槽水龙头1套</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3.1</w:t>
            </w:r>
            <w:r>
              <w:rPr>
                <w:rStyle w:val="80"/>
                <w:rFonts w:hint="eastAsia" w:ascii="宋体" w:hAnsi="宋体" w:eastAsia="宋体" w:cs="宋体"/>
                <w:b/>
                <w:bCs/>
                <w:sz w:val="21"/>
                <w:szCs w:val="21"/>
                <w:highlight w:val="none"/>
                <w:lang w:val="en-US" w:eastAsia="zh-CN" w:bidi="ar"/>
              </w:rPr>
              <w:t>水龙头需提供中国节水产品CQC认证证书</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3.2实验室化验水龙头符合GB 18145-2014标准，水嘴开关寿命≥7万次。</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3.3水龙头检测表面耐腐蚀性能，依据GB/T 10125-2021 进行≥</w:t>
            </w:r>
            <w:r>
              <w:rPr>
                <w:rStyle w:val="80"/>
                <w:rFonts w:hint="eastAsia" w:ascii="宋体" w:hAnsi="宋体" w:cs="宋体"/>
                <w:sz w:val="21"/>
                <w:szCs w:val="21"/>
                <w:highlight w:val="none"/>
                <w:lang w:val="en-US" w:eastAsia="zh-CN" w:bidi="ar"/>
              </w:rPr>
              <w:t>24</w:t>
            </w:r>
            <w:r>
              <w:rPr>
                <w:rStyle w:val="80"/>
                <w:rFonts w:hint="eastAsia" w:ascii="宋体" w:hAnsi="宋体" w:eastAsia="宋体" w:cs="宋体"/>
                <w:sz w:val="21"/>
                <w:szCs w:val="21"/>
                <w:highlight w:val="none"/>
                <w:lang w:val="en-US" w:eastAsia="zh-CN" w:bidi="ar"/>
              </w:rPr>
              <w:t>h中性盐雾试验，结果为10级</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cs="宋体"/>
                <w:sz w:val="21"/>
                <w:szCs w:val="21"/>
                <w:highlight w:val="none"/>
                <w:lang w:val="en-US" w:eastAsia="zh-CN" w:bidi="ar"/>
              </w:rPr>
              <w:t>9.</w:t>
            </w:r>
            <w:r>
              <w:rPr>
                <w:rStyle w:val="80"/>
                <w:rFonts w:hint="eastAsia" w:ascii="宋体" w:hAnsi="宋体" w:eastAsia="宋体" w:cs="宋体"/>
                <w:sz w:val="21"/>
                <w:szCs w:val="21"/>
                <w:highlight w:val="none"/>
                <w:lang w:val="en-US" w:eastAsia="zh-CN" w:bidi="ar"/>
              </w:rPr>
              <w:t>岛式插座5套</w:t>
            </w:r>
            <w:r>
              <w:rPr>
                <w:rStyle w:val="80"/>
                <w:rFonts w:hint="eastAsia" w:ascii="宋体" w:hAnsi="宋体" w:cs="宋体"/>
                <w:sz w:val="21"/>
                <w:szCs w:val="21"/>
                <w:highlight w:val="none"/>
                <w:lang w:val="en-US" w:eastAsia="zh-CN" w:bidi="ar"/>
              </w:rPr>
              <w:t>及所有安装耗材。</w:t>
            </w:r>
          </w:p>
        </w:tc>
        <w:tc>
          <w:tcPr>
            <w:tcW w:w="349" w:type="pct"/>
            <w:tcBorders>
              <w:top w:val="single" w:color="auto" w:sz="4" w:space="0"/>
              <w:left w:val="nil"/>
              <w:bottom w:val="single" w:color="auto" w:sz="4" w:space="0"/>
              <w:right w:val="single" w:color="auto" w:sz="4" w:space="0"/>
            </w:tcBorders>
            <w:shd w:val="clear" w:color="auto" w:fill="auto"/>
            <w:vAlign w:val="center"/>
          </w:tcPr>
          <w:p w14:paraId="3E79919A">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1张</w:t>
            </w:r>
          </w:p>
        </w:tc>
      </w:tr>
      <w:tr w14:paraId="62CC7756">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DEA6A49">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7A93D41">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AC30177">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通风系统</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0D188F0">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Style w:val="80"/>
                <w:rFonts w:hint="eastAsia" w:ascii="宋体" w:hAnsi="宋体" w:eastAsia="宋体" w:cs="宋体"/>
                <w:sz w:val="21"/>
                <w:szCs w:val="21"/>
                <w:highlight w:val="none"/>
                <w:lang w:val="en-US" w:eastAsia="zh-CN" w:bidi="ar"/>
              </w:rPr>
              <w:t>配置：6台通风柜共用一套通风系统，包含1台风机功率7.5KW；转速：1450r/min；流量：≥10602-21204m3/h；全压：≥1550-984pa，1套7.5KW变频系统，喷淋塔1套，PP风管65㎡，电动风阀6个，消声器1套，风机基础1套，配风机电源线及控制线</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风机参数满足：</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b/>
                <w:bCs/>
                <w:sz w:val="21"/>
                <w:szCs w:val="21"/>
                <w:highlight w:val="none"/>
                <w:lang w:val="en-US" w:eastAsia="zh-CN" w:bidi="ar"/>
              </w:rPr>
              <w:t>1.1风机采用国家3C强制认证防爆</w:t>
            </w:r>
            <w:r>
              <w:rPr>
                <w:rStyle w:val="80"/>
                <w:rFonts w:hint="eastAsia" w:ascii="宋体" w:hAnsi="宋体" w:cs="宋体"/>
                <w:b/>
                <w:bCs/>
                <w:sz w:val="21"/>
                <w:szCs w:val="21"/>
                <w:highlight w:val="none"/>
                <w:lang w:val="en-US" w:eastAsia="zh-CN" w:bidi="ar"/>
              </w:rPr>
              <w:t>电</w:t>
            </w:r>
            <w:r>
              <w:rPr>
                <w:rStyle w:val="80"/>
                <w:rFonts w:hint="eastAsia" w:ascii="宋体" w:hAnsi="宋体" w:eastAsia="宋体" w:cs="宋体"/>
                <w:b/>
                <w:bCs/>
                <w:sz w:val="21"/>
                <w:szCs w:val="21"/>
                <w:highlight w:val="none"/>
                <w:lang w:val="en-US" w:eastAsia="zh-CN" w:bidi="ar"/>
              </w:rPr>
              <w:t>机，</w:t>
            </w:r>
            <w:r>
              <w:rPr>
                <w:rStyle w:val="80"/>
                <w:rFonts w:hint="eastAsia" w:ascii="宋体" w:hAnsi="宋体" w:cs="宋体"/>
                <w:b/>
                <w:bCs/>
                <w:sz w:val="21"/>
                <w:szCs w:val="21"/>
                <w:highlight w:val="none"/>
                <w:lang w:val="en-US" w:eastAsia="zh-CN" w:bidi="ar"/>
              </w:rPr>
              <w:t>响应文件中须</w:t>
            </w:r>
            <w:r>
              <w:rPr>
                <w:rStyle w:val="80"/>
                <w:rFonts w:hint="eastAsia" w:ascii="宋体" w:hAnsi="宋体" w:eastAsia="宋体" w:cs="宋体"/>
                <w:b/>
                <w:bCs/>
                <w:sz w:val="21"/>
                <w:szCs w:val="21"/>
                <w:highlight w:val="none"/>
                <w:lang w:val="en-US" w:eastAsia="zh-CN" w:bidi="ar"/>
              </w:rPr>
              <w:t>提供</w:t>
            </w:r>
            <w:r>
              <w:rPr>
                <w:rStyle w:val="80"/>
                <w:rFonts w:hint="eastAsia" w:ascii="宋体" w:hAnsi="宋体" w:cs="宋体"/>
                <w:b/>
                <w:bCs/>
                <w:sz w:val="21"/>
                <w:szCs w:val="21"/>
                <w:highlight w:val="none"/>
                <w:lang w:val="en-US" w:eastAsia="zh-CN" w:bidi="ar"/>
              </w:rPr>
              <w:t>电</w:t>
            </w:r>
            <w:r>
              <w:rPr>
                <w:rStyle w:val="80"/>
                <w:rFonts w:hint="eastAsia" w:ascii="宋体" w:hAnsi="宋体" w:eastAsia="宋体" w:cs="宋体"/>
                <w:b/>
                <w:bCs/>
                <w:sz w:val="21"/>
                <w:szCs w:val="21"/>
                <w:highlight w:val="none"/>
                <w:lang w:val="en-US" w:eastAsia="zh-CN" w:bidi="ar"/>
              </w:rPr>
              <w:t>机产品3C认证证书，并可以通过官网或其它官方渠道查询认证；</w:t>
            </w:r>
            <w:r>
              <w:rPr>
                <w:rStyle w:val="80"/>
                <w:rFonts w:hint="eastAsia" w:ascii="宋体" w:hAnsi="宋体" w:eastAsia="宋体" w:cs="宋体"/>
                <w:b/>
                <w:bCs/>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1.2风机性能要求：</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 xml:space="preserve">1.2.1.按GB/T 1236-2017 《工业通风机 用标准化风道性能试验》在规定测试下所对应的流量全压偏差为±5%； </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1.2.2.按JB/T 8689-2014 规定应进行 30min 机械运转试验 转动件应无擦碰等异常现象振动速度有效值 mm/s ≤4.6；</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1.2.3.按JB/T 9101-2014 《通风机转子平衡》规定进行动平衡品质等级 G ≤2.5级；</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1.2.4.噪声测试按 GB/T 288</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2008 规定方法执行，比A声级应满足 JB/T 8690</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 xml:space="preserve">2014 对应叶轮型式噪声限值要求；若为后向板型叶轮，比A 声级≤27dB； </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 xml:space="preserve">1.2.5.按JB/T 6445-2017 《通风机叶轮超速试验》规定进行叶轮超速试验 1.叶轮在规定最高工作转速的 150%转 速下运转，持续时间不少于 2min，试 验结果应符合以下规定： a) 焊缝、轮盘、轮盖、轮毂等不得有裂纹，铆钉不得有松动或有裂 纹； b) 叶轮直径的尺寸变形量≤ 0.5/1000; c) 叶轮外径处叶片安装角不得超过 图样的规定； 2.符合以上要求后，叶轮在规定最高工作转速的150%转速下运行，持续时间不少于≥2min，试验结果应符合焊缝、轮盘、轮盖、轮毂等不得有裂纹，铆钉不得有松动或有裂纹； </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1.2.6.外观质量风机表面光滑，不得有气泡、裂缝及厚 度不均缺陷，涂层均匀、无剥落、划伤 等缺陷，轴承部位不得漏油，焊接处应平整、无气孔、裂纹等缺陷，风机内外表面必须清洁，产品铭牌安装平整、牢固；</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1.2.7.按JB/T 10563-2006 《一般用途离心通风机技术条件》 规定装配要求 1）. 叶轮叶片应均匀分布，任意两相邻 叶片间的最大弦长偏差应不大于 3mm 2). 叶轮和机壳的径向间隙应均匀</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1.3外壳及叶轮材质：FRP耐酸碱VinylEster（乙烯基脂树脂+无碱玻璃纤维）制作，风机材质技术综合要求：材质要求为FRP玻材质（玻璃钢），风机叶轮，外壳采用乙烯基树脂制作</w:t>
            </w:r>
            <w:r>
              <w:rPr>
                <w:rStyle w:val="80"/>
                <w:rFonts w:hint="eastAsia" w:ascii="宋体" w:hAnsi="宋体" w:cs="宋体"/>
                <w:sz w:val="21"/>
                <w:szCs w:val="21"/>
                <w:highlight w:val="none"/>
                <w:lang w:val="en-US" w:eastAsia="zh-CN" w:bidi="ar"/>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30E1FB1B">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2台</w:t>
            </w:r>
          </w:p>
        </w:tc>
      </w:tr>
      <w:tr w14:paraId="49EF8B07">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8F60D59">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82C08E0">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DCEAF2C">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边台</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663ABDB">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一、</w:t>
            </w:r>
            <w:r>
              <w:rPr>
                <w:rStyle w:val="80"/>
                <w:rFonts w:hint="eastAsia" w:ascii="宋体" w:hAnsi="宋体" w:cs="宋体"/>
                <w:sz w:val="21"/>
                <w:szCs w:val="21"/>
                <w:highlight w:val="none"/>
                <w:lang w:val="en-US" w:eastAsia="zh-CN" w:bidi="ar"/>
              </w:rPr>
              <w:t>尺寸：</w:t>
            </w:r>
            <w:r>
              <w:rPr>
                <w:rFonts w:hint="eastAsia" w:ascii="宋体" w:hAnsi="宋体" w:eastAsia="宋体" w:cs="宋体"/>
                <w:i w:val="0"/>
                <w:iCs w:val="0"/>
                <w:color w:val="000000"/>
                <w:kern w:val="0"/>
                <w:sz w:val="21"/>
                <w:szCs w:val="21"/>
                <w:highlight w:val="none"/>
                <w:u w:val="none"/>
                <w:lang w:val="en-US" w:eastAsia="zh-CN" w:bidi="ar"/>
              </w:rPr>
              <w:t>≥长8000mm*宽750mm*高850mm</w:t>
            </w:r>
          </w:p>
          <w:p w14:paraId="4FEEEE9F">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二、主要参数</w:t>
            </w:r>
          </w:p>
          <w:p w14:paraId="22FECDD2">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配置：全钢结构，</w:t>
            </w:r>
            <w:r>
              <w:rPr>
                <w:rFonts w:hint="eastAsia" w:ascii="宋体" w:hAnsi="宋体" w:eastAsia="宋体" w:cs="宋体"/>
                <w:i w:val="0"/>
                <w:iCs w:val="0"/>
                <w:color w:val="000000"/>
                <w:kern w:val="0"/>
                <w:sz w:val="21"/>
                <w:szCs w:val="21"/>
                <w:highlight w:val="none"/>
                <w:u w:val="none"/>
                <w:lang w:val="en-US" w:eastAsia="zh-CN" w:bidi="ar"/>
              </w:rPr>
              <w:t>≥</w:t>
            </w:r>
            <w:r>
              <w:rPr>
                <w:rStyle w:val="80"/>
                <w:rFonts w:hint="eastAsia" w:ascii="宋体" w:hAnsi="宋体" w:eastAsia="宋体" w:cs="宋体"/>
                <w:sz w:val="21"/>
                <w:szCs w:val="21"/>
                <w:highlight w:val="none"/>
                <w:lang w:val="en-US" w:eastAsia="zh-CN" w:bidi="ar"/>
              </w:rPr>
              <w:t>12.7mm理化板台面，配岛式插座7套</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柜体：采用</w:t>
            </w:r>
            <w:r>
              <w:rPr>
                <w:rFonts w:hint="eastAsia" w:ascii="宋体" w:hAnsi="宋体" w:eastAsia="宋体" w:cs="宋体"/>
                <w:i w:val="0"/>
                <w:iCs w:val="0"/>
                <w:color w:val="000000"/>
                <w:kern w:val="0"/>
                <w:sz w:val="21"/>
                <w:szCs w:val="21"/>
                <w:highlight w:val="none"/>
                <w:u w:val="none"/>
                <w:lang w:val="en-US" w:eastAsia="zh-CN" w:bidi="ar"/>
              </w:rPr>
              <w:t>≥</w:t>
            </w:r>
            <w:r>
              <w:rPr>
                <w:rStyle w:val="80"/>
                <w:rFonts w:hint="eastAsia" w:ascii="宋体" w:hAnsi="宋体" w:eastAsia="宋体" w:cs="宋体"/>
                <w:sz w:val="21"/>
                <w:szCs w:val="21"/>
                <w:highlight w:val="none"/>
                <w:lang w:val="en-US" w:eastAsia="zh-CN" w:bidi="ar"/>
              </w:rPr>
              <w:t>1.2mm优质冷轧钢板，表面经酸洗磷化处理后喷涂环氧树脂粉末高温烘烤固化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柜门：采用</w:t>
            </w:r>
            <w:r>
              <w:rPr>
                <w:rFonts w:hint="eastAsia" w:ascii="宋体" w:hAnsi="宋体" w:eastAsia="宋体" w:cs="宋体"/>
                <w:i w:val="0"/>
                <w:iCs w:val="0"/>
                <w:color w:val="000000"/>
                <w:kern w:val="0"/>
                <w:sz w:val="21"/>
                <w:szCs w:val="21"/>
                <w:highlight w:val="none"/>
                <w:u w:val="none"/>
                <w:lang w:val="en-US" w:eastAsia="zh-CN" w:bidi="ar"/>
              </w:rPr>
              <w:t>≥</w:t>
            </w:r>
            <w:r>
              <w:rPr>
                <w:rStyle w:val="80"/>
                <w:rFonts w:hint="eastAsia" w:ascii="宋体" w:hAnsi="宋体" w:eastAsia="宋体" w:cs="宋体"/>
                <w:sz w:val="21"/>
                <w:szCs w:val="21"/>
                <w:highlight w:val="none"/>
                <w:lang w:val="en-US" w:eastAsia="zh-CN" w:bidi="ar"/>
              </w:rPr>
              <w:t>1.2mm双层优质冷轧钢板，门板厚度≥18mm，表面经酸洗磷化处理后喷涂环氧树脂粉末高温烘烤固化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合页：采用不锈钢隐藏插销合页</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4</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把手：采用</w:t>
            </w:r>
            <w:r>
              <w:rPr>
                <w:rFonts w:hint="eastAsia" w:ascii="宋体" w:hAnsi="宋体" w:eastAsia="宋体" w:cs="宋体"/>
                <w:i w:val="0"/>
                <w:iCs w:val="0"/>
                <w:color w:val="000000"/>
                <w:kern w:val="0"/>
                <w:sz w:val="21"/>
                <w:szCs w:val="21"/>
                <w:highlight w:val="none"/>
                <w:u w:val="none"/>
                <w:lang w:val="en-US" w:eastAsia="zh-CN" w:bidi="ar"/>
              </w:rPr>
              <w:t>≥</w:t>
            </w:r>
            <w:r>
              <w:rPr>
                <w:rStyle w:val="80"/>
                <w:rFonts w:hint="eastAsia" w:ascii="宋体" w:hAnsi="宋体" w:eastAsia="宋体" w:cs="宋体"/>
                <w:sz w:val="21"/>
                <w:szCs w:val="21"/>
                <w:highlight w:val="none"/>
                <w:lang w:val="en-US" w:eastAsia="zh-CN" w:bidi="ar"/>
              </w:rPr>
              <w:t>1.0mm优质冷轧钢板一体成型拉手</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5</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滑轨：采用16寸优质三节静音导轨</w:t>
            </w:r>
            <w:r>
              <w:rPr>
                <w:rStyle w:val="80"/>
                <w:rFonts w:hint="eastAsia" w:ascii="宋体" w:hAnsi="宋体" w:cs="宋体"/>
                <w:sz w:val="21"/>
                <w:szCs w:val="21"/>
                <w:highlight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w:t>
            </w:r>
            <w:r>
              <w:rPr>
                <w:rStyle w:val="80"/>
                <w:rFonts w:hint="eastAsia" w:ascii="宋体" w:hAnsi="宋体" w:eastAsia="宋体" w:cs="宋体"/>
                <w:sz w:val="21"/>
                <w:szCs w:val="21"/>
                <w:highlight w:val="none"/>
                <w:lang w:val="en-US" w:eastAsia="zh-CN" w:bidi="ar"/>
              </w:rPr>
              <w:t>10万次测试无质量问题</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6</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调节脚：采用</w:t>
            </w:r>
            <w:r>
              <w:rPr>
                <w:rStyle w:val="77"/>
                <w:rFonts w:hint="eastAsia" w:ascii="宋体" w:hAnsi="宋体" w:eastAsia="宋体" w:cs="宋体"/>
                <w:sz w:val="21"/>
                <w:szCs w:val="21"/>
                <w:highlight w:val="none"/>
                <w:lang w:val="en-US" w:eastAsia="zh-CN" w:bidi="ar"/>
              </w:rPr>
              <w:t>φ</w:t>
            </w:r>
            <w:r>
              <w:rPr>
                <w:rStyle w:val="80"/>
                <w:rFonts w:hint="eastAsia" w:ascii="宋体" w:hAnsi="宋体" w:eastAsia="宋体" w:cs="宋体"/>
                <w:sz w:val="21"/>
                <w:szCs w:val="21"/>
                <w:highlight w:val="none"/>
                <w:lang w:val="en-US" w:eastAsia="zh-CN" w:bidi="ar"/>
              </w:rPr>
              <w:t>10mm注塑调整脚，可根据室内地坪适当调整柜体高度，最大调节为0-30mm</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7</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台面采用边沿加厚≥26mm实验台</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台面参数要求：</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（1）理化板台面耐化学试剂性能依据“GB/T 17657-2022”检测方法进行检验，乙酸乙酯、乙酸（≥98%）、丙酮、四氯化碳、铬酸（≥60%）、硫酸（≥98%）等至少</w:t>
            </w:r>
            <w:r>
              <w:rPr>
                <w:rStyle w:val="80"/>
                <w:rFonts w:hint="eastAsia" w:ascii="宋体" w:hAnsi="宋体" w:cs="宋体"/>
                <w:sz w:val="21"/>
                <w:szCs w:val="21"/>
                <w:highlight w:val="none"/>
                <w:lang w:val="en-US" w:eastAsia="zh-CN" w:bidi="ar"/>
              </w:rPr>
              <w:t>35</w:t>
            </w:r>
            <w:r>
              <w:rPr>
                <w:rStyle w:val="80"/>
                <w:rFonts w:hint="eastAsia" w:ascii="宋体" w:hAnsi="宋体" w:eastAsia="宋体" w:cs="宋体"/>
                <w:sz w:val="21"/>
                <w:szCs w:val="21"/>
                <w:highlight w:val="none"/>
                <w:lang w:val="en-US" w:eastAsia="zh-CN" w:bidi="ar"/>
              </w:rPr>
              <w:t>项化学试剂通过检测，检测结果等级均达到“5级（无明显变化）”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（2）理化板台面甲醛释放量检测结果＜0.012mg/m³（根据测试结果，依据GB/T39600-2021判定为ENF 级）</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（3）理化板台面物理性能按照“GB/T 17657-2022”或“GB/T 7911-2024”检测方法进行检测：“密度”检测结果需≥1.41g/cm3  、“耐划痕”≥4级、“耐大球冲击（冲击高度≥800mm）”凹痕直径≤8mm、“静曲强度”≥130MPa、“抗拉强度”≥65MPa、“尺寸稳定性（高温）-纵向”检验结果≤0.35%、“耐辐射热”≥230s</w:t>
            </w:r>
            <w:r>
              <w:rPr>
                <w:rStyle w:val="80"/>
                <w:rFonts w:hint="eastAsia" w:ascii="宋体" w:hAnsi="宋体" w:cs="宋体"/>
                <w:sz w:val="21"/>
                <w:szCs w:val="21"/>
                <w:highlight w:val="none"/>
                <w:lang w:val="en-US" w:eastAsia="zh-CN" w:bidi="ar"/>
              </w:rPr>
              <w:t>；</w:t>
            </w:r>
          </w:p>
          <w:p w14:paraId="4BFED01A">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Style w:val="80"/>
                <w:rFonts w:hint="eastAsia" w:ascii="宋体" w:hAnsi="宋体" w:eastAsia="宋体" w:cs="宋体"/>
                <w:sz w:val="21"/>
                <w:szCs w:val="21"/>
                <w:highlight w:val="none"/>
                <w:lang w:val="en-US" w:eastAsia="zh-CN" w:bidi="ar"/>
              </w:rPr>
              <w:t>8</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配件配置</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岛式插座7套</w:t>
            </w:r>
            <w:r>
              <w:rPr>
                <w:rStyle w:val="80"/>
                <w:rFonts w:hint="eastAsia" w:ascii="宋体" w:hAnsi="宋体" w:cs="宋体"/>
                <w:sz w:val="21"/>
                <w:szCs w:val="21"/>
                <w:highlight w:val="none"/>
                <w:lang w:val="en-US" w:eastAsia="zh-CN" w:bidi="ar"/>
              </w:rPr>
              <w:t>及所有安装材料。</w:t>
            </w:r>
          </w:p>
        </w:tc>
        <w:tc>
          <w:tcPr>
            <w:tcW w:w="349" w:type="pct"/>
            <w:tcBorders>
              <w:top w:val="single" w:color="auto" w:sz="4" w:space="0"/>
              <w:left w:val="nil"/>
              <w:bottom w:val="single" w:color="auto" w:sz="4" w:space="0"/>
              <w:right w:val="single" w:color="auto" w:sz="4" w:space="0"/>
            </w:tcBorders>
            <w:shd w:val="clear" w:color="auto" w:fill="auto"/>
            <w:vAlign w:val="center"/>
          </w:tcPr>
          <w:p w14:paraId="595898D5">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2张</w:t>
            </w:r>
          </w:p>
        </w:tc>
      </w:tr>
      <w:tr w14:paraId="744A4BC7">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D1E6DE0">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5ED2041">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D11B312">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中央台</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A8B18FE">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一、</w:t>
            </w:r>
            <w:r>
              <w:rPr>
                <w:rStyle w:val="80"/>
                <w:rFonts w:hint="eastAsia" w:ascii="宋体" w:hAnsi="宋体" w:cs="宋体"/>
                <w:sz w:val="21"/>
                <w:szCs w:val="21"/>
                <w:highlight w:val="none"/>
                <w:lang w:val="en-US" w:eastAsia="zh-CN" w:bidi="ar"/>
              </w:rPr>
              <w:t>尺寸</w:t>
            </w:r>
            <w:r>
              <w:rPr>
                <w:rFonts w:hint="eastAsia" w:ascii="宋体" w:hAnsi="宋体" w:eastAsia="宋体" w:cs="宋体"/>
                <w:i w:val="0"/>
                <w:iCs w:val="0"/>
                <w:color w:val="000000"/>
                <w:kern w:val="0"/>
                <w:sz w:val="21"/>
                <w:szCs w:val="21"/>
                <w:highlight w:val="none"/>
                <w:u w:val="none"/>
                <w:lang w:val="en-US" w:eastAsia="zh-CN" w:bidi="ar"/>
              </w:rPr>
              <w:t>≥长4850mm*宽1500mm*高850mm</w:t>
            </w:r>
          </w:p>
          <w:p w14:paraId="0EF5C99C">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二、主要参数</w:t>
            </w:r>
          </w:p>
          <w:p w14:paraId="50B66DF3">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cs="宋体"/>
                <w:b/>
                <w:bCs/>
                <w:sz w:val="21"/>
                <w:szCs w:val="21"/>
                <w:highlight w:val="none"/>
                <w:lang w:val="en-US" w:eastAsia="zh-CN" w:bidi="ar"/>
              </w:rPr>
            </w:pPr>
            <w:r>
              <w:rPr>
                <w:rStyle w:val="80"/>
                <w:rFonts w:hint="eastAsia" w:ascii="宋体" w:hAnsi="宋体" w:eastAsia="宋体" w:cs="宋体"/>
                <w:sz w:val="21"/>
                <w:szCs w:val="21"/>
                <w:highlight w:val="none"/>
                <w:lang w:val="en-US" w:eastAsia="zh-CN" w:bidi="ar"/>
              </w:rPr>
              <w:t>配置：全钢结构，</w:t>
            </w:r>
            <w:r>
              <w:rPr>
                <w:rFonts w:hint="eastAsia" w:ascii="宋体" w:hAnsi="宋体" w:eastAsia="宋体" w:cs="宋体"/>
                <w:i w:val="0"/>
                <w:iCs w:val="0"/>
                <w:color w:val="000000"/>
                <w:kern w:val="0"/>
                <w:sz w:val="21"/>
                <w:szCs w:val="21"/>
                <w:highlight w:val="none"/>
                <w:u w:val="none"/>
                <w:lang w:val="en-US" w:eastAsia="zh-CN" w:bidi="ar"/>
              </w:rPr>
              <w:t>≥</w:t>
            </w:r>
            <w:r>
              <w:rPr>
                <w:rStyle w:val="80"/>
                <w:rFonts w:hint="eastAsia" w:ascii="宋体" w:hAnsi="宋体" w:eastAsia="宋体" w:cs="宋体"/>
                <w:sz w:val="21"/>
                <w:szCs w:val="21"/>
                <w:highlight w:val="none"/>
                <w:lang w:val="en-US" w:eastAsia="zh-CN" w:bidi="ar"/>
              </w:rPr>
              <w:t>12.7mm理化板台面，配洗眼器1套、滴水架1套、三口水龙头及水槽1套，插座5套，带试剂架</w:t>
            </w:r>
            <w:r>
              <w:rPr>
                <w:rFonts w:hint="eastAsia" w:ascii="宋体" w:hAnsi="宋体" w:eastAsia="宋体" w:cs="宋体"/>
                <w:i w:val="0"/>
                <w:iCs w:val="0"/>
                <w:color w:val="000000"/>
                <w:kern w:val="0"/>
                <w:sz w:val="21"/>
                <w:szCs w:val="21"/>
                <w:highlight w:val="none"/>
                <w:u w:val="none"/>
                <w:lang w:val="en-US" w:eastAsia="zh-CN" w:bidi="ar"/>
              </w:rPr>
              <w:t>≥</w:t>
            </w:r>
            <w:r>
              <w:rPr>
                <w:rStyle w:val="80"/>
                <w:rFonts w:hint="eastAsia" w:ascii="宋体" w:hAnsi="宋体" w:eastAsia="宋体" w:cs="宋体"/>
                <w:sz w:val="21"/>
                <w:szCs w:val="21"/>
                <w:highlight w:val="none"/>
                <w:lang w:val="en-US" w:eastAsia="zh-CN" w:bidi="ar"/>
              </w:rPr>
              <w:t>3.35米</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柜体：采用</w:t>
            </w:r>
            <w:r>
              <w:rPr>
                <w:rFonts w:hint="eastAsia" w:ascii="宋体" w:hAnsi="宋体" w:eastAsia="宋体" w:cs="宋体"/>
                <w:i w:val="0"/>
                <w:iCs w:val="0"/>
                <w:color w:val="000000"/>
                <w:kern w:val="0"/>
                <w:sz w:val="21"/>
                <w:szCs w:val="21"/>
                <w:highlight w:val="none"/>
                <w:u w:val="none"/>
                <w:lang w:val="en-US" w:eastAsia="zh-CN" w:bidi="ar"/>
              </w:rPr>
              <w:t>≥</w:t>
            </w:r>
            <w:r>
              <w:rPr>
                <w:rStyle w:val="80"/>
                <w:rFonts w:hint="eastAsia" w:ascii="宋体" w:hAnsi="宋体" w:eastAsia="宋体" w:cs="宋体"/>
                <w:sz w:val="21"/>
                <w:szCs w:val="21"/>
                <w:highlight w:val="none"/>
                <w:lang w:val="en-US" w:eastAsia="zh-CN" w:bidi="ar"/>
              </w:rPr>
              <w:t>1.2mm优质冷轧钢板，表面经酸洗磷化处理后喷涂环氧树脂粉末高温烘烤固化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柜门：采用</w:t>
            </w:r>
            <w:r>
              <w:rPr>
                <w:rFonts w:hint="eastAsia" w:ascii="宋体" w:hAnsi="宋体" w:eastAsia="宋体" w:cs="宋体"/>
                <w:i w:val="0"/>
                <w:iCs w:val="0"/>
                <w:color w:val="000000"/>
                <w:kern w:val="0"/>
                <w:sz w:val="21"/>
                <w:szCs w:val="21"/>
                <w:highlight w:val="none"/>
                <w:u w:val="none"/>
                <w:lang w:val="en-US" w:eastAsia="zh-CN" w:bidi="ar"/>
              </w:rPr>
              <w:t>≥</w:t>
            </w:r>
            <w:r>
              <w:rPr>
                <w:rStyle w:val="80"/>
                <w:rFonts w:hint="eastAsia" w:ascii="宋体" w:hAnsi="宋体" w:eastAsia="宋体" w:cs="宋体"/>
                <w:sz w:val="21"/>
                <w:szCs w:val="21"/>
                <w:highlight w:val="none"/>
                <w:lang w:val="en-US" w:eastAsia="zh-CN" w:bidi="ar"/>
              </w:rPr>
              <w:t>1.2mm双层优质冷轧钢板，门板厚度≥18mm，表面经酸洗磷化处理后喷涂环氧树脂粉末高温烘烤固化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合页：采用不锈钢隐藏插销合页</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4</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把手：采用</w:t>
            </w:r>
            <w:r>
              <w:rPr>
                <w:rFonts w:hint="eastAsia" w:ascii="宋体" w:hAnsi="宋体" w:eastAsia="宋体" w:cs="宋体"/>
                <w:i w:val="0"/>
                <w:iCs w:val="0"/>
                <w:color w:val="000000"/>
                <w:kern w:val="0"/>
                <w:sz w:val="21"/>
                <w:szCs w:val="21"/>
                <w:highlight w:val="none"/>
                <w:u w:val="none"/>
                <w:lang w:val="en-US" w:eastAsia="zh-CN" w:bidi="ar"/>
              </w:rPr>
              <w:t>≥</w:t>
            </w:r>
            <w:r>
              <w:rPr>
                <w:rStyle w:val="80"/>
                <w:rFonts w:hint="eastAsia" w:ascii="宋体" w:hAnsi="宋体" w:eastAsia="宋体" w:cs="宋体"/>
                <w:sz w:val="21"/>
                <w:szCs w:val="21"/>
                <w:highlight w:val="none"/>
                <w:lang w:val="en-US" w:eastAsia="zh-CN" w:bidi="ar"/>
              </w:rPr>
              <w:t>1.0mm优质冷轧钢板一体成型拉手</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5</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滑轨：采用16寸优质三节静音导轨</w:t>
            </w:r>
            <w:r>
              <w:rPr>
                <w:rStyle w:val="80"/>
                <w:rFonts w:hint="eastAsia" w:ascii="宋体" w:hAnsi="宋体" w:cs="宋体"/>
                <w:sz w:val="21"/>
                <w:szCs w:val="21"/>
                <w:highlight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w:t>
            </w:r>
            <w:r>
              <w:rPr>
                <w:rStyle w:val="80"/>
                <w:rFonts w:hint="eastAsia" w:ascii="宋体" w:hAnsi="宋体" w:eastAsia="宋体" w:cs="宋体"/>
                <w:sz w:val="21"/>
                <w:szCs w:val="21"/>
                <w:highlight w:val="none"/>
                <w:lang w:val="en-US" w:eastAsia="zh-CN" w:bidi="ar"/>
              </w:rPr>
              <w:t>10万次测试无质量问题</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6</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调节脚：采用</w:t>
            </w:r>
            <w:r>
              <w:rPr>
                <w:rStyle w:val="77"/>
                <w:rFonts w:hint="eastAsia" w:ascii="宋体" w:hAnsi="宋体" w:eastAsia="宋体" w:cs="宋体"/>
                <w:sz w:val="21"/>
                <w:szCs w:val="21"/>
                <w:highlight w:val="none"/>
                <w:lang w:val="en-US" w:eastAsia="zh-CN" w:bidi="ar"/>
              </w:rPr>
              <w:t>φ</w:t>
            </w:r>
            <w:r>
              <w:rPr>
                <w:rStyle w:val="80"/>
                <w:rFonts w:hint="eastAsia" w:ascii="宋体" w:hAnsi="宋体" w:eastAsia="宋体" w:cs="宋体"/>
                <w:sz w:val="21"/>
                <w:szCs w:val="21"/>
                <w:highlight w:val="none"/>
                <w:lang w:val="en-US" w:eastAsia="zh-CN" w:bidi="ar"/>
              </w:rPr>
              <w:t>10mm注塑调整脚，可根据室内地坪适当调整柜体高度，最大调节为0-30mm</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7</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台面采用边沿加厚≥26mm实验台</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台面参数要求：</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（1）理化板台面耐化学试剂性能依据“GB/T 17657-2022”检测方法进行检验，乙酸乙酯、乙酸（≥98%）、丙酮、四氯化碳、铬酸（≥60%）、硫酸（≥98%）等至少</w:t>
            </w:r>
            <w:r>
              <w:rPr>
                <w:rStyle w:val="80"/>
                <w:rFonts w:hint="eastAsia" w:ascii="宋体" w:hAnsi="宋体" w:cs="宋体"/>
                <w:sz w:val="21"/>
                <w:szCs w:val="21"/>
                <w:highlight w:val="none"/>
                <w:lang w:val="en-US" w:eastAsia="zh-CN" w:bidi="ar"/>
              </w:rPr>
              <w:t>35</w:t>
            </w:r>
            <w:r>
              <w:rPr>
                <w:rStyle w:val="80"/>
                <w:rFonts w:hint="eastAsia" w:ascii="宋体" w:hAnsi="宋体" w:eastAsia="宋体" w:cs="宋体"/>
                <w:sz w:val="21"/>
                <w:szCs w:val="21"/>
                <w:highlight w:val="none"/>
                <w:lang w:val="en-US" w:eastAsia="zh-CN" w:bidi="ar"/>
              </w:rPr>
              <w:t>项化学试剂通过检测，检测结果等级均达到“5级（无明显变化）”。</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（2）理化板台面甲醛释放量检测结果＜0.012mg/m³（根据测试结果，依据GB/T39600-2021判定为ENF 级）。</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（3）理化板台面物理性能按照“GB/T 17657-2022”或“GB/T 7911-2024”检测方法进行检测：“密度”检测结果需≥1.41g/cm3  、“耐划痕”≥4级、“耐大球冲击（冲击高度≥800mm）”凹痕直径≤8mm、“静曲强度”≥130MPa、“抗拉强度”≥65MPa、“尺寸稳定性（高温）-纵向”检验结果≤0.35%、“耐辐射热”≥230s。</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（4）台面板“色差”检测结果达到E≤0.19（检测方法为GB/T 17657-2022）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20AE4E45">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（5）台面板依据GB/T 17657-2022 检测方法：“板面握螺钉力”检测结果达到≥3320N</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sz w:val="21"/>
                <w:szCs w:val="21"/>
                <w:highlight w:val="none"/>
                <w:lang w:val="en-US" w:eastAsia="zh-CN" w:bidi="ar"/>
              </w:rPr>
              <w:t>；</w:t>
            </w:r>
          </w:p>
          <w:p w14:paraId="0B602E40">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（6）台面板“静曲强度—浸渍-冰冻-干燥处理法”检测结果≥82MPa（检测方法为GB/T 17657-2022）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p>
          <w:p w14:paraId="725E0B97">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8</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配件配置</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（1）滴水架1套：规格</w:t>
            </w:r>
            <w:r>
              <w:rPr>
                <w:rFonts w:hint="eastAsia"/>
                <w:highlight w:val="none"/>
                <w:lang w:val="en-US" w:eastAsia="zh-CN"/>
              </w:rPr>
              <w:t>≥</w:t>
            </w:r>
            <w:r>
              <w:rPr>
                <w:rStyle w:val="80"/>
                <w:rFonts w:hint="eastAsia" w:ascii="宋体" w:hAnsi="宋体" w:eastAsia="宋体" w:cs="宋体"/>
                <w:sz w:val="21"/>
                <w:szCs w:val="21"/>
                <w:highlight w:val="none"/>
                <w:lang w:val="en-US" w:eastAsia="zh-CN" w:bidi="ar"/>
              </w:rPr>
              <w:t>550*400mm</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滴水架需提供以下报告：滴水架依据GB/T 24128-2018《塑料防霉剂的防霉效果评估》标准，检测防霉，防霉等级为0</w:t>
            </w:r>
            <w:r>
              <w:rPr>
                <w:rStyle w:val="80"/>
                <w:rFonts w:hint="eastAsia" w:ascii="宋体" w:hAnsi="宋体" w:cs="宋体"/>
                <w:sz w:val="21"/>
                <w:szCs w:val="21"/>
                <w:highlight w:val="none"/>
                <w:lang w:val="en-US" w:eastAsia="zh-CN" w:bidi="ar"/>
              </w:rPr>
              <w:t>。</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431E0D1C">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b/>
                <w:bCs/>
                <w:sz w:val="21"/>
                <w:szCs w:val="21"/>
                <w:highlight w:val="none"/>
                <w:lang w:val="en-US" w:eastAsia="zh-CN" w:bidi="ar"/>
              </w:rPr>
            </w:pPr>
            <w:r>
              <w:rPr>
                <w:rStyle w:val="80"/>
                <w:rFonts w:hint="eastAsia" w:ascii="宋体" w:hAnsi="宋体" w:eastAsia="宋体" w:cs="宋体"/>
                <w:sz w:val="21"/>
                <w:szCs w:val="21"/>
                <w:highlight w:val="none"/>
                <w:lang w:val="en-US" w:eastAsia="zh-CN" w:bidi="ar"/>
              </w:rPr>
              <w:t>（2）洗眼器1套</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台式洗眼器依据GB/T24128-2018方法检测防霉性能：霉菌生长情况为0级。</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eastAsia="宋体" w:cs="宋体"/>
                <w:b/>
                <w:bCs/>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（3）水槽水龙头1套</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3.1</w:t>
            </w:r>
            <w:r>
              <w:rPr>
                <w:rStyle w:val="80"/>
                <w:rFonts w:hint="eastAsia" w:ascii="宋体" w:hAnsi="宋体" w:eastAsia="宋体" w:cs="宋体"/>
                <w:b/>
                <w:bCs/>
                <w:sz w:val="21"/>
                <w:szCs w:val="21"/>
                <w:highlight w:val="none"/>
                <w:lang w:val="en-US" w:eastAsia="zh-CN" w:bidi="ar"/>
              </w:rPr>
              <w:t>水龙头需提供中国节水产品CQC认证证书</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3.2实验室化验水龙头符合GB 18145-2014标准，水嘴开关寿命≥7万次。</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705560F4">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Style w:val="80"/>
                <w:rFonts w:hint="eastAsia" w:ascii="宋体" w:hAnsi="宋体" w:eastAsia="宋体" w:cs="宋体"/>
                <w:sz w:val="21"/>
                <w:szCs w:val="21"/>
                <w:highlight w:val="none"/>
                <w:lang w:val="en-US" w:eastAsia="zh-CN" w:bidi="ar"/>
              </w:rPr>
              <w:t>3.</w:t>
            </w:r>
            <w:r>
              <w:rPr>
                <w:rStyle w:val="80"/>
                <w:rFonts w:hint="eastAsia" w:ascii="宋体" w:hAnsi="宋体" w:cs="宋体"/>
                <w:sz w:val="21"/>
                <w:szCs w:val="21"/>
                <w:highlight w:val="none"/>
                <w:lang w:val="en-US" w:eastAsia="zh-CN" w:bidi="ar"/>
              </w:rPr>
              <w:t>3</w:t>
            </w:r>
            <w:r>
              <w:rPr>
                <w:rStyle w:val="80"/>
                <w:rFonts w:hint="eastAsia" w:ascii="宋体" w:hAnsi="宋体" w:eastAsia="宋体" w:cs="宋体"/>
                <w:sz w:val="21"/>
                <w:szCs w:val="21"/>
                <w:highlight w:val="none"/>
                <w:lang w:val="en-US" w:eastAsia="zh-CN" w:bidi="ar"/>
              </w:rPr>
              <w:t>水龙头检测表面耐腐蚀性能，依据GB/T 10125-2021 进行≥</w:t>
            </w:r>
            <w:r>
              <w:rPr>
                <w:rStyle w:val="80"/>
                <w:rFonts w:hint="eastAsia" w:ascii="宋体" w:hAnsi="宋体" w:cs="宋体"/>
                <w:sz w:val="21"/>
                <w:szCs w:val="21"/>
                <w:highlight w:val="none"/>
                <w:lang w:val="en-US" w:eastAsia="zh-CN" w:bidi="ar"/>
              </w:rPr>
              <w:t>24</w:t>
            </w:r>
            <w:r>
              <w:rPr>
                <w:rStyle w:val="80"/>
                <w:rFonts w:hint="eastAsia" w:ascii="宋体" w:hAnsi="宋体" w:eastAsia="宋体" w:cs="宋体"/>
                <w:sz w:val="21"/>
                <w:szCs w:val="21"/>
                <w:highlight w:val="none"/>
                <w:lang w:val="en-US" w:eastAsia="zh-CN" w:bidi="ar"/>
              </w:rPr>
              <w:t>h中性盐雾试验，结果为10级</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（4）插座5套</w:t>
            </w:r>
            <w:r>
              <w:rPr>
                <w:rStyle w:val="80"/>
                <w:rFonts w:hint="eastAsia" w:ascii="宋体" w:hAnsi="宋体" w:cs="宋体"/>
                <w:sz w:val="21"/>
                <w:szCs w:val="21"/>
                <w:highlight w:val="none"/>
                <w:lang w:val="en-US" w:eastAsia="zh-CN" w:bidi="ar"/>
              </w:rPr>
              <w:t>及所有安装耗材；</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（5）试剂架≥3.35米</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双层结构，</w:t>
            </w:r>
            <w:r>
              <w:rPr>
                <w:rFonts w:hint="eastAsia"/>
                <w:highlight w:val="none"/>
              </w:rPr>
              <w:t>≥</w:t>
            </w:r>
            <w:r>
              <w:rPr>
                <w:rStyle w:val="80"/>
                <w:rFonts w:hint="eastAsia" w:ascii="宋体" w:hAnsi="宋体" w:eastAsia="宋体" w:cs="宋体"/>
                <w:sz w:val="21"/>
                <w:szCs w:val="21"/>
                <w:highlight w:val="none"/>
                <w:lang w:val="en-US" w:eastAsia="zh-CN" w:bidi="ar"/>
              </w:rPr>
              <w:t>10mm钢化玻璃</w:t>
            </w:r>
            <w:r>
              <w:rPr>
                <w:rStyle w:val="80"/>
                <w:rFonts w:hint="eastAsia" w:ascii="宋体" w:hAnsi="宋体" w:cs="宋体"/>
                <w:sz w:val="21"/>
                <w:szCs w:val="21"/>
                <w:highlight w:val="none"/>
                <w:lang w:val="en-US" w:eastAsia="zh-CN" w:bidi="ar"/>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57F70665">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6张</w:t>
            </w:r>
          </w:p>
        </w:tc>
      </w:tr>
      <w:tr w14:paraId="7BA8FFDF">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37EB3B6">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9F29E1E">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10D6790">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钢木边台</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25A2D54">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一、</w:t>
            </w:r>
            <w:r>
              <w:rPr>
                <w:rStyle w:val="80"/>
                <w:rFonts w:hint="eastAsia" w:ascii="宋体" w:hAnsi="宋体" w:cs="宋体"/>
                <w:sz w:val="21"/>
                <w:szCs w:val="21"/>
                <w:highlight w:val="none"/>
                <w:lang w:val="en-US" w:eastAsia="zh-CN" w:bidi="ar"/>
              </w:rPr>
              <w:t>尺寸</w:t>
            </w:r>
            <w:r>
              <w:rPr>
                <w:rStyle w:val="80"/>
                <w:rFonts w:hint="eastAsia" w:ascii="宋体" w:hAnsi="宋体" w:eastAsia="宋体" w:cs="宋体"/>
                <w:sz w:val="21"/>
                <w:szCs w:val="21"/>
                <w:highlight w:val="none"/>
                <w:lang w:val="en-US" w:eastAsia="zh-CN" w:bidi="ar"/>
              </w:rPr>
              <w:t>≥长1600mm*宽750mm*高850mm</w:t>
            </w:r>
          </w:p>
          <w:p w14:paraId="2EB3C34F">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二、主要参数</w:t>
            </w:r>
          </w:p>
          <w:p w14:paraId="15555BE4">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配置：钢木结构，≥12.7mm理化板台面，配岛式插座2套</w:t>
            </w:r>
          </w:p>
          <w:p w14:paraId="0CF2A9CE">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1</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柜体：采用≥18mm优质中</w:t>
            </w:r>
            <w:r>
              <w:rPr>
                <w:rStyle w:val="80"/>
                <w:rFonts w:hint="eastAsia" w:ascii="宋体" w:hAnsi="宋体" w:cs="宋体"/>
                <w:sz w:val="21"/>
                <w:szCs w:val="21"/>
                <w:highlight w:val="none"/>
                <w:lang w:val="en-US" w:eastAsia="zh-CN" w:bidi="ar"/>
              </w:rPr>
              <w:t>纤</w:t>
            </w:r>
            <w:r>
              <w:rPr>
                <w:rStyle w:val="80"/>
                <w:rFonts w:hint="eastAsia" w:ascii="宋体" w:hAnsi="宋体" w:eastAsia="宋体" w:cs="宋体"/>
                <w:sz w:val="21"/>
                <w:szCs w:val="21"/>
                <w:highlight w:val="none"/>
                <w:lang w:val="en-US" w:eastAsia="zh-CN" w:bidi="ar"/>
              </w:rPr>
              <w:t>板，2.0mm厚封边</w:t>
            </w:r>
            <w:r>
              <w:rPr>
                <w:rStyle w:val="80"/>
                <w:rFonts w:hint="eastAsia" w:ascii="宋体" w:hAnsi="宋体" w:cs="宋体"/>
                <w:sz w:val="21"/>
                <w:szCs w:val="21"/>
                <w:highlight w:val="none"/>
                <w:lang w:val="en-US" w:eastAsia="zh-CN" w:bidi="ar"/>
              </w:rPr>
              <w:t>；</w:t>
            </w:r>
          </w:p>
          <w:p w14:paraId="3133A48E">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柜门：采用≥18mm优质中</w:t>
            </w:r>
            <w:r>
              <w:rPr>
                <w:rStyle w:val="80"/>
                <w:rFonts w:hint="eastAsia" w:ascii="宋体" w:hAnsi="宋体" w:cs="宋体"/>
                <w:sz w:val="21"/>
                <w:szCs w:val="21"/>
                <w:highlight w:val="none"/>
                <w:lang w:val="en-US" w:eastAsia="zh-CN" w:bidi="ar"/>
              </w:rPr>
              <w:t>纤</w:t>
            </w:r>
            <w:r>
              <w:rPr>
                <w:rStyle w:val="80"/>
                <w:rFonts w:hint="eastAsia" w:ascii="宋体" w:hAnsi="宋体" w:eastAsia="宋体" w:cs="宋体"/>
                <w:sz w:val="21"/>
                <w:szCs w:val="21"/>
                <w:highlight w:val="none"/>
                <w:lang w:val="en-US" w:eastAsia="zh-CN" w:bidi="ar"/>
              </w:rPr>
              <w:t>板，2.0mm厚封边</w:t>
            </w:r>
            <w:r>
              <w:rPr>
                <w:rStyle w:val="80"/>
                <w:rFonts w:hint="eastAsia" w:ascii="宋体" w:hAnsi="宋体" w:cs="宋体"/>
                <w:sz w:val="21"/>
                <w:szCs w:val="21"/>
                <w:highlight w:val="none"/>
                <w:lang w:val="en-US" w:eastAsia="zh-CN" w:bidi="ar"/>
              </w:rPr>
              <w:t>；</w:t>
            </w:r>
          </w:p>
          <w:p w14:paraId="3E7C8144">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3</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合页：采用不锈钢隐藏插销合页</w:t>
            </w:r>
            <w:r>
              <w:rPr>
                <w:rStyle w:val="80"/>
                <w:rFonts w:hint="eastAsia" w:ascii="宋体" w:hAnsi="宋体" w:cs="宋体"/>
                <w:sz w:val="21"/>
                <w:szCs w:val="21"/>
                <w:highlight w:val="none"/>
                <w:lang w:val="en-US" w:eastAsia="zh-CN" w:bidi="ar"/>
              </w:rPr>
              <w:t>；</w:t>
            </w:r>
          </w:p>
          <w:p w14:paraId="045B6EE3">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4</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把手：采用PP一体成型拉手</w:t>
            </w:r>
            <w:r>
              <w:rPr>
                <w:rStyle w:val="80"/>
                <w:rFonts w:hint="eastAsia" w:ascii="宋体" w:hAnsi="宋体" w:cs="宋体"/>
                <w:sz w:val="21"/>
                <w:szCs w:val="21"/>
                <w:highlight w:val="none"/>
                <w:lang w:val="en-US" w:eastAsia="zh-CN" w:bidi="ar"/>
              </w:rPr>
              <w:t>；</w:t>
            </w:r>
          </w:p>
          <w:p w14:paraId="04FD803C">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5</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滑轨：采用16寸优质三节静音导轨</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≥10万次测试无质量问题</w:t>
            </w:r>
            <w:r>
              <w:rPr>
                <w:rStyle w:val="80"/>
                <w:rFonts w:hint="eastAsia" w:ascii="宋体" w:hAnsi="宋体" w:cs="宋体"/>
                <w:sz w:val="21"/>
                <w:szCs w:val="21"/>
                <w:highlight w:val="none"/>
                <w:lang w:val="en-US" w:eastAsia="zh-CN" w:bidi="ar"/>
              </w:rPr>
              <w:t>；</w:t>
            </w:r>
          </w:p>
          <w:p w14:paraId="5146F8A2">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6</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调节脚：采用φ10mm注塑调整脚，可根据室内地坪适当调整柜体高度，最大调节为0-30mm</w:t>
            </w:r>
            <w:r>
              <w:rPr>
                <w:rStyle w:val="80"/>
                <w:rFonts w:hint="eastAsia" w:ascii="宋体" w:hAnsi="宋体" w:cs="宋体"/>
                <w:sz w:val="21"/>
                <w:szCs w:val="21"/>
                <w:highlight w:val="none"/>
                <w:lang w:val="en-US" w:eastAsia="zh-CN" w:bidi="ar"/>
              </w:rPr>
              <w:t>；</w:t>
            </w:r>
          </w:p>
          <w:p w14:paraId="59F906F6">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7</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台面采用边沿加厚≥26mm实验台</w:t>
            </w:r>
            <w:r>
              <w:rPr>
                <w:rStyle w:val="80"/>
                <w:rFonts w:hint="eastAsia" w:ascii="宋体" w:hAnsi="宋体" w:cs="宋体"/>
                <w:sz w:val="21"/>
                <w:szCs w:val="21"/>
                <w:highlight w:val="none"/>
                <w:lang w:val="en-US" w:eastAsia="zh-CN" w:bidi="ar"/>
              </w:rPr>
              <w:t>；</w:t>
            </w:r>
          </w:p>
          <w:p w14:paraId="15B0669B">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台面参数要求：</w:t>
            </w:r>
          </w:p>
          <w:p w14:paraId="5E1FF27A">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（1）理化板台面耐化学试剂性能依据“GB/T 17657-2022”检测方法进行检验，乙酸乙酯、乙酸（≥98%）、丙酮、四氯化碳、铬酸（≥60%）、硫酸（≥98%）等至少</w:t>
            </w:r>
            <w:r>
              <w:rPr>
                <w:rStyle w:val="80"/>
                <w:rFonts w:hint="eastAsia" w:ascii="宋体" w:hAnsi="宋体" w:cs="宋体"/>
                <w:sz w:val="21"/>
                <w:szCs w:val="21"/>
                <w:highlight w:val="none"/>
                <w:lang w:val="en-US" w:eastAsia="zh-CN" w:bidi="ar"/>
              </w:rPr>
              <w:t>35</w:t>
            </w:r>
            <w:r>
              <w:rPr>
                <w:rStyle w:val="80"/>
                <w:rFonts w:hint="eastAsia" w:ascii="宋体" w:hAnsi="宋体" w:eastAsia="宋体" w:cs="宋体"/>
                <w:sz w:val="21"/>
                <w:szCs w:val="21"/>
                <w:highlight w:val="none"/>
                <w:lang w:val="en-US" w:eastAsia="zh-CN" w:bidi="ar"/>
              </w:rPr>
              <w:t>项化学试剂通过检测，检测结果等级均达到“5级（无明显变化）”</w:t>
            </w:r>
            <w:r>
              <w:rPr>
                <w:rStyle w:val="80"/>
                <w:rFonts w:hint="eastAsia" w:ascii="宋体" w:hAnsi="宋体" w:cs="宋体"/>
                <w:sz w:val="21"/>
                <w:szCs w:val="21"/>
                <w:highlight w:val="none"/>
                <w:lang w:val="en-US" w:eastAsia="zh-CN" w:bidi="ar"/>
              </w:rPr>
              <w:t>；</w:t>
            </w:r>
          </w:p>
          <w:p w14:paraId="33C521FD">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（2）理化板台面甲醛释放量检测结果＜0.012mg/m³（根据测试结果，依据GB/T39600-2021判定为ENF 级）</w:t>
            </w:r>
            <w:r>
              <w:rPr>
                <w:rStyle w:val="80"/>
                <w:rFonts w:hint="eastAsia" w:ascii="宋体" w:hAnsi="宋体" w:cs="宋体"/>
                <w:sz w:val="21"/>
                <w:szCs w:val="21"/>
                <w:highlight w:val="none"/>
                <w:lang w:val="en-US" w:eastAsia="zh-CN" w:bidi="ar"/>
              </w:rPr>
              <w:t>；</w:t>
            </w:r>
          </w:p>
          <w:p w14:paraId="5A3BEC43">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（3）理化板台面物理性能按照“GB/T 17657-2022”或“GB/T 7911-2024”检测方法进行检测：“密度”检测结果需≥1.41g/cm3  、“耐划痕”≥4级、“耐大球冲击（冲击高度≥800mm）”凹痕直径≤8mm、“静曲强度”≥130MPa、“抗拉强度”≥65MPa、“尺寸稳定性（高温）-纵向”检验结果≤0.35%、“耐辐射热”≥230s</w:t>
            </w:r>
            <w:r>
              <w:rPr>
                <w:rStyle w:val="80"/>
                <w:rFonts w:hint="eastAsia" w:ascii="宋体" w:hAnsi="宋体" w:cs="宋体"/>
                <w:sz w:val="21"/>
                <w:szCs w:val="21"/>
                <w:highlight w:val="none"/>
                <w:lang w:val="en-US" w:eastAsia="zh-CN" w:bidi="ar"/>
              </w:rPr>
              <w:t>；</w:t>
            </w:r>
          </w:p>
          <w:p w14:paraId="4045E150">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4）台面板“色差”检测结果达到E≤0.19（检测方法为GB/T 17657-2022）。</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568750E2">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（5）台面板依据GB/T 17657-2022 检测方法：“板面握螺钉力”检测结果达到≥3320N。</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65003490">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（6）台面板“静曲强度—浸渍-冰冻-干燥处理法”检测结果≥82MPa（检测方法为GB/T 17657-2022）。</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02986F3E">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8</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配件配置</w:t>
            </w:r>
          </w:p>
          <w:p w14:paraId="041F4A76">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Theme="minorEastAsia" w:hAnsiTheme="minorEastAsia" w:eastAsiaTheme="minorEastAsia" w:cstheme="minorEastAsia"/>
                <w:color w:val="000000"/>
                <w:kern w:val="2"/>
                <w:sz w:val="21"/>
                <w:szCs w:val="21"/>
                <w:highlight w:val="none"/>
                <w:u w:val="none"/>
                <w:lang w:val="en-US" w:eastAsia="zh-CN" w:bidi="ar"/>
              </w:rPr>
            </w:pPr>
            <w:r>
              <w:rPr>
                <w:rStyle w:val="80"/>
                <w:rFonts w:hint="eastAsia" w:ascii="宋体" w:hAnsi="宋体" w:eastAsia="宋体" w:cs="宋体"/>
                <w:sz w:val="21"/>
                <w:szCs w:val="21"/>
                <w:highlight w:val="none"/>
                <w:lang w:val="en-US" w:eastAsia="zh-CN" w:bidi="ar"/>
              </w:rPr>
              <w:t>岛式插座2套</w:t>
            </w:r>
            <w:r>
              <w:rPr>
                <w:rStyle w:val="80"/>
                <w:rFonts w:hint="eastAsia" w:ascii="宋体" w:hAnsi="宋体" w:cs="宋体"/>
                <w:sz w:val="21"/>
                <w:szCs w:val="21"/>
                <w:highlight w:val="none"/>
                <w:lang w:val="en-US" w:eastAsia="zh-CN" w:bidi="ar"/>
              </w:rPr>
              <w:t>及所有安装耗材</w:t>
            </w:r>
          </w:p>
        </w:tc>
        <w:tc>
          <w:tcPr>
            <w:tcW w:w="349" w:type="pct"/>
            <w:tcBorders>
              <w:top w:val="single" w:color="auto" w:sz="4" w:space="0"/>
              <w:left w:val="nil"/>
              <w:bottom w:val="single" w:color="auto" w:sz="4" w:space="0"/>
              <w:right w:val="single" w:color="auto" w:sz="4" w:space="0"/>
            </w:tcBorders>
            <w:shd w:val="clear" w:color="auto" w:fill="auto"/>
            <w:vAlign w:val="center"/>
          </w:tcPr>
          <w:p w14:paraId="4954E42F">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2张</w:t>
            </w:r>
          </w:p>
        </w:tc>
      </w:tr>
      <w:tr w14:paraId="55C44A5C">
        <w:tblPrEx>
          <w:tblCellMar>
            <w:top w:w="0" w:type="dxa"/>
            <w:left w:w="0" w:type="dxa"/>
            <w:bottom w:w="0" w:type="dxa"/>
            <w:right w:w="0" w:type="dxa"/>
          </w:tblCellMar>
        </w:tblPrEx>
        <w:trPr>
          <w:trHeight w:val="291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2004DF6">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73145CD">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74D8640">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钢木边台</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89CD97F">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一、</w:t>
            </w:r>
            <w:r>
              <w:rPr>
                <w:rStyle w:val="80"/>
                <w:rFonts w:hint="eastAsia" w:ascii="宋体" w:hAnsi="宋体" w:cs="宋体"/>
                <w:sz w:val="21"/>
                <w:szCs w:val="21"/>
                <w:highlight w:val="none"/>
                <w:lang w:val="en-US" w:eastAsia="zh-CN" w:bidi="ar"/>
              </w:rPr>
              <w:t>尺寸</w:t>
            </w:r>
            <w:r>
              <w:rPr>
                <w:rStyle w:val="80"/>
                <w:rFonts w:hint="eastAsia" w:ascii="宋体" w:hAnsi="宋体" w:eastAsia="宋体" w:cs="宋体"/>
                <w:sz w:val="21"/>
                <w:szCs w:val="21"/>
                <w:highlight w:val="none"/>
                <w:lang w:val="en-US" w:eastAsia="zh-CN" w:bidi="ar"/>
              </w:rPr>
              <w:t>≥长1600mm*宽600mm*高850mm</w:t>
            </w:r>
          </w:p>
          <w:p w14:paraId="601A3D42">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二、主要参数</w:t>
            </w:r>
          </w:p>
          <w:p w14:paraId="0416C3F1">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配置：钢木结构，≥12.7mm理化板台面，配岛式插座2套</w:t>
            </w:r>
          </w:p>
          <w:p w14:paraId="46E23C7B">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1</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柜体：采用≥18mm优质中</w:t>
            </w:r>
            <w:r>
              <w:rPr>
                <w:rStyle w:val="80"/>
                <w:rFonts w:hint="eastAsia" w:ascii="宋体" w:hAnsi="宋体" w:cs="宋体"/>
                <w:sz w:val="21"/>
                <w:szCs w:val="21"/>
                <w:highlight w:val="none"/>
                <w:lang w:val="en-US" w:eastAsia="zh-CN" w:bidi="ar"/>
              </w:rPr>
              <w:t>纤</w:t>
            </w:r>
            <w:r>
              <w:rPr>
                <w:rStyle w:val="80"/>
                <w:rFonts w:hint="eastAsia" w:ascii="宋体" w:hAnsi="宋体" w:eastAsia="宋体" w:cs="宋体"/>
                <w:sz w:val="21"/>
                <w:szCs w:val="21"/>
                <w:highlight w:val="none"/>
                <w:lang w:val="en-US" w:eastAsia="zh-CN" w:bidi="ar"/>
              </w:rPr>
              <w:t>板，≥2.0mm厚封边</w:t>
            </w:r>
            <w:r>
              <w:rPr>
                <w:rStyle w:val="80"/>
                <w:rFonts w:hint="eastAsia" w:ascii="宋体" w:hAnsi="宋体" w:cs="宋体"/>
                <w:sz w:val="21"/>
                <w:szCs w:val="21"/>
                <w:highlight w:val="none"/>
                <w:lang w:val="en-US" w:eastAsia="zh-CN" w:bidi="ar"/>
              </w:rPr>
              <w:t>；</w:t>
            </w:r>
          </w:p>
          <w:p w14:paraId="276F11B9">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柜门：采用≥18mm优质中</w:t>
            </w:r>
            <w:r>
              <w:rPr>
                <w:rStyle w:val="80"/>
                <w:rFonts w:hint="eastAsia" w:ascii="宋体" w:hAnsi="宋体" w:cs="宋体"/>
                <w:sz w:val="21"/>
                <w:szCs w:val="21"/>
                <w:highlight w:val="none"/>
                <w:lang w:val="en-US" w:eastAsia="zh-CN" w:bidi="ar"/>
              </w:rPr>
              <w:t>纤</w:t>
            </w:r>
            <w:r>
              <w:rPr>
                <w:rStyle w:val="80"/>
                <w:rFonts w:hint="eastAsia" w:ascii="宋体" w:hAnsi="宋体" w:eastAsia="宋体" w:cs="宋体"/>
                <w:sz w:val="21"/>
                <w:szCs w:val="21"/>
                <w:highlight w:val="none"/>
                <w:lang w:val="en-US" w:eastAsia="zh-CN" w:bidi="ar"/>
              </w:rPr>
              <w:t>板，≥2.0mm厚封边</w:t>
            </w:r>
            <w:r>
              <w:rPr>
                <w:rStyle w:val="80"/>
                <w:rFonts w:hint="eastAsia" w:ascii="宋体" w:hAnsi="宋体" w:cs="宋体"/>
                <w:sz w:val="21"/>
                <w:szCs w:val="21"/>
                <w:highlight w:val="none"/>
                <w:lang w:val="en-US" w:eastAsia="zh-CN" w:bidi="ar"/>
              </w:rPr>
              <w:t>；</w:t>
            </w:r>
          </w:p>
          <w:p w14:paraId="77158569">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3</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合页：采用不锈钢隐藏插销合页</w:t>
            </w:r>
            <w:r>
              <w:rPr>
                <w:rStyle w:val="80"/>
                <w:rFonts w:hint="eastAsia" w:ascii="宋体" w:hAnsi="宋体" w:cs="宋体"/>
                <w:sz w:val="21"/>
                <w:szCs w:val="21"/>
                <w:highlight w:val="none"/>
                <w:lang w:val="en-US" w:eastAsia="zh-CN" w:bidi="ar"/>
              </w:rPr>
              <w:t>；</w:t>
            </w:r>
          </w:p>
          <w:p w14:paraId="062AB72D">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4</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把手：采用PP一体成型拉手</w:t>
            </w:r>
            <w:r>
              <w:rPr>
                <w:rStyle w:val="80"/>
                <w:rFonts w:hint="eastAsia" w:ascii="宋体" w:hAnsi="宋体" w:cs="宋体"/>
                <w:sz w:val="21"/>
                <w:szCs w:val="21"/>
                <w:highlight w:val="none"/>
                <w:lang w:val="en-US" w:eastAsia="zh-CN" w:bidi="ar"/>
              </w:rPr>
              <w:t>；</w:t>
            </w:r>
          </w:p>
          <w:p w14:paraId="0F3AF2FD">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5</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滑轨：采用16寸优质三节静音导轨</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≥10万次测试无质量问题</w:t>
            </w:r>
            <w:r>
              <w:rPr>
                <w:rStyle w:val="80"/>
                <w:rFonts w:hint="eastAsia" w:ascii="宋体" w:hAnsi="宋体" w:cs="宋体"/>
                <w:sz w:val="21"/>
                <w:szCs w:val="21"/>
                <w:highlight w:val="none"/>
                <w:lang w:val="en-US" w:eastAsia="zh-CN" w:bidi="ar"/>
              </w:rPr>
              <w:t>；</w:t>
            </w:r>
          </w:p>
          <w:p w14:paraId="3F887A76">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6</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调节脚：采用φ10mm注塑调整脚，可根据室内地坪适当调整柜体高度，最大调节为0-30mm</w:t>
            </w:r>
            <w:r>
              <w:rPr>
                <w:rStyle w:val="80"/>
                <w:rFonts w:hint="eastAsia" w:ascii="宋体" w:hAnsi="宋体" w:cs="宋体"/>
                <w:sz w:val="21"/>
                <w:szCs w:val="21"/>
                <w:highlight w:val="none"/>
                <w:lang w:val="en-US" w:eastAsia="zh-CN" w:bidi="ar"/>
              </w:rPr>
              <w:t>；</w:t>
            </w:r>
          </w:p>
          <w:p w14:paraId="412AE47F">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7</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台面采用边沿加厚≥26mm实验台</w:t>
            </w:r>
            <w:r>
              <w:rPr>
                <w:rStyle w:val="80"/>
                <w:rFonts w:hint="eastAsia" w:ascii="宋体" w:hAnsi="宋体" w:cs="宋体"/>
                <w:sz w:val="21"/>
                <w:szCs w:val="21"/>
                <w:highlight w:val="none"/>
                <w:lang w:val="en-US" w:eastAsia="zh-CN" w:bidi="ar"/>
              </w:rPr>
              <w:t>；</w:t>
            </w:r>
          </w:p>
          <w:p w14:paraId="4826765D">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台面参数要求：</w:t>
            </w:r>
          </w:p>
          <w:p w14:paraId="6E5C134C">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（1）理化板台面耐化学试剂性能依据“GB/T 17657-2022”检测方法进行检验，乙酸乙酯、乙酸（≥98%）、丙酮、四氯化碳、铬酸（≥60%）、硫酸（≥98%）等至少</w:t>
            </w:r>
            <w:r>
              <w:rPr>
                <w:rStyle w:val="80"/>
                <w:rFonts w:hint="eastAsia" w:ascii="宋体" w:hAnsi="宋体" w:cs="宋体"/>
                <w:sz w:val="21"/>
                <w:szCs w:val="21"/>
                <w:highlight w:val="none"/>
                <w:lang w:val="en-US" w:eastAsia="zh-CN" w:bidi="ar"/>
              </w:rPr>
              <w:t>35</w:t>
            </w:r>
            <w:r>
              <w:rPr>
                <w:rStyle w:val="80"/>
                <w:rFonts w:hint="eastAsia" w:ascii="宋体" w:hAnsi="宋体" w:eastAsia="宋体" w:cs="宋体"/>
                <w:sz w:val="21"/>
                <w:szCs w:val="21"/>
                <w:highlight w:val="none"/>
                <w:lang w:val="en-US" w:eastAsia="zh-CN" w:bidi="ar"/>
              </w:rPr>
              <w:t>项化学试剂通过检测，检测结果等级均达到“5级（无明显变化）”</w:t>
            </w:r>
            <w:r>
              <w:rPr>
                <w:rStyle w:val="80"/>
                <w:rFonts w:hint="eastAsia" w:ascii="宋体" w:hAnsi="宋体" w:cs="宋体"/>
                <w:sz w:val="21"/>
                <w:szCs w:val="21"/>
                <w:highlight w:val="none"/>
                <w:lang w:val="en-US" w:eastAsia="zh-CN" w:bidi="ar"/>
              </w:rPr>
              <w:t>；</w:t>
            </w:r>
          </w:p>
          <w:p w14:paraId="6BBA6EE5">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（2）理化板台面甲醛释放量检测结果＜0.012mg/m³（根据测试结果，依据GB/T39600-2021判定为ENF 级）</w:t>
            </w:r>
            <w:r>
              <w:rPr>
                <w:rStyle w:val="80"/>
                <w:rFonts w:hint="eastAsia" w:ascii="宋体" w:hAnsi="宋体" w:cs="宋体"/>
                <w:sz w:val="21"/>
                <w:szCs w:val="21"/>
                <w:highlight w:val="none"/>
                <w:lang w:val="en-US" w:eastAsia="zh-CN" w:bidi="ar"/>
              </w:rPr>
              <w:t>；</w:t>
            </w:r>
          </w:p>
          <w:p w14:paraId="5F6208EC">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（3）理化板台面物理性能按照“GB/T 17657-2022”或“GB/T 7911-2024”检测方法进行检测：“密度”检测结果需≥1.41g/cm3  、“耐划痕”≥4级、“耐大球冲击（冲击高度≥800mm）”凹痕直径≤8mm、“静曲强度”≥130MPa、“抗拉强度”≥65MPa、“尺寸稳定性（高温）-纵向”检验结果≤0.35%、“耐辐射热”≥230s。</w:t>
            </w:r>
          </w:p>
          <w:p w14:paraId="65AF3FE3">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（4）台面板“色差”检测结果达到E≤0.19（检测方法为GB/T 17657-2022）。</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5B06DFB1">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（5）台面板依据GB/T 17657-2022 检测方法：“板面握螺钉力”检测结果达到≥3320N。</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15E54913">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（6）台面板“静曲强度—浸渍-冰冻-干燥处理法”检测结果≥82MPa（检测方法为GB/T 17657-2022）。</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4F24A9C3">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8</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配件配置</w:t>
            </w:r>
          </w:p>
          <w:p w14:paraId="624020DA">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Theme="minorEastAsia" w:hAnsiTheme="minorEastAsia" w:eastAsiaTheme="minorEastAsia" w:cstheme="minorEastAsia"/>
                <w:color w:val="000000"/>
                <w:kern w:val="2"/>
                <w:sz w:val="21"/>
                <w:szCs w:val="21"/>
                <w:highlight w:val="none"/>
                <w:u w:val="none"/>
                <w:lang w:val="en-US" w:eastAsia="zh-CN" w:bidi="ar"/>
              </w:rPr>
            </w:pPr>
            <w:r>
              <w:rPr>
                <w:rStyle w:val="80"/>
                <w:rFonts w:hint="eastAsia" w:ascii="宋体" w:hAnsi="宋体" w:eastAsia="宋体" w:cs="宋体"/>
                <w:sz w:val="21"/>
                <w:szCs w:val="21"/>
                <w:highlight w:val="none"/>
                <w:lang w:val="en-US" w:eastAsia="zh-CN" w:bidi="ar"/>
              </w:rPr>
              <w:t>岛式插座2套</w:t>
            </w:r>
          </w:p>
        </w:tc>
        <w:tc>
          <w:tcPr>
            <w:tcW w:w="349" w:type="pct"/>
            <w:tcBorders>
              <w:top w:val="single" w:color="auto" w:sz="4" w:space="0"/>
              <w:left w:val="nil"/>
              <w:bottom w:val="single" w:color="auto" w:sz="4" w:space="0"/>
              <w:right w:val="single" w:color="auto" w:sz="4" w:space="0"/>
            </w:tcBorders>
            <w:shd w:val="clear" w:color="auto" w:fill="auto"/>
            <w:vAlign w:val="center"/>
          </w:tcPr>
          <w:p w14:paraId="5B6E8572">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2张</w:t>
            </w:r>
          </w:p>
        </w:tc>
      </w:tr>
      <w:tr w14:paraId="6881C749">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347BC15">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D444E04">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839EB7B">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钢木边台</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46B6D6D">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一、</w:t>
            </w:r>
            <w:r>
              <w:rPr>
                <w:rStyle w:val="80"/>
                <w:rFonts w:hint="eastAsia" w:ascii="宋体" w:hAnsi="宋体" w:cs="宋体"/>
                <w:sz w:val="21"/>
                <w:szCs w:val="21"/>
                <w:highlight w:val="none"/>
                <w:lang w:val="en-US" w:eastAsia="zh-CN" w:bidi="ar"/>
              </w:rPr>
              <w:t>尺寸</w:t>
            </w:r>
            <w:r>
              <w:rPr>
                <w:rStyle w:val="80"/>
                <w:rFonts w:hint="eastAsia" w:ascii="宋体" w:hAnsi="宋体" w:eastAsia="宋体" w:cs="宋体"/>
                <w:sz w:val="21"/>
                <w:szCs w:val="21"/>
                <w:highlight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长2400mm*宽750mm*高850mm</w:t>
            </w:r>
          </w:p>
          <w:p w14:paraId="286779E1">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b/>
                <w:bCs/>
                <w:sz w:val="21"/>
                <w:szCs w:val="21"/>
                <w:highlight w:val="none"/>
                <w:lang w:val="en-US" w:eastAsia="zh-CN" w:bidi="ar"/>
              </w:rPr>
            </w:pPr>
            <w:r>
              <w:rPr>
                <w:rStyle w:val="80"/>
                <w:rFonts w:hint="eastAsia" w:ascii="宋体" w:hAnsi="宋体" w:eastAsia="宋体" w:cs="宋体"/>
                <w:sz w:val="21"/>
                <w:szCs w:val="21"/>
                <w:highlight w:val="none"/>
                <w:lang w:val="en-US" w:eastAsia="zh-CN" w:bidi="ar"/>
              </w:rPr>
              <w:t>二、主要参数</w:t>
            </w:r>
          </w:p>
          <w:p w14:paraId="30C1FDEB">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配置：钢木结构，≥12.7mm理化板台面，配岛式插座2套</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柜体：采用≥18mm优质中</w:t>
            </w:r>
            <w:r>
              <w:rPr>
                <w:rStyle w:val="80"/>
                <w:rFonts w:hint="eastAsia" w:ascii="宋体" w:hAnsi="宋体" w:cs="宋体"/>
                <w:sz w:val="21"/>
                <w:szCs w:val="21"/>
                <w:highlight w:val="none"/>
                <w:lang w:val="en-US" w:eastAsia="zh-CN" w:bidi="ar"/>
              </w:rPr>
              <w:t>纤</w:t>
            </w:r>
            <w:r>
              <w:rPr>
                <w:rStyle w:val="80"/>
                <w:rFonts w:hint="eastAsia" w:ascii="宋体" w:hAnsi="宋体" w:eastAsia="宋体" w:cs="宋体"/>
                <w:sz w:val="21"/>
                <w:szCs w:val="21"/>
                <w:highlight w:val="none"/>
                <w:lang w:val="en-US" w:eastAsia="zh-CN" w:bidi="ar"/>
              </w:rPr>
              <w:t>板，≥2.0mm厚封边</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柜门：采用≥18mm优质中</w:t>
            </w:r>
            <w:r>
              <w:rPr>
                <w:rStyle w:val="80"/>
                <w:rFonts w:hint="eastAsia" w:ascii="宋体" w:hAnsi="宋体" w:cs="宋体"/>
                <w:sz w:val="21"/>
                <w:szCs w:val="21"/>
                <w:highlight w:val="none"/>
                <w:lang w:val="en-US" w:eastAsia="zh-CN" w:bidi="ar"/>
              </w:rPr>
              <w:t>纤</w:t>
            </w:r>
            <w:r>
              <w:rPr>
                <w:rStyle w:val="80"/>
                <w:rFonts w:hint="eastAsia" w:ascii="宋体" w:hAnsi="宋体" w:eastAsia="宋体" w:cs="宋体"/>
                <w:sz w:val="21"/>
                <w:szCs w:val="21"/>
                <w:highlight w:val="none"/>
                <w:lang w:val="en-US" w:eastAsia="zh-CN" w:bidi="ar"/>
              </w:rPr>
              <w:t>板，≥2.0mm厚封边</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合页：采用不锈钢隐藏插销合页</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4</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把手：采用PP一体成型拉手</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5</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滑轨：采用16寸优质三节静音导轨</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≥10万次测试无质量问题</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6</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调节脚：采用</w:t>
            </w:r>
            <w:r>
              <w:rPr>
                <w:rStyle w:val="77"/>
                <w:rFonts w:hint="eastAsia" w:ascii="宋体" w:hAnsi="宋体" w:eastAsia="宋体" w:cs="宋体"/>
                <w:sz w:val="21"/>
                <w:szCs w:val="21"/>
                <w:highlight w:val="none"/>
                <w:lang w:val="en-US" w:eastAsia="zh-CN" w:bidi="ar"/>
              </w:rPr>
              <w:t>φ</w:t>
            </w:r>
            <w:r>
              <w:rPr>
                <w:rStyle w:val="80"/>
                <w:rFonts w:hint="eastAsia" w:ascii="宋体" w:hAnsi="宋体" w:eastAsia="宋体" w:cs="宋体"/>
                <w:sz w:val="21"/>
                <w:szCs w:val="21"/>
                <w:highlight w:val="none"/>
                <w:lang w:val="en-US" w:eastAsia="zh-CN" w:bidi="ar"/>
              </w:rPr>
              <w:t>10mm注塑调整脚，可根据室内地坪适当调整柜体高度，最大调节为0-30mm</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7</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台面采用边沿加厚≥26mm实验台</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台面参数要求：</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（1）理化板台面耐化学试剂性能依据“GB/T 17657-2022”检测方法进行检验，乙酸乙酯、乙酸（≥98%）、丙酮、四氯化碳、铬酸（≥60%）、硫酸（≥98%）等至少</w:t>
            </w:r>
            <w:r>
              <w:rPr>
                <w:rStyle w:val="80"/>
                <w:rFonts w:hint="eastAsia" w:ascii="宋体" w:hAnsi="宋体" w:cs="宋体"/>
                <w:sz w:val="21"/>
                <w:szCs w:val="21"/>
                <w:highlight w:val="none"/>
                <w:lang w:val="en-US" w:eastAsia="zh-CN" w:bidi="ar"/>
              </w:rPr>
              <w:t>35</w:t>
            </w:r>
            <w:r>
              <w:rPr>
                <w:rStyle w:val="80"/>
                <w:rFonts w:hint="eastAsia" w:ascii="宋体" w:hAnsi="宋体" w:eastAsia="宋体" w:cs="宋体"/>
                <w:sz w:val="21"/>
                <w:szCs w:val="21"/>
                <w:highlight w:val="none"/>
                <w:lang w:val="en-US" w:eastAsia="zh-CN" w:bidi="ar"/>
              </w:rPr>
              <w:t>项化学试剂通过检测，检测结果等级均达到“5级（无明显变化）”</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（2）理化板台面甲醛释放量检测结果＜0.012mg/m³（根据测试结果，依据GB/T39600-2021判定为ENF 级）</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（3）理化板台面物理性能按照“GB/T 17657-2022”或“GB/T 7911-2024”检测方法进行检测：“密度”检测结果需≥1.41g/cm3  、“耐划痕”≥4级、“耐大球冲击（冲击高度≥800mm）”凹痕直径≤8mm、“静曲强度”≥130MPa、“抗拉强度”≥65MPa、“尺寸稳定性（高温）-纵向”检验结果≤0.35%、“耐辐射热”≥230s。</w:t>
            </w:r>
            <w:r>
              <w:rPr>
                <w:rStyle w:val="80"/>
                <w:rFonts w:hint="eastAsia" w:ascii="宋体" w:hAnsi="宋体" w:eastAsia="宋体" w:cs="宋体"/>
                <w:sz w:val="21"/>
                <w:szCs w:val="21"/>
                <w:highlight w:val="none"/>
                <w:lang w:val="en-US" w:eastAsia="zh-CN" w:bidi="ar"/>
              </w:rPr>
              <w:br w:type="textWrapping"/>
            </w:r>
            <w:r>
              <w:rPr>
                <w:rFonts w:hint="eastAsia"/>
                <w:highlight w:val="none"/>
              </w:rPr>
              <w:t>▲</w:t>
            </w:r>
            <w:r>
              <w:rPr>
                <w:rStyle w:val="80"/>
                <w:rFonts w:hint="eastAsia" w:ascii="宋体" w:hAnsi="宋体" w:eastAsia="宋体" w:cs="宋体"/>
                <w:sz w:val="21"/>
                <w:szCs w:val="21"/>
                <w:highlight w:val="none"/>
                <w:lang w:val="en-US" w:eastAsia="zh-CN" w:bidi="ar"/>
              </w:rPr>
              <w:t>（4）台面板“色差”检测结果达到E≤0.19（检测方法为GB/T 17657-2022）。</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sz w:val="21"/>
                <w:szCs w:val="21"/>
                <w:highlight w:val="none"/>
                <w:lang w:val="en-US" w:eastAsia="zh-CN" w:bidi="ar"/>
              </w:rPr>
              <w:t>；</w:t>
            </w:r>
          </w:p>
          <w:p w14:paraId="5004B61F">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（5）台面板依据GB/T 17657-2022 检测方法：“板面握螺钉力”检测结果达到≥3320N。</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40EBC78E">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highlight w:val="none"/>
              </w:rPr>
              <w:t>▲</w:t>
            </w:r>
            <w:r>
              <w:rPr>
                <w:rStyle w:val="80"/>
                <w:rFonts w:hint="eastAsia" w:ascii="宋体" w:hAnsi="宋体" w:eastAsia="宋体" w:cs="宋体"/>
                <w:sz w:val="21"/>
                <w:szCs w:val="21"/>
                <w:highlight w:val="none"/>
                <w:lang w:val="en-US" w:eastAsia="zh-CN" w:bidi="ar"/>
              </w:rPr>
              <w:t>（6）台面板“静曲强度—浸渍-冰冻-干燥处理法”检测结果≥82MPa（检测方法为GB/T 17657-2022）。</w:t>
            </w:r>
            <w:r>
              <w:rPr>
                <w:rStyle w:val="80"/>
                <w:rFonts w:hint="eastAsia" w:ascii="宋体" w:hAnsi="宋体" w:eastAsia="宋体" w:cs="宋体"/>
                <w:b/>
                <w:bCs/>
                <w:sz w:val="21"/>
                <w:szCs w:val="21"/>
                <w:highlight w:val="none"/>
                <w:lang w:val="en-US" w:eastAsia="zh-CN" w:bidi="ar"/>
              </w:rPr>
              <w:t>须提供由具备CMA（检验检测机构资质认定）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8</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配件配置</w:t>
            </w:r>
            <w:r>
              <w:rPr>
                <w:rStyle w:val="80"/>
                <w:rFonts w:hint="eastAsia" w:ascii="宋体" w:hAnsi="宋体" w:eastAsia="宋体" w:cs="宋体"/>
                <w:sz w:val="21"/>
                <w:szCs w:val="21"/>
                <w:highlight w:val="none"/>
                <w:lang w:val="en-US" w:eastAsia="zh-CN" w:bidi="ar"/>
              </w:rPr>
              <w:br w:type="textWrapping"/>
            </w:r>
            <w:r>
              <w:rPr>
                <w:rStyle w:val="80"/>
                <w:rFonts w:hint="eastAsia" w:ascii="宋体" w:hAnsi="宋体" w:eastAsia="宋体" w:cs="宋体"/>
                <w:sz w:val="21"/>
                <w:szCs w:val="21"/>
                <w:highlight w:val="none"/>
                <w:lang w:val="en-US" w:eastAsia="zh-CN" w:bidi="ar"/>
              </w:rPr>
              <w:t>岛式插座2套</w:t>
            </w:r>
            <w:r>
              <w:rPr>
                <w:rStyle w:val="80"/>
                <w:rFonts w:hint="eastAsia" w:ascii="宋体" w:hAnsi="宋体" w:cs="宋体"/>
                <w:sz w:val="21"/>
                <w:szCs w:val="21"/>
                <w:highlight w:val="none"/>
                <w:lang w:val="en-US" w:eastAsia="zh-CN" w:bidi="ar"/>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42EABC4A">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2张</w:t>
            </w:r>
          </w:p>
        </w:tc>
      </w:tr>
      <w:tr w14:paraId="0D546EBE">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8021A5E">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6D55252">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2CA5330">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全钢通风柜-直排（陶瓷台面）</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BB3F0F3">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一、尺寸：≥1200mm*850mm*2350mm</w:t>
            </w:r>
          </w:p>
          <w:p w14:paraId="4CA8891D">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二、主要参数</w:t>
            </w:r>
          </w:p>
          <w:p w14:paraId="457EFDCD">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1.壳体部分：采用≥1.2mm优质冷轧钢板，表面经酸洗磷化处理后喷涂环氧树脂粉末高温烘烤固化；</w:t>
            </w:r>
          </w:p>
          <w:p w14:paraId="5A9A2459">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2.柜体内衬与导流板：采用通风柜专用抗倍特板，厚度≥4.95mm，鉴于通风柜使用过程中涉及到使用过程中温度高，环境复杂</w:t>
            </w:r>
            <w:r>
              <w:rPr>
                <w:rStyle w:val="80"/>
                <w:rFonts w:hint="eastAsia" w:ascii="宋体" w:hAnsi="宋体" w:cs="宋体"/>
                <w:sz w:val="21"/>
                <w:szCs w:val="21"/>
                <w:highlight w:val="none"/>
                <w:lang w:val="en-US" w:eastAsia="zh-CN" w:bidi="ar"/>
              </w:rPr>
              <w:t>；</w:t>
            </w:r>
          </w:p>
          <w:p w14:paraId="460EC572">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3.顶板视窗：升降门采用同步轮设计，此设计无噪声、无晃动、具有安全式自锁功能，并可停留在任意位置，操作方便。视窗≥5mm厚钢化玻璃，带PVC护套同步轮绳，护套与钢丝绳为一体，具有防腐、耐磨特点</w:t>
            </w:r>
            <w:r>
              <w:rPr>
                <w:rStyle w:val="80"/>
                <w:rFonts w:hint="eastAsia" w:ascii="宋体" w:hAnsi="宋体" w:cs="宋体"/>
                <w:sz w:val="21"/>
                <w:szCs w:val="21"/>
                <w:highlight w:val="none"/>
                <w:lang w:val="en-US" w:eastAsia="zh-CN" w:bidi="ar"/>
              </w:rPr>
              <w:t>；</w:t>
            </w:r>
          </w:p>
          <w:p w14:paraId="6735D893">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4.窗口把手：厚≥2.0mm环氧喷涂的铝型材</w:t>
            </w:r>
            <w:r>
              <w:rPr>
                <w:rStyle w:val="80"/>
                <w:rFonts w:hint="eastAsia" w:ascii="宋体" w:hAnsi="宋体" w:cs="宋体"/>
                <w:sz w:val="21"/>
                <w:szCs w:val="21"/>
                <w:highlight w:val="none"/>
                <w:lang w:val="en-US" w:eastAsia="zh-CN" w:bidi="ar"/>
              </w:rPr>
              <w:t>；</w:t>
            </w:r>
          </w:p>
          <w:p w14:paraId="11CE505E">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5.照明：防腐灯座，LED灯，照明不少于350LUX</w:t>
            </w:r>
            <w:r>
              <w:rPr>
                <w:rStyle w:val="80"/>
                <w:rFonts w:hint="eastAsia" w:ascii="宋体" w:hAnsi="宋体" w:cs="宋体"/>
                <w:sz w:val="21"/>
                <w:szCs w:val="21"/>
                <w:highlight w:val="none"/>
                <w:lang w:val="en-US" w:eastAsia="zh-CN" w:bidi="ar"/>
              </w:rPr>
              <w:t>；</w:t>
            </w:r>
          </w:p>
          <w:p w14:paraId="48D7258D">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6.台面：采用≥20mm厚一体成型高温烧制实验室工业陶瓷台面，见截面采用同色低温上釉（或者黑坯；釉面细腻，不允许荔枝麻面等粗糙釉面效果、不接受两片薄瓷砖粘贴复合型陶瓷板），台面高温一体烧制成型，耐高温，耐强酸、强碱、强有机溶剂、染色剂等各种化学试剂，耐刮磨，抗污染，抗菌。台面四周带安全倒角，工艺细节美观大方</w:t>
            </w:r>
            <w:r>
              <w:rPr>
                <w:rStyle w:val="80"/>
                <w:rFonts w:hint="eastAsia" w:ascii="宋体" w:hAnsi="宋体" w:cs="宋体"/>
                <w:sz w:val="21"/>
                <w:szCs w:val="21"/>
                <w:highlight w:val="none"/>
                <w:lang w:val="en-US" w:eastAsia="zh-CN" w:bidi="ar"/>
              </w:rPr>
              <w:t>；</w:t>
            </w:r>
          </w:p>
          <w:p w14:paraId="1D03786B">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台面满足以下参数：</w:t>
            </w:r>
          </w:p>
          <w:p w14:paraId="162A904F">
            <w:pPr>
              <w:keepNext w:val="0"/>
              <w:keepLines w:val="0"/>
              <w:pageBreakBefore w:val="0"/>
              <w:widowControl/>
              <w:numPr>
                <w:ilvl w:val="0"/>
                <w:numId w:val="9"/>
              </w:numPr>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抗化学污染性能：</w:t>
            </w:r>
            <w:r>
              <w:rPr>
                <w:rFonts w:hint="eastAsia" w:ascii="宋体" w:hAnsi="宋体" w:eastAsia="宋体" w:cs="宋体"/>
                <w:i w:val="0"/>
                <w:iCs w:val="0"/>
                <w:color w:val="000000"/>
                <w:kern w:val="0"/>
                <w:sz w:val="21"/>
                <w:szCs w:val="21"/>
                <w:highlight w:val="none"/>
                <w:u w:val="none"/>
                <w:lang w:val="en-US" w:eastAsia="zh-CN" w:bidi="ar"/>
              </w:rPr>
              <w:t>产品抗化学污染等级达到 5 级，无明显变化；可耐受乳酸、双氧水、过氧乙酸、次氯酸钠、烷类等不少于 60 种化学试剂腐蚀</w:t>
            </w:r>
            <w:r>
              <w:rPr>
                <w:rFonts w:hint="eastAsia" w:ascii="宋体" w:hAnsi="宋体" w:cs="宋体"/>
                <w:i w:val="0"/>
                <w:iCs w:val="0"/>
                <w:color w:val="000000"/>
                <w:kern w:val="0"/>
                <w:sz w:val="21"/>
                <w:szCs w:val="21"/>
                <w:highlight w:val="none"/>
                <w:u w:val="none"/>
                <w:lang w:val="en-US" w:eastAsia="zh-CN" w:bidi="ar"/>
              </w:rPr>
              <w:t>；</w:t>
            </w:r>
          </w:p>
          <w:p w14:paraId="3BDD56B9">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（2）承载性能检测：参照T/CIQA 10-200 4.1.2附录A检测标准，在样品上施加≥400kg载荷,保载时间≥50h，样品未被破坏；</w:t>
            </w:r>
          </w:p>
          <w:p w14:paraId="39EB3565">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cs="宋体"/>
                <w:b/>
                <w:bCs/>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（3）破坏强度、断裂模数：参照 GB/T 3810.4</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2016《陶瓷砖试验方法 第 4 部分：断裂模数和破坏强度的测定》，满足实验室陶瓷台面使用要求</w:t>
            </w:r>
            <w:r>
              <w:rPr>
                <w:rStyle w:val="80"/>
                <w:rFonts w:hint="eastAsia" w:ascii="宋体" w:hAnsi="宋体" w:cs="宋体"/>
                <w:sz w:val="21"/>
                <w:szCs w:val="21"/>
                <w:highlight w:val="none"/>
                <w:lang w:val="en-US" w:eastAsia="zh-CN" w:bidi="ar"/>
              </w:rPr>
              <w:t>；</w:t>
            </w:r>
            <w:r>
              <w:rPr>
                <w:rStyle w:val="80"/>
                <w:rFonts w:hint="eastAsia" w:ascii="宋体" w:hAnsi="宋体" w:cs="宋体"/>
                <w:b/>
                <w:bCs/>
                <w:sz w:val="21"/>
                <w:szCs w:val="21"/>
                <w:highlight w:val="none"/>
                <w:lang w:val="en-US" w:eastAsia="zh-CN" w:bidi="ar"/>
              </w:rPr>
              <w:t>竞</w:t>
            </w:r>
            <w:r>
              <w:rPr>
                <w:rStyle w:val="80"/>
                <w:rFonts w:hint="eastAsia" w:ascii="宋体" w:hAnsi="宋体" w:eastAsia="宋体" w:cs="宋体"/>
                <w:b/>
                <w:bCs/>
                <w:sz w:val="21"/>
                <w:szCs w:val="21"/>
                <w:highlight w:val="none"/>
                <w:lang w:val="en-US" w:eastAsia="zh-CN" w:bidi="ar"/>
              </w:rPr>
              <w:t>标提供承诺</w:t>
            </w:r>
            <w:r>
              <w:rPr>
                <w:rStyle w:val="80"/>
                <w:rFonts w:hint="eastAsia" w:ascii="宋体" w:hAnsi="宋体" w:cs="宋体"/>
                <w:b/>
                <w:bCs/>
                <w:sz w:val="21"/>
                <w:szCs w:val="21"/>
                <w:highlight w:val="none"/>
                <w:lang w:val="en-US" w:eastAsia="zh-CN" w:bidi="ar"/>
              </w:rPr>
              <w:t>书</w:t>
            </w:r>
            <w:r>
              <w:rPr>
                <w:rStyle w:val="80"/>
                <w:rFonts w:hint="eastAsia" w:ascii="宋体" w:hAnsi="宋体" w:eastAsia="宋体" w:cs="宋体"/>
                <w:b/>
                <w:bCs/>
                <w:sz w:val="21"/>
                <w:szCs w:val="21"/>
                <w:highlight w:val="none"/>
                <w:lang w:val="en-US" w:eastAsia="zh-CN" w:bidi="ar"/>
              </w:rPr>
              <w:t>，</w:t>
            </w:r>
            <w:r>
              <w:rPr>
                <w:rStyle w:val="80"/>
                <w:rFonts w:hint="eastAsia" w:ascii="宋体" w:hAnsi="宋体" w:cs="宋体"/>
                <w:b/>
                <w:bCs/>
                <w:sz w:val="21"/>
                <w:szCs w:val="21"/>
                <w:highlight w:val="none"/>
                <w:lang w:val="en-US" w:eastAsia="zh-CN" w:bidi="ar"/>
              </w:rPr>
              <w:t>承诺供货时</w:t>
            </w:r>
            <w:r>
              <w:rPr>
                <w:rStyle w:val="80"/>
                <w:rFonts w:hint="eastAsia" w:ascii="宋体" w:hAnsi="宋体" w:eastAsia="宋体" w:cs="宋体"/>
                <w:b/>
                <w:bCs/>
                <w:sz w:val="21"/>
                <w:szCs w:val="21"/>
                <w:highlight w:val="none"/>
                <w:lang w:val="en-US" w:eastAsia="zh-CN" w:bidi="ar"/>
              </w:rPr>
              <w:t>验收提供须具备CMA（检验检测机构资质认定） 或 CNAS（中国合格评定国家认可委员会）资质的第三方检验检测机构出具的检测报告复印件</w:t>
            </w:r>
            <w:r>
              <w:rPr>
                <w:rStyle w:val="80"/>
                <w:rFonts w:hint="eastAsia" w:ascii="宋体" w:hAnsi="宋体" w:cs="宋体"/>
                <w:b/>
                <w:bCs/>
                <w:sz w:val="21"/>
                <w:szCs w:val="21"/>
                <w:highlight w:val="none"/>
                <w:lang w:val="en-US" w:eastAsia="zh-CN" w:bidi="ar"/>
              </w:rPr>
              <w:t>；</w:t>
            </w:r>
          </w:p>
          <w:p w14:paraId="296FAA37">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（4）光泽度</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参照GB/T13891-2008标准，检测结果范围为：21-23；</w:t>
            </w:r>
            <w:r>
              <w:rPr>
                <w:rStyle w:val="80"/>
                <w:rFonts w:hint="eastAsia" w:ascii="宋体" w:hAnsi="宋体" w:eastAsia="宋体" w:cs="宋体"/>
                <w:b/>
                <w:bCs/>
                <w:sz w:val="21"/>
                <w:szCs w:val="21"/>
                <w:highlight w:val="none"/>
                <w:lang w:val="en-US" w:eastAsia="zh-CN" w:bidi="ar"/>
              </w:rPr>
              <w:t>须具备CMA（检验检测机构资质认定）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4D6BC03B">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（5）抗菌性能：检测标准依据JC/T897-2014检测，要求≥</w:t>
            </w:r>
            <w:r>
              <w:rPr>
                <w:rStyle w:val="80"/>
                <w:rFonts w:hint="eastAsia" w:ascii="宋体" w:hAnsi="宋体" w:cs="宋体"/>
                <w:sz w:val="21"/>
                <w:szCs w:val="21"/>
                <w:highlight w:val="none"/>
                <w:lang w:val="en-US" w:eastAsia="zh-CN" w:bidi="ar"/>
              </w:rPr>
              <w:t>2</w:t>
            </w:r>
            <w:r>
              <w:rPr>
                <w:rStyle w:val="80"/>
                <w:rFonts w:hint="eastAsia" w:ascii="宋体" w:hAnsi="宋体" w:eastAsia="宋体" w:cs="宋体"/>
                <w:sz w:val="21"/>
                <w:szCs w:val="21"/>
                <w:highlight w:val="none"/>
                <w:lang w:val="en-US" w:eastAsia="zh-CN" w:bidi="ar"/>
              </w:rPr>
              <w:t>种细菌的检测，检测样品数量≥</w:t>
            </w:r>
            <w:r>
              <w:rPr>
                <w:rStyle w:val="80"/>
                <w:rFonts w:hint="eastAsia" w:ascii="宋体" w:hAnsi="宋体" w:cs="宋体"/>
                <w:sz w:val="21"/>
                <w:szCs w:val="21"/>
                <w:highlight w:val="none"/>
                <w:lang w:val="en-US" w:eastAsia="zh-CN" w:bidi="ar"/>
              </w:rPr>
              <w:t>3</w:t>
            </w:r>
            <w:r>
              <w:rPr>
                <w:rStyle w:val="80"/>
                <w:rFonts w:hint="eastAsia" w:ascii="宋体" w:hAnsi="宋体" w:eastAsia="宋体" w:cs="宋体"/>
                <w:sz w:val="21"/>
                <w:szCs w:val="21"/>
                <w:highlight w:val="none"/>
                <w:lang w:val="en-US" w:eastAsia="zh-CN" w:bidi="ar"/>
              </w:rPr>
              <w:t>片；其中不低于</w:t>
            </w:r>
            <w:r>
              <w:rPr>
                <w:rStyle w:val="80"/>
                <w:rFonts w:hint="eastAsia" w:ascii="宋体" w:hAnsi="宋体" w:cs="宋体"/>
                <w:sz w:val="21"/>
                <w:szCs w:val="21"/>
                <w:highlight w:val="none"/>
                <w:lang w:val="en-US" w:eastAsia="zh-CN" w:bidi="ar"/>
              </w:rPr>
              <w:t>2</w:t>
            </w:r>
            <w:r>
              <w:rPr>
                <w:rStyle w:val="80"/>
                <w:rFonts w:hint="eastAsia" w:ascii="宋体" w:hAnsi="宋体" w:eastAsia="宋体" w:cs="宋体"/>
                <w:sz w:val="21"/>
                <w:szCs w:val="21"/>
                <w:highlight w:val="none"/>
                <w:lang w:val="en-US" w:eastAsia="zh-CN" w:bidi="ar"/>
              </w:rPr>
              <w:t>种菌种抗菌率不低于</w:t>
            </w:r>
            <w:r>
              <w:rPr>
                <w:rStyle w:val="80"/>
                <w:rFonts w:hint="eastAsia" w:ascii="宋体" w:hAnsi="宋体" w:cs="宋体"/>
                <w:sz w:val="21"/>
                <w:szCs w:val="21"/>
                <w:highlight w:val="none"/>
                <w:lang w:val="en-US" w:eastAsia="zh-CN" w:bidi="ar"/>
              </w:rPr>
              <w:t>90</w:t>
            </w:r>
            <w:r>
              <w:rPr>
                <w:rStyle w:val="80"/>
                <w:rFonts w:hint="eastAsia" w:ascii="宋体" w:hAnsi="宋体" w:eastAsia="宋体" w:cs="宋体"/>
                <w:sz w:val="21"/>
                <w:szCs w:val="21"/>
                <w:highlight w:val="none"/>
                <w:lang w:val="en-US" w:eastAsia="zh-CN" w:bidi="ar"/>
              </w:rPr>
              <w:t>%；（菌种包括大肠杆菌、金黄色葡萄球菌等），</w:t>
            </w:r>
            <w:r>
              <w:rPr>
                <w:rStyle w:val="80"/>
                <w:rFonts w:hint="eastAsia" w:ascii="宋体" w:hAnsi="宋体" w:eastAsia="宋体" w:cs="宋体"/>
                <w:b/>
                <w:bCs/>
                <w:sz w:val="21"/>
                <w:szCs w:val="21"/>
                <w:highlight w:val="none"/>
                <w:lang w:val="en-US" w:eastAsia="zh-CN" w:bidi="ar"/>
              </w:rPr>
              <w:t>须具备CMA（检验检测机构资质认定）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 xml:space="preserve"> </w:t>
            </w:r>
          </w:p>
          <w:p w14:paraId="2054EF0B">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（6）为保障实验人员健康，人造板环保性能须符合国家现行强制标准要求：</w:t>
            </w:r>
          </w:p>
          <w:p w14:paraId="59DAB4D3">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①甲醛释放量（1m³气候箱法），依据GB 18580</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2025，试验时间72h，满足标准规定限量要求；</w:t>
            </w:r>
          </w:p>
          <w:p w14:paraId="0900254F">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sz w:val="21"/>
                <w:szCs w:val="21"/>
                <w:highlight w:val="none"/>
                <w:lang w:val="en-US" w:eastAsia="zh-CN" w:bidi="ar"/>
              </w:rPr>
              <w:t>②甲醛释放量（干燥器法）依据 GB/T17657</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2022，满足标准限量要求；</w:t>
            </w:r>
          </w:p>
          <w:p w14:paraId="73C7425C">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Style w:val="80"/>
                <w:rFonts w:hint="eastAsia" w:ascii="宋体" w:hAnsi="宋体" w:eastAsia="宋体" w:cs="宋体"/>
                <w:b/>
                <w:bCs/>
                <w:sz w:val="21"/>
                <w:szCs w:val="21"/>
                <w:highlight w:val="none"/>
                <w:lang w:val="en-US" w:eastAsia="zh-CN" w:bidi="ar"/>
              </w:rPr>
              <w:t>须</w:t>
            </w:r>
            <w:r>
              <w:rPr>
                <w:rStyle w:val="80"/>
                <w:rFonts w:hint="eastAsia" w:ascii="宋体" w:hAnsi="宋体" w:cs="宋体"/>
                <w:b/>
                <w:bCs/>
                <w:sz w:val="21"/>
                <w:szCs w:val="21"/>
                <w:highlight w:val="none"/>
                <w:lang w:val="en-US" w:eastAsia="zh-CN" w:bidi="ar"/>
              </w:rPr>
              <w:t>提供</w:t>
            </w:r>
            <w:r>
              <w:rPr>
                <w:rStyle w:val="80"/>
                <w:rFonts w:hint="eastAsia" w:ascii="宋体" w:hAnsi="宋体" w:eastAsia="宋体" w:cs="宋体"/>
                <w:b/>
                <w:bCs/>
                <w:sz w:val="21"/>
                <w:szCs w:val="21"/>
                <w:highlight w:val="none"/>
                <w:lang w:val="en-US" w:eastAsia="zh-CN" w:bidi="ar"/>
              </w:rPr>
              <w:t>具备CMA（检验检测机构资质认定）或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p w14:paraId="74CEA95F">
            <w:pPr>
              <w:keepNext w:val="0"/>
              <w:keepLines w:val="0"/>
              <w:pageBreakBefore w:val="0"/>
              <w:widowControl/>
              <w:suppressLineNumbers w:val="0"/>
              <w:kinsoku/>
              <w:wordWrap/>
              <w:overflowPunct/>
              <w:topLinePunct w:val="0"/>
              <w:autoSpaceDE/>
              <w:bidi w:val="0"/>
              <w:spacing w:line="360" w:lineRule="auto"/>
              <w:jc w:val="left"/>
              <w:textAlignment w:val="center"/>
              <w:rPr>
                <w:rStyle w:val="80"/>
                <w:rFonts w:hint="eastAsia" w:ascii="宋体" w:hAnsi="宋体" w:eastAsia="宋体" w:cs="宋体"/>
                <w:sz w:val="21"/>
                <w:szCs w:val="21"/>
                <w:highlight w:val="none"/>
                <w:lang w:val="en-US" w:eastAsia="zh-CN" w:bidi="ar"/>
              </w:rPr>
            </w:pPr>
            <w:r>
              <w:rPr>
                <w:rFonts w:hint="eastAsia"/>
                <w:highlight w:val="none"/>
              </w:rPr>
              <w:t>▲</w:t>
            </w:r>
            <w:r>
              <w:rPr>
                <w:rStyle w:val="80"/>
                <w:rFonts w:hint="eastAsia" w:ascii="宋体" w:hAnsi="宋体" w:eastAsia="宋体" w:cs="宋体"/>
                <w:sz w:val="21"/>
                <w:szCs w:val="21"/>
                <w:highlight w:val="none"/>
                <w:lang w:val="en-US" w:eastAsia="zh-CN" w:bidi="ar"/>
              </w:rPr>
              <w:t>（7）耐高温性能：参照GB/T24820-2024及QB/T5589-2021标准：检测结果为表面无裂纹；</w:t>
            </w:r>
            <w:r>
              <w:rPr>
                <w:rStyle w:val="80"/>
                <w:rFonts w:hint="eastAsia" w:ascii="宋体" w:hAnsi="宋体" w:eastAsia="宋体" w:cs="宋体"/>
                <w:b/>
                <w:bCs/>
                <w:sz w:val="21"/>
                <w:szCs w:val="21"/>
                <w:highlight w:val="none"/>
                <w:lang w:val="en-US" w:eastAsia="zh-CN" w:bidi="ar"/>
              </w:rPr>
              <w:t>须具备CMA（检验检测机构资质认定） 或 CNAS（中国合格评定国家认可委员会）资质的第三方检验检测机构出具的检测报告复印件，并加盖供应商公章。</w:t>
            </w:r>
          </w:p>
          <w:p w14:paraId="7B342D31">
            <w:pPr>
              <w:keepNext w:val="0"/>
              <w:keepLines w:val="0"/>
              <w:pageBreakBefore w:val="0"/>
              <w:widowControl/>
              <w:suppressLineNumbers w:val="0"/>
              <w:kinsoku/>
              <w:wordWrap/>
              <w:overflowPunct/>
              <w:topLinePunct w:val="0"/>
              <w:autoSpaceDE/>
              <w:bidi w:val="0"/>
              <w:spacing w:line="360" w:lineRule="auto"/>
              <w:jc w:val="left"/>
              <w:textAlignment w:val="center"/>
              <w:rPr>
                <w:rFonts w:hint="eastAsia" w:asciiTheme="minorEastAsia" w:hAnsiTheme="minorEastAsia" w:eastAsiaTheme="minorEastAsia" w:cstheme="minorEastAsia"/>
                <w:color w:val="000000"/>
                <w:kern w:val="0"/>
                <w:sz w:val="21"/>
                <w:szCs w:val="21"/>
                <w:highlight w:val="none"/>
                <w:lang w:val="en-US" w:eastAsia="zh-CN" w:bidi="ar-SA"/>
              </w:rPr>
            </w:pPr>
            <w:r>
              <w:rPr>
                <w:rFonts w:hint="eastAsia"/>
                <w:highlight w:val="none"/>
              </w:rPr>
              <w:t>▲</w:t>
            </w:r>
            <w:r>
              <w:rPr>
                <w:rStyle w:val="80"/>
                <w:rFonts w:hint="eastAsia" w:ascii="宋体" w:hAnsi="宋体" w:eastAsia="宋体" w:cs="宋体"/>
                <w:sz w:val="21"/>
                <w:szCs w:val="21"/>
                <w:highlight w:val="none"/>
                <w:lang w:val="en-US" w:eastAsia="zh-CN" w:bidi="ar"/>
              </w:rPr>
              <w:t>（8）破坏强度</w:t>
            </w:r>
            <w:r>
              <w:rPr>
                <w:rStyle w:val="80"/>
                <w:rFonts w:hint="eastAsia" w:ascii="宋体" w:hAnsi="宋体" w:cs="宋体"/>
                <w:sz w:val="21"/>
                <w:szCs w:val="21"/>
                <w:highlight w:val="none"/>
                <w:lang w:val="en-US" w:eastAsia="zh-CN" w:bidi="ar"/>
              </w:rPr>
              <w:t>：</w:t>
            </w:r>
            <w:r>
              <w:rPr>
                <w:rStyle w:val="80"/>
                <w:rFonts w:hint="eastAsia" w:ascii="宋体" w:hAnsi="宋体" w:eastAsia="宋体" w:cs="宋体"/>
                <w:sz w:val="21"/>
                <w:szCs w:val="21"/>
                <w:highlight w:val="none"/>
                <w:lang w:val="en-US" w:eastAsia="zh-CN" w:bidi="ar"/>
              </w:rPr>
              <w:t>参照GB/T 3810.4-2016标准：台面破坏强度检测结果为≥23510N。</w:t>
            </w:r>
            <w:r>
              <w:rPr>
                <w:rStyle w:val="80"/>
                <w:rFonts w:hint="eastAsia" w:ascii="宋体" w:hAnsi="宋体" w:eastAsia="宋体" w:cs="宋体"/>
                <w:b/>
                <w:bCs/>
                <w:sz w:val="21"/>
                <w:szCs w:val="21"/>
                <w:highlight w:val="none"/>
                <w:lang w:val="en-US" w:eastAsia="zh-CN" w:bidi="ar"/>
              </w:rPr>
              <w:t>须具备CMA（检验检测机构资质认定） 或 CNAS（中国合格评定国家认可委员会）资质的第三方检验检测机构出具的检测报告复印件，并加盖供应商公章</w:t>
            </w:r>
            <w:r>
              <w:rPr>
                <w:rStyle w:val="80"/>
                <w:rFonts w:hint="eastAsia" w:ascii="宋体" w:hAnsi="宋体" w:cs="宋体"/>
                <w:b/>
                <w:bCs/>
                <w:sz w:val="21"/>
                <w:szCs w:val="21"/>
                <w:highlight w:val="none"/>
                <w:lang w:val="en-US" w:eastAsia="zh-CN" w:bidi="ar"/>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5DB23F86">
            <w:pPr>
              <w:keepNext w:val="0"/>
              <w:keepLines w:val="0"/>
              <w:pageBreakBefore w:val="0"/>
              <w:widowControl/>
              <w:suppressLineNumbers w:val="0"/>
              <w:kinsoku/>
              <w:wordWrap/>
              <w:overflowPunct/>
              <w:topLinePunct w:val="0"/>
              <w:autoSpaceDE/>
              <w:bidi w:val="0"/>
              <w:spacing w:line="360" w:lineRule="auto"/>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1台</w:t>
            </w:r>
          </w:p>
        </w:tc>
      </w:tr>
      <w:tr w14:paraId="2550E37C">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5515D36">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AC989DB">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EA16644">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sz w:val="21"/>
                <w:szCs w:val="21"/>
                <w:highlight w:val="none"/>
                <w:lang w:val="en-US" w:eastAsia="zh-CN"/>
              </w:rPr>
              <w:t>数显手动压片机</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4550631">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技术参数：</w:t>
            </w:r>
          </w:p>
          <w:p w14:paraId="0D539CF8">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1.压力范围：0-40T(0-30MPa)</w:t>
            </w:r>
            <w:r>
              <w:rPr>
                <w:rFonts w:hint="eastAsia" w:ascii="宋体" w:hAnsi="宋体" w:cs="宋体"/>
                <w:sz w:val="21"/>
                <w:szCs w:val="21"/>
                <w:highlight w:val="none"/>
                <w:vertAlign w:val="baseline"/>
                <w:lang w:val="en-US" w:eastAsia="zh-CN"/>
              </w:rPr>
              <w:t>；</w:t>
            </w:r>
          </w:p>
          <w:p w14:paraId="6F23061E">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r>
              <w:rPr>
                <w:rFonts w:hint="eastAsia" w:ascii="宋体" w:hAnsi="宋体" w:eastAsia="宋体" w:cs="宋体"/>
                <w:sz w:val="21"/>
                <w:szCs w:val="21"/>
                <w:highlight w:val="none"/>
                <w:vertAlign w:val="baseline"/>
                <w:lang w:val="en-US" w:eastAsia="zh-CN"/>
              </w:rPr>
              <w:t>活塞直径：</w:t>
            </w:r>
            <w:r>
              <w:rPr>
                <w:rFonts w:hint="eastAsia" w:ascii="宋体" w:hAnsi="宋体" w:cs="宋体"/>
                <w:sz w:val="21"/>
                <w:szCs w:val="21"/>
                <w:highlight w:val="none"/>
                <w:vertAlign w:val="baseline"/>
                <w:lang w:val="en-US" w:eastAsia="zh-CN"/>
              </w:rPr>
              <w:t>≥</w:t>
            </w:r>
            <w:r>
              <w:rPr>
                <w:rFonts w:hint="eastAsia" w:ascii="宋体" w:hAnsi="宋体" w:eastAsia="宋体" w:cs="宋体"/>
                <w:sz w:val="21"/>
                <w:szCs w:val="21"/>
                <w:highlight w:val="none"/>
                <w:vertAlign w:val="baseline"/>
                <w:lang w:val="en-US" w:eastAsia="zh-CN"/>
              </w:rPr>
              <w:t>Φ130mm</w:t>
            </w:r>
            <w:r>
              <w:rPr>
                <w:rFonts w:hint="eastAsia"/>
                <w:highlight w:val="none"/>
                <w:lang w:val="en-US" w:eastAsia="zh-CN"/>
              </w:rPr>
              <w:t>或最大压力≥40T，油缸表面镀铬防腐处理</w:t>
            </w:r>
            <w:r>
              <w:rPr>
                <w:rFonts w:hint="eastAsia"/>
                <w:highlight w:val="none"/>
                <w:lang w:eastAsia="zh-CN"/>
              </w:rPr>
              <w:t>；</w:t>
            </w:r>
          </w:p>
          <w:p w14:paraId="4F372230">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r>
              <w:rPr>
                <w:rFonts w:hint="eastAsia" w:ascii="宋体" w:hAnsi="宋体" w:eastAsia="宋体" w:cs="宋体"/>
                <w:sz w:val="21"/>
                <w:szCs w:val="21"/>
                <w:highlight w:val="none"/>
                <w:vertAlign w:val="baseline"/>
                <w:lang w:val="en-US" w:eastAsia="zh-CN"/>
              </w:rPr>
              <w:t>整体结构：主机结构具备可靠防漏油设计，降低液压系统漏油风险</w:t>
            </w:r>
            <w:r>
              <w:rPr>
                <w:rFonts w:hint="eastAsia"/>
                <w:highlight w:val="none"/>
                <w:lang w:eastAsia="zh-CN"/>
              </w:rPr>
              <w:t>；</w:t>
            </w:r>
          </w:p>
          <w:p w14:paraId="0B3AF960">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r>
              <w:rPr>
                <w:rFonts w:hint="eastAsia" w:ascii="宋体" w:hAnsi="宋体" w:eastAsia="宋体" w:cs="宋体"/>
                <w:sz w:val="21"/>
                <w:szCs w:val="21"/>
                <w:highlight w:val="none"/>
                <w:vertAlign w:val="baseline"/>
                <w:lang w:val="en-US" w:eastAsia="zh-CN"/>
              </w:rPr>
              <w:t>压力表：数字显示≥0.00-40.00吨</w:t>
            </w:r>
            <w:r>
              <w:rPr>
                <w:rFonts w:hint="eastAsia" w:ascii="宋体" w:hAnsi="宋体" w:cs="宋体"/>
                <w:sz w:val="21"/>
                <w:szCs w:val="21"/>
                <w:highlight w:val="none"/>
                <w:vertAlign w:val="baseline"/>
                <w:lang w:val="en-US" w:eastAsia="zh-CN"/>
              </w:rPr>
              <w:t>；</w:t>
            </w:r>
          </w:p>
          <w:p w14:paraId="7E61322B">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r>
              <w:rPr>
                <w:rFonts w:hint="eastAsia" w:ascii="宋体" w:hAnsi="宋体" w:eastAsia="宋体" w:cs="宋体"/>
                <w:sz w:val="21"/>
                <w:szCs w:val="21"/>
                <w:highlight w:val="none"/>
                <w:vertAlign w:val="baseline"/>
                <w:lang w:val="en-US" w:eastAsia="zh-CN"/>
              </w:rPr>
              <w:t>最大活塞行程：</w:t>
            </w:r>
            <w:r>
              <w:rPr>
                <w:rFonts w:hint="eastAsia"/>
                <w:highlight w:val="none"/>
                <w:lang w:val="en-US" w:eastAsia="zh-CN"/>
              </w:rPr>
              <w:t>≥</w:t>
            </w:r>
            <w:r>
              <w:rPr>
                <w:rFonts w:hint="eastAsia" w:ascii="宋体" w:hAnsi="宋体" w:eastAsia="宋体" w:cs="宋体"/>
                <w:sz w:val="21"/>
                <w:szCs w:val="21"/>
                <w:highlight w:val="none"/>
                <w:vertAlign w:val="baseline"/>
                <w:lang w:val="en-US" w:eastAsia="zh-CN"/>
              </w:rPr>
              <w:t>50mm</w:t>
            </w:r>
            <w:r>
              <w:rPr>
                <w:rFonts w:hint="eastAsia" w:ascii="宋体" w:hAnsi="宋体" w:cs="宋体"/>
                <w:sz w:val="21"/>
                <w:szCs w:val="21"/>
                <w:highlight w:val="none"/>
                <w:vertAlign w:val="baseline"/>
                <w:lang w:val="en-US" w:eastAsia="zh-CN"/>
              </w:rPr>
              <w:t>；</w:t>
            </w:r>
          </w:p>
          <w:p w14:paraId="27F25BE6">
            <w:pPr>
              <w:pStyle w:val="10"/>
              <w:spacing w:line="360" w:lineRule="auto"/>
              <w:rPr>
                <w:rFonts w:hint="eastAsia" w:ascii="宋体" w:hAnsi="宋体" w:eastAsia="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6.</w:t>
            </w:r>
            <w:r>
              <w:rPr>
                <w:rFonts w:hint="eastAsia" w:ascii="宋体" w:hAnsi="宋体" w:eastAsia="宋体" w:cs="宋体"/>
                <w:sz w:val="21"/>
                <w:szCs w:val="21"/>
                <w:highlight w:val="none"/>
                <w:vertAlign w:val="baseline"/>
                <w:lang w:val="en-US" w:eastAsia="zh-CN"/>
              </w:rPr>
              <w:t>压力稳定性：</w:t>
            </w:r>
            <w:r>
              <w:rPr>
                <w:rFonts w:hint="eastAsia"/>
                <w:highlight w:val="none"/>
                <w:lang w:val="en-US" w:eastAsia="zh-CN"/>
              </w:rPr>
              <w:t>≤</w:t>
            </w:r>
            <w:r>
              <w:rPr>
                <w:rFonts w:hint="eastAsia" w:ascii="宋体" w:hAnsi="宋体" w:eastAsia="宋体" w:cs="宋体"/>
                <w:sz w:val="21"/>
                <w:szCs w:val="21"/>
                <w:highlight w:val="none"/>
                <w:vertAlign w:val="baseline"/>
                <w:lang w:val="en-US" w:eastAsia="zh-CN"/>
              </w:rPr>
              <w:t>1MPa/10min</w:t>
            </w:r>
            <w:r>
              <w:rPr>
                <w:rFonts w:hint="eastAsia" w:ascii="宋体" w:hAnsi="宋体" w:cs="宋体"/>
                <w:sz w:val="21"/>
                <w:szCs w:val="21"/>
                <w:highlight w:val="none"/>
                <w:vertAlign w:val="baseline"/>
                <w:lang w:val="en-US" w:eastAsia="zh-CN"/>
              </w:rPr>
              <w:t>；</w:t>
            </w:r>
          </w:p>
          <w:p w14:paraId="58D5C02F">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7.</w:t>
            </w:r>
            <w:r>
              <w:rPr>
                <w:rFonts w:hint="eastAsia" w:ascii="宋体" w:hAnsi="宋体" w:eastAsia="宋体" w:cs="宋体"/>
                <w:sz w:val="21"/>
                <w:szCs w:val="21"/>
                <w:highlight w:val="none"/>
                <w:vertAlign w:val="baseline"/>
                <w:lang w:val="en-US" w:eastAsia="zh-CN"/>
              </w:rPr>
              <w:t>工作台直径：</w:t>
            </w:r>
            <w:r>
              <w:rPr>
                <w:rFonts w:hint="eastAsia"/>
                <w:highlight w:val="none"/>
                <w:lang w:val="en-US" w:eastAsia="zh-CN"/>
              </w:rPr>
              <w:t>≥</w:t>
            </w:r>
            <w:r>
              <w:rPr>
                <w:rFonts w:hint="eastAsia" w:ascii="宋体" w:hAnsi="宋体" w:eastAsia="宋体" w:cs="宋体"/>
                <w:sz w:val="21"/>
                <w:szCs w:val="21"/>
                <w:highlight w:val="none"/>
                <w:vertAlign w:val="baseline"/>
                <w:lang w:val="en-US" w:eastAsia="zh-CN"/>
              </w:rPr>
              <w:t>Φ140mm</w:t>
            </w:r>
            <w:r>
              <w:rPr>
                <w:rFonts w:hint="eastAsia" w:ascii="宋体" w:hAnsi="宋体" w:cs="宋体"/>
                <w:sz w:val="21"/>
                <w:szCs w:val="21"/>
                <w:highlight w:val="none"/>
                <w:vertAlign w:val="baseline"/>
                <w:lang w:val="en-US" w:eastAsia="zh-CN"/>
              </w:rPr>
              <w:t>；</w:t>
            </w:r>
          </w:p>
          <w:p w14:paraId="2A9D5080">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8.</w:t>
            </w:r>
            <w:r>
              <w:rPr>
                <w:rFonts w:hint="eastAsia" w:ascii="宋体" w:hAnsi="宋体" w:eastAsia="宋体" w:cs="宋体"/>
                <w:sz w:val="21"/>
                <w:szCs w:val="21"/>
                <w:highlight w:val="none"/>
                <w:vertAlign w:val="baseline"/>
                <w:lang w:val="en-US" w:eastAsia="zh-CN"/>
              </w:rPr>
              <w:t>立柱数量：4根</w:t>
            </w:r>
            <w:r>
              <w:rPr>
                <w:rFonts w:hint="eastAsia" w:ascii="宋体" w:hAnsi="宋体" w:cs="宋体"/>
                <w:sz w:val="21"/>
                <w:szCs w:val="21"/>
                <w:highlight w:val="none"/>
                <w:vertAlign w:val="baseline"/>
                <w:lang w:val="en-US" w:eastAsia="zh-CN"/>
              </w:rPr>
              <w:t>；</w:t>
            </w:r>
          </w:p>
          <w:p w14:paraId="714AC6AF">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9.</w:t>
            </w:r>
            <w:r>
              <w:rPr>
                <w:rFonts w:hint="eastAsia" w:ascii="宋体" w:hAnsi="宋体" w:eastAsia="宋体" w:cs="宋体"/>
                <w:sz w:val="21"/>
                <w:szCs w:val="21"/>
                <w:highlight w:val="none"/>
                <w:vertAlign w:val="baseline"/>
                <w:lang w:val="en-US" w:eastAsia="zh-CN"/>
              </w:rPr>
              <w:t>立柱间距(mm)：</w:t>
            </w:r>
            <w:r>
              <w:rPr>
                <w:rFonts w:hint="eastAsia"/>
                <w:highlight w:val="none"/>
                <w:lang w:val="en-US" w:eastAsia="zh-CN"/>
              </w:rPr>
              <w:t>≥</w:t>
            </w:r>
            <w:r>
              <w:rPr>
                <w:rFonts w:hint="eastAsia" w:ascii="宋体" w:hAnsi="宋体" w:eastAsia="宋体" w:cs="宋体"/>
                <w:sz w:val="21"/>
                <w:szCs w:val="21"/>
                <w:highlight w:val="none"/>
                <w:vertAlign w:val="baseline"/>
                <w:lang w:val="en-US" w:eastAsia="zh-CN"/>
              </w:rPr>
              <w:t>106×185</w:t>
            </w:r>
            <w:r>
              <w:rPr>
                <w:rFonts w:hint="eastAsia" w:ascii="宋体" w:hAnsi="宋体" w:cs="宋体"/>
                <w:sz w:val="21"/>
                <w:szCs w:val="21"/>
                <w:highlight w:val="none"/>
                <w:vertAlign w:val="baseline"/>
                <w:lang w:val="en-US" w:eastAsia="zh-CN"/>
              </w:rPr>
              <w:t>；</w:t>
            </w:r>
          </w:p>
          <w:p w14:paraId="509DFEE6">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10.</w:t>
            </w:r>
            <w:r>
              <w:rPr>
                <w:rFonts w:hint="eastAsia" w:ascii="宋体" w:hAnsi="宋体" w:eastAsia="宋体" w:cs="宋体"/>
                <w:sz w:val="21"/>
                <w:szCs w:val="21"/>
                <w:highlight w:val="none"/>
                <w:vertAlign w:val="baseline"/>
                <w:lang w:val="en-US" w:eastAsia="zh-CN"/>
              </w:rPr>
              <w:t>外形尺寸(LWH)mm：</w:t>
            </w:r>
            <w:r>
              <w:rPr>
                <w:rFonts w:ascii="宋体" w:hAnsi="宋体" w:eastAsia="宋体" w:cs="宋体"/>
                <w:sz w:val="24"/>
                <w:szCs w:val="24"/>
                <w:highlight w:val="none"/>
              </w:rPr>
              <w:t>≤</w:t>
            </w:r>
            <w:r>
              <w:rPr>
                <w:rFonts w:hint="eastAsia" w:ascii="宋体" w:hAnsi="宋体" w:eastAsia="宋体" w:cs="宋体"/>
                <w:sz w:val="21"/>
                <w:szCs w:val="21"/>
                <w:highlight w:val="none"/>
                <w:vertAlign w:val="baseline"/>
                <w:lang w:val="en-US" w:eastAsia="zh-CN"/>
              </w:rPr>
              <w:t>295×215×500</w:t>
            </w:r>
            <w:r>
              <w:rPr>
                <w:rFonts w:hint="eastAsia" w:ascii="宋体" w:hAnsi="宋体" w:cs="宋体"/>
                <w:sz w:val="21"/>
                <w:szCs w:val="21"/>
                <w:highlight w:val="none"/>
                <w:vertAlign w:val="baseline"/>
                <w:lang w:val="en-US" w:eastAsia="zh-CN"/>
              </w:rPr>
              <w:t>；</w:t>
            </w:r>
          </w:p>
          <w:p w14:paraId="4D63BB0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宋体" w:hAnsi="宋体" w:cs="宋体"/>
                <w:sz w:val="21"/>
                <w:szCs w:val="21"/>
                <w:highlight w:val="none"/>
                <w:vertAlign w:val="baseline"/>
                <w:lang w:val="en-US" w:eastAsia="zh-CN"/>
              </w:rPr>
              <w:t>11.</w:t>
            </w:r>
            <w:r>
              <w:rPr>
                <w:rFonts w:hint="eastAsia" w:ascii="宋体" w:hAnsi="宋体" w:eastAsia="宋体" w:cs="宋体"/>
                <w:sz w:val="21"/>
                <w:szCs w:val="21"/>
                <w:highlight w:val="none"/>
                <w:vertAlign w:val="baseline"/>
                <w:lang w:val="en-US" w:eastAsia="zh-CN"/>
              </w:rPr>
              <w:t>设备重量：</w:t>
            </w:r>
            <w:r>
              <w:rPr>
                <w:rFonts w:hint="eastAsia"/>
                <w:highlight w:val="none"/>
                <w:lang w:val="en-US" w:eastAsia="zh-CN"/>
              </w:rPr>
              <w:t>≥</w:t>
            </w:r>
            <w:r>
              <w:rPr>
                <w:rFonts w:hint="eastAsia" w:ascii="宋体" w:hAnsi="宋体" w:eastAsia="宋体" w:cs="宋体"/>
                <w:sz w:val="21"/>
                <w:szCs w:val="21"/>
                <w:highlight w:val="none"/>
                <w:vertAlign w:val="baseline"/>
                <w:lang w:val="en-US" w:eastAsia="zh-CN"/>
              </w:rPr>
              <w:t>75Kg</w:t>
            </w:r>
            <w:r>
              <w:rPr>
                <w:rFonts w:hint="eastAsia" w:ascii="宋体" w:hAnsi="宋体" w:cs="宋体"/>
                <w:sz w:val="21"/>
                <w:szCs w:val="21"/>
                <w:highlight w:val="none"/>
                <w:vertAlign w:val="baseline"/>
                <w:lang w:val="en-US" w:eastAsia="zh-CN"/>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7890CBE8">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sz w:val="21"/>
                <w:szCs w:val="21"/>
                <w:highlight w:val="none"/>
                <w:vertAlign w:val="baseline"/>
                <w:lang w:val="en-US" w:eastAsia="zh-CN"/>
              </w:rPr>
              <w:t>1台</w:t>
            </w:r>
          </w:p>
        </w:tc>
      </w:tr>
      <w:tr w14:paraId="1DC21F84">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279EDCC">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044C9DB">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7AB14AE">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sz w:val="21"/>
                <w:szCs w:val="21"/>
                <w:highlight w:val="none"/>
                <w:lang w:val="en-US" w:eastAsia="zh-CN"/>
              </w:rPr>
              <w:t>红外加热定量模具</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810BCEC">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技术参数：</w:t>
            </w:r>
          </w:p>
          <w:p w14:paraId="12A397A5">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vertAlign w:val="baseline"/>
                <w:lang w:eastAsia="zh-CN"/>
              </w:rPr>
            </w:pPr>
            <w:r>
              <w:rPr>
                <w:rFonts w:hint="eastAsia" w:ascii="宋体" w:hAnsi="宋体" w:eastAsia="宋体" w:cs="宋体"/>
                <w:sz w:val="21"/>
                <w:szCs w:val="21"/>
                <w:highlight w:val="none"/>
                <w:vertAlign w:val="baseline"/>
                <w:lang w:val="en-US" w:eastAsia="zh-CN"/>
              </w:rPr>
              <w:t>1</w:t>
            </w:r>
            <w:r>
              <w:rPr>
                <w:rFonts w:hint="eastAsia" w:ascii="宋体" w:hAnsi="宋体" w:eastAsia="宋体" w:cs="宋体"/>
                <w:sz w:val="21"/>
                <w:szCs w:val="21"/>
                <w:highlight w:val="none"/>
                <w:vertAlign w:val="baseline"/>
              </w:rPr>
              <w:t>.净重：</w:t>
            </w:r>
            <w:r>
              <w:rPr>
                <w:rFonts w:hint="eastAsia"/>
                <w:highlight w:val="none"/>
                <w:lang w:val="en-US" w:eastAsia="zh-CN"/>
              </w:rPr>
              <w:t>≤</w:t>
            </w:r>
            <w:r>
              <w:rPr>
                <w:rFonts w:hint="eastAsia" w:ascii="宋体" w:hAnsi="宋体" w:eastAsia="宋体" w:cs="宋体"/>
                <w:sz w:val="21"/>
                <w:szCs w:val="21"/>
                <w:highlight w:val="none"/>
                <w:vertAlign w:val="baseline"/>
              </w:rPr>
              <w:t>9KG</w:t>
            </w:r>
            <w:r>
              <w:rPr>
                <w:rFonts w:hint="eastAsia" w:ascii="宋体" w:hAnsi="宋体" w:cs="宋体"/>
                <w:sz w:val="21"/>
                <w:szCs w:val="21"/>
                <w:highlight w:val="none"/>
                <w:vertAlign w:val="baseline"/>
                <w:lang w:eastAsia="zh-CN"/>
              </w:rPr>
              <w:t>；</w:t>
            </w:r>
          </w:p>
          <w:p w14:paraId="0B716418">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vertAlign w:val="baseline"/>
                <w:lang w:eastAsia="zh-CN"/>
              </w:rPr>
            </w:pPr>
            <w:r>
              <w:rPr>
                <w:rFonts w:hint="eastAsia" w:ascii="宋体" w:hAnsi="宋体" w:eastAsia="宋体" w:cs="宋体"/>
                <w:sz w:val="21"/>
                <w:szCs w:val="21"/>
                <w:highlight w:val="none"/>
                <w:vertAlign w:val="baseline"/>
                <w:lang w:val="en-US" w:eastAsia="zh-CN"/>
              </w:rPr>
              <w:t>2</w:t>
            </w:r>
            <w:r>
              <w:rPr>
                <w:rFonts w:hint="eastAsia" w:ascii="宋体" w:hAnsi="宋体" w:eastAsia="宋体" w:cs="宋体"/>
                <w:sz w:val="21"/>
                <w:szCs w:val="21"/>
                <w:highlight w:val="none"/>
                <w:vertAlign w:val="baseline"/>
              </w:rPr>
              <w:t>.加热温度：0-300℃/400℃ 双通道加热</w:t>
            </w:r>
            <w:r>
              <w:rPr>
                <w:rFonts w:hint="eastAsia" w:ascii="宋体" w:hAnsi="宋体" w:cs="宋体"/>
                <w:sz w:val="21"/>
                <w:szCs w:val="21"/>
                <w:highlight w:val="none"/>
                <w:vertAlign w:val="baseline"/>
                <w:lang w:eastAsia="zh-CN"/>
              </w:rPr>
              <w:t>；</w:t>
            </w:r>
          </w:p>
          <w:p w14:paraId="11CA7436">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vertAlign w:val="baseline"/>
              </w:rPr>
            </w:pPr>
            <w:r>
              <w:rPr>
                <w:rFonts w:hint="eastAsia" w:ascii="宋体" w:hAnsi="宋体" w:eastAsia="宋体" w:cs="宋体"/>
                <w:sz w:val="21"/>
                <w:szCs w:val="21"/>
                <w:highlight w:val="none"/>
                <w:vertAlign w:val="baseline"/>
                <w:lang w:val="en-US" w:eastAsia="zh-CN"/>
              </w:rPr>
              <w:t>3</w:t>
            </w:r>
            <w:r>
              <w:rPr>
                <w:rFonts w:hint="eastAsia" w:ascii="宋体" w:hAnsi="宋体" w:eastAsia="宋体" w:cs="宋体"/>
                <w:sz w:val="21"/>
                <w:szCs w:val="21"/>
                <w:highlight w:val="none"/>
                <w:vertAlign w:val="baseline"/>
              </w:rPr>
              <w:t>.模具材质：耐磨防锈不锈钢（440C 或同等性能材质）</w:t>
            </w:r>
            <w:r>
              <w:rPr>
                <w:rFonts w:hint="eastAsia" w:ascii="宋体" w:hAnsi="宋体" w:cs="宋体"/>
                <w:sz w:val="21"/>
                <w:szCs w:val="21"/>
                <w:highlight w:val="none"/>
                <w:vertAlign w:val="baseline"/>
                <w:lang w:eastAsia="zh-CN"/>
              </w:rPr>
              <w:t>；</w:t>
            </w:r>
          </w:p>
          <w:p w14:paraId="381DF8BB">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vertAlign w:val="baseline"/>
                <w:lang w:eastAsia="zh-CN"/>
              </w:rPr>
            </w:pPr>
            <w:r>
              <w:rPr>
                <w:rFonts w:hint="eastAsia" w:ascii="宋体" w:hAnsi="宋体" w:eastAsia="宋体" w:cs="宋体"/>
                <w:sz w:val="21"/>
                <w:szCs w:val="21"/>
                <w:highlight w:val="none"/>
                <w:vertAlign w:val="baseline"/>
                <w:lang w:val="en-US" w:eastAsia="zh-CN"/>
              </w:rPr>
              <w:t>4</w:t>
            </w:r>
            <w:r>
              <w:rPr>
                <w:rFonts w:hint="eastAsia" w:ascii="宋体" w:hAnsi="宋体" w:eastAsia="宋体" w:cs="宋体"/>
                <w:sz w:val="21"/>
                <w:szCs w:val="21"/>
                <w:highlight w:val="none"/>
                <w:vertAlign w:val="baseline"/>
              </w:rPr>
              <w:t>.样品直径：</w:t>
            </w:r>
            <w:r>
              <w:rPr>
                <w:rFonts w:hint="eastAsia"/>
                <w:highlight w:val="none"/>
                <w:lang w:val="en-US" w:eastAsia="zh-CN"/>
              </w:rPr>
              <w:t>≤</w:t>
            </w:r>
            <w:r>
              <w:rPr>
                <w:rFonts w:hint="eastAsia" w:ascii="宋体" w:hAnsi="宋体" w:eastAsia="宋体" w:cs="宋体"/>
                <w:sz w:val="21"/>
                <w:szCs w:val="21"/>
                <w:highlight w:val="none"/>
                <w:vertAlign w:val="baseline"/>
              </w:rPr>
              <w:t>Φ25mm</w:t>
            </w:r>
            <w:r>
              <w:rPr>
                <w:rFonts w:hint="eastAsia" w:ascii="宋体" w:hAnsi="宋体" w:cs="宋体"/>
                <w:sz w:val="21"/>
                <w:szCs w:val="21"/>
                <w:highlight w:val="none"/>
                <w:vertAlign w:val="baseline"/>
                <w:lang w:eastAsia="zh-CN"/>
              </w:rPr>
              <w:t>；</w:t>
            </w:r>
          </w:p>
          <w:p w14:paraId="391CF7A2">
            <w:pPr>
              <w:keepNext w:val="0"/>
              <w:keepLines w:val="0"/>
              <w:pageBreakBefore w:val="0"/>
              <w:kinsoku/>
              <w:wordWrap/>
              <w:overflowPunct/>
              <w:topLinePunct w:val="0"/>
              <w:autoSpaceDE/>
              <w:bidi w:val="0"/>
              <w:spacing w:line="360" w:lineRule="auto"/>
              <w:jc w:val="left"/>
              <w:rPr>
                <w:rFonts w:hint="eastAsia" w:ascii="宋体" w:hAnsi="宋体" w:eastAsia="宋体" w:cs="宋体"/>
                <w:sz w:val="21"/>
                <w:szCs w:val="21"/>
                <w:highlight w:val="none"/>
                <w:vertAlign w:val="baseline"/>
                <w:lang w:eastAsia="zh-CN"/>
              </w:rPr>
            </w:pPr>
            <w:r>
              <w:rPr>
                <w:rFonts w:hint="eastAsia" w:ascii="宋体" w:hAnsi="宋体" w:eastAsia="宋体" w:cs="宋体"/>
                <w:sz w:val="21"/>
                <w:szCs w:val="21"/>
                <w:highlight w:val="none"/>
                <w:vertAlign w:val="baseline"/>
                <w:lang w:val="en-US" w:eastAsia="zh-CN"/>
              </w:rPr>
              <w:t>5</w:t>
            </w:r>
            <w:r>
              <w:rPr>
                <w:rFonts w:hint="eastAsia" w:ascii="宋体" w:hAnsi="宋体" w:eastAsia="宋体" w:cs="宋体"/>
                <w:sz w:val="21"/>
                <w:szCs w:val="21"/>
                <w:highlight w:val="none"/>
                <w:vertAlign w:val="baseline"/>
              </w:rPr>
              <w:t>.样品厚度：配置不少于 6 件定量环，样品厚度完整覆盖15μm～500μm 区间，包含 15、25、50、100、250、500μm 规格</w:t>
            </w:r>
            <w:r>
              <w:rPr>
                <w:rFonts w:hint="eastAsia" w:ascii="宋体" w:hAnsi="宋体" w:cs="宋体"/>
                <w:sz w:val="21"/>
                <w:szCs w:val="21"/>
                <w:highlight w:val="none"/>
                <w:vertAlign w:val="baseline"/>
                <w:lang w:eastAsia="zh-CN"/>
              </w:rPr>
              <w:t>；</w:t>
            </w:r>
          </w:p>
          <w:p w14:paraId="3FF98C8E">
            <w:pPr>
              <w:keepNext w:val="0"/>
              <w:keepLines w:val="0"/>
              <w:pageBreakBefore w:val="0"/>
              <w:kinsoku/>
              <w:wordWrap/>
              <w:overflowPunct/>
              <w:topLinePunct w:val="0"/>
              <w:autoSpaceDE/>
              <w:bidi w:val="0"/>
              <w:spacing w:line="360" w:lineRule="auto"/>
              <w:jc w:val="left"/>
              <w:rPr>
                <w:rFonts w:hint="eastAsia" w:eastAsia="宋体" w:asciiTheme="minorEastAsia" w:hAnsiTheme="minorEastAsia" w:cstheme="minorEastAsia"/>
                <w:color w:val="000000"/>
                <w:kern w:val="2"/>
                <w:sz w:val="21"/>
                <w:szCs w:val="21"/>
                <w:highlight w:val="none"/>
                <w:u w:val="none"/>
                <w:lang w:val="en-US" w:eastAsia="zh-CN" w:bidi="ar"/>
              </w:rPr>
            </w:pPr>
            <w:r>
              <w:rPr>
                <w:rFonts w:hint="eastAsia" w:ascii="宋体" w:hAnsi="宋体" w:eastAsia="宋体" w:cs="宋体"/>
                <w:sz w:val="21"/>
                <w:szCs w:val="21"/>
                <w:highlight w:val="none"/>
                <w:vertAlign w:val="baseline"/>
                <w:lang w:val="en-US" w:eastAsia="zh-CN"/>
              </w:rPr>
              <w:t>6</w:t>
            </w:r>
            <w:r>
              <w:rPr>
                <w:rFonts w:hint="eastAsia" w:ascii="宋体" w:hAnsi="宋体" w:eastAsia="宋体" w:cs="宋体"/>
                <w:sz w:val="21"/>
                <w:szCs w:val="21"/>
                <w:highlight w:val="none"/>
                <w:vertAlign w:val="baseline"/>
              </w:rPr>
              <w:t>.电源功率：</w:t>
            </w:r>
            <w:r>
              <w:rPr>
                <w:rFonts w:hint="eastAsia" w:ascii="宋体" w:hAnsi="宋体" w:cs="宋体"/>
                <w:sz w:val="21"/>
                <w:szCs w:val="21"/>
                <w:highlight w:val="none"/>
                <w:vertAlign w:val="baseline"/>
                <w:lang w:val="en-US" w:eastAsia="zh-CN"/>
              </w:rPr>
              <w:t>AC</w:t>
            </w:r>
            <w:r>
              <w:rPr>
                <w:rFonts w:hint="eastAsia" w:ascii="宋体" w:hAnsi="宋体" w:eastAsia="宋体" w:cs="宋体"/>
                <w:sz w:val="21"/>
                <w:szCs w:val="21"/>
                <w:highlight w:val="none"/>
                <w:vertAlign w:val="baseline"/>
              </w:rPr>
              <w:t>220V（200W）</w:t>
            </w:r>
            <w:r>
              <w:rPr>
                <w:rFonts w:hint="eastAsia"/>
                <w:highlight w:val="none"/>
                <w:lang w:eastAsia="zh-CN"/>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1584896C">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sz w:val="21"/>
                <w:szCs w:val="21"/>
                <w:highlight w:val="none"/>
                <w:vertAlign w:val="baseline"/>
                <w:lang w:val="en-US" w:eastAsia="zh-CN"/>
              </w:rPr>
              <w:t>1台</w:t>
            </w:r>
          </w:p>
        </w:tc>
      </w:tr>
      <w:tr w14:paraId="3FA93000">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B25782C">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27AA8C7">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E8DE789">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sz w:val="21"/>
                <w:szCs w:val="21"/>
                <w:highlight w:val="none"/>
              </w:rPr>
              <w:t>双平板手动电加热压片机（含水冷机</w:t>
            </w:r>
            <w:r>
              <w:rPr>
                <w:rFonts w:hint="eastAsia" w:asciiTheme="minorEastAsia" w:hAnsiTheme="minorEastAsia" w:eastAsiaTheme="minorEastAsia" w:cstheme="minorEastAsia"/>
                <w:sz w:val="21"/>
                <w:szCs w:val="21"/>
                <w:highlight w:val="none"/>
                <w:lang w:eastAsia="zh-CN"/>
              </w:rPr>
              <w:t>）</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ED03D9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技术参数：</w:t>
            </w:r>
          </w:p>
          <w:p w14:paraId="79DE9D4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lang w:val="en-US" w:eastAsia="zh-CN"/>
              </w:rPr>
              <w:t>1</w:t>
            </w:r>
            <w:r>
              <w:rPr>
                <w:rFonts w:hint="eastAsia" w:asciiTheme="minorEastAsia" w:hAnsiTheme="minorEastAsia" w:eastAsiaTheme="minorEastAsia" w:cstheme="minorEastAsia"/>
                <w:sz w:val="21"/>
                <w:szCs w:val="21"/>
                <w:highlight w:val="none"/>
                <w:vertAlign w:val="baseline"/>
              </w:rPr>
              <w:t>.模具加热温度：室温～800℃连续可调；具备温度闭环控制功能，可在该区间内任意设定并稳定维持目标温度</w:t>
            </w:r>
            <w:r>
              <w:rPr>
                <w:rFonts w:hint="eastAsia" w:asciiTheme="minorEastAsia" w:hAnsiTheme="minorEastAsia" w:eastAsiaTheme="minorEastAsia" w:cstheme="minorEastAsia"/>
                <w:sz w:val="21"/>
                <w:szCs w:val="21"/>
                <w:highlight w:val="none"/>
                <w:vertAlign w:val="baseline"/>
                <w:lang w:eastAsia="zh-CN"/>
              </w:rPr>
              <w:t>；</w:t>
            </w:r>
          </w:p>
          <w:p w14:paraId="227E565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lang w:val="en-US" w:eastAsia="zh-CN"/>
              </w:rPr>
              <w:t>2</w:t>
            </w:r>
            <w:r>
              <w:rPr>
                <w:rFonts w:hint="eastAsia" w:asciiTheme="minorEastAsia" w:hAnsiTheme="minorEastAsia" w:eastAsiaTheme="minorEastAsia" w:cstheme="minorEastAsia"/>
                <w:sz w:val="21"/>
                <w:szCs w:val="21"/>
                <w:highlight w:val="none"/>
                <w:vertAlign w:val="baseline"/>
              </w:rPr>
              <w:t>.功率：5KW</w:t>
            </w:r>
            <w:r>
              <w:rPr>
                <w:rFonts w:hint="eastAsia" w:asciiTheme="minorEastAsia" w:hAnsiTheme="minorEastAsia" w:eastAsiaTheme="minorEastAsia" w:cstheme="minorEastAsia"/>
                <w:sz w:val="21"/>
                <w:szCs w:val="21"/>
                <w:highlight w:val="none"/>
                <w:vertAlign w:val="baseline"/>
                <w:lang w:eastAsia="zh-CN"/>
              </w:rPr>
              <w:t>；</w:t>
            </w:r>
          </w:p>
          <w:p w14:paraId="5B4C134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lang w:val="en-US" w:eastAsia="zh-CN"/>
              </w:rPr>
              <w:t>3</w:t>
            </w:r>
            <w:r>
              <w:rPr>
                <w:rFonts w:hint="eastAsia" w:asciiTheme="minorEastAsia" w:hAnsiTheme="minorEastAsia" w:eastAsiaTheme="minorEastAsia" w:cstheme="minorEastAsia"/>
                <w:sz w:val="21"/>
                <w:szCs w:val="21"/>
                <w:highlight w:val="none"/>
                <w:vertAlign w:val="baseline"/>
              </w:rPr>
              <w:t>.压力范围：0-30T</w:t>
            </w:r>
            <w:r>
              <w:rPr>
                <w:rFonts w:hint="eastAsia" w:asciiTheme="minorEastAsia" w:hAnsiTheme="minorEastAsia" w:eastAsiaTheme="minorEastAsia" w:cstheme="minorEastAsia"/>
                <w:sz w:val="21"/>
                <w:szCs w:val="21"/>
                <w:highlight w:val="none"/>
                <w:vertAlign w:val="baseline"/>
                <w:lang w:eastAsia="zh-CN"/>
              </w:rPr>
              <w:t>；</w:t>
            </w:r>
          </w:p>
          <w:p w14:paraId="2C8DF19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lang w:val="en-US" w:eastAsia="zh-CN"/>
              </w:rPr>
              <w:t>4</w:t>
            </w:r>
            <w:r>
              <w:rPr>
                <w:rFonts w:hint="eastAsia" w:asciiTheme="minorEastAsia" w:hAnsiTheme="minorEastAsia" w:eastAsiaTheme="minorEastAsia" w:cstheme="minorEastAsia"/>
                <w:sz w:val="21"/>
                <w:szCs w:val="21"/>
                <w:highlight w:val="none"/>
                <w:vertAlign w:val="baseline"/>
              </w:rPr>
              <w:t>.压力精度：</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0.01吨</w:t>
            </w:r>
            <w:r>
              <w:rPr>
                <w:rFonts w:hint="eastAsia" w:asciiTheme="minorEastAsia" w:hAnsiTheme="minorEastAsia" w:eastAsiaTheme="minorEastAsia" w:cstheme="minorEastAsia"/>
                <w:sz w:val="21"/>
                <w:szCs w:val="21"/>
                <w:highlight w:val="none"/>
                <w:vertAlign w:val="baseline"/>
                <w:lang w:eastAsia="zh-CN"/>
              </w:rPr>
              <w:t>；</w:t>
            </w:r>
          </w:p>
          <w:p w14:paraId="58CC323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lang w:val="en-US" w:eastAsia="zh-CN"/>
              </w:rPr>
              <w:t>5</w:t>
            </w:r>
            <w:r>
              <w:rPr>
                <w:rFonts w:hint="eastAsia" w:asciiTheme="minorEastAsia" w:hAnsiTheme="minorEastAsia" w:eastAsiaTheme="minorEastAsia" w:cstheme="minorEastAsia"/>
                <w:sz w:val="21"/>
                <w:szCs w:val="21"/>
                <w:highlight w:val="none"/>
                <w:vertAlign w:val="baseline"/>
              </w:rPr>
              <w:t>.活塞直径：</w:t>
            </w:r>
            <w:r>
              <w:rPr>
                <w:rFonts w:hint="eastAsia" w:ascii="宋体" w:hAnsi="宋体" w:cs="宋体"/>
                <w:sz w:val="21"/>
                <w:szCs w:val="21"/>
                <w:highlight w:val="none"/>
                <w:vertAlign w:val="baseline"/>
                <w:lang w:val="en-US" w:eastAsia="zh-CN"/>
              </w:rPr>
              <w:t>≥</w:t>
            </w:r>
            <w:r>
              <w:rPr>
                <w:rFonts w:hint="eastAsia" w:ascii="宋体" w:hAnsi="宋体" w:eastAsia="宋体" w:cs="宋体"/>
                <w:sz w:val="21"/>
                <w:szCs w:val="21"/>
                <w:highlight w:val="none"/>
                <w:vertAlign w:val="baseline"/>
                <w:lang w:val="en-US" w:eastAsia="zh-CN"/>
              </w:rPr>
              <w:t>Φ</w:t>
            </w:r>
            <w:r>
              <w:rPr>
                <w:rFonts w:hint="eastAsia" w:ascii="宋体" w:hAnsi="宋体" w:cs="宋体"/>
                <w:sz w:val="21"/>
                <w:szCs w:val="21"/>
                <w:highlight w:val="none"/>
                <w:vertAlign w:val="baseline"/>
                <w:lang w:val="en-US" w:eastAsia="zh-CN"/>
              </w:rPr>
              <w:t>110</w:t>
            </w:r>
            <w:r>
              <w:rPr>
                <w:rFonts w:hint="eastAsia" w:ascii="宋体" w:hAnsi="宋体" w:eastAsia="宋体" w:cs="宋体"/>
                <w:sz w:val="21"/>
                <w:szCs w:val="21"/>
                <w:highlight w:val="none"/>
                <w:vertAlign w:val="baseline"/>
                <w:lang w:val="en-US" w:eastAsia="zh-CN"/>
              </w:rPr>
              <w:t>mm</w:t>
            </w:r>
            <w:r>
              <w:rPr>
                <w:rFonts w:hint="eastAsia" w:asciiTheme="minorEastAsia" w:hAnsiTheme="minorEastAsia" w:eastAsiaTheme="minorEastAsia" w:cstheme="minorEastAsia"/>
                <w:sz w:val="21"/>
                <w:szCs w:val="21"/>
                <w:highlight w:val="none"/>
                <w:vertAlign w:val="baseline"/>
              </w:rPr>
              <w:t>最大压力≥30T，油缸表面镀铬防腐处理</w:t>
            </w:r>
            <w:r>
              <w:rPr>
                <w:rFonts w:hint="eastAsia" w:asciiTheme="minorEastAsia" w:hAnsiTheme="minorEastAsia" w:eastAsiaTheme="minorEastAsia" w:cstheme="minorEastAsia"/>
                <w:sz w:val="21"/>
                <w:szCs w:val="21"/>
                <w:highlight w:val="none"/>
                <w:lang w:eastAsia="zh-CN"/>
              </w:rPr>
              <w:t>；</w:t>
            </w:r>
          </w:p>
          <w:p w14:paraId="5CFCF60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lang w:val="en-US" w:eastAsia="zh-CN"/>
              </w:rPr>
              <w:t>6</w:t>
            </w:r>
            <w:r>
              <w:rPr>
                <w:rFonts w:hint="eastAsia" w:asciiTheme="minorEastAsia" w:hAnsiTheme="minorEastAsia" w:eastAsiaTheme="minorEastAsia" w:cstheme="minorEastAsia"/>
                <w:sz w:val="21"/>
                <w:szCs w:val="21"/>
                <w:highlight w:val="none"/>
                <w:vertAlign w:val="baseline"/>
              </w:rPr>
              <w:t>.主体整体结构：主机结构具备可靠防漏油设计，降低液压系统漏油风险</w:t>
            </w:r>
            <w:r>
              <w:rPr>
                <w:rFonts w:hint="eastAsia" w:asciiTheme="minorEastAsia" w:hAnsiTheme="minorEastAsia" w:eastAsiaTheme="minorEastAsia" w:cstheme="minorEastAsia"/>
                <w:sz w:val="21"/>
                <w:szCs w:val="21"/>
                <w:highlight w:val="none"/>
                <w:vertAlign w:val="baseline"/>
                <w:lang w:eastAsia="zh-CN"/>
              </w:rPr>
              <w:t>；</w:t>
            </w:r>
          </w:p>
          <w:p w14:paraId="61055E5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lang w:val="en-US" w:eastAsia="zh-CN"/>
              </w:rPr>
              <w:t>7</w:t>
            </w:r>
            <w:r>
              <w:rPr>
                <w:rFonts w:hint="eastAsia" w:asciiTheme="minorEastAsia" w:hAnsiTheme="minorEastAsia" w:eastAsiaTheme="minorEastAsia" w:cstheme="minorEastAsia"/>
                <w:sz w:val="21"/>
                <w:szCs w:val="21"/>
                <w:highlight w:val="none"/>
                <w:vertAlign w:val="baseline"/>
              </w:rPr>
              <w:t>.恒温时间：1秒~∞秒</w:t>
            </w:r>
            <w:r>
              <w:rPr>
                <w:rFonts w:hint="eastAsia" w:asciiTheme="minorEastAsia" w:hAnsiTheme="minorEastAsia" w:eastAsiaTheme="minorEastAsia" w:cstheme="minorEastAsia"/>
                <w:sz w:val="21"/>
                <w:szCs w:val="21"/>
                <w:highlight w:val="none"/>
                <w:vertAlign w:val="baseline"/>
                <w:lang w:eastAsia="zh-CN"/>
              </w:rPr>
              <w:t>；</w:t>
            </w:r>
          </w:p>
          <w:p w14:paraId="0B04406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lang w:val="en-US" w:eastAsia="zh-CN"/>
              </w:rPr>
              <w:t>8</w:t>
            </w:r>
            <w:r>
              <w:rPr>
                <w:rFonts w:hint="eastAsia" w:asciiTheme="minorEastAsia" w:hAnsiTheme="minorEastAsia" w:eastAsiaTheme="minorEastAsia" w:cstheme="minorEastAsia"/>
                <w:sz w:val="21"/>
                <w:szCs w:val="21"/>
                <w:highlight w:val="none"/>
                <w:vertAlign w:val="baseline"/>
              </w:rPr>
              <w:t>.控温精度：0.1℃</w:t>
            </w:r>
            <w:r>
              <w:rPr>
                <w:rFonts w:hint="eastAsia" w:asciiTheme="minorEastAsia" w:hAnsiTheme="minorEastAsia" w:eastAsiaTheme="minorEastAsia" w:cstheme="minorEastAsia"/>
                <w:sz w:val="21"/>
                <w:szCs w:val="21"/>
                <w:highlight w:val="none"/>
                <w:vertAlign w:val="baseline"/>
                <w:lang w:eastAsia="zh-CN"/>
              </w:rPr>
              <w:t>；</w:t>
            </w:r>
          </w:p>
          <w:p w14:paraId="6482AD0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lang w:val="en-US" w:eastAsia="zh-CN"/>
              </w:rPr>
              <w:t>9</w:t>
            </w:r>
            <w:r>
              <w:rPr>
                <w:rFonts w:hint="eastAsia" w:asciiTheme="minorEastAsia" w:hAnsiTheme="minorEastAsia" w:eastAsiaTheme="minorEastAsia" w:cstheme="minorEastAsia"/>
                <w:sz w:val="21"/>
                <w:szCs w:val="21"/>
                <w:highlight w:val="none"/>
                <w:vertAlign w:val="baseline"/>
              </w:rPr>
              <w:t>.显示屏幕：</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7寸触摸屏</w:t>
            </w:r>
            <w:r>
              <w:rPr>
                <w:rFonts w:hint="eastAsia" w:asciiTheme="minorEastAsia" w:hAnsiTheme="minorEastAsia" w:eastAsiaTheme="minorEastAsia" w:cstheme="minorEastAsia"/>
                <w:sz w:val="21"/>
                <w:szCs w:val="21"/>
                <w:highlight w:val="none"/>
                <w:vertAlign w:val="baseline"/>
                <w:lang w:eastAsia="zh-CN"/>
              </w:rPr>
              <w:t>；</w:t>
            </w:r>
          </w:p>
          <w:p w14:paraId="1F26332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lang w:val="en-US" w:eastAsia="zh-CN"/>
              </w:rPr>
              <w:t>10</w:t>
            </w:r>
            <w:r>
              <w:rPr>
                <w:rFonts w:hint="eastAsia" w:asciiTheme="minorEastAsia" w:hAnsiTheme="minorEastAsia" w:eastAsiaTheme="minorEastAsia" w:cstheme="minorEastAsia"/>
                <w:sz w:val="21"/>
                <w:szCs w:val="21"/>
                <w:highlight w:val="none"/>
                <w:vertAlign w:val="baseline"/>
              </w:rPr>
              <w:t>.程序控制：最高18段程序控制，温度/水冷都可以单独控制</w:t>
            </w:r>
            <w:r>
              <w:rPr>
                <w:rFonts w:hint="eastAsia" w:asciiTheme="minorEastAsia" w:hAnsiTheme="minorEastAsia" w:eastAsiaTheme="minorEastAsia" w:cstheme="minorEastAsia"/>
                <w:sz w:val="21"/>
                <w:szCs w:val="21"/>
                <w:highlight w:val="none"/>
                <w:vertAlign w:val="baseline"/>
                <w:lang w:eastAsia="zh-CN"/>
              </w:rPr>
              <w:t>；</w:t>
            </w:r>
          </w:p>
          <w:p w14:paraId="7CAF4D6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1</w:t>
            </w:r>
            <w:r>
              <w:rPr>
                <w:rFonts w:hint="eastAsia" w:asciiTheme="minorEastAsia" w:hAnsiTheme="minorEastAsia" w:eastAsiaTheme="minorEastAsia" w:cstheme="minorEastAsia"/>
                <w:sz w:val="21"/>
                <w:szCs w:val="21"/>
                <w:highlight w:val="none"/>
                <w:vertAlign w:val="baseline"/>
                <w:lang w:val="en-US" w:eastAsia="zh-CN"/>
              </w:rPr>
              <w:t>1</w:t>
            </w:r>
            <w:r>
              <w:rPr>
                <w:rFonts w:hint="eastAsia" w:asciiTheme="minorEastAsia" w:hAnsiTheme="minorEastAsia" w:eastAsiaTheme="minorEastAsia" w:cstheme="minorEastAsia"/>
                <w:sz w:val="21"/>
                <w:szCs w:val="21"/>
                <w:highlight w:val="none"/>
                <w:vertAlign w:val="baseline"/>
              </w:rPr>
              <w:t>.水冷降温：支持手动开启水冷降温、多段程序中也可以自动快速降温</w:t>
            </w:r>
            <w:r>
              <w:rPr>
                <w:rFonts w:hint="eastAsia" w:asciiTheme="minorEastAsia" w:hAnsiTheme="minorEastAsia" w:eastAsiaTheme="minorEastAsia" w:cstheme="minorEastAsia"/>
                <w:sz w:val="21"/>
                <w:szCs w:val="21"/>
                <w:highlight w:val="none"/>
                <w:vertAlign w:val="baseline"/>
                <w:lang w:eastAsia="zh-CN"/>
              </w:rPr>
              <w:t>；</w:t>
            </w:r>
          </w:p>
          <w:p w14:paraId="5608E26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1</w:t>
            </w:r>
            <w:r>
              <w:rPr>
                <w:rFonts w:hint="eastAsia" w:asciiTheme="minorEastAsia" w:hAnsiTheme="minorEastAsia" w:eastAsiaTheme="minorEastAsia" w:cstheme="minorEastAsia"/>
                <w:sz w:val="21"/>
                <w:szCs w:val="21"/>
                <w:highlight w:val="none"/>
                <w:vertAlign w:val="baseline"/>
                <w:lang w:val="en-US" w:eastAsia="zh-CN"/>
              </w:rPr>
              <w:t>2</w:t>
            </w:r>
            <w:r>
              <w:rPr>
                <w:rFonts w:hint="eastAsia" w:asciiTheme="minorEastAsia" w:hAnsiTheme="minorEastAsia" w:eastAsiaTheme="minorEastAsia" w:cstheme="minorEastAsia"/>
                <w:sz w:val="21"/>
                <w:szCs w:val="21"/>
                <w:highlight w:val="none"/>
                <w:vertAlign w:val="baseline"/>
              </w:rPr>
              <w:t>.速度调节：升温速度可以调节</w:t>
            </w:r>
            <w:r>
              <w:rPr>
                <w:rFonts w:hint="eastAsia" w:asciiTheme="minorEastAsia" w:hAnsiTheme="minorEastAsia" w:eastAsiaTheme="minorEastAsia" w:cstheme="minorEastAsia"/>
                <w:sz w:val="21"/>
                <w:szCs w:val="21"/>
                <w:highlight w:val="none"/>
                <w:vertAlign w:val="baseline"/>
                <w:lang w:eastAsia="zh-CN"/>
              </w:rPr>
              <w:t>；</w:t>
            </w:r>
          </w:p>
          <w:p w14:paraId="733EDA0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1</w:t>
            </w:r>
            <w:r>
              <w:rPr>
                <w:rFonts w:hint="eastAsia" w:asciiTheme="minorEastAsia" w:hAnsiTheme="minorEastAsia" w:eastAsiaTheme="minorEastAsia" w:cstheme="minorEastAsia"/>
                <w:sz w:val="21"/>
                <w:szCs w:val="21"/>
                <w:highlight w:val="none"/>
                <w:vertAlign w:val="baseline"/>
                <w:lang w:val="en-US" w:eastAsia="zh-CN"/>
              </w:rPr>
              <w:t>3</w:t>
            </w:r>
            <w:r>
              <w:rPr>
                <w:rFonts w:hint="eastAsia" w:asciiTheme="minorEastAsia" w:hAnsiTheme="minorEastAsia" w:eastAsiaTheme="minorEastAsia" w:cstheme="minorEastAsia"/>
                <w:sz w:val="21"/>
                <w:szCs w:val="21"/>
                <w:highlight w:val="none"/>
                <w:vertAlign w:val="baseline"/>
              </w:rPr>
              <w:t>.隔热方式：采用耐高温隔热板材，具备良好隔热效果</w:t>
            </w:r>
            <w:r>
              <w:rPr>
                <w:rFonts w:hint="eastAsia" w:asciiTheme="minorEastAsia" w:hAnsiTheme="minorEastAsia" w:eastAsiaTheme="minorEastAsia" w:cstheme="minorEastAsia"/>
                <w:sz w:val="21"/>
                <w:szCs w:val="21"/>
                <w:highlight w:val="none"/>
                <w:vertAlign w:val="baseline"/>
                <w:lang w:eastAsia="zh-CN"/>
              </w:rPr>
              <w:t>；</w:t>
            </w:r>
          </w:p>
          <w:p w14:paraId="102BA0B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1</w:t>
            </w:r>
            <w:r>
              <w:rPr>
                <w:rFonts w:hint="eastAsia" w:asciiTheme="minorEastAsia" w:hAnsiTheme="minorEastAsia" w:eastAsiaTheme="minorEastAsia" w:cstheme="minorEastAsia"/>
                <w:sz w:val="21"/>
                <w:szCs w:val="21"/>
                <w:highlight w:val="none"/>
                <w:vertAlign w:val="baseline"/>
                <w:lang w:val="en-US" w:eastAsia="zh-CN"/>
              </w:rPr>
              <w:t>4</w:t>
            </w:r>
            <w:r>
              <w:rPr>
                <w:rFonts w:hint="eastAsia" w:asciiTheme="minorEastAsia" w:hAnsiTheme="minorEastAsia" w:eastAsiaTheme="minorEastAsia" w:cstheme="minorEastAsia"/>
                <w:sz w:val="21"/>
                <w:szCs w:val="21"/>
                <w:highlight w:val="none"/>
                <w:vertAlign w:val="baseline"/>
              </w:rPr>
              <w:t>.降温方式：水冷快速降温</w:t>
            </w:r>
            <w:r>
              <w:rPr>
                <w:rFonts w:hint="eastAsia" w:asciiTheme="minorEastAsia" w:hAnsiTheme="minorEastAsia" w:eastAsiaTheme="minorEastAsia" w:cstheme="minorEastAsia"/>
                <w:sz w:val="21"/>
                <w:szCs w:val="21"/>
                <w:highlight w:val="none"/>
                <w:vertAlign w:val="baseline"/>
                <w:lang w:eastAsia="zh-CN"/>
              </w:rPr>
              <w:t>；</w:t>
            </w:r>
          </w:p>
          <w:p w14:paraId="372C9ED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1</w:t>
            </w:r>
            <w:r>
              <w:rPr>
                <w:rFonts w:hint="eastAsia" w:asciiTheme="minorEastAsia" w:hAnsiTheme="minorEastAsia" w:eastAsiaTheme="minorEastAsia" w:cstheme="minorEastAsia"/>
                <w:sz w:val="21"/>
                <w:szCs w:val="21"/>
                <w:highlight w:val="none"/>
                <w:vertAlign w:val="baseline"/>
                <w:lang w:val="en-US" w:eastAsia="zh-CN"/>
              </w:rPr>
              <w:t>5</w:t>
            </w:r>
            <w:r>
              <w:rPr>
                <w:rFonts w:hint="eastAsia" w:asciiTheme="minorEastAsia" w:hAnsiTheme="minorEastAsia" w:eastAsiaTheme="minorEastAsia" w:cstheme="minorEastAsia"/>
                <w:sz w:val="21"/>
                <w:szCs w:val="21"/>
                <w:highlight w:val="none"/>
                <w:vertAlign w:val="baseline"/>
              </w:rPr>
              <w:t>.模具尺寸：</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200×200mm</w:t>
            </w:r>
            <w:r>
              <w:rPr>
                <w:rFonts w:hint="eastAsia" w:asciiTheme="minorEastAsia" w:hAnsiTheme="minorEastAsia" w:eastAsiaTheme="minorEastAsia" w:cstheme="minorEastAsia"/>
                <w:sz w:val="21"/>
                <w:szCs w:val="21"/>
                <w:highlight w:val="none"/>
                <w:vertAlign w:val="baseline"/>
                <w:lang w:eastAsia="zh-CN"/>
              </w:rPr>
              <w:t>；</w:t>
            </w:r>
          </w:p>
          <w:p w14:paraId="2CB4111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1</w:t>
            </w:r>
            <w:r>
              <w:rPr>
                <w:rFonts w:hint="eastAsia" w:asciiTheme="minorEastAsia" w:hAnsiTheme="minorEastAsia" w:eastAsiaTheme="minorEastAsia" w:cstheme="minorEastAsia"/>
                <w:sz w:val="21"/>
                <w:szCs w:val="21"/>
                <w:highlight w:val="none"/>
                <w:vertAlign w:val="baseline"/>
                <w:lang w:val="en-US" w:eastAsia="zh-CN"/>
              </w:rPr>
              <w:t>6</w:t>
            </w:r>
            <w:r>
              <w:rPr>
                <w:rFonts w:hint="eastAsia" w:asciiTheme="minorEastAsia" w:hAnsiTheme="minorEastAsia" w:eastAsiaTheme="minorEastAsia" w:cstheme="minorEastAsia"/>
                <w:sz w:val="21"/>
                <w:szCs w:val="21"/>
                <w:highlight w:val="none"/>
                <w:vertAlign w:val="baseline"/>
              </w:rPr>
              <w:t>.工作空间：</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180×190mm</w:t>
            </w:r>
            <w:r>
              <w:rPr>
                <w:rFonts w:hint="eastAsia" w:asciiTheme="minorEastAsia" w:hAnsiTheme="minorEastAsia" w:eastAsiaTheme="minorEastAsia" w:cstheme="minorEastAsia"/>
                <w:sz w:val="21"/>
                <w:szCs w:val="21"/>
                <w:highlight w:val="none"/>
                <w:vertAlign w:val="baseline"/>
                <w:lang w:eastAsia="zh-CN"/>
              </w:rPr>
              <w:t>；</w:t>
            </w:r>
          </w:p>
          <w:p w14:paraId="1438CD5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1</w:t>
            </w:r>
            <w:r>
              <w:rPr>
                <w:rFonts w:hint="eastAsia" w:asciiTheme="minorEastAsia" w:hAnsiTheme="minorEastAsia" w:eastAsiaTheme="minorEastAsia" w:cstheme="minorEastAsia"/>
                <w:sz w:val="21"/>
                <w:szCs w:val="21"/>
                <w:highlight w:val="none"/>
                <w:vertAlign w:val="baseline"/>
                <w:lang w:val="en-US" w:eastAsia="zh-CN"/>
              </w:rPr>
              <w:t>7</w:t>
            </w:r>
            <w:r>
              <w:rPr>
                <w:rFonts w:hint="eastAsia" w:asciiTheme="minorEastAsia" w:hAnsiTheme="minorEastAsia" w:eastAsiaTheme="minorEastAsia" w:cstheme="minorEastAsia"/>
                <w:sz w:val="21"/>
                <w:szCs w:val="21"/>
                <w:highlight w:val="none"/>
                <w:vertAlign w:val="baseline"/>
              </w:rPr>
              <w:t>.电源：220V/110V可定做</w:t>
            </w:r>
            <w:r>
              <w:rPr>
                <w:rFonts w:hint="eastAsia" w:asciiTheme="minorEastAsia" w:hAnsiTheme="minorEastAsia" w:eastAsiaTheme="minorEastAsia" w:cstheme="minorEastAsia"/>
                <w:sz w:val="21"/>
                <w:szCs w:val="21"/>
                <w:highlight w:val="none"/>
                <w:vertAlign w:val="baseline"/>
                <w:lang w:eastAsia="zh-CN"/>
              </w:rPr>
              <w:t>；</w:t>
            </w:r>
          </w:p>
          <w:p w14:paraId="77507BA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1</w:t>
            </w:r>
            <w:r>
              <w:rPr>
                <w:rFonts w:hint="eastAsia" w:asciiTheme="minorEastAsia" w:hAnsiTheme="minorEastAsia" w:eastAsiaTheme="minorEastAsia" w:cstheme="minorEastAsia"/>
                <w:sz w:val="21"/>
                <w:szCs w:val="21"/>
                <w:highlight w:val="none"/>
                <w:vertAlign w:val="baseline"/>
                <w:lang w:val="en-US" w:eastAsia="zh-CN"/>
              </w:rPr>
              <w:t>8</w:t>
            </w:r>
            <w:r>
              <w:rPr>
                <w:rFonts w:hint="eastAsia" w:asciiTheme="minorEastAsia" w:hAnsiTheme="minorEastAsia" w:eastAsiaTheme="minorEastAsia" w:cstheme="minorEastAsia"/>
                <w:sz w:val="21"/>
                <w:szCs w:val="21"/>
                <w:highlight w:val="none"/>
                <w:vertAlign w:val="baseline"/>
              </w:rPr>
              <w:t>.温控器尺寸</w:t>
            </w:r>
            <w:r>
              <w:rPr>
                <w:rFonts w:hint="eastAsia" w:asciiTheme="minorEastAsia" w:hAnsiTheme="minorEastAsia" w:eastAsiaTheme="minorEastAsia" w:cstheme="minorEastAsia"/>
                <w:b w:val="0"/>
                <w:bCs w:val="0"/>
                <w:sz w:val="21"/>
                <w:szCs w:val="21"/>
                <w:highlight w:val="none"/>
                <w:vertAlign w:val="baseline"/>
                <w:lang w:val="en-US" w:eastAsia="zh-CN"/>
              </w:rPr>
              <w:t>(长*宽*高)</w:t>
            </w:r>
            <w:r>
              <w:rPr>
                <w:rFonts w:hint="eastAsia" w:asciiTheme="minorEastAsia" w:hAnsiTheme="minorEastAsia" w:eastAsiaTheme="minorEastAsia" w:cstheme="minorEastAsia"/>
                <w:sz w:val="21"/>
                <w:szCs w:val="21"/>
                <w:highlight w:val="none"/>
                <w:vertAlign w:val="baseline"/>
              </w:rPr>
              <w:t>：</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490×395×235mm；净重/毛重</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9.5kg/26.5kg</w:t>
            </w:r>
            <w:r>
              <w:rPr>
                <w:rFonts w:hint="eastAsia" w:asciiTheme="minorEastAsia" w:hAnsiTheme="minorEastAsia" w:eastAsiaTheme="minorEastAsia" w:cstheme="minorEastAsia"/>
                <w:sz w:val="21"/>
                <w:szCs w:val="21"/>
                <w:highlight w:val="none"/>
                <w:vertAlign w:val="baseline"/>
                <w:lang w:eastAsia="zh-CN"/>
              </w:rPr>
              <w:t>；</w:t>
            </w:r>
          </w:p>
          <w:p w14:paraId="2A5FC5F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lang w:val="en-US" w:eastAsia="zh-CN"/>
              </w:rPr>
              <w:t>19</w:t>
            </w:r>
            <w:r>
              <w:rPr>
                <w:rFonts w:hint="eastAsia" w:asciiTheme="minorEastAsia" w:hAnsiTheme="minorEastAsia" w:eastAsiaTheme="minorEastAsia" w:cstheme="minorEastAsia"/>
                <w:sz w:val="21"/>
                <w:szCs w:val="21"/>
                <w:highlight w:val="none"/>
                <w:vertAlign w:val="baseline"/>
              </w:rPr>
              <w:t>.压片机尺寸</w:t>
            </w:r>
            <w:r>
              <w:rPr>
                <w:rFonts w:hint="eastAsia" w:asciiTheme="minorEastAsia" w:hAnsiTheme="minorEastAsia" w:eastAsiaTheme="minorEastAsia" w:cstheme="minorEastAsia"/>
                <w:b w:val="0"/>
                <w:bCs w:val="0"/>
                <w:sz w:val="21"/>
                <w:szCs w:val="21"/>
                <w:highlight w:val="none"/>
                <w:vertAlign w:val="baseline"/>
                <w:lang w:val="en-US" w:eastAsia="zh-CN"/>
              </w:rPr>
              <w:t>(长*宽*高)</w:t>
            </w:r>
            <w:r>
              <w:rPr>
                <w:rFonts w:hint="eastAsia" w:asciiTheme="minorEastAsia" w:hAnsiTheme="minorEastAsia" w:eastAsiaTheme="minorEastAsia" w:cstheme="minorEastAsia"/>
                <w:sz w:val="21"/>
                <w:szCs w:val="21"/>
                <w:highlight w:val="none"/>
                <w:vertAlign w:val="baseline"/>
              </w:rPr>
              <w:t>：</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750×300×720mm；净重/毛重</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180kg/232kg</w:t>
            </w:r>
            <w:r>
              <w:rPr>
                <w:rFonts w:hint="eastAsia" w:asciiTheme="minorEastAsia" w:hAnsiTheme="minorEastAsia" w:eastAsiaTheme="minorEastAsia" w:cstheme="minorEastAsia"/>
                <w:sz w:val="21"/>
                <w:szCs w:val="21"/>
                <w:highlight w:val="none"/>
                <w:vertAlign w:val="baseline"/>
                <w:lang w:eastAsia="zh-CN"/>
              </w:rPr>
              <w:t>；</w:t>
            </w:r>
          </w:p>
          <w:p w14:paraId="2483137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sz w:val="21"/>
                <w:szCs w:val="21"/>
                <w:highlight w:val="none"/>
                <w:vertAlign w:val="baseline"/>
              </w:rPr>
              <w:t>2</w:t>
            </w:r>
            <w:r>
              <w:rPr>
                <w:rFonts w:hint="eastAsia" w:asciiTheme="minorEastAsia" w:hAnsiTheme="minorEastAsia" w:eastAsiaTheme="minorEastAsia" w:cstheme="minorEastAsia"/>
                <w:sz w:val="21"/>
                <w:szCs w:val="21"/>
                <w:highlight w:val="none"/>
                <w:vertAlign w:val="baseline"/>
                <w:lang w:val="en-US" w:eastAsia="zh-CN"/>
              </w:rPr>
              <w:t>0</w:t>
            </w:r>
            <w:r>
              <w:rPr>
                <w:rFonts w:hint="eastAsia" w:asciiTheme="minorEastAsia" w:hAnsiTheme="minorEastAsia" w:eastAsiaTheme="minorEastAsia" w:cstheme="minorEastAsia"/>
                <w:sz w:val="21"/>
                <w:szCs w:val="21"/>
                <w:highlight w:val="none"/>
                <w:vertAlign w:val="baseline"/>
              </w:rPr>
              <w:t>.水冷机尺寸</w:t>
            </w:r>
            <w:r>
              <w:rPr>
                <w:rFonts w:hint="eastAsia" w:asciiTheme="minorEastAsia" w:hAnsiTheme="minorEastAsia" w:eastAsiaTheme="minorEastAsia" w:cstheme="minorEastAsia"/>
                <w:b w:val="0"/>
                <w:bCs w:val="0"/>
                <w:sz w:val="21"/>
                <w:szCs w:val="21"/>
                <w:highlight w:val="none"/>
                <w:vertAlign w:val="baseline"/>
                <w:lang w:val="en-US" w:eastAsia="zh-CN"/>
              </w:rPr>
              <w:t>(长*宽*高)</w:t>
            </w:r>
            <w:r>
              <w:rPr>
                <w:rFonts w:hint="eastAsia" w:asciiTheme="minorEastAsia" w:hAnsiTheme="minorEastAsia" w:eastAsiaTheme="minorEastAsia" w:cstheme="minorEastAsia"/>
                <w:sz w:val="21"/>
                <w:szCs w:val="21"/>
                <w:highlight w:val="none"/>
                <w:vertAlign w:val="baseline"/>
              </w:rPr>
              <w:t>：</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550×340×430mm；重量</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11kg</w:t>
            </w:r>
            <w:r>
              <w:rPr>
                <w:rFonts w:hint="eastAsia" w:asciiTheme="minorEastAsia" w:hAnsiTheme="minorEastAsia" w:eastAsiaTheme="minorEastAsia" w:cstheme="minorEastAsia"/>
                <w:sz w:val="21"/>
                <w:szCs w:val="21"/>
                <w:highlight w:val="none"/>
                <w:vertAlign w:val="baseline"/>
                <w:lang w:eastAsia="zh-CN"/>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0AB6B4D1">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sz w:val="21"/>
                <w:szCs w:val="21"/>
                <w:highlight w:val="none"/>
                <w:vertAlign w:val="baseline"/>
                <w:lang w:val="en-US" w:eastAsia="zh-CN"/>
              </w:rPr>
              <w:t>1台</w:t>
            </w:r>
          </w:p>
        </w:tc>
      </w:tr>
      <w:tr w14:paraId="19047457">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B5B7B2D">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E613EBB">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D64F8E8">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sz w:val="21"/>
                <w:szCs w:val="21"/>
                <w:highlight w:val="none"/>
              </w:rPr>
              <w:t>侧照反应器、光源系统 （整套）</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AE5FBD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一、</w:t>
            </w:r>
            <w:r>
              <w:rPr>
                <w:rFonts w:hint="eastAsia" w:asciiTheme="minorEastAsia" w:hAnsiTheme="minorEastAsia" w:eastAsiaTheme="minorEastAsia" w:cstheme="minorEastAsia"/>
                <w:sz w:val="21"/>
                <w:szCs w:val="21"/>
                <w:highlight w:val="none"/>
              </w:rPr>
              <w:t>侧照反应器：</w:t>
            </w:r>
          </w:p>
          <w:p w14:paraId="5443DE8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可以实现光电催化、侧照光催化、非均相反应，可以配合各种接头实现离线或在线的光/电化学实验；侧照全石英反应器，采用全石英一体成型工艺，侧照使光照直接接触反应溶液，提高了光的使用效率，通光均采用紫外高透石英，法兰密封配置了PTFE、石英玻璃反应器盖，保证了反应器的密封，实现了一个反应器在光电催化、光催化、催化、气固、气液、液固、非均相反应中的多种应用。可以根据需求定制不同的电极通道、配进气和出气孔；可实现真空与惰性气体保护</w:t>
            </w:r>
            <w:r>
              <w:rPr>
                <w:rFonts w:hint="eastAsia" w:asciiTheme="minorEastAsia" w:hAnsiTheme="minorEastAsia" w:eastAsiaTheme="minorEastAsia" w:cstheme="minorEastAsia"/>
                <w:sz w:val="21"/>
                <w:szCs w:val="21"/>
                <w:highlight w:val="none"/>
                <w:lang w:eastAsia="zh-CN"/>
              </w:rPr>
              <w:t>；</w:t>
            </w:r>
          </w:p>
          <w:p w14:paraId="4B8FD6F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侧照全石英反应器，容积</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rPr>
              <w:t>150ml，光窗规格</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rPr>
              <w:t>40*60mm，主要配置全石英反应器主体、耐腐蚀O型圈、PTFE盖三电极、石英盖板、C型夹、甘汞电极、铂电极、铂电极夹等</w:t>
            </w:r>
            <w:r>
              <w:rPr>
                <w:rFonts w:hint="eastAsia" w:asciiTheme="minorEastAsia" w:hAnsiTheme="minorEastAsia" w:eastAsiaTheme="minorEastAsia" w:cstheme="minorEastAsia"/>
                <w:sz w:val="21"/>
                <w:szCs w:val="21"/>
                <w:highlight w:val="none"/>
                <w:lang w:eastAsia="zh-CN"/>
              </w:rPr>
              <w:t>；</w:t>
            </w:r>
          </w:p>
          <w:p w14:paraId="1DAB4A8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二、</w:t>
            </w:r>
            <w:r>
              <w:rPr>
                <w:rFonts w:hint="eastAsia" w:asciiTheme="minorEastAsia" w:hAnsiTheme="minorEastAsia" w:eastAsiaTheme="minorEastAsia" w:cstheme="minorEastAsia"/>
                <w:sz w:val="21"/>
                <w:szCs w:val="21"/>
                <w:highlight w:val="none"/>
              </w:rPr>
              <w:t>配套光源系统：</w:t>
            </w:r>
          </w:p>
          <w:p w14:paraId="42EB537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）增效式风道式散热设计，提高散热效率，延长灯泡的使用寿命；</w:t>
            </w:r>
          </w:p>
          <w:p w14:paraId="01431FB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）核心部件过热保护功能，确保设备的安全稳定使用</w:t>
            </w:r>
            <w:r>
              <w:rPr>
                <w:rFonts w:hint="eastAsia" w:asciiTheme="minorEastAsia" w:hAnsiTheme="minorEastAsia" w:eastAsiaTheme="minorEastAsia" w:cstheme="minorEastAsia"/>
                <w:sz w:val="21"/>
                <w:szCs w:val="21"/>
                <w:highlight w:val="none"/>
                <w:lang w:eastAsia="zh-CN"/>
              </w:rPr>
              <w:t>；</w:t>
            </w:r>
          </w:p>
          <w:p w14:paraId="35CB68F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基本参数：</w:t>
            </w:r>
          </w:p>
          <w:p w14:paraId="09AD345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1)灯泡功率：300W；</w:t>
            </w:r>
          </w:p>
          <w:p w14:paraId="42A54BB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2)功率调整范围：180W-320W连续可调；</w:t>
            </w:r>
          </w:p>
          <w:p w14:paraId="019D456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3)电流调节范围：14-21A；工作电压14V；</w:t>
            </w:r>
          </w:p>
          <w:p w14:paraId="171F225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4)光谱范围：300nm～2500nm（无臭氧O3）；</w:t>
            </w:r>
          </w:p>
          <w:p w14:paraId="58A1FF1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5)总光功率：</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rPr>
              <w:t>50W，红外区</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rPr>
              <w:t>28.8W，紫外区</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rPr>
              <w:t>2.6W；</w:t>
            </w:r>
          </w:p>
          <w:p w14:paraId="5D32642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6)光功率密度：≤2000mw/cm2；</w:t>
            </w:r>
          </w:p>
          <w:p w14:paraId="1D4FE22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7)平行光光斑直径：</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rPr>
              <w:t>60mm；</w:t>
            </w:r>
          </w:p>
          <w:p w14:paraId="4B110A2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8)发散角度：</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rPr>
              <w:t>5°</w:t>
            </w:r>
            <w:r>
              <w:rPr>
                <w:rFonts w:hint="eastAsia" w:asciiTheme="minorEastAsia" w:hAnsiTheme="minorEastAsia" w:eastAsiaTheme="minorEastAsia" w:cstheme="minorEastAsia"/>
                <w:sz w:val="21"/>
                <w:szCs w:val="21"/>
                <w:highlight w:val="none"/>
                <w:lang w:eastAsia="zh-CN"/>
              </w:rPr>
              <w:t>；</w:t>
            </w:r>
          </w:p>
          <w:p w14:paraId="12D0893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9)灯泡寿命：≥1000h</w:t>
            </w:r>
            <w:r>
              <w:rPr>
                <w:rFonts w:hint="eastAsia" w:asciiTheme="minorEastAsia" w:hAnsiTheme="minorEastAsia" w:eastAsiaTheme="minorEastAsia" w:cstheme="minorEastAsia"/>
                <w:sz w:val="21"/>
                <w:szCs w:val="21"/>
                <w:highlight w:val="none"/>
                <w:lang w:eastAsia="zh-CN"/>
              </w:rPr>
              <w:t>；</w:t>
            </w:r>
          </w:p>
          <w:p w14:paraId="6380D76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sz w:val="21"/>
                <w:szCs w:val="21"/>
                <w:highlight w:val="none"/>
              </w:rPr>
              <w:t>10）光路转向装置标配可见光反射片（适用350</w:t>
            </w:r>
            <w:r>
              <w:rPr>
                <w:rFonts w:hint="eastAsia" w:asciiTheme="minorEastAsia" w:hAnsiTheme="minorEastAsia" w:eastAsiaTheme="minorEastAsia" w:cstheme="minorEastAsia"/>
                <w:sz w:val="21"/>
                <w:szCs w:val="21"/>
                <w:highlight w:val="none"/>
                <w:lang w:val="en-US" w:eastAsia="zh-CN"/>
              </w:rPr>
              <w:t>-</w:t>
            </w:r>
            <w:r>
              <w:rPr>
                <w:rFonts w:hint="eastAsia" w:asciiTheme="minorEastAsia" w:hAnsiTheme="minorEastAsia" w:eastAsiaTheme="minorEastAsia" w:cstheme="minorEastAsia"/>
                <w:sz w:val="21"/>
                <w:szCs w:val="21"/>
                <w:highlight w:val="none"/>
              </w:rPr>
              <w:t>780nm）；可选配全光谱反射片、紫外反射片（适用 200</w:t>
            </w:r>
            <w:r>
              <w:rPr>
                <w:rFonts w:hint="eastAsia" w:asciiTheme="minorEastAsia" w:hAnsiTheme="minorEastAsia" w:eastAsiaTheme="minorEastAsia" w:cstheme="minorEastAsia"/>
                <w:sz w:val="21"/>
                <w:szCs w:val="21"/>
                <w:highlight w:val="none"/>
                <w:lang w:val="en-US" w:eastAsia="zh-CN"/>
              </w:rPr>
              <w:t>-</w:t>
            </w:r>
            <w:r>
              <w:rPr>
                <w:rFonts w:hint="eastAsia" w:asciiTheme="minorEastAsia" w:hAnsiTheme="minorEastAsia" w:eastAsiaTheme="minorEastAsia" w:cstheme="minorEastAsia"/>
                <w:sz w:val="21"/>
                <w:szCs w:val="21"/>
                <w:highlight w:val="none"/>
              </w:rPr>
              <w:t>400nm）</w:t>
            </w:r>
            <w:r>
              <w:rPr>
                <w:rFonts w:hint="eastAsia" w:asciiTheme="minorEastAsia" w:hAnsiTheme="minorEastAsia" w:eastAsiaTheme="minorEastAsia" w:cstheme="minorEastAsia"/>
                <w:sz w:val="21"/>
                <w:szCs w:val="21"/>
                <w:highlight w:val="none"/>
                <w:lang w:eastAsia="zh-CN"/>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7D44F075">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color w:val="000000"/>
                <w:sz w:val="21"/>
                <w:szCs w:val="21"/>
                <w:highlight w:val="none"/>
                <w:vertAlign w:val="baseline"/>
                <w:lang w:val="en-US" w:eastAsia="zh-CN"/>
              </w:rPr>
              <w:t>2</w:t>
            </w:r>
            <w:r>
              <w:rPr>
                <w:rFonts w:hint="eastAsia" w:ascii="宋体" w:hAnsi="宋体" w:eastAsia="宋体" w:cs="宋体"/>
                <w:sz w:val="21"/>
                <w:szCs w:val="21"/>
                <w:highlight w:val="none"/>
                <w:vertAlign w:val="baseline"/>
                <w:lang w:val="en-US" w:eastAsia="zh-CN"/>
              </w:rPr>
              <w:t>台</w:t>
            </w:r>
          </w:p>
        </w:tc>
      </w:tr>
      <w:tr w14:paraId="4A1CBD53">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666DBF0">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D32D6B7">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color w:val="000000"/>
                <w:sz w:val="21"/>
                <w:szCs w:val="21"/>
                <w:highlight w:val="none"/>
                <w:vertAlign w:val="baseli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258292A">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sz w:val="21"/>
                <w:szCs w:val="21"/>
                <w:highlight w:val="none"/>
                <w:vertAlign w:val="baseline"/>
              </w:rPr>
              <w:t>电化学工作站</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B6C7A0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技术参数：</w:t>
            </w:r>
          </w:p>
          <w:p w14:paraId="7120029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1.硬件参数指标；</w:t>
            </w:r>
          </w:p>
          <w:p w14:paraId="76A8932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1.1 恒电位控制范围：±10V；</w:t>
            </w:r>
          </w:p>
          <w:p w14:paraId="451A9BB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1.2 恒电流控制范围：±2A（可扩展至20A/40A/100A）；</w:t>
            </w:r>
          </w:p>
          <w:p w14:paraId="58D66BB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1.3 电位控制精度：</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lang w:val="en-US" w:eastAsia="zh-CN"/>
              </w:rPr>
              <w:t>0.1%；</w:t>
            </w:r>
          </w:p>
          <w:p w14:paraId="77DDCD1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1.4 电流控制精度：</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lang w:val="en-US" w:eastAsia="zh-CN"/>
              </w:rPr>
              <w:t>0.1%；</w:t>
            </w:r>
          </w:p>
          <w:p w14:paraId="31801C6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1.5 电位分辨率：</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lang w:val="en-US" w:eastAsia="zh-CN"/>
              </w:rPr>
              <w:t>1μV；</w:t>
            </w:r>
          </w:p>
          <w:p w14:paraId="55D8962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1.6 电流灵敏度：</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lang w:val="en-US" w:eastAsia="zh-CN"/>
              </w:rPr>
              <w:t>1pA（可选 100fA）；</w:t>
            </w:r>
          </w:p>
          <w:p w14:paraId="2B02A6F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1.7 电位上升时间：</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lang w:val="en-US" w:eastAsia="zh-CN"/>
              </w:rPr>
              <w:t>1μs；</w:t>
            </w:r>
          </w:p>
          <w:p w14:paraId="610AE13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1.8 参比电极输入阻抗：1013Ω||8pF；</w:t>
            </w:r>
          </w:p>
          <w:p w14:paraId="411FDEE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1.9 电流量程：2A～2nA，</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lang w:val="en-US" w:eastAsia="zh-CN"/>
              </w:rPr>
              <w:t>10档；</w:t>
            </w:r>
          </w:p>
          <w:p w14:paraId="094AFF6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1.10 槽压输出：±21V(可选 30V)；</w:t>
            </w:r>
          </w:p>
          <w:p w14:paraId="0E3AC5E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1.11 最大输出电流：±2A（可扩展至20A/40A/100A）；</w:t>
            </w:r>
          </w:p>
          <w:p w14:paraId="7AEDFFE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1.12 CV和LSV扫描速度：0.001mV～10000V/s；</w:t>
            </w:r>
          </w:p>
          <w:p w14:paraId="216F36A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1.13 CA 和 CC 脉冲宽度：0.0001～65000s；</w:t>
            </w:r>
          </w:p>
          <w:p w14:paraId="69961D6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1.14 电流扫描增量：1A/ms 扫描速率时电流增量≤1mA；</w:t>
            </w:r>
          </w:p>
          <w:p w14:paraId="5957EA7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1.15电位扫描时电位增量：1V/ms 扫描速率时电位增量≤0.076 mV</w:t>
            </w:r>
            <w:r>
              <w:rPr>
                <w:rFonts w:hint="eastAsia" w:asciiTheme="minorEastAsia" w:hAnsiTheme="minorEastAsia" w:eastAsiaTheme="minorEastAsia" w:cstheme="minorEastAsia"/>
                <w:sz w:val="21"/>
                <w:szCs w:val="21"/>
                <w:highlight w:val="none"/>
                <w:lang w:eastAsia="zh-CN"/>
              </w:rPr>
              <w:t>；</w:t>
            </w:r>
          </w:p>
          <w:p w14:paraId="3C3703D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1.16 SWV 频率：0.001～100KHz；</w:t>
            </w:r>
          </w:p>
          <w:p w14:paraId="0010E9C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1.17 DPV 和 NPV 脉冲宽度：0.0001～1000s；</w:t>
            </w:r>
          </w:p>
          <w:p w14:paraId="0515339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1.18 AD 数据采集：</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lang w:val="en-US" w:eastAsia="zh-CN"/>
              </w:rPr>
              <w:t>16bit@1MHz, 20bit@1KHz；</w:t>
            </w:r>
          </w:p>
          <w:p w14:paraId="13F430E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1.19 DA 分辨率：</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lang w:val="en-US" w:eastAsia="zh-CN"/>
              </w:rPr>
              <w:t>16bit,建立时间：</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lang w:val="en-US" w:eastAsia="zh-CN"/>
              </w:rPr>
              <w:t>1μs；</w:t>
            </w:r>
          </w:p>
          <w:p w14:paraId="088194F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1.20 CV 的最小电位增量：</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lang w:val="en-US" w:eastAsia="zh-CN"/>
              </w:rPr>
              <w:t>0.020mV；</w:t>
            </w:r>
          </w:p>
          <w:p w14:paraId="062D8EC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1.21 IMP 频率：10μHz~1MHz；</w:t>
            </w:r>
          </w:p>
          <w:p w14:paraId="1D31D58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1.22 低通滤波器：</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lang w:val="en-US" w:eastAsia="zh-CN"/>
              </w:rPr>
              <w:t>8 段可编程；</w:t>
            </w:r>
          </w:p>
          <w:p w14:paraId="4E0D6F5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1.23 电流与电位量程：自动设置；</w:t>
            </w:r>
          </w:p>
          <w:p w14:paraId="513D1ED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1.24 通讯接口：USB2.0、RJ45网口；</w:t>
            </w:r>
          </w:p>
          <w:p w14:paraId="5DCFCBF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外形尺寸（mm）：</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lang w:val="en-US" w:eastAsia="zh-CN"/>
              </w:rPr>
              <w:t>365(W)*338(D)* 140(H)；</w:t>
            </w:r>
          </w:p>
          <w:p w14:paraId="2CCBEE1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2.测量与控制软件主要功能；</w:t>
            </w:r>
          </w:p>
          <w:p w14:paraId="67424D2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2.1 稳态极化：开路电位测量（OCP）、恒电位极化（i-t 曲线测试)、恒电流极化、动电位扫描（Tafel 曲线）、动电流扫描（DGP）；</w:t>
            </w:r>
          </w:p>
          <w:p w14:paraId="0289858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2.2 暂态极化：任意恒电位阶梯波、任意恒电流阶梯波、恒电位阶跃（VSTEP）、恒电流阶跃（ISTEP）；</w:t>
            </w:r>
          </w:p>
          <w:p w14:paraId="53C321E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2.3 计时分析：计时电位法（CP）、计时电流法（CA）、计时电量法（CC）；</w:t>
            </w:r>
          </w:p>
          <w:p w14:paraId="6F59577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2.4 伏安分析：线性扫描伏安法（LSV）、循环伏安法（CV）、阶梯循环伏安法（SCV）、方波伏安法（SWV）、差分脉冲伏安法（DPV）、常规脉冲伏安法（NPV）、差分常规脉冲伏安法（DNPV）、交流伏安（ACV）、二次谐波交流伏安（SHACV）、傅里叶变换交流伏安（FTACV）；</w:t>
            </w:r>
          </w:p>
          <w:p w14:paraId="03CFACD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电流检测：差分脉冲电流检测（DPA）、双差分脉冲电流检测（DDPA）、三脉冲电流检测（TPA）、积分脉冲电流检测（IPAD）；</w:t>
            </w:r>
          </w:p>
          <w:p w14:paraId="287E58A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2.5 溶出伏安：电位溶出分析（PSA）、线性扫描溶出伏安（LSSV）、阶梯溶出伏安（SCSV）、方波溶出伏安（SWSV）、差分脉冲溶出伏安（DPSV）、常规脉冲溶出伏安（NPSV）、差分常规脉冲溶出伏安（DNPSV）；</w:t>
            </w:r>
          </w:p>
          <w:p w14:paraId="1BB21CD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2.6 充放电测试： 电池充放电测试、恒电流充放电（GCD） 、恒电位充放电、恒电位间歇滴定技术（PITT）、恒电流间歇滴定技术（GITT）；</w:t>
            </w:r>
          </w:p>
          <w:p w14:paraId="7146641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2.7双恒测量：氢扩散测试（HDT）、盘环电极测试、法拉第效率测试；</w:t>
            </w:r>
          </w:p>
          <w:p w14:paraId="1DE41E9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2.8扩展测量： 电化学噪声（EN）、电偶腐蚀测量（ZRA）、电化学溶解/沉积、控制电位电解库伦法（BE）、动电位再活化法（EPR）、溶液电阻测量、循环极化曲线（CPP）、任意恒电位极化、脚本化定制测试；</w:t>
            </w:r>
          </w:p>
          <w:p w14:paraId="6FDE9F2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注：氢扩散及旋转盘环电极测试需配置恒电位/恒电流仪或采用双恒电位仪。</w:t>
            </w:r>
          </w:p>
          <w:p w14:paraId="60B0BB6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3 .仪器配置</w:t>
            </w:r>
          </w:p>
          <w:p w14:paraId="2B4BA79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3.1 仪器主机1台；</w:t>
            </w:r>
          </w:p>
          <w:p w14:paraId="78CD761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3.2 测试与分析软件1套；</w:t>
            </w:r>
          </w:p>
          <w:p w14:paraId="23DF144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3.3模拟电解池1个；</w:t>
            </w:r>
          </w:p>
          <w:p w14:paraId="1D07C74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rPr>
            </w:pPr>
            <w:r>
              <w:rPr>
                <w:rFonts w:hint="eastAsia" w:asciiTheme="minorEastAsia" w:hAnsiTheme="minorEastAsia" w:eastAsiaTheme="minorEastAsia" w:cstheme="minorEastAsia"/>
                <w:color w:val="000000"/>
                <w:sz w:val="21"/>
                <w:szCs w:val="21"/>
                <w:highlight w:val="none"/>
                <w:lang w:val="en-US" w:eastAsia="zh-CN"/>
              </w:rPr>
              <w:t>3.4电源线/USB 数据线各1条；</w:t>
            </w:r>
          </w:p>
          <w:p w14:paraId="721E2B1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color w:val="000000"/>
                <w:sz w:val="21"/>
                <w:szCs w:val="21"/>
                <w:highlight w:val="none"/>
                <w:lang w:val="en-US" w:eastAsia="zh-CN"/>
              </w:rPr>
              <w:t>3.5电极电缆线1条。</w:t>
            </w:r>
          </w:p>
        </w:tc>
        <w:tc>
          <w:tcPr>
            <w:tcW w:w="349" w:type="pct"/>
            <w:tcBorders>
              <w:top w:val="single" w:color="auto" w:sz="4" w:space="0"/>
              <w:left w:val="nil"/>
              <w:bottom w:val="single" w:color="auto" w:sz="4" w:space="0"/>
              <w:right w:val="single" w:color="auto" w:sz="4" w:space="0"/>
            </w:tcBorders>
            <w:shd w:val="clear" w:color="auto" w:fill="auto"/>
            <w:vAlign w:val="center"/>
          </w:tcPr>
          <w:p w14:paraId="19730A2A">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color w:val="000000"/>
                <w:sz w:val="21"/>
                <w:szCs w:val="21"/>
                <w:highlight w:val="none"/>
                <w:vertAlign w:val="baseline"/>
                <w:lang w:val="en-US" w:eastAsia="zh-CN"/>
              </w:rPr>
              <w:t>2</w:t>
            </w:r>
            <w:r>
              <w:rPr>
                <w:rFonts w:hint="eastAsia" w:ascii="宋体" w:hAnsi="宋体" w:eastAsia="宋体" w:cs="宋体"/>
                <w:sz w:val="21"/>
                <w:szCs w:val="21"/>
                <w:highlight w:val="none"/>
                <w:vertAlign w:val="baseline"/>
                <w:lang w:val="en-US" w:eastAsia="zh-CN"/>
              </w:rPr>
              <w:t>台</w:t>
            </w:r>
          </w:p>
        </w:tc>
      </w:tr>
      <w:tr w14:paraId="0910EAB1">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F338946">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9010141">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color w:val="000000"/>
                <w:sz w:val="21"/>
                <w:szCs w:val="21"/>
                <w:highlight w:val="none"/>
                <w:vertAlign w:val="baseli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7B30890">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sz w:val="21"/>
                <w:szCs w:val="21"/>
                <w:highlight w:val="none"/>
                <w:vertAlign w:val="baseline"/>
                <w:lang w:val="en-US" w:eastAsia="zh-CN"/>
              </w:rPr>
              <w:t>电化学工作站</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5D0FA5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rPr>
            </w:pPr>
            <w:r>
              <w:rPr>
                <w:rFonts w:hint="eastAsia" w:asciiTheme="minorEastAsia" w:hAnsiTheme="minorEastAsia" w:eastAsiaTheme="minorEastAsia" w:cstheme="minorEastAsia"/>
                <w:color w:val="000000"/>
                <w:sz w:val="21"/>
                <w:szCs w:val="21"/>
                <w:highlight w:val="none"/>
                <w:vertAlign w:val="baseline"/>
                <w:lang w:val="en-US" w:eastAsia="zh-CN"/>
              </w:rPr>
              <w:t>一、</w:t>
            </w:r>
            <w:r>
              <w:rPr>
                <w:rFonts w:hint="eastAsia" w:asciiTheme="minorEastAsia" w:hAnsiTheme="minorEastAsia" w:eastAsiaTheme="minorEastAsia" w:cstheme="minorEastAsia"/>
                <w:color w:val="000000"/>
                <w:sz w:val="21"/>
                <w:szCs w:val="21"/>
                <w:highlight w:val="none"/>
                <w:vertAlign w:val="baseline"/>
              </w:rPr>
              <w:t>恒电位仪/双恒电位仪</w:t>
            </w:r>
          </w:p>
          <w:p w14:paraId="115694A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1.</w:t>
            </w:r>
            <w:r>
              <w:rPr>
                <w:rFonts w:hint="eastAsia" w:asciiTheme="minorEastAsia" w:hAnsiTheme="minorEastAsia" w:eastAsiaTheme="minorEastAsia" w:cstheme="minorEastAsia"/>
                <w:color w:val="000000"/>
                <w:sz w:val="21"/>
                <w:szCs w:val="21"/>
                <w:highlight w:val="none"/>
                <w:vertAlign w:val="baseline"/>
              </w:rPr>
              <w:t>零电位计：有</w:t>
            </w:r>
            <w:r>
              <w:rPr>
                <w:rFonts w:hint="eastAsia" w:asciiTheme="minorEastAsia" w:hAnsiTheme="minorEastAsia" w:eastAsiaTheme="minorEastAsia" w:cstheme="minorEastAsia"/>
                <w:color w:val="000000"/>
                <w:sz w:val="21"/>
                <w:szCs w:val="21"/>
                <w:highlight w:val="none"/>
                <w:vertAlign w:val="baseline"/>
                <w:lang w:eastAsia="zh-CN"/>
              </w:rPr>
              <w:t>；</w:t>
            </w:r>
          </w:p>
          <w:p w14:paraId="519DB7B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 xml:space="preserve">2. </w:t>
            </w:r>
            <w:r>
              <w:rPr>
                <w:rFonts w:hint="eastAsia" w:asciiTheme="minorEastAsia" w:hAnsiTheme="minorEastAsia" w:eastAsiaTheme="minorEastAsia" w:cstheme="minorEastAsia"/>
                <w:color w:val="000000"/>
                <w:sz w:val="21"/>
                <w:szCs w:val="21"/>
                <w:highlight w:val="none"/>
                <w:vertAlign w:val="baseline"/>
              </w:rPr>
              <w:t>2、3、4 电极结构</w:t>
            </w:r>
            <w:r>
              <w:rPr>
                <w:rFonts w:hint="eastAsia" w:asciiTheme="minorEastAsia" w:hAnsiTheme="minorEastAsia" w:eastAsiaTheme="minorEastAsia" w:cstheme="minorEastAsia"/>
                <w:color w:val="000000"/>
                <w:sz w:val="21"/>
                <w:szCs w:val="21"/>
                <w:highlight w:val="none"/>
                <w:vertAlign w:val="baseline"/>
                <w:lang w:eastAsia="zh-CN"/>
              </w:rPr>
              <w:t>；</w:t>
            </w:r>
          </w:p>
          <w:p w14:paraId="7314082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3.</w:t>
            </w:r>
            <w:r>
              <w:rPr>
                <w:rFonts w:hint="eastAsia" w:asciiTheme="minorEastAsia" w:hAnsiTheme="minorEastAsia" w:eastAsiaTheme="minorEastAsia" w:cstheme="minorEastAsia"/>
                <w:color w:val="000000"/>
                <w:sz w:val="21"/>
                <w:szCs w:val="21"/>
                <w:highlight w:val="none"/>
                <w:vertAlign w:val="baseline"/>
              </w:rPr>
              <w:t>浮动地线或接地</w:t>
            </w:r>
            <w:r>
              <w:rPr>
                <w:rFonts w:hint="eastAsia" w:asciiTheme="minorEastAsia" w:hAnsiTheme="minorEastAsia" w:eastAsiaTheme="minorEastAsia" w:cstheme="minorEastAsia"/>
                <w:color w:val="000000"/>
                <w:sz w:val="21"/>
                <w:szCs w:val="21"/>
                <w:highlight w:val="none"/>
                <w:vertAlign w:val="baseline"/>
                <w:lang w:eastAsia="zh-CN"/>
              </w:rPr>
              <w:t>；</w:t>
            </w:r>
          </w:p>
          <w:p w14:paraId="3C07B1D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4.</w:t>
            </w:r>
            <w:r>
              <w:rPr>
                <w:rFonts w:hint="eastAsia" w:asciiTheme="minorEastAsia" w:hAnsiTheme="minorEastAsia" w:eastAsiaTheme="minorEastAsia" w:cstheme="minorEastAsia"/>
                <w:color w:val="000000"/>
                <w:sz w:val="21"/>
                <w:szCs w:val="21"/>
                <w:highlight w:val="none"/>
                <w:vertAlign w:val="baseline"/>
              </w:rPr>
              <w:t>两个通道最大电位范围：±10V</w:t>
            </w:r>
            <w:r>
              <w:rPr>
                <w:rFonts w:hint="eastAsia" w:asciiTheme="minorEastAsia" w:hAnsiTheme="minorEastAsia" w:eastAsiaTheme="minorEastAsia" w:cstheme="minorEastAsia"/>
                <w:color w:val="000000"/>
                <w:sz w:val="21"/>
                <w:szCs w:val="21"/>
                <w:highlight w:val="none"/>
                <w:vertAlign w:val="baseline"/>
                <w:lang w:eastAsia="zh-CN"/>
              </w:rPr>
              <w:t>；</w:t>
            </w:r>
          </w:p>
          <w:p w14:paraId="15EFDB1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5.</w:t>
            </w:r>
            <w:r>
              <w:rPr>
                <w:rFonts w:hint="eastAsia" w:asciiTheme="minorEastAsia" w:hAnsiTheme="minorEastAsia" w:eastAsiaTheme="minorEastAsia" w:cstheme="minorEastAsia"/>
                <w:color w:val="000000"/>
                <w:sz w:val="21"/>
                <w:szCs w:val="21"/>
                <w:highlight w:val="none"/>
                <w:vertAlign w:val="baseline"/>
              </w:rPr>
              <w:t>最大电流：±250 mA 连续（两通道电流之和），±300 mA 峰值</w:t>
            </w:r>
            <w:r>
              <w:rPr>
                <w:rFonts w:hint="eastAsia" w:asciiTheme="minorEastAsia" w:hAnsiTheme="minorEastAsia" w:eastAsiaTheme="minorEastAsia" w:cstheme="minorEastAsia"/>
                <w:color w:val="000000"/>
                <w:sz w:val="21"/>
                <w:szCs w:val="21"/>
                <w:highlight w:val="none"/>
                <w:vertAlign w:val="baseline"/>
                <w:lang w:eastAsia="zh-CN"/>
              </w:rPr>
              <w:t>；</w:t>
            </w:r>
          </w:p>
          <w:p w14:paraId="1B5388E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6.</w:t>
            </w:r>
            <w:r>
              <w:rPr>
                <w:rFonts w:hint="eastAsia" w:asciiTheme="minorEastAsia" w:hAnsiTheme="minorEastAsia" w:eastAsiaTheme="minorEastAsia" w:cstheme="minorEastAsia"/>
                <w:color w:val="000000"/>
                <w:sz w:val="21"/>
                <w:szCs w:val="21"/>
                <w:highlight w:val="none"/>
                <w:vertAlign w:val="baseline"/>
              </w:rPr>
              <w:t>槽压：±13V</w:t>
            </w:r>
            <w:r>
              <w:rPr>
                <w:rFonts w:hint="eastAsia" w:asciiTheme="minorEastAsia" w:hAnsiTheme="minorEastAsia" w:eastAsiaTheme="minorEastAsia" w:cstheme="minorEastAsia"/>
                <w:color w:val="000000"/>
                <w:sz w:val="21"/>
                <w:szCs w:val="21"/>
                <w:highlight w:val="none"/>
                <w:vertAlign w:val="baseline"/>
                <w:lang w:eastAsia="zh-CN"/>
              </w:rPr>
              <w:t>；</w:t>
            </w:r>
          </w:p>
          <w:p w14:paraId="0DAC60B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7.</w:t>
            </w:r>
            <w:r>
              <w:rPr>
                <w:rFonts w:hint="eastAsia" w:asciiTheme="minorEastAsia" w:hAnsiTheme="minorEastAsia" w:eastAsiaTheme="minorEastAsia" w:cstheme="minorEastAsia"/>
                <w:color w:val="000000"/>
                <w:sz w:val="21"/>
                <w:szCs w:val="21"/>
                <w:highlight w:val="none"/>
                <w:vertAlign w:val="baseline"/>
              </w:rPr>
              <w:t>恒电位仪上升时间：&lt;1μs</w:t>
            </w:r>
            <w:r>
              <w:rPr>
                <w:rFonts w:hint="eastAsia" w:asciiTheme="minorEastAsia" w:hAnsiTheme="minorEastAsia" w:eastAsiaTheme="minorEastAsia" w:cstheme="minorEastAsia"/>
                <w:color w:val="000000"/>
                <w:sz w:val="21"/>
                <w:szCs w:val="21"/>
                <w:highlight w:val="none"/>
                <w:vertAlign w:val="baseline"/>
                <w:lang w:eastAsia="zh-CN"/>
              </w:rPr>
              <w:t>；</w:t>
            </w:r>
          </w:p>
          <w:p w14:paraId="7CE05B0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8.</w:t>
            </w:r>
            <w:r>
              <w:rPr>
                <w:rFonts w:hint="eastAsia" w:asciiTheme="minorEastAsia" w:hAnsiTheme="minorEastAsia" w:eastAsiaTheme="minorEastAsia" w:cstheme="minorEastAsia"/>
                <w:color w:val="000000"/>
                <w:sz w:val="21"/>
                <w:szCs w:val="21"/>
                <w:highlight w:val="none"/>
                <w:vertAlign w:val="baseline"/>
              </w:rPr>
              <w:t>恒电位仪带宽（-3 dB）：1MHz</w:t>
            </w:r>
            <w:r>
              <w:rPr>
                <w:rFonts w:hint="eastAsia" w:asciiTheme="minorEastAsia" w:hAnsiTheme="minorEastAsia" w:eastAsiaTheme="minorEastAsia" w:cstheme="minorEastAsia"/>
                <w:color w:val="000000"/>
                <w:sz w:val="21"/>
                <w:szCs w:val="21"/>
                <w:highlight w:val="none"/>
                <w:vertAlign w:val="baseline"/>
                <w:lang w:eastAsia="zh-CN"/>
              </w:rPr>
              <w:t>；</w:t>
            </w:r>
          </w:p>
          <w:p w14:paraId="133DC5D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9.</w:t>
            </w:r>
            <w:r>
              <w:rPr>
                <w:rFonts w:hint="eastAsia" w:asciiTheme="minorEastAsia" w:hAnsiTheme="minorEastAsia" w:eastAsiaTheme="minorEastAsia" w:cstheme="minorEastAsia"/>
                <w:color w:val="000000"/>
                <w:sz w:val="21"/>
                <w:szCs w:val="21"/>
                <w:highlight w:val="none"/>
                <w:vertAlign w:val="baseline"/>
              </w:rPr>
              <w:t>恒电位范围：±10mV，±50mV，±100mV，±650mV，±3.276 V，±6.553V，±10V</w:t>
            </w:r>
            <w:r>
              <w:rPr>
                <w:rFonts w:hint="eastAsia" w:asciiTheme="minorEastAsia" w:hAnsiTheme="minorEastAsia" w:eastAsiaTheme="minorEastAsia" w:cstheme="minorEastAsia"/>
                <w:color w:val="000000"/>
                <w:sz w:val="21"/>
                <w:szCs w:val="21"/>
                <w:highlight w:val="none"/>
                <w:vertAlign w:val="baseline"/>
                <w:lang w:eastAsia="zh-CN"/>
              </w:rPr>
              <w:t>；</w:t>
            </w:r>
          </w:p>
          <w:p w14:paraId="7D5A593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10.</w:t>
            </w:r>
            <w:r>
              <w:rPr>
                <w:rFonts w:hint="eastAsia" w:asciiTheme="minorEastAsia" w:hAnsiTheme="minorEastAsia" w:eastAsiaTheme="minorEastAsia" w:cstheme="minorEastAsia"/>
                <w:color w:val="000000"/>
                <w:sz w:val="21"/>
                <w:szCs w:val="21"/>
                <w:highlight w:val="none"/>
                <w:vertAlign w:val="baseline"/>
              </w:rPr>
              <w:t>所加电位分辨率：电位范围的 0.0015%</w:t>
            </w:r>
            <w:r>
              <w:rPr>
                <w:rFonts w:hint="eastAsia" w:asciiTheme="minorEastAsia" w:hAnsiTheme="minorEastAsia" w:eastAsiaTheme="minorEastAsia" w:cstheme="minorEastAsia"/>
                <w:color w:val="000000"/>
                <w:sz w:val="21"/>
                <w:szCs w:val="21"/>
                <w:highlight w:val="none"/>
                <w:vertAlign w:val="baseline"/>
                <w:lang w:eastAsia="zh-CN"/>
              </w:rPr>
              <w:t>；</w:t>
            </w:r>
          </w:p>
          <w:p w14:paraId="2EA9354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11.</w:t>
            </w:r>
            <w:r>
              <w:rPr>
                <w:rFonts w:hint="eastAsia" w:asciiTheme="minorEastAsia" w:hAnsiTheme="minorEastAsia" w:eastAsiaTheme="minorEastAsia" w:cstheme="minorEastAsia"/>
                <w:color w:val="000000"/>
                <w:sz w:val="21"/>
                <w:szCs w:val="21"/>
                <w:highlight w:val="none"/>
                <w:vertAlign w:val="baseline"/>
              </w:rPr>
              <w:t>所加电位准确度：±1mV，±1μV</w:t>
            </w:r>
            <w:r>
              <w:rPr>
                <w:rFonts w:hint="eastAsia" w:asciiTheme="minorEastAsia" w:hAnsiTheme="minorEastAsia" w:eastAsiaTheme="minorEastAsia" w:cstheme="minorEastAsia"/>
                <w:sz w:val="21"/>
                <w:szCs w:val="21"/>
                <w:highlight w:val="none"/>
                <w:lang w:eastAsia="zh-CN"/>
              </w:rPr>
              <w:t>；</w:t>
            </w:r>
          </w:p>
          <w:p w14:paraId="3FE16A0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12.</w:t>
            </w:r>
            <w:r>
              <w:rPr>
                <w:rFonts w:hint="eastAsia" w:asciiTheme="minorEastAsia" w:hAnsiTheme="minorEastAsia" w:eastAsiaTheme="minorEastAsia" w:cstheme="minorEastAsia"/>
                <w:color w:val="000000"/>
                <w:sz w:val="21"/>
                <w:szCs w:val="21"/>
                <w:highlight w:val="none"/>
                <w:vertAlign w:val="baseline"/>
              </w:rPr>
              <w:t>所加电位噪声：&lt;10μV 均方根</w:t>
            </w:r>
            <w:r>
              <w:rPr>
                <w:rFonts w:hint="eastAsia" w:asciiTheme="minorEastAsia" w:hAnsiTheme="minorEastAsia" w:eastAsiaTheme="minorEastAsia" w:cstheme="minorEastAsia"/>
                <w:color w:val="000000"/>
                <w:sz w:val="21"/>
                <w:szCs w:val="21"/>
                <w:highlight w:val="none"/>
                <w:vertAlign w:val="baseline"/>
                <w:lang w:eastAsia="zh-CN"/>
              </w:rPr>
              <w:t>；</w:t>
            </w:r>
          </w:p>
          <w:p w14:paraId="0A6F53F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13.</w:t>
            </w:r>
            <w:r>
              <w:rPr>
                <w:rFonts w:hint="eastAsia" w:asciiTheme="minorEastAsia" w:hAnsiTheme="minorEastAsia" w:eastAsiaTheme="minorEastAsia" w:cstheme="minorEastAsia"/>
                <w:color w:val="000000"/>
                <w:sz w:val="21"/>
                <w:szCs w:val="21"/>
                <w:highlight w:val="none"/>
                <w:vertAlign w:val="baseline"/>
              </w:rPr>
              <w:t>测量电流范围：±10pA至±0.25A，</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vertAlign w:val="baseline"/>
              </w:rPr>
              <w:t>12量程</w:t>
            </w:r>
            <w:r>
              <w:rPr>
                <w:rFonts w:hint="eastAsia" w:asciiTheme="minorEastAsia" w:hAnsiTheme="minorEastAsia" w:eastAsiaTheme="minorEastAsia" w:cstheme="minorEastAsia"/>
                <w:color w:val="000000"/>
                <w:sz w:val="21"/>
                <w:szCs w:val="21"/>
                <w:highlight w:val="none"/>
                <w:vertAlign w:val="baseline"/>
                <w:lang w:eastAsia="zh-CN"/>
              </w:rPr>
              <w:t>；</w:t>
            </w:r>
          </w:p>
          <w:p w14:paraId="1BE83F1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14.</w:t>
            </w:r>
            <w:r>
              <w:rPr>
                <w:rFonts w:hint="eastAsia" w:asciiTheme="minorEastAsia" w:hAnsiTheme="minorEastAsia" w:eastAsiaTheme="minorEastAsia" w:cstheme="minorEastAsia"/>
                <w:color w:val="000000"/>
                <w:sz w:val="21"/>
                <w:szCs w:val="21"/>
                <w:highlight w:val="none"/>
                <w:vertAlign w:val="baseline"/>
              </w:rPr>
              <w:t>测量电流分辨率：电流量程的0.0015%，最低0.3fA</w:t>
            </w:r>
            <w:r>
              <w:rPr>
                <w:rFonts w:hint="eastAsia" w:asciiTheme="minorEastAsia" w:hAnsiTheme="minorEastAsia" w:eastAsiaTheme="minorEastAsia" w:cstheme="minorEastAsia"/>
                <w:color w:val="000000"/>
                <w:sz w:val="21"/>
                <w:szCs w:val="21"/>
                <w:highlight w:val="none"/>
                <w:vertAlign w:val="baseline"/>
                <w:lang w:eastAsia="zh-CN"/>
              </w:rPr>
              <w:t>；</w:t>
            </w:r>
          </w:p>
          <w:p w14:paraId="1EC3BEF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15.</w:t>
            </w:r>
            <w:r>
              <w:rPr>
                <w:rFonts w:hint="eastAsia" w:asciiTheme="minorEastAsia" w:hAnsiTheme="minorEastAsia" w:eastAsiaTheme="minorEastAsia" w:cstheme="minorEastAsia"/>
                <w:color w:val="000000"/>
                <w:sz w:val="21"/>
                <w:szCs w:val="21"/>
                <w:highlight w:val="none"/>
                <w:vertAlign w:val="baseline"/>
              </w:rPr>
              <w:t>电流测量准确度：电流灵敏度 1e-3 A/V 至 1e-7 A/V 时为0.2%，其他范围为1%</w:t>
            </w:r>
            <w:r>
              <w:rPr>
                <w:rFonts w:hint="eastAsia" w:asciiTheme="minorEastAsia" w:hAnsiTheme="minorEastAsia" w:eastAsiaTheme="minorEastAsia" w:cstheme="minorEastAsia"/>
                <w:color w:val="000000"/>
                <w:sz w:val="21"/>
                <w:szCs w:val="21"/>
                <w:highlight w:val="none"/>
                <w:vertAlign w:val="baseline"/>
                <w:lang w:eastAsia="zh-CN"/>
              </w:rPr>
              <w:t>；</w:t>
            </w:r>
          </w:p>
          <w:p w14:paraId="11A2522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16.</w:t>
            </w:r>
            <w:r>
              <w:rPr>
                <w:rFonts w:hint="eastAsia" w:asciiTheme="minorEastAsia" w:hAnsiTheme="minorEastAsia" w:eastAsiaTheme="minorEastAsia" w:cstheme="minorEastAsia"/>
                <w:color w:val="000000"/>
                <w:sz w:val="21"/>
                <w:szCs w:val="21"/>
                <w:highlight w:val="none"/>
                <w:vertAlign w:val="baseline"/>
              </w:rPr>
              <w:t>输入偏置电流：&lt;10pA</w:t>
            </w:r>
            <w:r>
              <w:rPr>
                <w:rFonts w:hint="eastAsia" w:asciiTheme="minorEastAsia" w:hAnsiTheme="minorEastAsia" w:eastAsiaTheme="minorEastAsia" w:cstheme="minorEastAsia"/>
                <w:color w:val="000000"/>
                <w:sz w:val="21"/>
                <w:szCs w:val="21"/>
                <w:highlight w:val="none"/>
                <w:vertAlign w:val="baseline"/>
                <w:lang w:eastAsia="zh-CN"/>
              </w:rPr>
              <w:t>；</w:t>
            </w:r>
          </w:p>
          <w:p w14:paraId="03898FE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rPr>
            </w:pPr>
            <w:r>
              <w:rPr>
                <w:rFonts w:hint="eastAsia" w:asciiTheme="minorEastAsia" w:hAnsiTheme="minorEastAsia" w:eastAsiaTheme="minorEastAsia" w:cstheme="minorEastAsia"/>
                <w:color w:val="000000"/>
                <w:sz w:val="21"/>
                <w:szCs w:val="21"/>
                <w:highlight w:val="none"/>
                <w:vertAlign w:val="baseline"/>
                <w:lang w:val="en-US" w:eastAsia="zh-CN"/>
              </w:rPr>
              <w:t>二、</w:t>
            </w:r>
            <w:r>
              <w:rPr>
                <w:rFonts w:hint="eastAsia" w:asciiTheme="minorEastAsia" w:hAnsiTheme="minorEastAsia" w:eastAsiaTheme="minorEastAsia" w:cstheme="minorEastAsia"/>
                <w:color w:val="000000"/>
                <w:sz w:val="21"/>
                <w:szCs w:val="21"/>
                <w:highlight w:val="none"/>
                <w:vertAlign w:val="baseline"/>
              </w:rPr>
              <w:t>恒电流仪</w:t>
            </w:r>
          </w:p>
          <w:p w14:paraId="5AEFFF8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val="en-US" w:eastAsia="zh-CN"/>
              </w:rPr>
            </w:pPr>
            <w:r>
              <w:rPr>
                <w:rFonts w:hint="eastAsia" w:asciiTheme="minorEastAsia" w:hAnsiTheme="minorEastAsia" w:eastAsiaTheme="minorEastAsia" w:cstheme="minorEastAsia"/>
                <w:color w:val="000000"/>
                <w:sz w:val="21"/>
                <w:szCs w:val="21"/>
                <w:highlight w:val="none"/>
                <w:vertAlign w:val="baseline"/>
                <w:lang w:val="en-US" w:eastAsia="zh-CN"/>
              </w:rPr>
              <w:t>1.</w:t>
            </w:r>
            <w:r>
              <w:rPr>
                <w:rFonts w:hint="eastAsia" w:asciiTheme="minorEastAsia" w:hAnsiTheme="minorEastAsia" w:eastAsiaTheme="minorEastAsia" w:cstheme="minorEastAsia"/>
                <w:color w:val="000000"/>
                <w:sz w:val="21"/>
                <w:szCs w:val="21"/>
                <w:highlight w:val="none"/>
                <w:vertAlign w:val="baseline"/>
              </w:rPr>
              <w:t>恒电流范围：0.3nA~250mA</w:t>
            </w:r>
            <w:r>
              <w:rPr>
                <w:rFonts w:hint="eastAsia" w:asciiTheme="minorEastAsia" w:hAnsiTheme="minorEastAsia" w:eastAsiaTheme="minorEastAsia" w:cstheme="minorEastAsia"/>
                <w:color w:val="000000"/>
                <w:sz w:val="21"/>
                <w:szCs w:val="21"/>
                <w:highlight w:val="none"/>
                <w:vertAlign w:val="baseline"/>
                <w:lang w:eastAsia="zh-CN"/>
              </w:rPr>
              <w:t>；</w:t>
            </w:r>
          </w:p>
          <w:p w14:paraId="3B14DEB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2.</w:t>
            </w:r>
            <w:r>
              <w:rPr>
                <w:rFonts w:hint="eastAsia" w:asciiTheme="minorEastAsia" w:hAnsiTheme="minorEastAsia" w:eastAsiaTheme="minorEastAsia" w:cstheme="minorEastAsia"/>
                <w:color w:val="000000"/>
                <w:sz w:val="21"/>
                <w:szCs w:val="21"/>
                <w:highlight w:val="none"/>
                <w:vertAlign w:val="baseline"/>
              </w:rPr>
              <w:t>所加电流准确度：±20pA，电流3e-7A 至3e-3A 时为0.3%，其他范围为1%</w:t>
            </w:r>
          </w:p>
          <w:p w14:paraId="1D94D21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rPr>
            </w:pPr>
            <w:r>
              <w:rPr>
                <w:rFonts w:hint="eastAsia" w:asciiTheme="minorEastAsia" w:hAnsiTheme="minorEastAsia" w:eastAsiaTheme="minorEastAsia" w:cstheme="minorEastAsia"/>
                <w:color w:val="000000"/>
                <w:sz w:val="21"/>
                <w:szCs w:val="21"/>
                <w:highlight w:val="none"/>
                <w:vertAlign w:val="baseline"/>
              </w:rPr>
              <w:t>- 所加电流分辨率：电流范围的0.03%</w:t>
            </w:r>
          </w:p>
          <w:p w14:paraId="3B7D163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rPr>
            </w:pPr>
            <w:r>
              <w:rPr>
                <w:rFonts w:hint="eastAsia" w:asciiTheme="minorEastAsia" w:hAnsiTheme="minorEastAsia" w:eastAsiaTheme="minorEastAsia" w:cstheme="minorEastAsia"/>
                <w:color w:val="000000"/>
                <w:sz w:val="21"/>
                <w:szCs w:val="21"/>
                <w:highlight w:val="none"/>
                <w:vertAlign w:val="baseline"/>
              </w:rPr>
              <w:t>- 测量电流范围：±0.025 V，±0.1 V，±0.25 V，±1 V，±2.5 V，±10 V</w:t>
            </w:r>
          </w:p>
          <w:p w14:paraId="4488E5C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rPr>
            </w:pPr>
            <w:r>
              <w:rPr>
                <w:rFonts w:hint="eastAsia" w:asciiTheme="minorEastAsia" w:hAnsiTheme="minorEastAsia" w:eastAsiaTheme="minorEastAsia" w:cstheme="minorEastAsia"/>
                <w:color w:val="000000"/>
                <w:sz w:val="21"/>
                <w:szCs w:val="21"/>
                <w:highlight w:val="none"/>
                <w:vertAlign w:val="baseline"/>
                <w:lang w:val="en-US" w:eastAsia="zh-CN"/>
              </w:rPr>
              <w:t>3、</w:t>
            </w:r>
            <w:r>
              <w:rPr>
                <w:rFonts w:hint="eastAsia" w:asciiTheme="minorEastAsia" w:hAnsiTheme="minorEastAsia" w:eastAsiaTheme="minorEastAsia" w:cstheme="minorEastAsia"/>
                <w:color w:val="000000"/>
                <w:sz w:val="21"/>
                <w:szCs w:val="21"/>
                <w:highlight w:val="none"/>
                <w:vertAlign w:val="baseline"/>
              </w:rPr>
              <w:t>测量电位分辨率：测量范围的 0.0015%</w:t>
            </w:r>
          </w:p>
          <w:p w14:paraId="19E12FF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rPr>
            </w:pPr>
            <w:r>
              <w:rPr>
                <w:rFonts w:hint="eastAsia" w:asciiTheme="minorEastAsia" w:hAnsiTheme="minorEastAsia" w:eastAsiaTheme="minorEastAsia" w:cstheme="minorEastAsia"/>
                <w:color w:val="000000"/>
                <w:sz w:val="21"/>
                <w:szCs w:val="21"/>
                <w:highlight w:val="none"/>
                <w:vertAlign w:val="baseline"/>
                <w:lang w:val="en-US" w:eastAsia="zh-CN"/>
              </w:rPr>
              <w:t>三、</w:t>
            </w:r>
            <w:r>
              <w:rPr>
                <w:rFonts w:hint="eastAsia" w:asciiTheme="minorEastAsia" w:hAnsiTheme="minorEastAsia" w:eastAsiaTheme="minorEastAsia" w:cstheme="minorEastAsia"/>
                <w:color w:val="000000"/>
                <w:sz w:val="21"/>
                <w:szCs w:val="21"/>
                <w:highlight w:val="none"/>
                <w:vertAlign w:val="baseline"/>
              </w:rPr>
              <w:t xml:space="preserve"> 电位计</w:t>
            </w:r>
          </w:p>
          <w:p w14:paraId="00853D4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1.</w:t>
            </w:r>
            <w:r>
              <w:rPr>
                <w:rFonts w:hint="eastAsia" w:asciiTheme="minorEastAsia" w:hAnsiTheme="minorEastAsia" w:eastAsiaTheme="minorEastAsia" w:cstheme="minorEastAsia"/>
                <w:color w:val="000000"/>
                <w:sz w:val="21"/>
                <w:szCs w:val="21"/>
                <w:highlight w:val="none"/>
                <w:vertAlign w:val="baseline"/>
              </w:rPr>
              <w:t>参比电极输入阻抗：1e12 Ω</w:t>
            </w:r>
            <w:r>
              <w:rPr>
                <w:rFonts w:hint="eastAsia" w:asciiTheme="minorEastAsia" w:hAnsiTheme="minorEastAsia" w:eastAsiaTheme="minorEastAsia" w:cstheme="minorEastAsia"/>
                <w:color w:val="000000"/>
                <w:sz w:val="21"/>
                <w:szCs w:val="21"/>
                <w:highlight w:val="none"/>
                <w:vertAlign w:val="baseline"/>
                <w:lang w:eastAsia="zh-CN"/>
              </w:rPr>
              <w:t>；</w:t>
            </w:r>
          </w:p>
          <w:p w14:paraId="156A52B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2.</w:t>
            </w:r>
            <w:r>
              <w:rPr>
                <w:rFonts w:hint="eastAsia" w:asciiTheme="minorEastAsia" w:hAnsiTheme="minorEastAsia" w:eastAsiaTheme="minorEastAsia" w:cstheme="minorEastAsia"/>
                <w:color w:val="000000"/>
                <w:sz w:val="21"/>
                <w:szCs w:val="21"/>
                <w:highlight w:val="none"/>
                <w:vertAlign w:val="baseline"/>
              </w:rPr>
              <w:t>参比电极输入带宽：10 MHz</w:t>
            </w:r>
            <w:r>
              <w:rPr>
                <w:rFonts w:hint="eastAsia" w:asciiTheme="minorEastAsia" w:hAnsiTheme="minorEastAsia" w:eastAsiaTheme="minorEastAsia" w:cstheme="minorEastAsia"/>
                <w:color w:val="000000"/>
                <w:sz w:val="21"/>
                <w:szCs w:val="21"/>
                <w:highlight w:val="none"/>
                <w:vertAlign w:val="baseline"/>
                <w:lang w:eastAsia="zh-CN"/>
              </w:rPr>
              <w:t>；</w:t>
            </w:r>
          </w:p>
          <w:p w14:paraId="27DFDA1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3.</w:t>
            </w:r>
            <w:r>
              <w:rPr>
                <w:rFonts w:hint="eastAsia" w:asciiTheme="minorEastAsia" w:hAnsiTheme="minorEastAsia" w:eastAsiaTheme="minorEastAsia" w:cstheme="minorEastAsia"/>
                <w:color w:val="000000"/>
                <w:sz w:val="21"/>
                <w:szCs w:val="21"/>
                <w:highlight w:val="none"/>
                <w:vertAlign w:val="baseline"/>
              </w:rPr>
              <w:t>参比电极输入偏置电流：&lt; 10 pA @ 25°C</w:t>
            </w:r>
            <w:r>
              <w:rPr>
                <w:rFonts w:hint="eastAsia" w:asciiTheme="minorEastAsia" w:hAnsiTheme="minorEastAsia" w:eastAsiaTheme="minorEastAsia" w:cstheme="minorEastAsia"/>
                <w:color w:val="000000"/>
                <w:sz w:val="21"/>
                <w:szCs w:val="21"/>
                <w:highlight w:val="none"/>
                <w:vertAlign w:val="baseline"/>
                <w:lang w:eastAsia="zh-CN"/>
              </w:rPr>
              <w:t>；</w:t>
            </w:r>
          </w:p>
          <w:p w14:paraId="47E6C3C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rPr>
            </w:pPr>
            <w:r>
              <w:rPr>
                <w:rFonts w:hint="eastAsia" w:asciiTheme="minorEastAsia" w:hAnsiTheme="minorEastAsia" w:eastAsiaTheme="minorEastAsia" w:cstheme="minorEastAsia"/>
                <w:color w:val="000000"/>
                <w:sz w:val="21"/>
                <w:szCs w:val="21"/>
                <w:highlight w:val="none"/>
                <w:vertAlign w:val="baseline"/>
                <w:lang w:val="en-US" w:eastAsia="zh-CN"/>
              </w:rPr>
              <w:t>四、</w:t>
            </w:r>
            <w:r>
              <w:rPr>
                <w:rFonts w:hint="eastAsia" w:asciiTheme="minorEastAsia" w:hAnsiTheme="minorEastAsia" w:eastAsiaTheme="minorEastAsia" w:cstheme="minorEastAsia"/>
                <w:color w:val="000000"/>
                <w:sz w:val="21"/>
                <w:szCs w:val="21"/>
                <w:highlight w:val="none"/>
                <w:vertAlign w:val="baseline"/>
              </w:rPr>
              <w:t>波形发生和数据获得系统</w:t>
            </w:r>
          </w:p>
          <w:p w14:paraId="74BA92A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1.</w:t>
            </w:r>
            <w:r>
              <w:rPr>
                <w:rFonts w:hint="eastAsia" w:asciiTheme="minorEastAsia" w:hAnsiTheme="minorEastAsia" w:eastAsiaTheme="minorEastAsia" w:cstheme="minorEastAsia"/>
                <w:color w:val="000000"/>
                <w:sz w:val="21"/>
                <w:szCs w:val="21"/>
                <w:highlight w:val="none"/>
                <w:vertAlign w:val="baseline"/>
              </w:rPr>
              <w:t>快速信号发生更新速率：10 MHz，16 位分辨率</w:t>
            </w:r>
            <w:r>
              <w:rPr>
                <w:rFonts w:hint="eastAsia" w:asciiTheme="minorEastAsia" w:hAnsiTheme="minorEastAsia" w:eastAsiaTheme="minorEastAsia" w:cstheme="minorEastAsia"/>
                <w:color w:val="000000"/>
                <w:sz w:val="21"/>
                <w:szCs w:val="21"/>
                <w:highlight w:val="none"/>
                <w:vertAlign w:val="baseline"/>
                <w:lang w:eastAsia="zh-CN"/>
              </w:rPr>
              <w:t>；</w:t>
            </w:r>
          </w:p>
          <w:p w14:paraId="353DA67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2.</w:t>
            </w:r>
            <w:r>
              <w:rPr>
                <w:rFonts w:hint="eastAsia" w:asciiTheme="minorEastAsia" w:hAnsiTheme="minorEastAsia" w:eastAsiaTheme="minorEastAsia" w:cstheme="minorEastAsia"/>
                <w:color w:val="000000"/>
                <w:sz w:val="21"/>
                <w:szCs w:val="21"/>
                <w:highlight w:val="none"/>
                <w:vertAlign w:val="baseline"/>
              </w:rPr>
              <w:t>快速数据采集系统：16 位 ADC，双通道同步采样，采样率</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vertAlign w:val="baseline"/>
              </w:rPr>
              <w:t>2.5 MS/s</w:t>
            </w:r>
            <w:r>
              <w:rPr>
                <w:rFonts w:hint="eastAsia" w:asciiTheme="minorEastAsia" w:hAnsiTheme="minorEastAsia" w:eastAsiaTheme="minorEastAsia" w:cstheme="minorEastAsia"/>
                <w:color w:val="000000"/>
                <w:sz w:val="21"/>
                <w:szCs w:val="21"/>
                <w:highlight w:val="none"/>
                <w:vertAlign w:val="baseline"/>
                <w:lang w:eastAsia="zh-CN"/>
              </w:rPr>
              <w:t>；</w:t>
            </w:r>
          </w:p>
          <w:p w14:paraId="33C3559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3.</w:t>
            </w:r>
            <w:r>
              <w:rPr>
                <w:rFonts w:hint="eastAsia" w:asciiTheme="minorEastAsia" w:hAnsiTheme="minorEastAsia" w:eastAsiaTheme="minorEastAsia" w:cstheme="minorEastAsia"/>
                <w:color w:val="000000"/>
                <w:sz w:val="21"/>
                <w:szCs w:val="21"/>
                <w:highlight w:val="none"/>
                <w:vertAlign w:val="baseline"/>
              </w:rPr>
              <w:t>外部信号记录通道最高采样率：</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vertAlign w:val="baseline"/>
              </w:rPr>
              <w:t>2.5 MHz</w:t>
            </w:r>
            <w:r>
              <w:rPr>
                <w:rFonts w:hint="eastAsia" w:asciiTheme="minorEastAsia" w:hAnsiTheme="minorEastAsia" w:eastAsiaTheme="minorEastAsia" w:cstheme="minorEastAsia"/>
                <w:color w:val="000000"/>
                <w:sz w:val="21"/>
                <w:szCs w:val="21"/>
                <w:highlight w:val="none"/>
                <w:vertAlign w:val="baseline"/>
                <w:lang w:eastAsia="zh-CN"/>
              </w:rPr>
              <w:t>；</w:t>
            </w:r>
          </w:p>
          <w:p w14:paraId="78C12E5D">
            <w:pPr>
              <w:keepNext w:val="0"/>
              <w:keepLines w:val="0"/>
              <w:pageBreakBefore w:val="0"/>
              <w:numPr>
                <w:ilvl w:val="0"/>
                <w:numId w:val="10"/>
              </w:numPr>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rPr>
            </w:pPr>
            <w:r>
              <w:rPr>
                <w:rFonts w:hint="eastAsia" w:asciiTheme="minorEastAsia" w:hAnsiTheme="minorEastAsia" w:eastAsiaTheme="minorEastAsia" w:cstheme="minorEastAsia"/>
                <w:color w:val="000000"/>
                <w:sz w:val="21"/>
                <w:szCs w:val="21"/>
                <w:highlight w:val="none"/>
                <w:vertAlign w:val="baseline"/>
              </w:rPr>
              <w:t>实验参数</w:t>
            </w:r>
          </w:p>
          <w:p w14:paraId="3CC40ABD">
            <w:pPr>
              <w:keepNext w:val="0"/>
              <w:keepLines w:val="0"/>
              <w:pageBreakBefore w:val="0"/>
              <w:numPr>
                <w:ilvl w:val="0"/>
                <w:numId w:val="0"/>
              </w:numPr>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rPr>
            </w:pPr>
            <w:r>
              <w:rPr>
                <w:rFonts w:hint="eastAsia" w:asciiTheme="minorEastAsia" w:hAnsiTheme="minorEastAsia" w:eastAsiaTheme="minorEastAsia" w:cstheme="minorEastAsia"/>
                <w:color w:val="000000"/>
                <w:sz w:val="21"/>
                <w:szCs w:val="21"/>
                <w:highlight w:val="none"/>
                <w:vertAlign w:val="baseline"/>
                <w:lang w:val="en-US" w:eastAsia="zh-CN"/>
              </w:rPr>
              <w:t>1.</w:t>
            </w:r>
            <w:r>
              <w:rPr>
                <w:rFonts w:hint="eastAsia" w:asciiTheme="minorEastAsia" w:hAnsiTheme="minorEastAsia" w:eastAsiaTheme="minorEastAsia" w:cstheme="minorEastAsia"/>
                <w:color w:val="000000"/>
                <w:sz w:val="21"/>
                <w:szCs w:val="21"/>
                <w:highlight w:val="none"/>
                <w:vertAlign w:val="baseline"/>
              </w:rPr>
              <w:t>CV/LSV扫描速度：0.000001V/s至10,000 V/s，双通道同步</w:t>
            </w:r>
            <w:r>
              <w:rPr>
                <w:rFonts w:hint="eastAsia" w:asciiTheme="minorEastAsia" w:hAnsiTheme="minorEastAsia" w:eastAsiaTheme="minorEastAsia" w:cstheme="minorEastAsia"/>
                <w:color w:val="000000"/>
                <w:sz w:val="21"/>
                <w:szCs w:val="21"/>
                <w:highlight w:val="none"/>
                <w:vertAlign w:val="baseline"/>
                <w:lang w:eastAsia="zh-CN"/>
              </w:rPr>
              <w:t>；</w:t>
            </w:r>
          </w:p>
          <w:p w14:paraId="60D4EE84">
            <w:pPr>
              <w:keepNext w:val="0"/>
              <w:keepLines w:val="0"/>
              <w:pageBreakBefore w:val="0"/>
              <w:numPr>
                <w:ilvl w:val="0"/>
                <w:numId w:val="0"/>
              </w:numPr>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2.</w:t>
            </w:r>
            <w:r>
              <w:rPr>
                <w:rFonts w:hint="eastAsia" w:asciiTheme="minorEastAsia" w:hAnsiTheme="minorEastAsia" w:eastAsiaTheme="minorEastAsia" w:cstheme="minorEastAsia"/>
                <w:color w:val="000000"/>
                <w:sz w:val="21"/>
                <w:szCs w:val="21"/>
                <w:highlight w:val="none"/>
                <w:vertAlign w:val="baseline"/>
              </w:rPr>
              <w:t>扫描时的电位增量：0.1 mV（@ 1,000 V/s）</w:t>
            </w:r>
            <w:r>
              <w:rPr>
                <w:rFonts w:hint="eastAsia" w:asciiTheme="minorEastAsia" w:hAnsiTheme="minorEastAsia" w:eastAsiaTheme="minorEastAsia" w:cstheme="minorEastAsia"/>
                <w:color w:val="000000"/>
                <w:sz w:val="21"/>
                <w:szCs w:val="21"/>
                <w:highlight w:val="none"/>
                <w:vertAlign w:val="baseline"/>
                <w:lang w:eastAsia="zh-CN"/>
              </w:rPr>
              <w:t>；</w:t>
            </w:r>
          </w:p>
          <w:p w14:paraId="5D36290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3.</w:t>
            </w:r>
            <w:r>
              <w:rPr>
                <w:rFonts w:hint="eastAsia" w:asciiTheme="minorEastAsia" w:hAnsiTheme="minorEastAsia" w:eastAsiaTheme="minorEastAsia" w:cstheme="minorEastAsia"/>
                <w:color w:val="000000"/>
                <w:sz w:val="21"/>
                <w:szCs w:val="21"/>
                <w:highlight w:val="none"/>
                <w:vertAlign w:val="baseline"/>
              </w:rPr>
              <w:t>CA / CC 脉冲宽度：0.0001</w:t>
            </w:r>
            <w:r>
              <w:rPr>
                <w:rFonts w:hint="eastAsia" w:asciiTheme="minorEastAsia" w:hAnsiTheme="minorEastAsia" w:eastAsiaTheme="minorEastAsia" w:cstheme="minorEastAsia"/>
                <w:color w:val="00000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vertAlign w:val="baseline"/>
              </w:rPr>
              <w:t>1000s</w:t>
            </w:r>
            <w:r>
              <w:rPr>
                <w:rFonts w:hint="eastAsia" w:asciiTheme="minorEastAsia" w:hAnsiTheme="minorEastAsia" w:eastAsiaTheme="minorEastAsia" w:cstheme="minorEastAsia"/>
                <w:color w:val="000000"/>
                <w:sz w:val="21"/>
                <w:szCs w:val="21"/>
                <w:highlight w:val="none"/>
                <w:vertAlign w:val="baseline"/>
                <w:lang w:eastAsia="zh-CN"/>
              </w:rPr>
              <w:t>；</w:t>
            </w:r>
          </w:p>
          <w:p w14:paraId="309303E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4.</w:t>
            </w:r>
            <w:r>
              <w:rPr>
                <w:rFonts w:hint="eastAsia" w:asciiTheme="minorEastAsia" w:hAnsiTheme="minorEastAsia" w:eastAsiaTheme="minorEastAsia" w:cstheme="minorEastAsia"/>
                <w:color w:val="000000"/>
                <w:sz w:val="21"/>
                <w:szCs w:val="21"/>
                <w:highlight w:val="none"/>
                <w:vertAlign w:val="baseline"/>
              </w:rPr>
              <w:t>CA / CC 最小采样间隔：</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vertAlign w:val="baseline"/>
              </w:rPr>
              <w:t>0.4μs（CA 双通道同步）</w:t>
            </w:r>
            <w:r>
              <w:rPr>
                <w:rFonts w:hint="eastAsia" w:asciiTheme="minorEastAsia" w:hAnsiTheme="minorEastAsia" w:eastAsiaTheme="minorEastAsia" w:cstheme="minorEastAsia"/>
                <w:color w:val="000000"/>
                <w:sz w:val="21"/>
                <w:szCs w:val="21"/>
                <w:highlight w:val="none"/>
                <w:vertAlign w:val="baseline"/>
                <w:lang w:eastAsia="zh-CN"/>
              </w:rPr>
              <w:t>；</w:t>
            </w:r>
          </w:p>
          <w:p w14:paraId="00C9824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5.</w:t>
            </w:r>
            <w:r>
              <w:rPr>
                <w:rFonts w:hint="eastAsia" w:asciiTheme="minorEastAsia" w:hAnsiTheme="minorEastAsia" w:eastAsiaTheme="minorEastAsia" w:cstheme="minorEastAsia"/>
                <w:color w:val="000000"/>
                <w:sz w:val="21"/>
                <w:szCs w:val="21"/>
                <w:highlight w:val="none"/>
                <w:vertAlign w:val="baseline"/>
              </w:rPr>
              <w:t>CC 模拟积分器：有</w:t>
            </w:r>
            <w:r>
              <w:rPr>
                <w:rFonts w:hint="eastAsia" w:asciiTheme="minorEastAsia" w:hAnsiTheme="minorEastAsia" w:eastAsiaTheme="minorEastAsia" w:cstheme="minorEastAsia"/>
                <w:color w:val="000000"/>
                <w:sz w:val="21"/>
                <w:szCs w:val="21"/>
                <w:highlight w:val="none"/>
                <w:vertAlign w:val="baseline"/>
                <w:lang w:eastAsia="zh-CN"/>
              </w:rPr>
              <w:t>；</w:t>
            </w:r>
          </w:p>
          <w:p w14:paraId="42924FB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6.</w:t>
            </w:r>
            <w:r>
              <w:rPr>
                <w:rFonts w:hint="eastAsia" w:asciiTheme="minorEastAsia" w:hAnsiTheme="minorEastAsia" w:eastAsiaTheme="minorEastAsia" w:cstheme="minorEastAsia"/>
                <w:color w:val="000000"/>
                <w:sz w:val="21"/>
                <w:szCs w:val="21"/>
                <w:highlight w:val="none"/>
                <w:vertAlign w:val="baseline"/>
              </w:rPr>
              <w:t>DPV / NPV 脉冲宽度：0.001</w:t>
            </w:r>
            <w:r>
              <w:rPr>
                <w:rFonts w:hint="eastAsia" w:asciiTheme="minorEastAsia" w:hAnsiTheme="minorEastAsia" w:eastAsiaTheme="minorEastAsia" w:cstheme="minorEastAsia"/>
                <w:color w:val="00000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vertAlign w:val="baseline"/>
              </w:rPr>
              <w:t>10s</w:t>
            </w:r>
            <w:r>
              <w:rPr>
                <w:rFonts w:hint="eastAsia" w:asciiTheme="minorEastAsia" w:hAnsiTheme="minorEastAsia" w:eastAsiaTheme="minorEastAsia" w:cstheme="minorEastAsia"/>
                <w:color w:val="000000"/>
                <w:sz w:val="21"/>
                <w:szCs w:val="21"/>
                <w:highlight w:val="none"/>
                <w:vertAlign w:val="baseline"/>
                <w:lang w:eastAsia="zh-CN"/>
              </w:rPr>
              <w:t>；</w:t>
            </w:r>
          </w:p>
          <w:p w14:paraId="4A8D8DC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7.</w:t>
            </w:r>
            <w:r>
              <w:rPr>
                <w:rFonts w:hint="eastAsia" w:asciiTheme="minorEastAsia" w:hAnsiTheme="minorEastAsia" w:eastAsiaTheme="minorEastAsia" w:cstheme="minorEastAsia"/>
                <w:color w:val="000000"/>
                <w:sz w:val="21"/>
                <w:szCs w:val="21"/>
                <w:highlight w:val="none"/>
                <w:vertAlign w:val="baseline"/>
              </w:rPr>
              <w:t>SWV 频率：1 Hz</w:t>
            </w:r>
            <w:r>
              <w:rPr>
                <w:rFonts w:hint="eastAsia" w:asciiTheme="minorEastAsia" w:hAnsiTheme="minorEastAsia" w:eastAsiaTheme="minorEastAsia" w:cstheme="minorEastAsia"/>
                <w:color w:val="00000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vertAlign w:val="baseline"/>
              </w:rPr>
              <w:t>100 kHz</w:t>
            </w:r>
            <w:r>
              <w:rPr>
                <w:rFonts w:hint="eastAsia" w:asciiTheme="minorEastAsia" w:hAnsiTheme="minorEastAsia" w:eastAsiaTheme="minorEastAsia" w:cstheme="minorEastAsia"/>
                <w:color w:val="000000"/>
                <w:sz w:val="21"/>
                <w:szCs w:val="21"/>
                <w:highlight w:val="none"/>
                <w:vertAlign w:val="baseline"/>
                <w:lang w:eastAsia="zh-CN"/>
              </w:rPr>
              <w:t>；</w:t>
            </w:r>
          </w:p>
          <w:p w14:paraId="246A26C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8.</w:t>
            </w:r>
            <w:r>
              <w:rPr>
                <w:rFonts w:hint="eastAsia" w:asciiTheme="minorEastAsia" w:hAnsiTheme="minorEastAsia" w:eastAsiaTheme="minorEastAsia" w:cstheme="minorEastAsia"/>
                <w:color w:val="000000"/>
                <w:sz w:val="21"/>
                <w:szCs w:val="21"/>
                <w:highlight w:val="none"/>
                <w:vertAlign w:val="baseline"/>
              </w:rPr>
              <w:t>i-t 最小采样间隔：</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vertAlign w:val="baseline"/>
              </w:rPr>
              <w:t>0.4μs，双通道同步</w:t>
            </w:r>
            <w:r>
              <w:rPr>
                <w:rFonts w:hint="eastAsia" w:asciiTheme="minorEastAsia" w:hAnsiTheme="minorEastAsia" w:eastAsiaTheme="minorEastAsia" w:cstheme="minorEastAsia"/>
                <w:color w:val="000000"/>
                <w:sz w:val="21"/>
                <w:szCs w:val="21"/>
                <w:highlight w:val="none"/>
                <w:vertAlign w:val="baseline"/>
                <w:lang w:eastAsia="zh-CN"/>
              </w:rPr>
              <w:t>；</w:t>
            </w:r>
          </w:p>
          <w:p w14:paraId="50B9A0C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9.</w:t>
            </w:r>
            <w:r>
              <w:rPr>
                <w:rFonts w:hint="eastAsia" w:asciiTheme="minorEastAsia" w:hAnsiTheme="minorEastAsia" w:eastAsiaTheme="minorEastAsia" w:cstheme="minorEastAsia"/>
                <w:color w:val="000000"/>
                <w:sz w:val="21"/>
                <w:szCs w:val="21"/>
                <w:highlight w:val="none"/>
                <w:vertAlign w:val="baseline"/>
              </w:rPr>
              <w:t>ACV 频率范围：0.1Hz</w:t>
            </w:r>
            <w:r>
              <w:rPr>
                <w:rFonts w:hint="eastAsia" w:asciiTheme="minorEastAsia" w:hAnsiTheme="minorEastAsia" w:eastAsiaTheme="minorEastAsia" w:cstheme="minorEastAsia"/>
                <w:color w:val="00000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vertAlign w:val="baseline"/>
              </w:rPr>
              <w:t>10kHz</w:t>
            </w:r>
            <w:r>
              <w:rPr>
                <w:rFonts w:hint="eastAsia" w:asciiTheme="minorEastAsia" w:hAnsiTheme="minorEastAsia" w:eastAsiaTheme="minorEastAsia" w:cstheme="minorEastAsia"/>
                <w:color w:val="000000"/>
                <w:sz w:val="21"/>
                <w:szCs w:val="21"/>
                <w:highlight w:val="none"/>
                <w:vertAlign w:val="baseline"/>
                <w:lang w:eastAsia="zh-CN"/>
              </w:rPr>
              <w:t>；</w:t>
            </w:r>
          </w:p>
          <w:p w14:paraId="238F066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10.</w:t>
            </w:r>
            <w:r>
              <w:rPr>
                <w:rFonts w:hint="eastAsia" w:asciiTheme="minorEastAsia" w:hAnsiTheme="minorEastAsia" w:eastAsiaTheme="minorEastAsia" w:cstheme="minorEastAsia"/>
                <w:color w:val="000000"/>
                <w:sz w:val="21"/>
                <w:szCs w:val="21"/>
                <w:highlight w:val="none"/>
                <w:vertAlign w:val="baseline"/>
              </w:rPr>
              <w:t>SHACV 频率范围：0.1Hz</w:t>
            </w:r>
            <w:r>
              <w:rPr>
                <w:rFonts w:hint="eastAsia" w:asciiTheme="minorEastAsia" w:hAnsiTheme="minorEastAsia" w:eastAsiaTheme="minorEastAsia" w:cstheme="minorEastAsia"/>
                <w:color w:val="00000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vertAlign w:val="baseline"/>
              </w:rPr>
              <w:t>5kHz</w:t>
            </w:r>
            <w:r>
              <w:rPr>
                <w:rFonts w:hint="eastAsia" w:asciiTheme="minorEastAsia" w:hAnsiTheme="minorEastAsia" w:eastAsiaTheme="minorEastAsia" w:cstheme="minorEastAsia"/>
                <w:color w:val="000000"/>
                <w:sz w:val="21"/>
                <w:szCs w:val="21"/>
                <w:highlight w:val="none"/>
                <w:vertAlign w:val="baseline"/>
                <w:lang w:eastAsia="zh-CN"/>
              </w:rPr>
              <w:t>；</w:t>
            </w:r>
          </w:p>
          <w:p w14:paraId="7FF3FDA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11.</w:t>
            </w:r>
            <w:r>
              <w:rPr>
                <w:rFonts w:hint="eastAsia" w:asciiTheme="minorEastAsia" w:hAnsiTheme="minorEastAsia" w:eastAsiaTheme="minorEastAsia" w:cstheme="minorEastAsia"/>
                <w:color w:val="000000"/>
                <w:sz w:val="21"/>
                <w:szCs w:val="21"/>
                <w:highlight w:val="none"/>
                <w:vertAlign w:val="baseline"/>
              </w:rPr>
              <w:t>FTACV 频率范围：0.1 Hz</w:t>
            </w:r>
            <w:r>
              <w:rPr>
                <w:rFonts w:hint="eastAsia" w:asciiTheme="minorEastAsia" w:hAnsiTheme="minorEastAsia" w:eastAsiaTheme="minorEastAsia" w:cstheme="minorEastAsia"/>
                <w:color w:val="00000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vertAlign w:val="baseline"/>
              </w:rPr>
              <w:t>50 Hz（可同时获取基波~六次谐波）</w:t>
            </w:r>
            <w:r>
              <w:rPr>
                <w:rFonts w:hint="eastAsia" w:asciiTheme="minorEastAsia" w:hAnsiTheme="minorEastAsia" w:eastAsiaTheme="minorEastAsia" w:cstheme="minorEastAsia"/>
                <w:color w:val="000000"/>
                <w:sz w:val="21"/>
                <w:szCs w:val="21"/>
                <w:highlight w:val="none"/>
                <w:vertAlign w:val="baseline"/>
                <w:lang w:eastAsia="zh-CN"/>
              </w:rPr>
              <w:t>；</w:t>
            </w:r>
          </w:p>
          <w:p w14:paraId="5F2832C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12.</w:t>
            </w:r>
            <w:r>
              <w:rPr>
                <w:rFonts w:hint="eastAsia" w:asciiTheme="minorEastAsia" w:hAnsiTheme="minorEastAsia" w:eastAsiaTheme="minorEastAsia" w:cstheme="minorEastAsia"/>
                <w:color w:val="000000"/>
                <w:sz w:val="21"/>
                <w:szCs w:val="21"/>
                <w:highlight w:val="none"/>
                <w:vertAlign w:val="baseline"/>
              </w:rPr>
              <w:t>交流阻抗频率范围：0.00001Hz</w:t>
            </w:r>
            <w:r>
              <w:rPr>
                <w:rFonts w:hint="eastAsia" w:asciiTheme="minorEastAsia" w:hAnsiTheme="minorEastAsia" w:eastAsiaTheme="minorEastAsia" w:cstheme="minorEastAsia"/>
                <w:color w:val="00000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vertAlign w:val="baseline"/>
              </w:rPr>
              <w:t>3MHz</w:t>
            </w:r>
            <w:r>
              <w:rPr>
                <w:rFonts w:hint="eastAsia" w:asciiTheme="minorEastAsia" w:hAnsiTheme="minorEastAsia" w:eastAsiaTheme="minorEastAsia" w:cstheme="minorEastAsia"/>
                <w:color w:val="000000"/>
                <w:sz w:val="21"/>
                <w:szCs w:val="21"/>
                <w:highlight w:val="none"/>
                <w:vertAlign w:val="baseline"/>
                <w:lang w:eastAsia="zh-CN"/>
              </w:rPr>
              <w:t>；</w:t>
            </w:r>
          </w:p>
          <w:p w14:paraId="118EFDD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13.</w:t>
            </w:r>
            <w:r>
              <w:rPr>
                <w:rFonts w:hint="eastAsia" w:asciiTheme="minorEastAsia" w:hAnsiTheme="minorEastAsia" w:eastAsiaTheme="minorEastAsia" w:cstheme="minorEastAsia"/>
                <w:color w:val="000000"/>
                <w:sz w:val="21"/>
                <w:szCs w:val="21"/>
                <w:highlight w:val="none"/>
                <w:vertAlign w:val="baseline"/>
              </w:rPr>
              <w:t>交流阻抗波形幅度：0.00001V</w:t>
            </w:r>
            <w:r>
              <w:rPr>
                <w:rFonts w:hint="eastAsia" w:asciiTheme="minorEastAsia" w:hAnsiTheme="minorEastAsia" w:eastAsiaTheme="minorEastAsia" w:cstheme="minorEastAsia"/>
                <w:color w:val="00000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vertAlign w:val="baseline"/>
              </w:rPr>
              <w:t>0.7V均方根值</w:t>
            </w:r>
            <w:r>
              <w:rPr>
                <w:rFonts w:hint="eastAsia" w:asciiTheme="minorEastAsia" w:hAnsiTheme="minorEastAsia" w:eastAsiaTheme="minorEastAsia" w:cstheme="minorEastAsia"/>
                <w:color w:val="000000"/>
                <w:sz w:val="21"/>
                <w:szCs w:val="21"/>
                <w:highlight w:val="none"/>
                <w:vertAlign w:val="baseline"/>
                <w:lang w:eastAsia="zh-CN"/>
              </w:rPr>
              <w:t>；</w:t>
            </w:r>
          </w:p>
          <w:p w14:paraId="6D99B1A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14.</w:t>
            </w:r>
            <w:r>
              <w:rPr>
                <w:rFonts w:hint="eastAsia" w:asciiTheme="minorEastAsia" w:hAnsiTheme="minorEastAsia" w:eastAsiaTheme="minorEastAsia" w:cstheme="minorEastAsia"/>
                <w:color w:val="000000"/>
                <w:sz w:val="21"/>
                <w:szCs w:val="21"/>
                <w:highlight w:val="none"/>
                <w:vertAlign w:val="baseline"/>
              </w:rPr>
              <w:t>iR 降补偿：自动或手动（正反馈 + 电流中断法）</w:t>
            </w:r>
            <w:r>
              <w:rPr>
                <w:rFonts w:hint="eastAsia" w:asciiTheme="minorEastAsia" w:hAnsiTheme="minorEastAsia" w:eastAsiaTheme="minorEastAsia" w:cstheme="minorEastAsia"/>
                <w:color w:val="000000"/>
                <w:sz w:val="21"/>
                <w:szCs w:val="21"/>
                <w:highlight w:val="none"/>
                <w:vertAlign w:val="baseline"/>
                <w:lang w:eastAsia="zh-CN"/>
              </w:rPr>
              <w:t>；</w:t>
            </w:r>
          </w:p>
          <w:p w14:paraId="0DA691C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15.</w:t>
            </w:r>
            <w:r>
              <w:rPr>
                <w:rFonts w:hint="eastAsia" w:asciiTheme="minorEastAsia" w:hAnsiTheme="minorEastAsia" w:eastAsiaTheme="minorEastAsia" w:cstheme="minorEastAsia"/>
                <w:color w:val="000000"/>
                <w:sz w:val="21"/>
                <w:szCs w:val="21"/>
                <w:highlight w:val="none"/>
                <w:vertAlign w:val="baseline"/>
              </w:rPr>
              <w:t>电流测量偏置：满量程，16位，0.003%准确度</w:t>
            </w:r>
            <w:r>
              <w:rPr>
                <w:rFonts w:hint="eastAsia" w:asciiTheme="minorEastAsia" w:hAnsiTheme="minorEastAsia" w:eastAsiaTheme="minorEastAsia" w:cstheme="minorEastAsia"/>
                <w:color w:val="000000"/>
                <w:sz w:val="21"/>
                <w:szCs w:val="21"/>
                <w:highlight w:val="none"/>
                <w:vertAlign w:val="baseline"/>
                <w:lang w:eastAsia="zh-CN"/>
              </w:rPr>
              <w:t>；</w:t>
            </w:r>
          </w:p>
          <w:p w14:paraId="07591C6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16.</w:t>
            </w:r>
            <w:r>
              <w:rPr>
                <w:rFonts w:hint="eastAsia" w:asciiTheme="minorEastAsia" w:hAnsiTheme="minorEastAsia" w:eastAsiaTheme="minorEastAsia" w:cstheme="minorEastAsia"/>
                <w:color w:val="000000"/>
                <w:sz w:val="21"/>
                <w:szCs w:val="21"/>
                <w:highlight w:val="none"/>
                <w:vertAlign w:val="baseline"/>
              </w:rPr>
              <w:t>电位测量偏置：±10 V，16位，0.003%准确度</w:t>
            </w:r>
            <w:r>
              <w:rPr>
                <w:rFonts w:hint="eastAsia" w:asciiTheme="minorEastAsia" w:hAnsiTheme="minorEastAsia" w:eastAsiaTheme="minorEastAsia" w:cstheme="minorEastAsia"/>
                <w:color w:val="000000"/>
                <w:sz w:val="21"/>
                <w:szCs w:val="21"/>
                <w:highlight w:val="none"/>
                <w:vertAlign w:val="baseline"/>
                <w:lang w:eastAsia="zh-CN"/>
              </w:rPr>
              <w:t>；</w:t>
            </w:r>
          </w:p>
          <w:p w14:paraId="4D2AC49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17.</w:t>
            </w:r>
            <w:r>
              <w:rPr>
                <w:rFonts w:hint="eastAsia" w:asciiTheme="minorEastAsia" w:hAnsiTheme="minorEastAsia" w:eastAsiaTheme="minorEastAsia" w:cstheme="minorEastAsia"/>
                <w:color w:val="000000"/>
                <w:sz w:val="21"/>
                <w:szCs w:val="21"/>
                <w:highlight w:val="none"/>
                <w:vertAlign w:val="baseline"/>
              </w:rPr>
              <w:t>外部电位输入：有</w:t>
            </w:r>
            <w:r>
              <w:rPr>
                <w:rFonts w:hint="eastAsia" w:asciiTheme="minorEastAsia" w:hAnsiTheme="minorEastAsia" w:eastAsiaTheme="minorEastAsia" w:cstheme="minorEastAsia"/>
                <w:color w:val="000000"/>
                <w:sz w:val="21"/>
                <w:szCs w:val="21"/>
                <w:highlight w:val="none"/>
                <w:vertAlign w:val="baseline"/>
                <w:lang w:eastAsia="zh-CN"/>
              </w:rPr>
              <w:t>；</w:t>
            </w:r>
          </w:p>
          <w:p w14:paraId="34F0ACA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18.</w:t>
            </w:r>
            <w:r>
              <w:rPr>
                <w:rFonts w:hint="eastAsia" w:asciiTheme="minorEastAsia" w:hAnsiTheme="minorEastAsia" w:eastAsiaTheme="minorEastAsia" w:cstheme="minorEastAsia"/>
                <w:color w:val="000000"/>
                <w:sz w:val="21"/>
                <w:szCs w:val="21"/>
                <w:highlight w:val="none"/>
                <w:vertAlign w:val="baseline"/>
              </w:rPr>
              <w:t>电位和电流的模拟输出：有</w:t>
            </w:r>
            <w:r>
              <w:rPr>
                <w:rFonts w:hint="eastAsia" w:asciiTheme="minorEastAsia" w:hAnsiTheme="minorEastAsia" w:eastAsiaTheme="minorEastAsia" w:cstheme="minorEastAsia"/>
                <w:color w:val="000000"/>
                <w:sz w:val="21"/>
                <w:szCs w:val="21"/>
                <w:highlight w:val="none"/>
                <w:vertAlign w:val="baseline"/>
                <w:lang w:eastAsia="zh-CN"/>
              </w:rPr>
              <w:t>；</w:t>
            </w:r>
          </w:p>
          <w:p w14:paraId="192313E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19.</w:t>
            </w:r>
            <w:r>
              <w:rPr>
                <w:rFonts w:hint="eastAsia" w:asciiTheme="minorEastAsia" w:hAnsiTheme="minorEastAsia" w:eastAsiaTheme="minorEastAsia" w:cstheme="minorEastAsia"/>
                <w:color w:val="000000"/>
                <w:sz w:val="21"/>
                <w:szCs w:val="21"/>
                <w:highlight w:val="none"/>
                <w:vertAlign w:val="baseline"/>
              </w:rPr>
              <w:t>电流波形截止频率可调：1.5MHz/150kHz/15 kHz/1.5 kHz/150Hz/15 Hz/1.5Hz/0.15Hz</w:t>
            </w:r>
            <w:r>
              <w:rPr>
                <w:rFonts w:hint="eastAsia" w:asciiTheme="minorEastAsia" w:hAnsiTheme="minorEastAsia" w:eastAsiaTheme="minorEastAsia" w:cstheme="minorEastAsia"/>
                <w:color w:val="000000"/>
                <w:sz w:val="21"/>
                <w:szCs w:val="21"/>
                <w:highlight w:val="none"/>
                <w:vertAlign w:val="baseline"/>
                <w:lang w:eastAsia="zh-CN"/>
              </w:rPr>
              <w:t>；</w:t>
            </w:r>
          </w:p>
          <w:p w14:paraId="1F3CAE8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20.</w:t>
            </w:r>
            <w:r>
              <w:rPr>
                <w:rFonts w:hint="eastAsia" w:asciiTheme="minorEastAsia" w:hAnsiTheme="minorEastAsia" w:eastAsiaTheme="minorEastAsia" w:cstheme="minorEastAsia"/>
                <w:color w:val="000000"/>
                <w:sz w:val="21"/>
                <w:szCs w:val="21"/>
                <w:highlight w:val="none"/>
                <w:vertAlign w:val="baseline"/>
              </w:rPr>
              <w:t>旋转电极控制电压输出：0~10 V（对应 0~10000 rpm），16位，0.003% 准确度</w:t>
            </w:r>
            <w:r>
              <w:rPr>
                <w:rFonts w:hint="eastAsia" w:asciiTheme="minorEastAsia" w:hAnsiTheme="minorEastAsia" w:eastAsiaTheme="minorEastAsia" w:cstheme="minorEastAsia"/>
                <w:color w:val="000000"/>
                <w:sz w:val="21"/>
                <w:szCs w:val="21"/>
                <w:highlight w:val="none"/>
                <w:vertAlign w:val="baseline"/>
                <w:lang w:eastAsia="zh-CN"/>
              </w:rPr>
              <w:t>；</w:t>
            </w:r>
          </w:p>
          <w:p w14:paraId="430ABE6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21.</w:t>
            </w:r>
            <w:r>
              <w:rPr>
                <w:rFonts w:hint="eastAsia" w:asciiTheme="minorEastAsia" w:hAnsiTheme="minorEastAsia" w:eastAsiaTheme="minorEastAsia" w:cstheme="minorEastAsia"/>
                <w:color w:val="000000"/>
                <w:sz w:val="21"/>
                <w:szCs w:val="21"/>
                <w:highlight w:val="none"/>
                <w:vertAlign w:val="baseline"/>
              </w:rPr>
              <w:t>数字输入输出控制：支持（通过宏命令）</w:t>
            </w:r>
            <w:r>
              <w:rPr>
                <w:rFonts w:hint="eastAsia" w:asciiTheme="minorEastAsia" w:hAnsiTheme="minorEastAsia" w:eastAsiaTheme="minorEastAsia" w:cstheme="minorEastAsia"/>
                <w:color w:val="000000"/>
                <w:sz w:val="21"/>
                <w:szCs w:val="21"/>
                <w:highlight w:val="none"/>
                <w:vertAlign w:val="baseline"/>
                <w:lang w:eastAsia="zh-CN"/>
              </w:rPr>
              <w:t>；</w:t>
            </w:r>
          </w:p>
          <w:p w14:paraId="5BBFD82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22.</w:t>
            </w:r>
            <w:r>
              <w:rPr>
                <w:rFonts w:hint="eastAsia" w:asciiTheme="minorEastAsia" w:hAnsiTheme="minorEastAsia" w:eastAsiaTheme="minorEastAsia" w:cstheme="minorEastAsia"/>
                <w:color w:val="000000"/>
                <w:sz w:val="21"/>
                <w:szCs w:val="21"/>
                <w:highlight w:val="none"/>
                <w:vertAlign w:val="baseline"/>
              </w:rPr>
              <w:t>内存储器：可快速更新程序</w:t>
            </w:r>
            <w:r>
              <w:rPr>
                <w:rFonts w:hint="eastAsia" w:asciiTheme="minorEastAsia" w:hAnsiTheme="minorEastAsia" w:eastAsiaTheme="minorEastAsia" w:cstheme="minorEastAsia"/>
                <w:color w:val="000000"/>
                <w:sz w:val="21"/>
                <w:szCs w:val="21"/>
                <w:highlight w:val="none"/>
                <w:vertAlign w:val="baseline"/>
                <w:lang w:eastAsia="zh-CN"/>
              </w:rPr>
              <w:t>；</w:t>
            </w:r>
          </w:p>
          <w:p w14:paraId="4E89968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23.</w:t>
            </w:r>
            <w:r>
              <w:rPr>
                <w:rFonts w:hint="eastAsia" w:asciiTheme="minorEastAsia" w:hAnsiTheme="minorEastAsia" w:eastAsiaTheme="minorEastAsia" w:cstheme="minorEastAsia"/>
                <w:color w:val="000000"/>
                <w:sz w:val="21"/>
                <w:szCs w:val="21"/>
                <w:highlight w:val="none"/>
                <w:vertAlign w:val="baseline"/>
              </w:rPr>
              <w:t>USB 数据通讯</w:t>
            </w:r>
            <w:r>
              <w:rPr>
                <w:rFonts w:hint="eastAsia" w:asciiTheme="minorEastAsia" w:hAnsiTheme="minorEastAsia" w:eastAsiaTheme="minorEastAsia" w:cstheme="minorEastAsia"/>
                <w:color w:val="000000"/>
                <w:sz w:val="21"/>
                <w:szCs w:val="21"/>
                <w:highlight w:val="none"/>
                <w:vertAlign w:val="baseline"/>
                <w:lang w:eastAsia="zh-CN"/>
              </w:rPr>
              <w:t>；</w:t>
            </w:r>
          </w:p>
          <w:p w14:paraId="5E63F50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24.</w:t>
            </w:r>
            <w:r>
              <w:rPr>
                <w:rFonts w:hint="eastAsia" w:asciiTheme="minorEastAsia" w:hAnsiTheme="minorEastAsia" w:eastAsiaTheme="minorEastAsia" w:cstheme="minorEastAsia"/>
                <w:color w:val="000000"/>
                <w:sz w:val="21"/>
                <w:szCs w:val="21"/>
                <w:highlight w:val="none"/>
                <w:vertAlign w:val="baseline"/>
              </w:rPr>
              <w:t>电解池控制：通氮、搅拌、敲击（需特殊电解池系统）</w:t>
            </w:r>
            <w:r>
              <w:rPr>
                <w:rFonts w:hint="eastAsia" w:asciiTheme="minorEastAsia" w:hAnsiTheme="minorEastAsia" w:eastAsiaTheme="minorEastAsia" w:cstheme="minorEastAsia"/>
                <w:color w:val="000000"/>
                <w:sz w:val="21"/>
                <w:szCs w:val="21"/>
                <w:highlight w:val="none"/>
                <w:vertAlign w:val="baseline"/>
                <w:lang w:eastAsia="zh-CN"/>
              </w:rPr>
              <w:t>；</w:t>
            </w:r>
          </w:p>
          <w:p w14:paraId="6B8E373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25.</w:t>
            </w:r>
            <w:r>
              <w:rPr>
                <w:rFonts w:hint="eastAsia" w:asciiTheme="minorEastAsia" w:hAnsiTheme="minorEastAsia" w:eastAsiaTheme="minorEastAsia" w:cstheme="minorEastAsia"/>
                <w:color w:val="000000"/>
                <w:sz w:val="21"/>
                <w:szCs w:val="21"/>
                <w:highlight w:val="none"/>
                <w:vertAlign w:val="baseline"/>
              </w:rPr>
              <w:t>CV 数字模拟器和积分器：用户定义或预定义反应机理</w:t>
            </w:r>
            <w:r>
              <w:rPr>
                <w:rFonts w:hint="eastAsia" w:asciiTheme="minorEastAsia" w:hAnsiTheme="minorEastAsia" w:eastAsiaTheme="minorEastAsia" w:cstheme="minorEastAsia"/>
                <w:color w:val="000000"/>
                <w:sz w:val="21"/>
                <w:szCs w:val="21"/>
                <w:highlight w:val="none"/>
                <w:vertAlign w:val="baseline"/>
                <w:lang w:eastAsia="zh-CN"/>
              </w:rPr>
              <w:t>；</w:t>
            </w:r>
          </w:p>
          <w:p w14:paraId="1A269C8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26.</w:t>
            </w:r>
            <w:r>
              <w:rPr>
                <w:rFonts w:hint="eastAsia" w:asciiTheme="minorEastAsia" w:hAnsiTheme="minorEastAsia" w:eastAsiaTheme="minorEastAsia" w:cstheme="minorEastAsia"/>
                <w:color w:val="000000"/>
                <w:sz w:val="21"/>
                <w:szCs w:val="21"/>
                <w:highlight w:val="none"/>
                <w:vertAlign w:val="baseline"/>
              </w:rPr>
              <w:t>交流阻抗模拟器和积分器（限具备 EIS 功能的型号）</w:t>
            </w:r>
            <w:r>
              <w:rPr>
                <w:rFonts w:hint="eastAsia" w:asciiTheme="minorEastAsia" w:hAnsiTheme="minorEastAsia" w:eastAsiaTheme="minorEastAsia" w:cstheme="minorEastAsia"/>
                <w:color w:val="000000"/>
                <w:sz w:val="21"/>
                <w:szCs w:val="21"/>
                <w:highlight w:val="none"/>
                <w:vertAlign w:val="baseline"/>
                <w:lang w:eastAsia="zh-CN"/>
              </w:rPr>
              <w:t>；</w:t>
            </w:r>
          </w:p>
          <w:p w14:paraId="20E657F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vertAlign w:val="baseline"/>
                <w:lang w:eastAsia="zh-CN"/>
              </w:rPr>
            </w:pPr>
            <w:r>
              <w:rPr>
                <w:rFonts w:hint="eastAsia" w:asciiTheme="minorEastAsia" w:hAnsiTheme="minorEastAsia" w:eastAsiaTheme="minorEastAsia" w:cstheme="minorEastAsia"/>
                <w:color w:val="000000"/>
                <w:sz w:val="21"/>
                <w:szCs w:val="21"/>
                <w:highlight w:val="none"/>
                <w:vertAlign w:val="baseline"/>
                <w:lang w:val="en-US" w:eastAsia="zh-CN"/>
              </w:rPr>
              <w:t>27.</w:t>
            </w:r>
            <w:r>
              <w:rPr>
                <w:rFonts w:hint="eastAsia" w:asciiTheme="minorEastAsia" w:hAnsiTheme="minorEastAsia" w:eastAsiaTheme="minorEastAsia" w:cstheme="minorEastAsia"/>
                <w:color w:val="000000"/>
                <w:sz w:val="21"/>
                <w:szCs w:val="21"/>
                <w:highlight w:val="none"/>
                <w:vertAlign w:val="baseline"/>
              </w:rPr>
              <w:t>最大数据长度：256,000</w:t>
            </w:r>
            <w:r>
              <w:rPr>
                <w:rFonts w:hint="eastAsia" w:asciiTheme="minorEastAsia" w:hAnsiTheme="minorEastAsia" w:eastAsiaTheme="minorEastAsia" w:cstheme="minorEastAsia"/>
                <w:color w:val="000000"/>
                <w:sz w:val="21"/>
                <w:szCs w:val="21"/>
                <w:highlight w:val="none"/>
                <w:lang w:val="en-US" w:eastAsia="zh-CN"/>
              </w:rPr>
              <w:t>～</w:t>
            </w:r>
            <w:r>
              <w:rPr>
                <w:rFonts w:hint="eastAsia" w:asciiTheme="minorEastAsia" w:hAnsiTheme="minorEastAsia" w:eastAsiaTheme="minorEastAsia" w:cstheme="minorEastAsia"/>
                <w:color w:val="000000"/>
                <w:sz w:val="21"/>
                <w:szCs w:val="21"/>
                <w:highlight w:val="none"/>
                <w:vertAlign w:val="baseline"/>
              </w:rPr>
              <w:t>16,384,000 点可选</w:t>
            </w:r>
            <w:r>
              <w:rPr>
                <w:rFonts w:hint="eastAsia" w:asciiTheme="minorEastAsia" w:hAnsiTheme="minorEastAsia" w:eastAsiaTheme="minorEastAsia" w:cstheme="minorEastAsia"/>
                <w:color w:val="000000"/>
                <w:sz w:val="21"/>
                <w:szCs w:val="21"/>
                <w:highlight w:val="none"/>
                <w:vertAlign w:val="baseline"/>
                <w:lang w:eastAsia="zh-CN"/>
              </w:rPr>
              <w:t>；</w:t>
            </w:r>
          </w:p>
          <w:p w14:paraId="0745FD5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color w:val="000000"/>
                <w:sz w:val="21"/>
                <w:szCs w:val="21"/>
                <w:highlight w:val="none"/>
                <w:vertAlign w:val="baseline"/>
                <w:lang w:val="en-US" w:eastAsia="zh-CN"/>
              </w:rPr>
              <w:t>28.</w:t>
            </w:r>
            <w:r>
              <w:rPr>
                <w:rFonts w:hint="eastAsia" w:asciiTheme="minorEastAsia" w:hAnsiTheme="minorEastAsia" w:eastAsiaTheme="minorEastAsia" w:cstheme="minorEastAsia"/>
                <w:color w:val="000000"/>
                <w:sz w:val="21"/>
                <w:szCs w:val="21"/>
                <w:highlight w:val="none"/>
                <w:vertAlign w:val="baseline"/>
              </w:rPr>
              <w:t>仪器尺寸：</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vertAlign w:val="baseline"/>
              </w:rPr>
              <w:t>37 cm（宽）×23 cm（深）×12 cm（高）</w:t>
            </w:r>
            <w:r>
              <w:rPr>
                <w:rFonts w:hint="eastAsia" w:asciiTheme="minorEastAsia" w:hAnsiTheme="minorEastAsia" w:eastAsiaTheme="minorEastAsia" w:cstheme="minorEastAsia"/>
                <w:color w:val="000000"/>
                <w:sz w:val="21"/>
                <w:szCs w:val="21"/>
                <w:highlight w:val="none"/>
                <w:vertAlign w:val="baseline"/>
                <w:lang w:eastAsia="zh-CN"/>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52F40BE6">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color w:val="00000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09CAACCC">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454134F">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47B8810">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EBB5BC1">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sz w:val="21"/>
                <w:szCs w:val="21"/>
                <w:highlight w:val="none"/>
              </w:rPr>
              <w:t>恒温试验箱一体机</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9DF58D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1</w:t>
            </w:r>
            <w:r>
              <w:rPr>
                <w:rFonts w:hint="eastAsia" w:asciiTheme="minorEastAsia" w:hAnsiTheme="minorEastAsia" w:eastAsiaTheme="minorEastAsia" w:cstheme="minorEastAsia"/>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温度范围：0-60℃</w:t>
            </w:r>
            <w:r>
              <w:rPr>
                <w:rFonts w:hint="eastAsia" w:asciiTheme="minorEastAsia" w:hAnsiTheme="minorEastAsia" w:eastAsiaTheme="minorEastAsia" w:cstheme="minorEastAsia"/>
                <w:sz w:val="21"/>
                <w:szCs w:val="21"/>
                <w:highlight w:val="none"/>
                <w:vertAlign w:val="baseline"/>
                <w:lang w:eastAsia="zh-CN"/>
              </w:rPr>
              <w:t>；</w:t>
            </w:r>
          </w:p>
          <w:p w14:paraId="32084F7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2</w:t>
            </w:r>
            <w:r>
              <w:rPr>
                <w:rFonts w:hint="eastAsia" w:asciiTheme="minorEastAsia" w:hAnsiTheme="minorEastAsia" w:eastAsiaTheme="minorEastAsia" w:cstheme="minorEastAsia"/>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电池规格及放置数量：扣式电池,可放置</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160个</w:t>
            </w:r>
            <w:r>
              <w:rPr>
                <w:rFonts w:hint="eastAsia" w:asciiTheme="minorEastAsia" w:hAnsiTheme="minorEastAsia" w:eastAsiaTheme="minorEastAsia" w:cstheme="minorEastAsia"/>
                <w:sz w:val="21"/>
                <w:szCs w:val="21"/>
                <w:highlight w:val="none"/>
                <w:vertAlign w:val="baseline"/>
                <w:lang w:eastAsia="zh-CN"/>
              </w:rPr>
              <w:t>；</w:t>
            </w:r>
          </w:p>
          <w:p w14:paraId="118671C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3</w:t>
            </w:r>
            <w:r>
              <w:rPr>
                <w:rFonts w:hint="eastAsia" w:asciiTheme="minorEastAsia" w:hAnsiTheme="minorEastAsia" w:eastAsiaTheme="minorEastAsia" w:cstheme="minorEastAsia"/>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标称内容积：</w:t>
            </w:r>
            <w:r>
              <w:rPr>
                <w:rFonts w:hint="eastAsia"/>
                <w:highlight w:val="none"/>
                <w:lang w:val="en-US" w:eastAsia="zh-CN"/>
              </w:rPr>
              <w:t>≥</w:t>
            </w:r>
            <w:r>
              <w:rPr>
                <w:rFonts w:hint="eastAsia" w:asciiTheme="minorEastAsia" w:hAnsiTheme="minorEastAsia" w:eastAsiaTheme="minorEastAsia" w:cstheme="minorEastAsia"/>
                <w:sz w:val="21"/>
                <w:szCs w:val="21"/>
                <w:highlight w:val="none"/>
                <w:vertAlign w:val="baseline"/>
              </w:rPr>
              <w:t>200L</w:t>
            </w:r>
            <w:r>
              <w:rPr>
                <w:rFonts w:hint="eastAsia" w:asciiTheme="minorEastAsia" w:hAnsiTheme="minorEastAsia" w:eastAsiaTheme="minorEastAsia" w:cstheme="minorEastAsia"/>
                <w:sz w:val="21"/>
                <w:szCs w:val="21"/>
                <w:highlight w:val="none"/>
                <w:lang w:eastAsia="zh-CN"/>
              </w:rPr>
              <w:t>；</w:t>
            </w:r>
          </w:p>
          <w:p w14:paraId="560D60E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4</w:t>
            </w:r>
            <w:r>
              <w:rPr>
                <w:rFonts w:hint="eastAsia" w:asciiTheme="minorEastAsia" w:hAnsiTheme="minorEastAsia" w:eastAsiaTheme="minorEastAsia" w:cstheme="minorEastAsia"/>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温度波动度：≤±0.5℃（空载、温度稳定时）</w:t>
            </w:r>
            <w:r>
              <w:rPr>
                <w:rFonts w:hint="eastAsia" w:asciiTheme="minorEastAsia" w:hAnsiTheme="minorEastAsia" w:eastAsiaTheme="minorEastAsia" w:cstheme="minorEastAsia"/>
                <w:sz w:val="21"/>
                <w:szCs w:val="21"/>
                <w:highlight w:val="none"/>
                <w:vertAlign w:val="baseline"/>
                <w:lang w:eastAsia="zh-CN"/>
              </w:rPr>
              <w:t>；</w:t>
            </w:r>
          </w:p>
          <w:p w14:paraId="0EBAE37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5</w:t>
            </w:r>
            <w:r>
              <w:rPr>
                <w:rFonts w:hint="eastAsia" w:asciiTheme="minorEastAsia" w:hAnsiTheme="minorEastAsia" w:eastAsiaTheme="minorEastAsia" w:cstheme="minorEastAsia"/>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温度偏差：±2.0℃（空载、温度稳定时）</w:t>
            </w:r>
            <w:r>
              <w:rPr>
                <w:rFonts w:hint="eastAsia" w:asciiTheme="minorEastAsia" w:hAnsiTheme="minorEastAsia" w:eastAsiaTheme="minorEastAsia" w:cstheme="minorEastAsia"/>
                <w:sz w:val="21"/>
                <w:szCs w:val="21"/>
                <w:highlight w:val="none"/>
                <w:vertAlign w:val="baseline"/>
                <w:lang w:eastAsia="zh-CN"/>
              </w:rPr>
              <w:t>；</w:t>
            </w:r>
          </w:p>
          <w:p w14:paraId="4AF5215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6</w:t>
            </w:r>
            <w:r>
              <w:rPr>
                <w:rFonts w:hint="eastAsia" w:asciiTheme="minorEastAsia" w:hAnsiTheme="minorEastAsia" w:eastAsiaTheme="minorEastAsia" w:cstheme="minorEastAsia"/>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升温时间：25℃→60℃ ≤30 min</w:t>
            </w:r>
            <w:r>
              <w:rPr>
                <w:rFonts w:hint="eastAsia" w:asciiTheme="minorEastAsia" w:hAnsiTheme="minorEastAsia" w:eastAsiaTheme="minorEastAsia" w:cstheme="minorEastAsia"/>
                <w:sz w:val="21"/>
                <w:szCs w:val="21"/>
                <w:highlight w:val="none"/>
                <w:vertAlign w:val="baseline"/>
                <w:lang w:eastAsia="zh-CN"/>
              </w:rPr>
              <w:t>；</w:t>
            </w:r>
          </w:p>
          <w:p w14:paraId="7042065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7</w:t>
            </w:r>
            <w:r>
              <w:rPr>
                <w:rFonts w:hint="eastAsia" w:asciiTheme="minorEastAsia" w:hAnsiTheme="minorEastAsia" w:eastAsiaTheme="minorEastAsia" w:cstheme="minorEastAsia"/>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降温时间：25℃→0℃ ≤50 min</w:t>
            </w:r>
            <w:r>
              <w:rPr>
                <w:rFonts w:hint="eastAsia" w:asciiTheme="minorEastAsia" w:hAnsiTheme="minorEastAsia" w:eastAsiaTheme="minorEastAsia" w:cstheme="minorEastAsia"/>
                <w:sz w:val="21"/>
                <w:szCs w:val="21"/>
                <w:highlight w:val="none"/>
                <w:vertAlign w:val="baseline"/>
                <w:lang w:eastAsia="zh-CN"/>
              </w:rPr>
              <w:t>；</w:t>
            </w:r>
          </w:p>
          <w:p w14:paraId="3ACF226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8</w:t>
            </w:r>
            <w:r>
              <w:rPr>
                <w:rFonts w:hint="eastAsia" w:asciiTheme="minorEastAsia" w:hAnsiTheme="minorEastAsia" w:eastAsiaTheme="minorEastAsia" w:cstheme="minorEastAsia"/>
                <w:sz w:val="21"/>
                <w:szCs w:val="21"/>
                <w:highlight w:val="none"/>
                <w:vertAlign w:val="baseline"/>
                <w:lang w:val="en-US" w:eastAsia="zh-CN"/>
              </w:rPr>
              <w:t>.配</w:t>
            </w:r>
            <w:r>
              <w:rPr>
                <w:rFonts w:hint="eastAsia" w:asciiTheme="minorEastAsia" w:hAnsiTheme="minorEastAsia" w:eastAsiaTheme="minorEastAsia" w:cstheme="minorEastAsia"/>
                <w:sz w:val="21"/>
                <w:szCs w:val="21"/>
                <w:highlight w:val="none"/>
                <w:vertAlign w:val="baseline"/>
              </w:rPr>
              <w:t>置充放电通道 ≥160 通道，单通道规格 5V/50mA，四量程，电流完整覆盖 0.2μA</w:t>
            </w:r>
            <w:r>
              <w:rPr>
                <w:rFonts w:hint="eastAsia" w:asciiTheme="minorEastAsia" w:hAnsiTheme="minorEastAsia" w:eastAsiaTheme="minorEastAsia" w:cstheme="minorEastAsia"/>
                <w:sz w:val="21"/>
                <w:szCs w:val="21"/>
                <w:highlight w:val="none"/>
                <w:vertAlign w:val="baseline"/>
              </w:rPr>
              <w:noBreakHyphen/>
            </w:r>
            <w:r>
              <w:rPr>
                <w:rFonts w:hint="eastAsia" w:asciiTheme="minorEastAsia" w:hAnsiTheme="minorEastAsia" w:eastAsiaTheme="minorEastAsia" w:cstheme="minorEastAsia"/>
                <w:sz w:val="21"/>
                <w:szCs w:val="21"/>
                <w:highlight w:val="none"/>
                <w:vertAlign w:val="baseline"/>
              </w:rPr>
              <w:t>50mA； 量程分段满足：0.2μA~0.1mA、0.1mA~1mA、1mA~10mA、10mA~50mA，各量程可自动切换；充放电单元与恒温箱体为一体化整机系统，可集成布置</w:t>
            </w:r>
            <w:r>
              <w:rPr>
                <w:rFonts w:hint="eastAsia" w:asciiTheme="minorEastAsia" w:hAnsiTheme="minorEastAsia" w:eastAsiaTheme="minorEastAsia" w:cstheme="minorEastAsia"/>
                <w:sz w:val="21"/>
                <w:szCs w:val="21"/>
                <w:highlight w:val="none"/>
                <w:lang w:eastAsia="zh-CN"/>
              </w:rPr>
              <w:t>；</w:t>
            </w:r>
          </w:p>
          <w:p w14:paraId="3BE8E5E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9</w:t>
            </w:r>
            <w:r>
              <w:rPr>
                <w:rFonts w:hint="eastAsia" w:asciiTheme="minorEastAsia" w:hAnsiTheme="minorEastAsia" w:eastAsiaTheme="minorEastAsia" w:cstheme="minorEastAsia"/>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电压范围：-5V</w:t>
            </w:r>
            <w:r>
              <w:rPr>
                <w:rFonts w:hint="eastAsia" w:asciiTheme="minorEastAsia" w:hAnsiTheme="minorEastAsia" w:eastAsiaTheme="minorEastAsia" w:cstheme="minorEastAsia"/>
                <w:color w:val="000000"/>
                <w:sz w:val="21"/>
                <w:szCs w:val="21"/>
                <w:highlight w:val="none"/>
                <w:lang w:val="en-US" w:eastAsia="zh-CN"/>
              </w:rPr>
              <w:t>～</w:t>
            </w:r>
            <w:r>
              <w:rPr>
                <w:rFonts w:hint="eastAsia" w:asciiTheme="minorEastAsia" w:hAnsiTheme="minorEastAsia" w:eastAsiaTheme="minorEastAsia" w:cstheme="minorEastAsia"/>
                <w:sz w:val="21"/>
                <w:szCs w:val="21"/>
                <w:highlight w:val="none"/>
                <w:vertAlign w:val="baseline"/>
              </w:rPr>
              <w:t>5V</w:t>
            </w:r>
            <w:r>
              <w:rPr>
                <w:rFonts w:hint="eastAsia" w:asciiTheme="minorEastAsia" w:hAnsiTheme="minorEastAsia" w:eastAsiaTheme="minorEastAsia" w:cstheme="minorEastAsia"/>
                <w:sz w:val="21"/>
                <w:szCs w:val="21"/>
                <w:highlight w:val="none"/>
                <w:vertAlign w:val="baseline"/>
                <w:lang w:eastAsia="zh-CN"/>
              </w:rPr>
              <w:t>；</w:t>
            </w:r>
          </w:p>
          <w:p w14:paraId="6935D1C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10</w:t>
            </w:r>
            <w:r>
              <w:rPr>
                <w:rFonts w:hint="eastAsia" w:asciiTheme="minorEastAsia" w:hAnsiTheme="minorEastAsia" w:eastAsiaTheme="minorEastAsia" w:cstheme="minorEastAsia"/>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充电模式</w:t>
            </w:r>
            <w:r>
              <w:rPr>
                <w:rFonts w:hint="eastAsia" w:asciiTheme="minorEastAsia" w:hAnsiTheme="minorEastAsia" w:eastAsiaTheme="minorEastAsia" w:cstheme="minorEastAsia"/>
                <w:sz w:val="21"/>
                <w:szCs w:val="21"/>
                <w:highlight w:val="none"/>
                <w:vertAlign w:val="baseline"/>
                <w:lang w:eastAsia="zh-CN"/>
              </w:rPr>
              <w:t>：</w:t>
            </w:r>
            <w:r>
              <w:rPr>
                <w:rFonts w:hint="eastAsia" w:asciiTheme="minorEastAsia" w:hAnsiTheme="minorEastAsia" w:eastAsiaTheme="minorEastAsia" w:cstheme="minorEastAsia"/>
                <w:sz w:val="21"/>
                <w:szCs w:val="21"/>
                <w:highlight w:val="none"/>
                <w:vertAlign w:val="baseline"/>
              </w:rPr>
              <w:t>恒流充电、恒压充电、恒流恒压充电、恒功率充电</w:t>
            </w:r>
            <w:r>
              <w:rPr>
                <w:rFonts w:hint="eastAsia" w:asciiTheme="minorEastAsia" w:hAnsiTheme="minorEastAsia" w:eastAsiaTheme="minorEastAsia" w:cstheme="minorEastAsia"/>
                <w:sz w:val="21"/>
                <w:szCs w:val="21"/>
                <w:highlight w:val="none"/>
                <w:vertAlign w:val="baseline"/>
                <w:lang w:eastAsia="zh-CN"/>
              </w:rPr>
              <w:t>；</w:t>
            </w:r>
          </w:p>
          <w:p w14:paraId="4172C6C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11</w:t>
            </w:r>
            <w:r>
              <w:rPr>
                <w:rFonts w:hint="eastAsia" w:asciiTheme="minorEastAsia" w:hAnsiTheme="minorEastAsia" w:eastAsiaTheme="minorEastAsia" w:cstheme="minorEastAsia"/>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放电模式：恒流放电、恒压放电、恒流恒压放电、恒功率放电、恒阻放电</w:t>
            </w:r>
            <w:r>
              <w:rPr>
                <w:rFonts w:hint="eastAsia" w:asciiTheme="minorEastAsia" w:hAnsiTheme="minorEastAsia" w:eastAsiaTheme="minorEastAsia" w:cstheme="minorEastAsia"/>
                <w:sz w:val="21"/>
                <w:szCs w:val="21"/>
                <w:highlight w:val="none"/>
                <w:vertAlign w:val="baseline"/>
                <w:lang w:eastAsia="zh-CN"/>
              </w:rPr>
              <w:t>；</w:t>
            </w:r>
          </w:p>
          <w:p w14:paraId="040C994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12</w:t>
            </w:r>
            <w:r>
              <w:rPr>
                <w:rFonts w:hint="eastAsia" w:asciiTheme="minorEastAsia" w:hAnsiTheme="minorEastAsia" w:eastAsiaTheme="minorEastAsia" w:cstheme="minorEastAsia"/>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保护条件：电压上限、电压下限、电流上限、电流下限、容量上限、延时时间</w:t>
            </w:r>
            <w:r>
              <w:rPr>
                <w:rFonts w:hint="eastAsia" w:asciiTheme="minorEastAsia" w:hAnsiTheme="minorEastAsia" w:eastAsiaTheme="minorEastAsia" w:cstheme="minorEastAsia"/>
                <w:sz w:val="21"/>
                <w:szCs w:val="21"/>
                <w:highlight w:val="none"/>
                <w:vertAlign w:val="baseline"/>
                <w:lang w:eastAsia="zh-CN"/>
              </w:rPr>
              <w:t>；</w:t>
            </w:r>
          </w:p>
          <w:p w14:paraId="49A3D2E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13</w:t>
            </w:r>
            <w:r>
              <w:rPr>
                <w:rFonts w:hint="eastAsia" w:asciiTheme="minorEastAsia" w:hAnsiTheme="minorEastAsia" w:eastAsiaTheme="minorEastAsia" w:cstheme="minorEastAsia"/>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电压精度：</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±0.01%FS</w:t>
            </w:r>
            <w:r>
              <w:rPr>
                <w:rFonts w:hint="eastAsia" w:asciiTheme="minorEastAsia" w:hAnsiTheme="minorEastAsia" w:eastAsiaTheme="minorEastAsia" w:cstheme="minorEastAsia"/>
                <w:sz w:val="21"/>
                <w:szCs w:val="21"/>
                <w:highlight w:val="none"/>
                <w:vertAlign w:val="baseline"/>
                <w:lang w:eastAsia="zh-CN"/>
              </w:rPr>
              <w:t>；</w:t>
            </w:r>
          </w:p>
          <w:p w14:paraId="6F4F2E4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14</w:t>
            </w:r>
            <w:r>
              <w:rPr>
                <w:rFonts w:hint="eastAsia" w:asciiTheme="minorEastAsia" w:hAnsiTheme="minorEastAsia" w:eastAsiaTheme="minorEastAsia" w:cstheme="minorEastAsia"/>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电流精度：</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±0.01%FS</w:t>
            </w:r>
            <w:r>
              <w:rPr>
                <w:rFonts w:hint="eastAsia" w:asciiTheme="minorEastAsia" w:hAnsiTheme="minorEastAsia" w:eastAsiaTheme="minorEastAsia" w:cstheme="minorEastAsia"/>
                <w:sz w:val="21"/>
                <w:szCs w:val="21"/>
                <w:highlight w:val="none"/>
                <w:vertAlign w:val="baseline"/>
                <w:lang w:eastAsia="zh-CN"/>
              </w:rPr>
              <w:t>；</w:t>
            </w:r>
          </w:p>
          <w:p w14:paraId="19DC221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sz w:val="21"/>
                <w:szCs w:val="21"/>
                <w:highlight w:val="none"/>
                <w:vertAlign w:val="baseline"/>
              </w:rPr>
              <w:t>15</w:t>
            </w:r>
            <w:r>
              <w:rPr>
                <w:rFonts w:hint="eastAsia" w:asciiTheme="minorEastAsia" w:hAnsiTheme="minorEastAsia" w:eastAsiaTheme="minorEastAsia" w:cstheme="minorEastAsia"/>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支持充放电设备，温箱软件互联</w:t>
            </w:r>
            <w:r>
              <w:rPr>
                <w:rFonts w:hint="eastAsia" w:asciiTheme="minorEastAsia" w:hAnsiTheme="minorEastAsia" w:eastAsiaTheme="minorEastAsia" w:cstheme="minorEastAsia"/>
                <w:sz w:val="21"/>
                <w:szCs w:val="21"/>
                <w:highlight w:val="none"/>
                <w:vertAlign w:val="baseline"/>
                <w:lang w:eastAsia="zh-CN"/>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0B9292BC">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sz w:val="21"/>
                <w:szCs w:val="21"/>
                <w:highlight w:val="none"/>
                <w:vertAlign w:val="baseline"/>
                <w:lang w:val="en-US" w:eastAsia="zh-CN"/>
              </w:rPr>
              <w:t>1台</w:t>
            </w:r>
          </w:p>
        </w:tc>
      </w:tr>
      <w:tr w14:paraId="787325E8">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F28A5BC">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7FFAB04">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E2FC511">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sz w:val="21"/>
                <w:szCs w:val="21"/>
                <w:highlight w:val="none"/>
                <w:vertAlign w:val="baseline"/>
              </w:rPr>
              <w:t>准静态d33压电系数测试仪 样品测试</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06138B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vertAlign w:val="baseline"/>
                <w:lang w:val="en-US" w:eastAsia="zh-CN"/>
              </w:rPr>
              <w:t>.测试频率：调节范围30 Hz</w:t>
            </w:r>
            <w:r>
              <w:rPr>
                <w:rFonts w:hint="eastAsia" w:asciiTheme="minorEastAsia" w:hAnsiTheme="minorEastAsia" w:eastAsiaTheme="minorEastAsia" w:cstheme="minorEastAsia"/>
                <w:color w:val="00000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lang w:val="en-US" w:eastAsia="zh-CN"/>
              </w:rPr>
              <w:t xml:space="preserve"> 140 Hz，精度：±0.1 Hz；</w:t>
            </w:r>
          </w:p>
          <w:p w14:paraId="50CCC1B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2.测试载荷：静态力</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lang w:val="en-US" w:eastAsia="zh-CN"/>
              </w:rPr>
              <w:t>10 N</w:t>
            </w:r>
            <w:r>
              <w:rPr>
                <w:rFonts w:hint="eastAsia" w:asciiTheme="minorEastAsia" w:hAnsiTheme="minorEastAsia" w:eastAsiaTheme="minorEastAsia" w:cstheme="minorEastAsia"/>
                <w:sz w:val="21"/>
                <w:szCs w:val="21"/>
                <w:highlight w:val="none"/>
                <w:lang w:eastAsia="zh-CN"/>
              </w:rPr>
              <w:t>；</w:t>
            </w:r>
          </w:p>
          <w:p w14:paraId="66750A0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3.振荡测试载荷：0.05N</w:t>
            </w:r>
            <w:r>
              <w:rPr>
                <w:rFonts w:hint="eastAsia" w:asciiTheme="minorEastAsia" w:hAnsiTheme="minorEastAsia" w:eastAsiaTheme="minorEastAsia" w:cstheme="minorEastAsia"/>
                <w:color w:val="00000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lang w:val="en-US" w:eastAsia="zh-CN"/>
              </w:rPr>
              <w:t>0.5N可调；</w:t>
            </w:r>
          </w:p>
          <w:p w14:paraId="031ADAD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4.电容测量范围：10pF</w:t>
            </w:r>
            <w:r>
              <w:rPr>
                <w:rFonts w:hint="eastAsia" w:asciiTheme="minorEastAsia" w:hAnsiTheme="minorEastAsia" w:eastAsiaTheme="minorEastAsia" w:cstheme="minorEastAsia"/>
                <w:color w:val="00000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lang w:val="en-US" w:eastAsia="zh-CN"/>
              </w:rPr>
              <w:t>0.1μF，精度：±2%±1pF；</w:t>
            </w:r>
          </w:p>
          <w:p w14:paraId="5F9EC8C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5.损耗测量范围：0.0000</w:t>
            </w:r>
            <w:r>
              <w:rPr>
                <w:rFonts w:hint="eastAsia" w:asciiTheme="minorEastAsia" w:hAnsiTheme="minorEastAsia" w:eastAsiaTheme="minorEastAsia" w:cstheme="minorEastAsia"/>
                <w:color w:val="00000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lang w:val="en-US" w:eastAsia="zh-CN"/>
              </w:rPr>
              <w:t>0.2000，精度：±2%±0.0001；</w:t>
            </w:r>
          </w:p>
          <w:p w14:paraId="18F3A13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6.最大样品尺寸：极化方向</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lang w:val="en-US" w:eastAsia="zh-CN"/>
              </w:rPr>
              <w:t>50 mm，最大直径</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lang w:val="en-US" w:eastAsia="zh-CN"/>
              </w:rPr>
              <w:t>136mm；</w:t>
            </w:r>
          </w:p>
          <w:p w14:paraId="602BCCB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7.最大样品重量：</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lang w:val="en-US" w:eastAsia="zh-CN"/>
              </w:rPr>
              <w:t>1 KG；</w:t>
            </w:r>
          </w:p>
          <w:p w14:paraId="6F9EB0F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8.软件校准功能：可通过计算机对设备进行校准；</w:t>
            </w:r>
          </w:p>
          <w:p w14:paraId="7D8E153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9.独立控制器控制：直接通过控制器对设备进行控制测试，并且可存储和通过控制屏幕显示测试结果；</w:t>
            </w:r>
          </w:p>
          <w:p w14:paraId="28ACCB4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10.打印功能：支持直接打印机联机打印；</w:t>
            </w:r>
          </w:p>
          <w:p w14:paraId="22D256E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11.电源：220V，0.5A，50Hz；</w:t>
            </w:r>
          </w:p>
          <w:p w14:paraId="69CB35D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12.超高范围：100</w:t>
            </w:r>
            <w:r>
              <w:rPr>
                <w:rFonts w:hint="eastAsia" w:asciiTheme="minorEastAsia" w:hAnsiTheme="minorEastAsia" w:eastAsiaTheme="minorEastAsia" w:cstheme="minorEastAsia"/>
                <w:color w:val="00000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lang w:val="en-US" w:eastAsia="zh-CN"/>
              </w:rPr>
              <w:t>10,000 pC/N，精度：±2%±1 pC/N；</w:t>
            </w:r>
          </w:p>
          <w:p w14:paraId="4360CF0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13.高范围：10</w:t>
            </w:r>
            <w:r>
              <w:rPr>
                <w:rFonts w:hint="eastAsia" w:asciiTheme="minorEastAsia" w:hAnsiTheme="minorEastAsia" w:eastAsiaTheme="minorEastAsia" w:cstheme="minorEastAsia"/>
                <w:color w:val="00000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lang w:val="en-US" w:eastAsia="zh-CN"/>
              </w:rPr>
              <w:t>1000pC/N，精度：±2%±1 pC/N；</w:t>
            </w:r>
          </w:p>
          <w:p w14:paraId="676FC34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14.低范围：1</w:t>
            </w:r>
            <w:r>
              <w:rPr>
                <w:rFonts w:hint="eastAsia" w:asciiTheme="minorEastAsia" w:hAnsiTheme="minorEastAsia" w:eastAsiaTheme="minorEastAsia" w:cstheme="minorEastAsia"/>
                <w:color w:val="00000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lang w:val="en-US" w:eastAsia="zh-CN"/>
              </w:rPr>
              <w:t>100pC/N，精度：±2%±0.1 pC/N；</w:t>
            </w:r>
          </w:p>
          <w:p w14:paraId="5487DB7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sz w:val="21"/>
                <w:szCs w:val="21"/>
                <w:highlight w:val="none"/>
                <w:vertAlign w:val="baseline"/>
                <w:lang w:val="en-US" w:eastAsia="zh-CN"/>
              </w:rPr>
              <w:t>15.超低范围：0</w:t>
            </w:r>
            <w:r>
              <w:rPr>
                <w:rFonts w:hint="eastAsia" w:asciiTheme="minorEastAsia" w:hAnsiTheme="minorEastAsia" w:eastAsiaTheme="minorEastAsia" w:cstheme="minorEastAsia"/>
                <w:color w:val="00000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lang w:val="en-US" w:eastAsia="zh-CN"/>
              </w:rPr>
              <w:t>10pC/N，精度：±2%±0.01 pC/N。</w:t>
            </w:r>
          </w:p>
        </w:tc>
        <w:tc>
          <w:tcPr>
            <w:tcW w:w="349" w:type="pct"/>
            <w:tcBorders>
              <w:top w:val="single" w:color="auto" w:sz="4" w:space="0"/>
              <w:left w:val="nil"/>
              <w:bottom w:val="single" w:color="auto" w:sz="4" w:space="0"/>
              <w:right w:val="single" w:color="auto" w:sz="4" w:space="0"/>
            </w:tcBorders>
            <w:shd w:val="clear" w:color="auto" w:fill="auto"/>
            <w:vAlign w:val="center"/>
          </w:tcPr>
          <w:p w14:paraId="294948D7">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sz w:val="21"/>
                <w:szCs w:val="21"/>
                <w:highlight w:val="none"/>
                <w:vertAlign w:val="baseline"/>
                <w:lang w:val="en-US" w:eastAsia="zh-CN"/>
              </w:rPr>
              <w:t>1台</w:t>
            </w:r>
          </w:p>
        </w:tc>
      </w:tr>
      <w:tr w14:paraId="1F5DCEAA">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D1791BC">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50973CD">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5A5B482">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sz w:val="21"/>
                <w:szCs w:val="21"/>
                <w:highlight w:val="none"/>
                <w:vertAlign w:val="baseline"/>
                <w:lang w:val="en-US" w:eastAsia="zh-CN"/>
              </w:rPr>
              <w:t>高温箱式炉</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CA5F29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一、产品特点</w:t>
            </w:r>
          </w:p>
          <w:p w14:paraId="2277FF4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1.炉膛材料采用高纯氧化铝纤维，能最大程度减少能量损失；</w:t>
            </w:r>
          </w:p>
          <w:p w14:paraId="2E6E257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2.炉膛表面涂有高温氧化铝涂层，可以提高加热效率和使用寿命；</w:t>
            </w:r>
          </w:p>
          <w:p w14:paraId="3758057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3.带有过热和断偶保护，并设有开门断电功能；</w:t>
            </w:r>
          </w:p>
          <w:p w14:paraId="7BEFBEC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4.炉膛内置进气和排气口，可去除不良污染物和湿气，延长加热元件和炉膛的使用寿命；</w:t>
            </w:r>
          </w:p>
          <w:p w14:paraId="2C0BA4D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二、基本参数：</w:t>
            </w:r>
          </w:p>
          <w:p w14:paraId="438DA8F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1.电源：AC220V 50HZ；</w:t>
            </w:r>
          </w:p>
          <w:p w14:paraId="7362EF7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2.功率：2.5KW；</w:t>
            </w:r>
          </w:p>
          <w:p w14:paraId="5AF02D4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vertAlign w:val="baseline"/>
                <w:lang w:val="en-US" w:eastAsia="zh-CN"/>
              </w:rPr>
              <w:t>3.加热区尺寸：</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lang w:val="en-US" w:eastAsia="zh-CN"/>
              </w:rPr>
              <w:t>120*120*120mm</w:t>
            </w:r>
            <w:r>
              <w:rPr>
                <w:rFonts w:hint="eastAsia" w:asciiTheme="minorEastAsia" w:hAnsiTheme="minorEastAsia" w:eastAsiaTheme="minorEastAsia" w:cstheme="minorEastAsia"/>
                <w:sz w:val="21"/>
                <w:szCs w:val="21"/>
                <w:highlight w:val="none"/>
                <w:lang w:val="en-US" w:eastAsia="zh-CN"/>
              </w:rPr>
              <w:t>长</w:t>
            </w:r>
            <w:r>
              <w:rPr>
                <w:rFonts w:hint="eastAsia" w:asciiTheme="minorEastAsia" w:hAnsiTheme="minorEastAsia" w:eastAsiaTheme="minorEastAsia" w:cstheme="minorEastAsia"/>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lang w:val="en-US" w:eastAsia="zh-CN"/>
              </w:rPr>
              <w:t>宽</w:t>
            </w:r>
            <w:r>
              <w:rPr>
                <w:rFonts w:hint="eastAsia" w:asciiTheme="minorEastAsia" w:hAnsiTheme="minorEastAsia" w:eastAsiaTheme="minorEastAsia" w:cstheme="minorEastAsia"/>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lang w:val="en-US" w:eastAsia="zh-CN"/>
              </w:rPr>
              <w:t>高；</w:t>
            </w:r>
          </w:p>
          <w:p w14:paraId="3DAA576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4.最高温度：1450℃（≤1h）；</w:t>
            </w:r>
          </w:p>
          <w:p w14:paraId="45489DE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5.长期使用温度：1300℃；</w:t>
            </w:r>
          </w:p>
          <w:p w14:paraId="4452129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6.推荐升温速率：1400℃以下≤10℃/min，1400℃以上≤5℃/min；</w:t>
            </w:r>
          </w:p>
          <w:p w14:paraId="2E7AE06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7.加热元件：硅碳棒（</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lang w:val="en-US" w:eastAsia="zh-CN"/>
              </w:rPr>
              <w:t>4根）；</w:t>
            </w:r>
          </w:p>
          <w:p w14:paraId="0B96609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8.热电偶：S型；</w:t>
            </w:r>
          </w:p>
          <w:p w14:paraId="7E608A8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9.气氛</w:t>
            </w:r>
          </w:p>
          <w:p w14:paraId="0FD4496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9.1炉体后侧和顶端分别设有进气口和出气口，可往腔体内部通入惰性气体；</w:t>
            </w:r>
          </w:p>
          <w:p w14:paraId="265E9A3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9.2进气口为</w:t>
            </w:r>
            <w:r>
              <w:rPr>
                <w:rFonts w:hint="eastAsia"/>
                <w:highlight w:val="none"/>
                <w:lang w:val="en-US" w:eastAsia="zh-CN"/>
              </w:rPr>
              <w:t>≥</w:t>
            </w:r>
            <w:r>
              <w:rPr>
                <w:rFonts w:hint="eastAsia" w:asciiTheme="minorEastAsia" w:hAnsiTheme="minorEastAsia" w:eastAsiaTheme="minorEastAsia" w:cstheme="minorEastAsia"/>
                <w:sz w:val="21"/>
                <w:szCs w:val="21"/>
                <w:highlight w:val="none"/>
                <w:vertAlign w:val="baseline"/>
                <w:lang w:val="en-US" w:eastAsia="zh-CN"/>
              </w:rPr>
              <w:t>φ6mm的宝塔嘴接口，出气口为</w:t>
            </w:r>
            <w:r>
              <w:rPr>
                <w:rFonts w:hint="eastAsia"/>
                <w:highlight w:val="none"/>
                <w:lang w:val="en-US" w:eastAsia="zh-CN"/>
              </w:rPr>
              <w:t>≥</w:t>
            </w:r>
            <w:r>
              <w:rPr>
                <w:rFonts w:hint="eastAsia" w:asciiTheme="minorEastAsia" w:hAnsiTheme="minorEastAsia" w:eastAsiaTheme="minorEastAsia" w:cstheme="minorEastAsia"/>
                <w:sz w:val="21"/>
                <w:szCs w:val="21"/>
                <w:highlight w:val="none"/>
                <w:vertAlign w:val="baseline"/>
                <w:lang w:val="en-US" w:eastAsia="zh-CN"/>
              </w:rPr>
              <w:t>φ30mm的圆形出气口；</w:t>
            </w:r>
          </w:p>
          <w:p w14:paraId="522E9DD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三、温控系统</w:t>
            </w:r>
          </w:p>
          <w:p w14:paraId="0D2E0CD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1.包含温度控制器；</w:t>
            </w:r>
          </w:p>
          <w:p w14:paraId="2DCABBB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2.PID自动控温系统；</w:t>
            </w:r>
          </w:p>
          <w:p w14:paraId="1FF82F4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3.智能化</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lang w:val="en-US" w:eastAsia="zh-CN"/>
              </w:rPr>
              <w:t>50段可编程控制；</w:t>
            </w:r>
          </w:p>
          <w:p w14:paraId="11003E8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4.控温精度：±1℃；</w:t>
            </w:r>
          </w:p>
          <w:p w14:paraId="01D3B70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5.具备 PC 通讯接口，可实现上位机连接、数据读取；</w:t>
            </w:r>
          </w:p>
          <w:p w14:paraId="3680D0A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6.电气元器件具备相应安全认证；</w:t>
            </w:r>
          </w:p>
          <w:p w14:paraId="1E22924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7.外形尺寸：</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lang w:val="en-US" w:eastAsia="zh-CN"/>
              </w:rPr>
              <w:t>380mm（L）410（W）mm620mm（H）；</w:t>
            </w:r>
          </w:p>
          <w:p w14:paraId="0CECB5D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sz w:val="21"/>
                <w:szCs w:val="21"/>
                <w:highlight w:val="none"/>
                <w:vertAlign w:val="baseline"/>
                <w:lang w:val="en-US" w:eastAsia="zh-CN"/>
              </w:rPr>
              <w:t>8.重量：</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lang w:val="en-US" w:eastAsia="zh-CN"/>
              </w:rPr>
              <w:t>50KG。</w:t>
            </w:r>
          </w:p>
        </w:tc>
        <w:tc>
          <w:tcPr>
            <w:tcW w:w="349" w:type="pct"/>
            <w:tcBorders>
              <w:top w:val="single" w:color="auto" w:sz="4" w:space="0"/>
              <w:left w:val="nil"/>
              <w:bottom w:val="single" w:color="auto" w:sz="4" w:space="0"/>
              <w:right w:val="single" w:color="auto" w:sz="4" w:space="0"/>
            </w:tcBorders>
            <w:shd w:val="clear" w:color="auto" w:fill="auto"/>
            <w:vAlign w:val="center"/>
          </w:tcPr>
          <w:p w14:paraId="1ECFDC55">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sz w:val="21"/>
                <w:szCs w:val="21"/>
                <w:highlight w:val="none"/>
                <w:vertAlign w:val="baseline"/>
                <w:lang w:val="en-US" w:eastAsia="zh-CN"/>
              </w:rPr>
              <w:t>2台</w:t>
            </w:r>
          </w:p>
        </w:tc>
      </w:tr>
      <w:tr w14:paraId="0DFB95A4">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0EAB810">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3ADEC10">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60CC485">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sz w:val="21"/>
                <w:szCs w:val="21"/>
                <w:highlight w:val="none"/>
                <w:vertAlign w:val="baseline"/>
              </w:rPr>
              <w:t>高速冷冻离心机</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D0ADF2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1.超静音运行，噪音≤60db；</w:t>
            </w:r>
          </w:p>
          <w:p w14:paraId="6A57B6D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2.强大制冷能力，最高转速也可保持-5℃；</w:t>
            </w:r>
          </w:p>
          <w:p w14:paraId="61E31E9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3.制冷速度快，在≤10min内，可从室温降至4℃。</w:t>
            </w:r>
          </w:p>
          <w:p w14:paraId="4D8D45F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4.采用热气旁通技术，控温精度高，最高转速时可达±0.1℃</w:t>
            </w:r>
          </w:p>
          <w:p w14:paraId="4E1C2EB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5.</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7寸大屏、全触摸操作、语音提示，界面更人性化，交互更便捷；</w:t>
            </w:r>
          </w:p>
          <w:p w14:paraId="60ABAFF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6.多种运行方式，快速运行、程序运行、预约运行；</w:t>
            </w:r>
          </w:p>
          <w:p w14:paraId="3E7961A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7.可设置100s刹车时间、防止重悬、保护敏感样品；</w:t>
            </w:r>
          </w:p>
          <w:p w14:paraId="33AD125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8.具备自动开关盖功能，更便捷，更可靠；</w:t>
            </w:r>
          </w:p>
          <w:p w14:paraId="748A88D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9.具备</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12种可选转子规格，</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9种气密性角转子，</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3种水平转子；</w:t>
            </w:r>
          </w:p>
          <w:p w14:paraId="15811E8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10.具备转子识别功能，采用独有的射频识别方式，安装转子后立即识别并自动匹配运行参数，无需手动设置转子型号，更便捷，更可靠；</w:t>
            </w:r>
          </w:p>
          <w:p w14:paraId="5D35ED4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11.具备故障自诊断系统（失速、超温、振动等故障），同时界面提示；</w:t>
            </w:r>
          </w:p>
          <w:p w14:paraId="40EFA30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12.采用二级减震系统结构和电机，增强仪器稳定性和降低噪音；</w:t>
            </w:r>
          </w:p>
          <w:p w14:paraId="3063402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13.</w:t>
            </w:r>
            <w:r>
              <w:rPr>
                <w:rFonts w:hint="eastAsia" w:asciiTheme="minorEastAsia" w:hAnsiTheme="minorEastAsia" w:eastAsiaTheme="minorEastAsia" w:cstheme="minorEastAsia"/>
                <w:sz w:val="21"/>
                <w:szCs w:val="21"/>
                <w:highlight w:val="none"/>
                <w:vertAlign w:val="baseline"/>
                <w:lang w:val="en-US" w:eastAsia="zh-CN"/>
              </w:rPr>
              <w:t>电</w:t>
            </w:r>
            <w:r>
              <w:rPr>
                <w:rFonts w:hint="eastAsia" w:asciiTheme="minorEastAsia" w:hAnsiTheme="minorEastAsia" w:eastAsiaTheme="minorEastAsia" w:cstheme="minorEastAsia"/>
                <w:sz w:val="21"/>
                <w:szCs w:val="21"/>
                <w:highlight w:val="none"/>
                <w:vertAlign w:val="baseline"/>
              </w:rPr>
              <w:t>机</w:t>
            </w:r>
            <w:r>
              <w:rPr>
                <w:rFonts w:hint="eastAsia" w:asciiTheme="minorEastAsia" w:hAnsiTheme="minorEastAsia" w:eastAsiaTheme="minorEastAsia" w:cstheme="minorEastAsia"/>
                <w:sz w:val="21"/>
                <w:szCs w:val="21"/>
                <w:highlight w:val="none"/>
                <w:vertAlign w:val="baseline"/>
                <w:lang w:val="en-US" w:eastAsia="zh-CN"/>
              </w:rPr>
              <w:t>采用</w:t>
            </w:r>
            <w:r>
              <w:rPr>
                <w:rFonts w:hint="eastAsia" w:asciiTheme="minorEastAsia" w:hAnsiTheme="minorEastAsia" w:eastAsiaTheme="minorEastAsia" w:cstheme="minorEastAsia"/>
                <w:sz w:val="21"/>
                <w:szCs w:val="21"/>
                <w:highlight w:val="none"/>
                <w:vertAlign w:val="baseline"/>
              </w:rPr>
              <w:t>防水设计，提高电机的使用寿命；</w:t>
            </w:r>
          </w:p>
          <w:p w14:paraId="2EEBE05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14.压缩机，稳定性高，使用寿命长，致冷迅速；</w:t>
            </w:r>
          </w:p>
          <w:p w14:paraId="00088AD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15.内部采用框架结构，机身强度更高；</w:t>
            </w:r>
          </w:p>
          <w:p w14:paraId="54E076E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rPr>
            </w:pPr>
            <w:r>
              <w:rPr>
                <w:rFonts w:hint="eastAsia" w:asciiTheme="minorEastAsia" w:hAnsiTheme="minorEastAsia" w:eastAsiaTheme="minorEastAsia" w:cstheme="minorEastAsia"/>
                <w:sz w:val="21"/>
                <w:szCs w:val="21"/>
                <w:highlight w:val="none"/>
                <w:vertAlign w:val="baseline"/>
              </w:rPr>
              <w:t>16.离心腔经特殊工艺处理具有良好的耐腐蚀作用，经久耐用且更美观；</w:t>
            </w:r>
          </w:p>
          <w:p w14:paraId="44B6551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17.最高转速</w:t>
            </w:r>
            <w:r>
              <w:rPr>
                <w:rFonts w:hint="eastAsia" w:asciiTheme="minorEastAsia" w:hAnsiTheme="minorEastAsia" w:eastAsiaTheme="minorEastAsia" w:cstheme="minorEastAsia"/>
                <w:sz w:val="21"/>
                <w:szCs w:val="21"/>
                <w:highlight w:val="none"/>
                <w:vertAlign w:val="baseline"/>
                <w:lang w:eastAsia="zh-CN"/>
              </w:rPr>
              <w:t>：</w:t>
            </w:r>
            <w:r>
              <w:rPr>
                <w:rFonts w:hint="eastAsia" w:asciiTheme="minorEastAsia" w:hAnsiTheme="minorEastAsia" w:eastAsiaTheme="minorEastAsia" w:cstheme="minorEastAsia"/>
                <w:sz w:val="21"/>
                <w:szCs w:val="21"/>
                <w:highlight w:val="none"/>
                <w:vertAlign w:val="baseline"/>
              </w:rPr>
              <w:t>20000 r/min(12*2ml)</w:t>
            </w:r>
            <w:r>
              <w:rPr>
                <w:rFonts w:hint="eastAsia" w:asciiTheme="minorEastAsia" w:hAnsiTheme="minorEastAsia" w:eastAsiaTheme="minorEastAsia" w:cstheme="minorEastAsia"/>
                <w:sz w:val="21"/>
                <w:szCs w:val="21"/>
                <w:highlight w:val="none"/>
                <w:vertAlign w:val="baseline"/>
                <w:lang w:eastAsia="zh-CN"/>
              </w:rPr>
              <w:t>；</w:t>
            </w:r>
          </w:p>
          <w:p w14:paraId="390301A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18.转速控制精度：±20 r/min</w:t>
            </w:r>
            <w:r>
              <w:rPr>
                <w:rFonts w:hint="eastAsia" w:asciiTheme="minorEastAsia" w:hAnsiTheme="minorEastAsia" w:eastAsiaTheme="minorEastAsia" w:cstheme="minorEastAsia"/>
                <w:sz w:val="21"/>
                <w:szCs w:val="21"/>
                <w:highlight w:val="none"/>
                <w:vertAlign w:val="baseline"/>
                <w:lang w:eastAsia="zh-CN"/>
              </w:rPr>
              <w:t>；</w:t>
            </w:r>
          </w:p>
          <w:p w14:paraId="7C74A10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19.最大相对离心力：27500×g(24*2ml)</w:t>
            </w:r>
            <w:r>
              <w:rPr>
                <w:rFonts w:hint="eastAsia" w:asciiTheme="minorEastAsia" w:hAnsiTheme="minorEastAsia" w:eastAsiaTheme="minorEastAsia" w:cstheme="minorEastAsia"/>
                <w:sz w:val="21"/>
                <w:szCs w:val="21"/>
                <w:highlight w:val="none"/>
                <w:vertAlign w:val="baseline"/>
                <w:lang w:eastAsia="zh-CN"/>
              </w:rPr>
              <w:t>；</w:t>
            </w:r>
          </w:p>
          <w:p w14:paraId="1D619E0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20.最大容量：4*100ml</w:t>
            </w:r>
            <w:r>
              <w:rPr>
                <w:rFonts w:hint="eastAsia" w:asciiTheme="minorEastAsia" w:hAnsiTheme="minorEastAsia" w:eastAsiaTheme="minorEastAsia" w:cstheme="minorEastAsia"/>
                <w:sz w:val="21"/>
                <w:szCs w:val="21"/>
                <w:highlight w:val="none"/>
                <w:vertAlign w:val="baseline"/>
                <w:lang w:eastAsia="zh-CN"/>
              </w:rPr>
              <w:t>；</w:t>
            </w:r>
          </w:p>
          <w:p w14:paraId="57666DC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21.重量：</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60Kg</w:t>
            </w:r>
            <w:r>
              <w:rPr>
                <w:rFonts w:hint="eastAsia" w:asciiTheme="minorEastAsia" w:hAnsiTheme="minorEastAsia" w:eastAsiaTheme="minorEastAsia" w:cstheme="minorEastAsia"/>
                <w:sz w:val="21"/>
                <w:szCs w:val="21"/>
                <w:highlight w:val="none"/>
                <w:vertAlign w:val="baseline"/>
                <w:lang w:eastAsia="zh-CN"/>
              </w:rPr>
              <w:t>；</w:t>
            </w:r>
          </w:p>
          <w:p w14:paraId="38C96DB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22.温度设定范围：-20℃～40℃</w:t>
            </w:r>
            <w:r>
              <w:rPr>
                <w:rFonts w:hint="eastAsia" w:asciiTheme="minorEastAsia" w:hAnsiTheme="minorEastAsia" w:eastAsiaTheme="minorEastAsia" w:cstheme="minorEastAsia"/>
                <w:sz w:val="21"/>
                <w:szCs w:val="21"/>
                <w:highlight w:val="none"/>
                <w:vertAlign w:val="baseline"/>
                <w:lang w:eastAsia="zh-CN"/>
              </w:rPr>
              <w:t>；</w:t>
            </w:r>
          </w:p>
          <w:p w14:paraId="340A079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23.温度控制精度：最高转速下</w:t>
            </w:r>
            <w:r>
              <w:rPr>
                <w:rFonts w:hint="eastAsia" w:asciiTheme="minorEastAsia" w:hAnsiTheme="minorEastAsia" w:eastAsiaTheme="minorEastAsia" w:cstheme="minorEastAsia"/>
                <w:sz w:val="21"/>
                <w:szCs w:val="21"/>
                <w:highlight w:val="none"/>
                <w:vertAlign w:val="baseline"/>
                <w:lang w:eastAsia="zh-CN"/>
              </w:rPr>
              <w:t>：</w:t>
            </w:r>
            <w:r>
              <w:rPr>
                <w:rFonts w:hint="eastAsia" w:asciiTheme="minorEastAsia" w:hAnsiTheme="minorEastAsia" w:eastAsiaTheme="minorEastAsia" w:cstheme="minorEastAsia"/>
                <w:sz w:val="21"/>
                <w:szCs w:val="21"/>
                <w:highlight w:val="none"/>
                <w:vertAlign w:val="baseline"/>
              </w:rPr>
              <w:t>±0.1℃</w:t>
            </w:r>
            <w:r>
              <w:rPr>
                <w:rFonts w:hint="eastAsia" w:asciiTheme="minorEastAsia" w:hAnsiTheme="minorEastAsia" w:eastAsiaTheme="minorEastAsia" w:cstheme="minorEastAsia"/>
                <w:sz w:val="21"/>
                <w:szCs w:val="21"/>
                <w:highlight w:val="none"/>
                <w:vertAlign w:val="baseline"/>
                <w:lang w:eastAsia="zh-CN"/>
              </w:rPr>
              <w:t>；</w:t>
            </w:r>
          </w:p>
          <w:p w14:paraId="65A1654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24.最大噪音(DB)：≤ 60dB</w:t>
            </w:r>
            <w:r>
              <w:rPr>
                <w:rFonts w:hint="eastAsia" w:asciiTheme="minorEastAsia" w:hAnsiTheme="minorEastAsia" w:eastAsiaTheme="minorEastAsia" w:cstheme="minorEastAsia"/>
                <w:sz w:val="21"/>
                <w:szCs w:val="21"/>
                <w:highlight w:val="none"/>
                <w:vertAlign w:val="baseline"/>
                <w:lang w:eastAsia="zh-CN"/>
              </w:rPr>
              <w:t>；</w:t>
            </w:r>
          </w:p>
          <w:p w14:paraId="4759596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25.电源：AC220V 50/60Hz 10A</w:t>
            </w:r>
            <w:r>
              <w:rPr>
                <w:rFonts w:hint="eastAsia" w:asciiTheme="minorEastAsia" w:hAnsiTheme="minorEastAsia" w:eastAsiaTheme="minorEastAsia" w:cstheme="minorEastAsia"/>
                <w:sz w:val="21"/>
                <w:szCs w:val="21"/>
                <w:highlight w:val="none"/>
                <w:vertAlign w:val="baseline"/>
                <w:lang w:eastAsia="zh-CN"/>
              </w:rPr>
              <w:t>；</w:t>
            </w:r>
          </w:p>
          <w:p w14:paraId="22FF602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26.外形尺寸：</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sz w:val="21"/>
                <w:szCs w:val="21"/>
                <w:highlight w:val="none"/>
                <w:vertAlign w:val="baseline"/>
              </w:rPr>
              <w:t>590x502x425mm</w:t>
            </w:r>
            <w:r>
              <w:rPr>
                <w:rFonts w:hint="eastAsia" w:asciiTheme="minorEastAsia" w:hAnsiTheme="minorEastAsia" w:eastAsiaTheme="minorEastAsia" w:cstheme="minorEastAsia"/>
                <w:sz w:val="21"/>
                <w:szCs w:val="21"/>
                <w:highlight w:val="none"/>
                <w:vertAlign w:val="baseline"/>
                <w:lang w:eastAsia="zh-CN"/>
              </w:rPr>
              <w:t>；</w:t>
            </w:r>
          </w:p>
          <w:p w14:paraId="11944BA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27.时间设定范围：1s～99h59m59s</w:t>
            </w:r>
            <w:r>
              <w:rPr>
                <w:rFonts w:hint="eastAsia" w:asciiTheme="minorEastAsia" w:hAnsiTheme="minorEastAsia" w:eastAsiaTheme="minorEastAsia" w:cstheme="minorEastAsia"/>
                <w:sz w:val="21"/>
                <w:szCs w:val="21"/>
                <w:highlight w:val="none"/>
                <w:vertAlign w:val="baseline"/>
                <w:lang w:eastAsia="zh-CN"/>
              </w:rPr>
              <w:t>；</w:t>
            </w:r>
          </w:p>
          <w:p w14:paraId="1D33F0E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vertAlign w:val="baseline"/>
                <w:lang w:eastAsia="zh-CN"/>
              </w:rPr>
            </w:pPr>
            <w:r>
              <w:rPr>
                <w:rFonts w:hint="eastAsia" w:asciiTheme="minorEastAsia" w:hAnsiTheme="minorEastAsia" w:eastAsiaTheme="minorEastAsia" w:cstheme="minorEastAsia"/>
                <w:sz w:val="21"/>
                <w:szCs w:val="21"/>
                <w:highlight w:val="none"/>
                <w:vertAlign w:val="baseline"/>
              </w:rPr>
              <w:t>28.使用环境要求：温度10℃～30℃，相对湿度≤80%</w:t>
            </w:r>
          </w:p>
          <w:p w14:paraId="529FF54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color w:val="000000"/>
                <w:sz w:val="21"/>
                <w:szCs w:val="21"/>
                <w:highlight w:val="none"/>
              </w:rPr>
              <w:t>废液回收系统</w:t>
            </w:r>
            <w:r>
              <w:rPr>
                <w:rFonts w:hint="eastAsia" w:asciiTheme="minorEastAsia" w:hAnsiTheme="minorEastAsia" w:eastAsiaTheme="minorEastAsia" w:cstheme="minorEastAsia"/>
                <w:color w:val="000000"/>
                <w:sz w:val="21"/>
                <w:szCs w:val="21"/>
                <w:highlight w:val="none"/>
                <w:lang w:eastAsia="zh-CN"/>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1DAC0BFF">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sz w:val="21"/>
                <w:szCs w:val="21"/>
                <w:highlight w:val="none"/>
                <w:vertAlign w:val="baseline"/>
                <w:lang w:val="en-US" w:eastAsia="zh-CN"/>
              </w:rPr>
              <w:t>1台</w:t>
            </w:r>
          </w:p>
        </w:tc>
      </w:tr>
      <w:tr w14:paraId="749DFFD6">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C25A789">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3EC8426">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0CA0781">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rPr>
              <w:t>小型颚式破碎机</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90BDCB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1.输入电源：AC 380V（不带电源进线、无插头）；</w:t>
            </w:r>
          </w:p>
          <w:p w14:paraId="6FD7E0F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2.配套动力：≥1.5kW；</w:t>
            </w:r>
          </w:p>
          <w:p w14:paraId="1E779D6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3.进料口尺寸：≥100×60mm；</w:t>
            </w:r>
          </w:p>
          <w:p w14:paraId="59BA4DF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4.进料粒度：≤50mm；</w:t>
            </w:r>
          </w:p>
          <w:p w14:paraId="2CD4997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5.出料粒度：≤0.1~15mm；</w:t>
            </w:r>
          </w:p>
          <w:p w14:paraId="548B937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6.生产量：≥45~550Kg/h；</w:t>
            </w:r>
          </w:p>
          <w:p w14:paraId="6621951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7.主轴转速：≥600r/min；</w:t>
            </w:r>
          </w:p>
          <w:p w14:paraId="06FAE11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8.产品尺寸(长*宽*高)：≤810×400×630mm；</w:t>
            </w:r>
          </w:p>
          <w:p w14:paraId="1F90952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9.净重：≤130Kg；</w:t>
            </w:r>
          </w:p>
        </w:tc>
        <w:tc>
          <w:tcPr>
            <w:tcW w:w="349" w:type="pct"/>
            <w:tcBorders>
              <w:top w:val="single" w:color="auto" w:sz="4" w:space="0"/>
              <w:left w:val="nil"/>
              <w:bottom w:val="single" w:color="auto" w:sz="4" w:space="0"/>
              <w:right w:val="single" w:color="auto" w:sz="4" w:space="0"/>
            </w:tcBorders>
            <w:shd w:val="clear" w:color="auto" w:fill="auto"/>
            <w:vAlign w:val="center"/>
          </w:tcPr>
          <w:p w14:paraId="72F5D14E">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7D3C23EA">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4C2A258">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043F675">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color w:val="000000"/>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42DBD9F">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color w:val="000000"/>
                <w:sz w:val="21"/>
                <w:szCs w:val="21"/>
                <w:highlight w:val="none"/>
              </w:rPr>
              <w:t>对辊破碎</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66B4FE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技术参数：</w:t>
            </w:r>
          </w:p>
          <w:p w14:paraId="73206A8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1.规格：≥Φ200×75mm</w:t>
            </w:r>
          </w:p>
          <w:p w14:paraId="7F2B3D9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2.给料口尺寸：≥75×13mm</w:t>
            </w:r>
          </w:p>
          <w:p w14:paraId="797D477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3.给料粒径：≤13mm</w:t>
            </w:r>
          </w:p>
          <w:p w14:paraId="230584E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4.出料粒径：0.1~3mm</w:t>
            </w:r>
          </w:p>
          <w:p w14:paraId="0D68A3F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5.主轴转速：≥380转/分</w:t>
            </w:r>
          </w:p>
          <w:p w14:paraId="3842D38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6.生产量：≥300kg/时</w:t>
            </w:r>
          </w:p>
          <w:p w14:paraId="70CDCB5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7.电机功率：≥1.5kW</w:t>
            </w:r>
          </w:p>
        </w:tc>
        <w:tc>
          <w:tcPr>
            <w:tcW w:w="349" w:type="pct"/>
            <w:tcBorders>
              <w:top w:val="single" w:color="auto" w:sz="4" w:space="0"/>
              <w:left w:val="nil"/>
              <w:bottom w:val="single" w:color="auto" w:sz="4" w:space="0"/>
              <w:right w:val="single" w:color="auto" w:sz="4" w:space="0"/>
            </w:tcBorders>
            <w:shd w:val="clear" w:color="auto" w:fill="auto"/>
            <w:vAlign w:val="center"/>
          </w:tcPr>
          <w:p w14:paraId="4B211E6B">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21971A18">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F882C59">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35A0250">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color w:val="000000"/>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44B283F">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color w:val="000000"/>
                <w:sz w:val="21"/>
                <w:szCs w:val="21"/>
                <w:highlight w:val="none"/>
              </w:rPr>
              <w:t>密封式化验制样粉碎机（振动磨样机)</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C0993D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1.电源电压：380V；</w:t>
            </w:r>
          </w:p>
          <w:p w14:paraId="1D5BB2E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2.电机功率：≤1.1kW；</w:t>
            </w:r>
          </w:p>
          <w:p w14:paraId="5AB1108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3.进料粒度：＜Φ20mm；</w:t>
            </w:r>
          </w:p>
          <w:p w14:paraId="3260223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4.单只料钵进料量：＜200g；</w:t>
            </w:r>
          </w:p>
          <w:p w14:paraId="3A61C46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5.出料粒度：120～200目；</w:t>
            </w:r>
          </w:p>
          <w:p w14:paraId="2F4BFCB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6.工作噪音：＜75分贝；</w:t>
            </w:r>
          </w:p>
          <w:p w14:paraId="294E6CA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7.加工时间：1～3分钟；</w:t>
            </w:r>
          </w:p>
          <w:p w14:paraId="4C42314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8.样品损失率：＜1%；</w:t>
            </w:r>
          </w:p>
          <w:p w14:paraId="417F4D4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9.时间控制：0～15分钟可调；</w:t>
            </w:r>
          </w:p>
          <w:p w14:paraId="2509CE1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10.净重：≤150Kg；</w:t>
            </w:r>
          </w:p>
          <w:p w14:paraId="05738BB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11.产品尺寸(长*宽*高)：≤500×570×930mm。</w:t>
            </w:r>
          </w:p>
        </w:tc>
        <w:tc>
          <w:tcPr>
            <w:tcW w:w="349" w:type="pct"/>
            <w:tcBorders>
              <w:top w:val="single" w:color="auto" w:sz="4" w:space="0"/>
              <w:left w:val="nil"/>
              <w:bottom w:val="single" w:color="auto" w:sz="4" w:space="0"/>
              <w:right w:val="single" w:color="auto" w:sz="4" w:space="0"/>
            </w:tcBorders>
            <w:shd w:val="clear" w:color="auto" w:fill="auto"/>
            <w:vAlign w:val="center"/>
          </w:tcPr>
          <w:p w14:paraId="7D3EC53D">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75E9DF16">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49C6463">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35740D3">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E9A017C">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rPr>
              <w:t>电热鼓风干燥箱</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C1F2BC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1.用途： 电热鼓风干燥箱是供工矿企业、化验室、科研单位等干燥、烘培、熔蜡之用；</w:t>
            </w:r>
          </w:p>
          <w:p w14:paraId="1512F8B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2．工作条件：</w:t>
            </w:r>
          </w:p>
          <w:p w14:paraId="6A1E4A0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2.1 工作环境温度10-30℃；</w:t>
            </w:r>
          </w:p>
          <w:p w14:paraId="47FCBC6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2.2 电源220V±10% 50Hz±2%；</w:t>
            </w:r>
          </w:p>
          <w:p w14:paraId="1CCD113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3．技术要求：</w:t>
            </w:r>
          </w:p>
          <w:p w14:paraId="6E4897E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3.1外壳采用冷轧钢板制造，表面静电喷塑，内胆镜面不锈钢，隔板可以任意调节；</w:t>
            </w:r>
          </w:p>
          <w:p w14:paraId="0156CE8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3.2温控系统采用微电脑单片机技术，系统具有控温、定时和超温报警等功能；</w:t>
            </w:r>
          </w:p>
          <w:p w14:paraId="57CB0E7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3.3预热腔设计，空气加热混合后直接进入工作室，确保快速升温及良好的热分布效果；</w:t>
            </w:r>
          </w:p>
          <w:p w14:paraId="67E9794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3.4采用双屏高亮度数码管显示，触摸式按键设定调节；</w:t>
            </w:r>
          </w:p>
          <w:p w14:paraId="79399B3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3.5采用罩级电机及风叶，具有空气对流微风装置，内腔空气可以更新循环；</w:t>
            </w:r>
          </w:p>
          <w:p w14:paraId="57408BA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3.6箱门具备大视角观察玻璃窗，便于用户观察；</w:t>
            </w:r>
          </w:p>
          <w:p w14:paraId="67EE08D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3.7旋转式两级锁紧结构，保证门与进口封条贴合度更高，达到良好的密封性；</w:t>
            </w:r>
          </w:p>
          <w:p w14:paraId="4F12ECD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3.8腔体四角采用圆角设计，搁架容易拆卸，方便清洁；</w:t>
            </w:r>
          </w:p>
          <w:p w14:paraId="7E2B832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3.9具有来电恢复功能，保证不会因停电、死机而造成数据丢失；</w:t>
            </w:r>
          </w:p>
          <w:p w14:paraId="2F607B8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3.10控温范围：≥室温+5～200℃；</w:t>
            </w:r>
          </w:p>
          <w:p w14:paraId="12A7F38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3.11分辨率：≤0.1℃；</w:t>
            </w:r>
          </w:p>
          <w:p w14:paraId="1780647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3.12波动度：≤±1℃(105℃)；</w:t>
            </w:r>
          </w:p>
          <w:p w14:paraId="636475F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3.13均匀度：≤±2.5%；</w:t>
            </w:r>
          </w:p>
          <w:p w14:paraId="7AC0FCA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3.14输入功率：≤950W；</w:t>
            </w:r>
          </w:p>
          <w:p w14:paraId="03F043F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3.15定时范围：≥0~999min/h；</w:t>
            </w:r>
          </w:p>
          <w:p w14:paraId="34B4908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3.16内胆尺寸(长*宽*高)：≥350×330×350mm；</w:t>
            </w:r>
          </w:p>
          <w:p w14:paraId="0178AE2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3.17外形尺寸(长*宽*高)：≤640×556×505mm；</w:t>
            </w:r>
          </w:p>
          <w:p w14:paraId="1BC5A5C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3.18容积：≥40L；</w:t>
            </w:r>
          </w:p>
          <w:p w14:paraId="5B6355F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3.19托架承重：≥15kg；</w:t>
            </w:r>
          </w:p>
          <w:p w14:paraId="755AE62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 配置清单：</w:t>
            </w:r>
          </w:p>
          <w:p w14:paraId="18B0CCA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4.1主机一台；</w:t>
            </w:r>
          </w:p>
          <w:p w14:paraId="21846FA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4.2载物托架两块；</w:t>
            </w:r>
          </w:p>
          <w:p w14:paraId="255EE17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4.3说明书一份；</w:t>
            </w:r>
          </w:p>
          <w:p w14:paraId="44EBB21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4.4保修卡、合格证各一份。</w:t>
            </w:r>
          </w:p>
        </w:tc>
        <w:tc>
          <w:tcPr>
            <w:tcW w:w="349" w:type="pct"/>
            <w:tcBorders>
              <w:top w:val="single" w:color="auto" w:sz="4" w:space="0"/>
              <w:left w:val="nil"/>
              <w:bottom w:val="single" w:color="auto" w:sz="4" w:space="0"/>
              <w:right w:val="single" w:color="auto" w:sz="4" w:space="0"/>
            </w:tcBorders>
            <w:shd w:val="clear" w:color="auto" w:fill="auto"/>
            <w:vAlign w:val="center"/>
          </w:tcPr>
          <w:p w14:paraId="68A34FDA">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17410D01">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199CB38">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20345EC">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97D28E9">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rPr>
              <w:t>真空干燥箱</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A7BC54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技术参数：</w:t>
            </w:r>
          </w:p>
          <w:p w14:paraId="1C0FB55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用途：真空干燥箱广泛应用于生物化学、化工制药、农业科研、环境保护等研究应用领域，作粉末干燥、烘培以及各类玻璃容器的消毒和灭菌之用。特别适合于对干燥热敏性、易分解、易氧化物质和复杂成分物品进行快速高效的干燥处理；</w:t>
            </w:r>
          </w:p>
          <w:p w14:paraId="3A437A1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2．工作条件：</w:t>
            </w:r>
          </w:p>
          <w:p w14:paraId="6FAAB5F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2.1 工作环境温度10-30℃；</w:t>
            </w:r>
          </w:p>
          <w:p w14:paraId="00ADE3D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2.2 电源220±10V 50/60Hz；</w:t>
            </w:r>
          </w:p>
          <w:p w14:paraId="137A51C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3．技术要求：</w:t>
            </w:r>
          </w:p>
          <w:p w14:paraId="4F871C4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3.1外壳采用冷轧钢板制造，表面静电喷塑，内胆不锈钢材料制成，半圆形四角设计更方便清洁；</w:t>
            </w:r>
          </w:p>
          <w:p w14:paraId="0506A8B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3.2温控系统采用微电脑单片机设计，具有温控、定时、超温报警功能；</w:t>
            </w:r>
          </w:p>
          <w:p w14:paraId="60C8AD5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3.3采用双屏高亮度数码管显示，触摸式按键设定调整参数；</w:t>
            </w:r>
          </w:p>
          <w:p w14:paraId="67CA09E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3.4具有定时和计时功能；</w:t>
            </w:r>
          </w:p>
          <w:p w14:paraId="60BB80E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3.5箱门松紧完全可由用户任意调节，整体成形的硅橡胶门封条，确保箱内高真空；</w:t>
            </w:r>
          </w:p>
          <w:p w14:paraId="69A7C63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3.6工作室为长方形结构，箱门采用钢化、防弹双层玻璃门，使观察工作室培养物品能让用户一目了然；</w:t>
            </w:r>
          </w:p>
          <w:p w14:paraId="188E093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3.7具有因停电、死机造成状态数据和保存的参数记忆丢失，来电恢复功能；</w:t>
            </w:r>
          </w:p>
          <w:p w14:paraId="61CDD98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3.8输入功率：900W；</w:t>
            </w:r>
          </w:p>
          <w:p w14:paraId="3D000EB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3.9控温范围：室温+5～250℃；</w:t>
            </w:r>
          </w:p>
          <w:p w14:paraId="57CFDEA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3.10温度波动度：±1℃；</w:t>
            </w:r>
          </w:p>
          <w:p w14:paraId="7F95EBA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3.11达到真空度：≥133Pa；</w:t>
            </w:r>
          </w:p>
          <w:p w14:paraId="553529E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3.12定时范围：≥0～999min；</w:t>
            </w:r>
          </w:p>
          <w:p w14:paraId="511C804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3.13加热方式：套式加热；</w:t>
            </w:r>
          </w:p>
          <w:p w14:paraId="40DC799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3.14内胆尺寸(长*宽*高)：≥300*296*275mm；</w:t>
            </w:r>
          </w:p>
          <w:p w14:paraId="2426A09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3.15外形尺寸(长*宽*高)：≤590*430*475mm；</w:t>
            </w:r>
          </w:p>
          <w:p w14:paraId="3EB272B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3.16容积：≥25L；</w:t>
            </w:r>
          </w:p>
          <w:p w14:paraId="28685EA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3.17托架数量：≥2；</w:t>
            </w:r>
          </w:p>
          <w:p w14:paraId="65AFE52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 配置清单：</w:t>
            </w:r>
          </w:p>
          <w:p w14:paraId="70DF2F6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4.1主机一台；</w:t>
            </w:r>
          </w:p>
          <w:p w14:paraId="5786DE3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4.2载物托架两块；</w:t>
            </w:r>
          </w:p>
          <w:p w14:paraId="03B3351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4.3说明书一份；</w:t>
            </w:r>
          </w:p>
          <w:p w14:paraId="658EB89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4.4保修卡、合格证各一份。</w:t>
            </w:r>
          </w:p>
        </w:tc>
        <w:tc>
          <w:tcPr>
            <w:tcW w:w="349" w:type="pct"/>
            <w:tcBorders>
              <w:top w:val="single" w:color="auto" w:sz="4" w:space="0"/>
              <w:left w:val="nil"/>
              <w:bottom w:val="single" w:color="auto" w:sz="4" w:space="0"/>
              <w:right w:val="single" w:color="auto" w:sz="4" w:space="0"/>
            </w:tcBorders>
            <w:shd w:val="clear" w:color="auto" w:fill="auto"/>
            <w:vAlign w:val="center"/>
          </w:tcPr>
          <w:p w14:paraId="33AADFB2">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16BAF173">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C518F39">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25CF541">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C3D800C">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lang w:val="en-US" w:eastAsia="zh-CN"/>
              </w:rPr>
              <w:t>万分之一</w:t>
            </w:r>
            <w:r>
              <w:rPr>
                <w:rFonts w:hint="eastAsia" w:asciiTheme="minorEastAsia" w:hAnsiTheme="minorEastAsia" w:eastAsiaTheme="minorEastAsia" w:cstheme="minorEastAsia"/>
                <w:b w:val="0"/>
                <w:bCs w:val="0"/>
                <w:sz w:val="21"/>
                <w:szCs w:val="21"/>
                <w:highlight w:val="none"/>
              </w:rPr>
              <w:t>电子分析天平</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D7F2B9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技术参数：</w:t>
            </w:r>
          </w:p>
          <w:p w14:paraId="458E1B3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1.称量范围(g)：≥220；</w:t>
            </w:r>
          </w:p>
          <w:p w14:paraId="13023E9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2.可读性（mg）：0.1；</w:t>
            </w:r>
          </w:p>
          <w:p w14:paraId="79B2B82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3.稳定时间：≤4S；</w:t>
            </w:r>
          </w:p>
          <w:p w14:paraId="7862305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4.秤盘尺寸（mm）：≥80；</w:t>
            </w:r>
          </w:p>
          <w:p w14:paraId="6CBAEF8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5.净重：≤7.5kg；</w:t>
            </w:r>
          </w:p>
          <w:p w14:paraId="031122E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6.外形尺寸(长*宽*高)：≤355×220×325mm；</w:t>
            </w:r>
          </w:p>
          <w:p w14:paraId="1DA37E3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7.工作空间高度：≥220mm；</w:t>
            </w:r>
          </w:p>
          <w:p w14:paraId="56A9BEB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8.校准方式：外部校准；</w:t>
            </w:r>
          </w:p>
          <w:p w14:paraId="0531718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9.电源：220V/50Hz。</w:t>
            </w:r>
          </w:p>
        </w:tc>
        <w:tc>
          <w:tcPr>
            <w:tcW w:w="349" w:type="pct"/>
            <w:tcBorders>
              <w:top w:val="single" w:color="auto" w:sz="4" w:space="0"/>
              <w:left w:val="nil"/>
              <w:bottom w:val="single" w:color="auto" w:sz="4" w:space="0"/>
              <w:right w:val="single" w:color="auto" w:sz="4" w:space="0"/>
            </w:tcBorders>
            <w:shd w:val="clear" w:color="auto" w:fill="auto"/>
            <w:vAlign w:val="center"/>
          </w:tcPr>
          <w:p w14:paraId="75043AA9">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0F411996">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7E80FBF">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72A869A">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47BD685">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rPr>
              <w:t>普通电子天平</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CCCDB1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技术参数：</w:t>
            </w:r>
          </w:p>
          <w:p w14:paraId="42955B9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1.称量范围：≥1000g；</w:t>
            </w:r>
          </w:p>
          <w:p w14:paraId="4CB6934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2.可读性/精度：10mg；</w:t>
            </w:r>
          </w:p>
          <w:p w14:paraId="1C41C25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3.外形尺寸：≤270×190×110 mm；</w:t>
            </w:r>
          </w:p>
          <w:p w14:paraId="4A8AA64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4.秤盘尺寸：≥Φ130 mm。</w:t>
            </w:r>
          </w:p>
        </w:tc>
        <w:tc>
          <w:tcPr>
            <w:tcW w:w="349" w:type="pct"/>
            <w:tcBorders>
              <w:top w:val="single" w:color="auto" w:sz="4" w:space="0"/>
              <w:left w:val="nil"/>
              <w:bottom w:val="single" w:color="auto" w:sz="4" w:space="0"/>
              <w:right w:val="single" w:color="auto" w:sz="4" w:space="0"/>
            </w:tcBorders>
            <w:shd w:val="clear" w:color="auto" w:fill="auto"/>
            <w:vAlign w:val="center"/>
          </w:tcPr>
          <w:p w14:paraId="0A803D4B">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42A54CD5">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1F88093">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4F6D097">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1271CAC">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rPr>
              <w:t>箱式电阻炉（小型马弗炉</w:t>
            </w:r>
            <w:r>
              <w:rPr>
                <w:rFonts w:hint="eastAsia" w:asciiTheme="minorEastAsia" w:hAnsiTheme="minorEastAsia" w:eastAsiaTheme="minorEastAsia" w:cstheme="minorEastAsia"/>
                <w:b w:val="0"/>
                <w:bCs w:val="0"/>
                <w:sz w:val="21"/>
                <w:szCs w:val="21"/>
                <w:highlight w:val="none"/>
                <w:lang w:eastAsia="zh-CN"/>
              </w:rPr>
              <w:t>）</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C95477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技术参数：</w:t>
            </w:r>
          </w:p>
          <w:p w14:paraId="14308F2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1.炉门开启方式：侧开门；</w:t>
            </w:r>
          </w:p>
          <w:p w14:paraId="0F8DE59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2.排风冷却装置：结合热感应技术，具备炉体外壳超温自动排风冷却功能，炉壳异常高温时可自动启动排温风扇，降低炉体外壳表面温度，避免外壳温度过高烫伤操作人员；</w:t>
            </w:r>
          </w:p>
          <w:p w14:paraId="3FBDEF6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3.炉膛材质：多晶莫来纤维；</w:t>
            </w:r>
          </w:p>
          <w:p w14:paraId="32AC3CC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4.额定功率：1.25KW；</w:t>
            </w:r>
          </w:p>
          <w:p w14:paraId="7B158C7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5.额定电压：220V；</w:t>
            </w:r>
          </w:p>
          <w:p w14:paraId="201A58D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6.最高温度：1200℃；</w:t>
            </w:r>
          </w:p>
          <w:p w14:paraId="5463E58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7.控温精度：±1℃；</w:t>
            </w:r>
          </w:p>
          <w:p w14:paraId="79643A3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8.程序控制：国产智能程序温控仪表，具备 PID 自整定功能，可设置不少于 30 段升降温工艺曲线；</w:t>
            </w:r>
          </w:p>
          <w:p w14:paraId="47C1400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9.加热元件：采用高电阻电热合金丝OCr27A17Mo2</w:t>
            </w:r>
            <w:r>
              <w:rPr>
                <w:rFonts w:hint="eastAsia" w:asciiTheme="minorEastAsia" w:hAnsiTheme="minorEastAsia" w:eastAsiaTheme="minorEastAsia" w:cstheme="minorEastAsia"/>
                <w:sz w:val="21"/>
                <w:szCs w:val="21"/>
                <w:highlight w:val="none"/>
                <w:lang w:val="en-US" w:eastAsia="zh-CN"/>
              </w:rPr>
              <w:t>或同等性能材质；</w:t>
            </w:r>
          </w:p>
          <w:p w14:paraId="151C869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10.测温方式：K型热电偶；</w:t>
            </w:r>
          </w:p>
          <w:p w14:paraId="5B6E27D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11.控制面板：具备工作电流显示功能，可实时查看设备工作电流，便于故障判断与设备维护；</w:t>
            </w:r>
          </w:p>
          <w:p w14:paraId="7AF2B0A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12.安全性：超温报警，漏电保护；</w:t>
            </w:r>
          </w:p>
          <w:p w14:paraId="79D4201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13.炉膛尺寸(深x宽x高）：≥100*100*100mm；</w:t>
            </w:r>
          </w:p>
          <w:p w14:paraId="0C6BE68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14.炉体尺寸(深x宽x高）：≤356*298*507mm；</w:t>
            </w:r>
          </w:p>
          <w:p w14:paraId="37DB9A8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15.重量：≥11kg；另配高温手套一副、坩埚钳子一把；</w:t>
            </w:r>
          </w:p>
        </w:tc>
        <w:tc>
          <w:tcPr>
            <w:tcW w:w="349" w:type="pct"/>
            <w:tcBorders>
              <w:top w:val="single" w:color="auto" w:sz="4" w:space="0"/>
              <w:left w:val="nil"/>
              <w:bottom w:val="single" w:color="auto" w:sz="4" w:space="0"/>
              <w:right w:val="single" w:color="auto" w:sz="4" w:space="0"/>
            </w:tcBorders>
            <w:shd w:val="clear" w:color="auto" w:fill="auto"/>
            <w:vAlign w:val="center"/>
          </w:tcPr>
          <w:p w14:paraId="07A5CAFC">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558F0027">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6451912">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ECA7CEF">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424453A">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rPr>
              <w:t>卧式管式电阻炉</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E2AA29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1.额定功率：1.2Kw；</w:t>
            </w:r>
          </w:p>
          <w:p w14:paraId="5BB0801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2.额定电压：220V；</w:t>
            </w:r>
          </w:p>
          <w:p w14:paraId="25EF4BE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3.加热区/恒温区长度： ≥200/100mm；</w:t>
            </w:r>
          </w:p>
          <w:p w14:paraId="0785805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4.密封法兰：法兰采用卡箍快拆密封结构，满足真空、气氛工况气密要求；</w:t>
            </w:r>
          </w:p>
          <w:p w14:paraId="19E6DA1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5.炉膛材质：多晶莫来纤维；</w:t>
            </w:r>
          </w:p>
          <w:p w14:paraId="355CCFA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6.排风冷却装置：双层炉体风冷散热，配置自动冷却风机，有效降低外壳表面温度，防止烫伤；</w:t>
            </w:r>
          </w:p>
          <w:p w14:paraId="02E1716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7.最高温度：≥1200℃；</w:t>
            </w:r>
          </w:p>
          <w:p w14:paraId="35FF5497">
            <w:pPr>
              <w:pStyle w:val="10"/>
              <w:spacing w:line="360" w:lineRule="auto"/>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8.程序控制：</w:t>
            </w:r>
            <w:r>
              <w:rPr>
                <w:rFonts w:hint="eastAsia" w:asciiTheme="minorEastAsia" w:hAnsiTheme="minorEastAsia" w:eastAsiaTheme="minorEastAsia" w:cstheme="minorEastAsia"/>
                <w:b w:val="0"/>
                <w:bCs w:val="0"/>
                <w:kern w:val="2"/>
                <w:sz w:val="21"/>
                <w:szCs w:val="21"/>
                <w:highlight w:val="none"/>
                <w:vertAlign w:val="baseline"/>
                <w:lang w:val="en-US" w:eastAsia="zh-CN" w:bidi="ar-SA"/>
              </w:rPr>
              <w:t>国产智能程序温控仪表，具备 PID 调节、自整定，可设置不少于 50 段升降温工艺曲线</w:t>
            </w:r>
            <w:r>
              <w:rPr>
                <w:rFonts w:hint="eastAsia" w:asciiTheme="minorEastAsia" w:hAnsiTheme="minorEastAsia" w:eastAsiaTheme="minorEastAsia" w:cstheme="minorEastAsia"/>
                <w:b w:val="0"/>
                <w:bCs w:val="0"/>
                <w:sz w:val="21"/>
                <w:szCs w:val="21"/>
                <w:highlight w:val="none"/>
                <w:vertAlign w:val="baseline"/>
                <w:lang w:val="en-US" w:eastAsia="zh-CN"/>
              </w:rPr>
              <w:t>；</w:t>
            </w:r>
          </w:p>
          <w:p w14:paraId="1BA8494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9.控温精度：±1℃；</w:t>
            </w:r>
          </w:p>
          <w:p w14:paraId="597BFFA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10.石英管尺寸：</w:t>
            </w:r>
            <w:r>
              <w:rPr>
                <w:rFonts w:ascii="宋体" w:hAnsi="宋体" w:eastAsia="宋体" w:cs="宋体"/>
                <w:sz w:val="24"/>
                <w:szCs w:val="24"/>
                <w:highlight w:val="none"/>
              </w:rPr>
              <w:t>≥</w:t>
            </w:r>
            <w:r>
              <w:rPr>
                <w:rFonts w:hint="eastAsia" w:asciiTheme="minorEastAsia" w:hAnsiTheme="minorEastAsia" w:eastAsiaTheme="minorEastAsia" w:cstheme="minorEastAsia"/>
                <w:b w:val="0"/>
                <w:bCs w:val="0"/>
                <w:sz w:val="21"/>
                <w:szCs w:val="21"/>
                <w:highlight w:val="none"/>
                <w:vertAlign w:val="baseline"/>
                <w:lang w:val="en-US" w:eastAsia="zh-CN"/>
              </w:rPr>
              <w:t>φ50/44x800mm；</w:t>
            </w:r>
          </w:p>
          <w:p w14:paraId="718FE9E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11.加热元件：高电阻电热合金丝OCr27A17Mo2</w:t>
            </w:r>
            <w:r>
              <w:rPr>
                <w:rFonts w:hint="eastAsia"/>
                <w:highlight w:val="none"/>
                <w:lang w:val="en-US" w:eastAsia="zh-CN"/>
              </w:rPr>
              <w:t>或同等性能电热合金</w:t>
            </w:r>
            <w:r>
              <w:rPr>
                <w:rFonts w:hint="eastAsia" w:asciiTheme="minorEastAsia" w:hAnsiTheme="minorEastAsia" w:eastAsiaTheme="minorEastAsia" w:cstheme="minorEastAsia"/>
                <w:b w:val="0"/>
                <w:bCs w:val="0"/>
                <w:sz w:val="21"/>
                <w:szCs w:val="21"/>
                <w:highlight w:val="none"/>
                <w:vertAlign w:val="baseline"/>
                <w:lang w:val="en-US" w:eastAsia="zh-CN"/>
              </w:rPr>
              <w:t>；</w:t>
            </w:r>
          </w:p>
          <w:p w14:paraId="17FA9B5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12.升温速度：0-1000℃≤10℃/min，1000-1200℃≤5℃/min；</w:t>
            </w:r>
          </w:p>
          <w:p w14:paraId="09BBC90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13.控制面板：配有电流指针表，方便后期故障排查；</w:t>
            </w:r>
          </w:p>
          <w:p w14:paraId="54B85B6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14.炉壳材质：不锈钢压花；</w:t>
            </w:r>
          </w:p>
          <w:p w14:paraId="624C808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15.标准配置：气路总成一套（含真空压力表）、石英管一支、钩子一把、高温手套一副。</w:t>
            </w:r>
          </w:p>
        </w:tc>
        <w:tc>
          <w:tcPr>
            <w:tcW w:w="349" w:type="pct"/>
            <w:tcBorders>
              <w:top w:val="single" w:color="auto" w:sz="4" w:space="0"/>
              <w:left w:val="nil"/>
              <w:bottom w:val="single" w:color="auto" w:sz="4" w:space="0"/>
              <w:right w:val="single" w:color="auto" w:sz="4" w:space="0"/>
            </w:tcBorders>
            <w:shd w:val="clear" w:color="auto" w:fill="auto"/>
            <w:vAlign w:val="center"/>
          </w:tcPr>
          <w:p w14:paraId="75DD2A68">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4CDEC310">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00B81EE">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1DB1E0C">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73548FF">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rPr>
              <w:t>小型气氛管式炉（带真空）</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90C942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1.额定功率：2.5Kw；</w:t>
            </w:r>
          </w:p>
          <w:p w14:paraId="1FB5C9E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2.额定电压：220V；</w:t>
            </w:r>
          </w:p>
          <w:p w14:paraId="2F1C475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3.加热区/恒温区长度：≥200/70mm；</w:t>
            </w:r>
          </w:p>
          <w:p w14:paraId="646F4CE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4.密封法兰：法兰采用卡箍快拆密封结构，满足真空、气氛工况密封要求；</w:t>
            </w:r>
          </w:p>
          <w:p w14:paraId="14C1A45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5.炉膛材质：多晶莫来纤维；</w:t>
            </w:r>
          </w:p>
          <w:p w14:paraId="514F3AF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val="0"/>
                <w:sz w:val="21"/>
                <w:szCs w:val="21"/>
                <w:highlight w:val="none"/>
                <w:vertAlign w:val="baseline"/>
                <w:lang w:val="en-US" w:eastAsia="zh-CN"/>
              </w:rPr>
              <w:t>6.排风冷却装置：双层炉体风冷散热，配置自动冷却风机，有效控制炉壳表面温度，防止烫伤；</w:t>
            </w:r>
          </w:p>
          <w:p w14:paraId="2D59D9E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7.最高温度：1400℃；</w:t>
            </w:r>
          </w:p>
          <w:p w14:paraId="32A9239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8.程序控制：国产程序≥50段程序控温；</w:t>
            </w:r>
          </w:p>
          <w:p w14:paraId="2052CD0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9.控温精度：±1℃；</w:t>
            </w:r>
          </w:p>
          <w:p w14:paraId="641C206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10.刚玉管尺寸：≥</w:t>
            </w:r>
            <w:r>
              <w:rPr>
                <w:rFonts w:hint="eastAsia" w:asciiTheme="minorEastAsia" w:hAnsiTheme="minorEastAsia" w:eastAsiaTheme="minorEastAsia" w:cstheme="minorEastAsia"/>
                <w:sz w:val="21"/>
                <w:szCs w:val="21"/>
                <w:highlight w:val="none"/>
              </w:rPr>
              <w:t>φ</w:t>
            </w:r>
            <w:r>
              <w:rPr>
                <w:rFonts w:hint="eastAsia" w:asciiTheme="minorEastAsia" w:hAnsiTheme="minorEastAsia" w:eastAsiaTheme="minorEastAsia" w:cstheme="minorEastAsia"/>
                <w:b w:val="0"/>
                <w:bCs w:val="0"/>
                <w:sz w:val="21"/>
                <w:szCs w:val="21"/>
                <w:highlight w:val="none"/>
                <w:vertAlign w:val="baseline"/>
                <w:lang w:val="en-US" w:eastAsia="zh-CN"/>
              </w:rPr>
              <w:t>50/40x800mm；</w:t>
            </w:r>
          </w:p>
          <w:p w14:paraId="407C610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11.加热元件：采用硅碳棒，最高使用温度满足 1400℃长期工作要求；</w:t>
            </w:r>
          </w:p>
          <w:p w14:paraId="3B951C4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12.测温方式：S型热电偶；</w:t>
            </w:r>
          </w:p>
          <w:p w14:paraId="11712FB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13.炉体尺寸：≤365*440*563mm；</w:t>
            </w:r>
          </w:p>
          <w:p w14:paraId="577857A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14.安全性：具备超温报警、热电偶断偶保护、漏电保护，异常工况自动切断加热电源；</w:t>
            </w:r>
          </w:p>
          <w:p w14:paraId="1D8C151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15.标准配置：气路总成一套（含真空压力表）、刚玉管一支、刚玉堵两个、刚玉舟一个、钩子一把、高温手套一副，预抽真空泵一套。</w:t>
            </w:r>
          </w:p>
        </w:tc>
        <w:tc>
          <w:tcPr>
            <w:tcW w:w="349" w:type="pct"/>
            <w:tcBorders>
              <w:top w:val="single" w:color="auto" w:sz="4" w:space="0"/>
              <w:left w:val="nil"/>
              <w:bottom w:val="single" w:color="auto" w:sz="4" w:space="0"/>
              <w:right w:val="single" w:color="auto" w:sz="4" w:space="0"/>
            </w:tcBorders>
            <w:shd w:val="clear" w:color="auto" w:fill="auto"/>
            <w:vAlign w:val="center"/>
          </w:tcPr>
          <w:p w14:paraId="03096CD9">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4827201E">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88C5821">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EF685BD">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color w:val="000000"/>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D8B56C6">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color w:val="000000"/>
                <w:sz w:val="21"/>
                <w:szCs w:val="21"/>
                <w:highlight w:val="none"/>
              </w:rPr>
              <w:t>小型高频感应熔炼炉</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41C6E5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一、产品特点</w:t>
            </w:r>
          </w:p>
          <w:p w14:paraId="447F6F5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1.最大熔炼量≤1kg（按Fe密度核算）；</w:t>
            </w:r>
          </w:p>
          <w:p w14:paraId="7AD1DB1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2.带有手动浇注，真空/气氛环境均可浇铸样品；</w:t>
            </w:r>
          </w:p>
          <w:p w14:paraId="38D62B9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3.配备二次加料机构，真空/气氛工况下可中途添加物料；</w:t>
            </w:r>
          </w:p>
          <w:p w14:paraId="706C6E3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4.搭载高温搅拌机构，气氛环境高温搅拌，熔炼成分均匀；</w:t>
            </w:r>
          </w:p>
          <w:p w14:paraId="56B8B60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二、电源要求</w:t>
            </w:r>
          </w:p>
          <w:p w14:paraId="40E9B35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1.输入电压：380V AC，三相供电；</w:t>
            </w:r>
          </w:p>
          <w:p w14:paraId="1929848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2.最大输入电流：≤35A；</w:t>
            </w:r>
          </w:p>
          <w:p w14:paraId="41D7815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3.最大输出功率：15KW；</w:t>
            </w:r>
          </w:p>
          <w:p w14:paraId="2972C21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三、工作温度</w:t>
            </w:r>
          </w:p>
          <w:p w14:paraId="17A3358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1.标准非水冷腔体：≤1750℃，单次熔炼≤30min；</w:t>
            </w:r>
          </w:p>
          <w:p w14:paraId="42AF277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四、坩埚&amp;浇铸模具</w:t>
            </w:r>
          </w:p>
          <w:p w14:paraId="014AD7F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标配两个石墨坩埚</w:t>
            </w:r>
          </w:p>
          <w:p w14:paraId="7E729A5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1.坩埚1：≥Φ47外×Φ35内×88Hmm，容积≥70ml，最大熔≥400g（Fe）；</w:t>
            </w:r>
          </w:p>
          <w:p w14:paraId="0F3867D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2.坩埚2：≥Φ75外×Φ60内×105Hmm，容积≥250ml，最大熔≥1000g（Fe）；</w:t>
            </w:r>
          </w:p>
          <w:p w14:paraId="6A163A5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五、真空腔体</w:t>
            </w:r>
          </w:p>
          <w:p w14:paraId="28A0FBE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1.材质：SS304不锈钢；</w:t>
            </w:r>
          </w:p>
          <w:p w14:paraId="2971968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2.腔体尺寸：内径≥Φ350mm×350mm；</w:t>
            </w:r>
          </w:p>
          <w:p w14:paraId="22089D5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3.观察窗：石英窗口≥Φ120mm；</w:t>
            </w:r>
          </w:p>
          <w:p w14:paraId="3782241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4.接口配置：腔体预留标准真空法兰接口，可外接机械泵、分子泵、二次加料装置；</w:t>
            </w:r>
          </w:p>
          <w:p w14:paraId="5E57D4D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5.结构：带手摇倾倒坩埚机构，可真空/气氛下将熔体浇入铜模/石墨模具；</w:t>
            </w:r>
          </w:p>
          <w:p w14:paraId="648931A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六、高温搅拌机构</w:t>
            </w:r>
          </w:p>
          <w:p w14:paraId="4B54D74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1.搅拌桨材质：氮化硼（BN）或同等耐高温材质；</w:t>
            </w:r>
          </w:p>
          <w:p w14:paraId="1A005B9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2.调速范围：0~200rpm连续可调；</w:t>
            </w:r>
          </w:p>
          <w:p w14:paraId="4846B761">
            <w:pPr>
              <w:keepNext w:val="0"/>
              <w:keepLines w:val="0"/>
              <w:pageBreakBefore w:val="0"/>
              <w:kinsoku/>
              <w:wordWrap/>
              <w:overflowPunct/>
              <w:topLinePunct w:val="0"/>
              <w:autoSpaceDE/>
              <w:bidi w:val="0"/>
              <w:spacing w:line="360" w:lineRule="auto"/>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w:t>
            </w:r>
            <w:r>
              <w:rPr>
                <w:rFonts w:hint="eastAsia" w:asciiTheme="minorEastAsia" w:hAnsiTheme="minorEastAsia" w:eastAsiaTheme="minorEastAsia" w:cstheme="minorEastAsia"/>
                <w:sz w:val="21"/>
                <w:szCs w:val="21"/>
                <w:highlight w:val="none"/>
                <w:vertAlign w:val="baseline"/>
                <w:lang w:val="en-US" w:eastAsia="zh-CN"/>
              </w:rPr>
              <w:t>高温搅拌机构，可在气氛环境下对熔炼样品进行高温搅拌，使熔炼更加均匀；</w:t>
            </w:r>
          </w:p>
          <w:p w14:paraId="419EDBD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七、外形与重量</w:t>
            </w:r>
          </w:p>
          <w:p w14:paraId="63FE117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1.设备外形：主机(长*宽*高)≤850×660×1700mm；配套水冷机(长*宽*高)≤380×53×670mm；</w:t>
            </w:r>
          </w:p>
          <w:p w14:paraId="2E79B42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2.整机净重：≤150KG。</w:t>
            </w:r>
          </w:p>
        </w:tc>
        <w:tc>
          <w:tcPr>
            <w:tcW w:w="349" w:type="pct"/>
            <w:tcBorders>
              <w:top w:val="single" w:color="auto" w:sz="4" w:space="0"/>
              <w:left w:val="nil"/>
              <w:bottom w:val="single" w:color="auto" w:sz="4" w:space="0"/>
              <w:right w:val="single" w:color="auto" w:sz="4" w:space="0"/>
            </w:tcBorders>
            <w:shd w:val="clear" w:color="auto" w:fill="auto"/>
            <w:vAlign w:val="center"/>
          </w:tcPr>
          <w:p w14:paraId="6236A035">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4B72924E">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D6B0CE0">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B533FC3">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color w:val="000000"/>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81E2318">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color w:val="000000"/>
                <w:sz w:val="21"/>
                <w:szCs w:val="21"/>
                <w:highlight w:val="none"/>
              </w:rPr>
              <w:t>小型真空电弧熔炼炉</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7E509A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一、技术参数：</w:t>
            </w:r>
          </w:p>
          <w:p w14:paraId="7BE455F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1.电源：AC380V 50Hz；</w:t>
            </w:r>
          </w:p>
          <w:p w14:paraId="7B6236B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2.整机功率：＜12KW；</w:t>
            </w:r>
          </w:p>
          <w:p w14:paraId="289321D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3.真空腔：φ200mm×300mm；</w:t>
            </w:r>
          </w:p>
          <w:p w14:paraId="45DA95D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4.坩埚：熔炼工位≥7个，单坩埚内径≥φ25mm，深度≥8mm</w:t>
            </w:r>
          </w:p>
          <w:p w14:paraId="6AD0754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5.真空度：系统配置高低真空机组，粗抽极限真空≤1×10⁻³mbar；配置分子泵机组极限真空≤1×10⁻⁵ mbar；</w:t>
            </w:r>
          </w:p>
          <w:p w14:paraId="5C39916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6.非自耗式起弧电极：钨针（W）；</w:t>
            </w:r>
          </w:p>
          <w:p w14:paraId="5F4EB46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7.适用范围：可用于熔炼熔点低于钨金属的金属材料；</w:t>
            </w:r>
          </w:p>
          <w:p w14:paraId="5214623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8.熔炼温度：</w:t>
            </w:r>
            <w:r>
              <w:rPr>
                <w:rFonts w:hint="eastAsia" w:asciiTheme="minorEastAsia" w:hAnsiTheme="minorEastAsia" w:eastAsiaTheme="minorEastAsia" w:cstheme="minorEastAsia"/>
                <w:b w:val="0"/>
                <w:bCs w:val="0"/>
                <w:sz w:val="21"/>
                <w:szCs w:val="21"/>
                <w:highlight w:val="none"/>
              </w:rPr>
              <w:t>≥</w:t>
            </w:r>
            <w:r>
              <w:rPr>
                <w:rFonts w:hint="eastAsia" w:asciiTheme="minorEastAsia" w:hAnsiTheme="minorEastAsia" w:eastAsiaTheme="minorEastAsia" w:cstheme="minorEastAsia"/>
                <w:b w:val="0"/>
                <w:bCs w:val="0"/>
                <w:sz w:val="21"/>
                <w:szCs w:val="21"/>
                <w:highlight w:val="none"/>
                <w:lang w:val="en-US" w:eastAsia="zh-CN"/>
              </w:rPr>
              <w:t>3</w:t>
            </w:r>
            <w:r>
              <w:rPr>
                <w:rFonts w:hint="eastAsia" w:asciiTheme="minorEastAsia" w:hAnsiTheme="minorEastAsia" w:eastAsiaTheme="minorEastAsia" w:cstheme="minorEastAsia"/>
                <w:b w:val="0"/>
                <w:bCs w:val="0"/>
                <w:sz w:val="21"/>
                <w:szCs w:val="21"/>
                <w:highlight w:val="none"/>
                <w:vertAlign w:val="baseline"/>
                <w:lang w:val="en-US" w:eastAsia="zh-CN"/>
              </w:rPr>
              <w:t>500°C，几乎可熔化所有金属；</w:t>
            </w:r>
          </w:p>
          <w:p w14:paraId="08A45BE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val="0"/>
                <w:sz w:val="21"/>
                <w:szCs w:val="21"/>
                <w:highlight w:val="none"/>
                <w:vertAlign w:val="baseline"/>
                <w:lang w:val="en-US" w:eastAsia="zh-CN"/>
              </w:rPr>
              <w:t>9.输出电流：20A～≥315A；</w:t>
            </w:r>
          </w:p>
          <w:p w14:paraId="75903EC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10.尺寸(长*宽*高)：</w:t>
            </w:r>
            <w:r>
              <w:rPr>
                <w:rFonts w:hint="eastAsia" w:asciiTheme="minorEastAsia" w:hAnsiTheme="minorEastAsia" w:eastAsiaTheme="minorEastAsia" w:cstheme="minorEastAsia"/>
                <w:b w:val="0"/>
                <w:bCs w:val="0"/>
                <w:sz w:val="21"/>
                <w:szCs w:val="21"/>
                <w:highlight w:val="none"/>
              </w:rPr>
              <w:t>≥</w:t>
            </w:r>
            <w:r>
              <w:rPr>
                <w:rFonts w:hint="eastAsia" w:asciiTheme="minorEastAsia" w:hAnsiTheme="minorEastAsia" w:eastAsiaTheme="minorEastAsia" w:cstheme="minorEastAsia"/>
                <w:b w:val="0"/>
                <w:bCs w:val="0"/>
                <w:sz w:val="21"/>
                <w:szCs w:val="21"/>
                <w:highlight w:val="none"/>
                <w:vertAlign w:val="baseline"/>
                <w:lang w:val="en-US" w:eastAsia="zh-CN"/>
              </w:rPr>
              <w:t>900mm×600mm×1800mm（含炉架）；重量：</w:t>
            </w:r>
            <w:r>
              <w:rPr>
                <w:rFonts w:hint="eastAsia" w:asciiTheme="minorEastAsia" w:hAnsiTheme="minorEastAsia" w:eastAsiaTheme="minorEastAsia" w:cstheme="minorEastAsia"/>
                <w:b w:val="0"/>
                <w:bCs w:val="0"/>
                <w:sz w:val="21"/>
                <w:szCs w:val="21"/>
                <w:highlight w:val="none"/>
              </w:rPr>
              <w:t>≥</w:t>
            </w:r>
            <w:r>
              <w:rPr>
                <w:rFonts w:hint="eastAsia" w:asciiTheme="minorEastAsia" w:hAnsiTheme="minorEastAsia" w:eastAsiaTheme="minorEastAsia" w:cstheme="minorEastAsia"/>
                <w:b w:val="0"/>
                <w:bCs w:val="0"/>
                <w:sz w:val="21"/>
                <w:szCs w:val="21"/>
                <w:highlight w:val="none"/>
                <w:vertAlign w:val="baseline"/>
                <w:lang w:val="en-US" w:eastAsia="zh-CN"/>
              </w:rPr>
              <w:t>50kg；</w:t>
            </w:r>
          </w:p>
          <w:p w14:paraId="1724995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二、主要特点</w:t>
            </w:r>
          </w:p>
          <w:p w14:paraId="277F2434">
            <w:pPr>
              <w:pStyle w:val="10"/>
              <w:spacing w:line="360" w:lineRule="auto"/>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1.设有≥</w:t>
            </w:r>
            <w:r>
              <w:rPr>
                <w:rFonts w:hint="eastAsia" w:asciiTheme="minorEastAsia" w:hAnsiTheme="minorEastAsia" w:eastAsiaTheme="minorEastAsia" w:cstheme="minorEastAsia"/>
                <w:b w:val="0"/>
                <w:bCs w:val="0"/>
                <w:kern w:val="2"/>
                <w:sz w:val="21"/>
                <w:szCs w:val="21"/>
                <w:highlight w:val="none"/>
                <w:vertAlign w:val="baseline"/>
                <w:lang w:val="en-US" w:eastAsia="zh-CN" w:bidi="ar-SA"/>
              </w:rPr>
              <w:t>φ120mm的炉门，</w:t>
            </w:r>
            <w:r>
              <w:rPr>
                <w:rFonts w:hint="eastAsia" w:asciiTheme="minorEastAsia" w:hAnsiTheme="minorEastAsia" w:eastAsiaTheme="minorEastAsia" w:cstheme="minorEastAsia"/>
                <w:b w:val="0"/>
                <w:bCs w:val="0"/>
                <w:sz w:val="21"/>
                <w:szCs w:val="21"/>
                <w:highlight w:val="none"/>
                <w:vertAlign w:val="baseline"/>
                <w:lang w:val="en-US" w:eastAsia="zh-CN"/>
              </w:rPr>
              <w:t>方便取放样品；</w:t>
            </w:r>
          </w:p>
          <w:p w14:paraId="06DEB76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2.设有前后观察视窗，方便观测起弧熔化状态；</w:t>
            </w:r>
          </w:p>
          <w:p w14:paraId="128DBFD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3.真空室、铜坩埚、起弧电极都采用水冷冷却方式；</w:t>
            </w:r>
          </w:p>
          <w:p w14:paraId="700CAA6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4.电极升降手动可调，调节顺畅、定位稳定；</w:t>
            </w:r>
          </w:p>
          <w:p w14:paraId="2F27D61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5.内置样品翻转机械手，可在不破坏腔体内真空 / 保护气氛条件下翻转试样，实现多次熔炼；</w:t>
            </w:r>
          </w:p>
          <w:p w14:paraId="7E3C846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6.坩埚尺寸小且数量多，可以方便制作多个样品，又可避免样品间的相互污染；</w:t>
            </w:r>
          </w:p>
          <w:p w14:paraId="0CEC9F8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三、配置清单</w:t>
            </w:r>
          </w:p>
          <w:p w14:paraId="0318CE9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1.微型金属熔炼炉；</w:t>
            </w:r>
          </w:p>
          <w:p w14:paraId="5B34B32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2.高真空系统；</w:t>
            </w:r>
          </w:p>
          <w:p w14:paraId="5FAAEB9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3.防腐型数显真空计。</w:t>
            </w:r>
          </w:p>
        </w:tc>
        <w:tc>
          <w:tcPr>
            <w:tcW w:w="349" w:type="pct"/>
            <w:tcBorders>
              <w:top w:val="single" w:color="auto" w:sz="4" w:space="0"/>
              <w:left w:val="nil"/>
              <w:bottom w:val="single" w:color="auto" w:sz="4" w:space="0"/>
              <w:right w:val="single" w:color="auto" w:sz="4" w:space="0"/>
            </w:tcBorders>
            <w:shd w:val="clear" w:color="auto" w:fill="auto"/>
            <w:vAlign w:val="center"/>
          </w:tcPr>
          <w:p w14:paraId="6DF406E0">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75D41106">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971F543">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36F8EB8">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62CFE23">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rPr>
              <w:t>真空管式炉</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544C9B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技术参数：</w:t>
            </w:r>
          </w:p>
          <w:p w14:paraId="4FA5334E">
            <w:pPr>
              <w:keepNext w:val="0"/>
              <w:keepLines w:val="0"/>
              <w:pageBreakBefore w:val="0"/>
              <w:kinsoku/>
              <w:wordWrap/>
              <w:overflowPunct/>
              <w:topLinePunct w:val="0"/>
              <w:autoSpaceDE/>
              <w:autoSpaceDN w:val="0"/>
              <w:bidi w:val="0"/>
              <w:spacing w:before="60" w:after="60" w:line="360" w:lineRule="auto"/>
              <w:ind w:right="573"/>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b w:val="0"/>
                <w:bCs w:val="0"/>
                <w:sz w:val="21"/>
                <w:szCs w:val="21"/>
                <w:highlight w:val="none"/>
              </w:rPr>
              <w:t>1.额定功率：3Kw；</w:t>
            </w:r>
          </w:p>
          <w:p w14:paraId="7CDD9086">
            <w:pPr>
              <w:keepNext w:val="0"/>
              <w:keepLines w:val="0"/>
              <w:pageBreakBefore w:val="0"/>
              <w:kinsoku/>
              <w:wordWrap/>
              <w:overflowPunct/>
              <w:topLinePunct w:val="0"/>
              <w:autoSpaceDE/>
              <w:autoSpaceDN w:val="0"/>
              <w:bidi w:val="0"/>
              <w:spacing w:before="60" w:after="60" w:line="360" w:lineRule="auto"/>
              <w:ind w:right="573"/>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b w:val="0"/>
                <w:bCs w:val="0"/>
                <w:sz w:val="21"/>
                <w:szCs w:val="21"/>
                <w:highlight w:val="none"/>
              </w:rPr>
              <w:t>2.额定电压：220V；</w:t>
            </w:r>
          </w:p>
          <w:p w14:paraId="74A3035A">
            <w:pPr>
              <w:keepNext w:val="0"/>
              <w:keepLines w:val="0"/>
              <w:pageBreakBefore w:val="0"/>
              <w:kinsoku/>
              <w:wordWrap/>
              <w:overflowPunct/>
              <w:topLinePunct w:val="0"/>
              <w:autoSpaceDE/>
              <w:autoSpaceDN w:val="0"/>
              <w:bidi w:val="0"/>
              <w:spacing w:before="60" w:after="60" w:line="360" w:lineRule="auto"/>
              <w:ind w:right="573"/>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b w:val="0"/>
                <w:bCs w:val="0"/>
                <w:sz w:val="21"/>
                <w:szCs w:val="21"/>
                <w:highlight w:val="none"/>
              </w:rPr>
              <w:t>3.加热区/恒温区长度：≥420/210mm；</w:t>
            </w:r>
          </w:p>
          <w:p w14:paraId="6767C78B">
            <w:pPr>
              <w:keepNext w:val="0"/>
              <w:keepLines w:val="0"/>
              <w:pageBreakBefore w:val="0"/>
              <w:kinsoku/>
              <w:wordWrap/>
              <w:overflowPunct/>
              <w:topLinePunct w:val="0"/>
              <w:autoSpaceDE/>
              <w:autoSpaceDN w:val="0"/>
              <w:bidi w:val="0"/>
              <w:spacing w:before="60" w:after="60" w:line="360" w:lineRule="auto"/>
              <w:ind w:right="573"/>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b w:val="0"/>
                <w:bCs w:val="0"/>
                <w:sz w:val="21"/>
                <w:szCs w:val="21"/>
                <w:highlight w:val="none"/>
              </w:rPr>
              <w:t>4.密封法兰：法兰采用卡箍快拆密封结构，具备良好真空密封性；</w:t>
            </w:r>
          </w:p>
          <w:p w14:paraId="107D07EA">
            <w:pPr>
              <w:keepNext w:val="0"/>
              <w:keepLines w:val="0"/>
              <w:pageBreakBefore w:val="0"/>
              <w:kinsoku/>
              <w:wordWrap/>
              <w:overflowPunct/>
              <w:topLinePunct w:val="0"/>
              <w:autoSpaceDE/>
              <w:autoSpaceDN w:val="0"/>
              <w:bidi w:val="0"/>
              <w:spacing w:before="60" w:after="60" w:line="360" w:lineRule="auto"/>
              <w:ind w:right="573"/>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b w:val="0"/>
                <w:bCs w:val="0"/>
                <w:sz w:val="21"/>
                <w:szCs w:val="21"/>
                <w:highlight w:val="none"/>
              </w:rPr>
              <w:t>5.炉膛材质：多晶莫来纤维；</w:t>
            </w:r>
          </w:p>
          <w:p w14:paraId="3BC0EFB4">
            <w:pPr>
              <w:keepNext w:val="0"/>
              <w:keepLines w:val="0"/>
              <w:pageBreakBefore w:val="0"/>
              <w:kinsoku/>
              <w:wordWrap/>
              <w:overflowPunct/>
              <w:topLinePunct w:val="0"/>
              <w:autoSpaceDE/>
              <w:autoSpaceDN w:val="0"/>
              <w:bidi w:val="0"/>
              <w:spacing w:before="60" w:after="60" w:line="360" w:lineRule="auto"/>
              <w:ind w:right="573"/>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b w:val="0"/>
                <w:bCs w:val="0"/>
                <w:sz w:val="21"/>
                <w:szCs w:val="21"/>
                <w:highlight w:val="none"/>
              </w:rPr>
              <w:t>6.排风冷却装置：双层炉体风冷散热，配置自动冷却风机，有效降低外壳表面温度，防止烫伤；</w:t>
            </w:r>
          </w:p>
          <w:p w14:paraId="43822D5F">
            <w:pPr>
              <w:keepNext w:val="0"/>
              <w:keepLines w:val="0"/>
              <w:pageBreakBefore w:val="0"/>
              <w:kinsoku/>
              <w:wordWrap/>
              <w:overflowPunct/>
              <w:topLinePunct w:val="0"/>
              <w:autoSpaceDE/>
              <w:autoSpaceDN w:val="0"/>
              <w:bidi w:val="0"/>
              <w:spacing w:before="60" w:after="60" w:line="360" w:lineRule="auto"/>
              <w:ind w:right="573"/>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b w:val="0"/>
                <w:bCs w:val="0"/>
                <w:sz w:val="21"/>
                <w:szCs w:val="21"/>
                <w:highlight w:val="none"/>
              </w:rPr>
              <w:t>7.最高温度：1200℃；</w:t>
            </w:r>
          </w:p>
          <w:p w14:paraId="44BC71DC">
            <w:pPr>
              <w:keepNext w:val="0"/>
              <w:keepLines w:val="0"/>
              <w:pageBreakBefore w:val="0"/>
              <w:kinsoku/>
              <w:wordWrap/>
              <w:overflowPunct/>
              <w:topLinePunct w:val="0"/>
              <w:autoSpaceDE/>
              <w:autoSpaceDN w:val="0"/>
              <w:bidi w:val="0"/>
              <w:spacing w:before="60" w:after="60" w:line="360" w:lineRule="auto"/>
              <w:ind w:right="573"/>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b w:val="0"/>
                <w:bCs w:val="0"/>
                <w:sz w:val="21"/>
                <w:szCs w:val="21"/>
                <w:highlight w:val="none"/>
              </w:rPr>
              <w:t>8.程序控制：智能程序温控仪表，具备 PID 调节、自整定功能，可设置≥ 50 段升降温工艺曲线</w:t>
            </w:r>
          </w:p>
          <w:p w14:paraId="5615E7E0">
            <w:pPr>
              <w:keepNext w:val="0"/>
              <w:keepLines w:val="0"/>
              <w:pageBreakBefore w:val="0"/>
              <w:kinsoku/>
              <w:wordWrap/>
              <w:overflowPunct/>
              <w:topLinePunct w:val="0"/>
              <w:autoSpaceDE/>
              <w:autoSpaceDN w:val="0"/>
              <w:bidi w:val="0"/>
              <w:spacing w:before="60" w:after="60" w:line="360" w:lineRule="auto"/>
              <w:ind w:right="573"/>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b w:val="0"/>
                <w:bCs w:val="0"/>
                <w:sz w:val="21"/>
                <w:szCs w:val="21"/>
                <w:highlight w:val="none"/>
              </w:rPr>
              <w:t>9.控温精度：±1℃；</w:t>
            </w:r>
          </w:p>
          <w:p w14:paraId="56B7F9D2">
            <w:pPr>
              <w:keepNext w:val="0"/>
              <w:keepLines w:val="0"/>
              <w:pageBreakBefore w:val="0"/>
              <w:kinsoku/>
              <w:wordWrap/>
              <w:overflowPunct/>
              <w:topLinePunct w:val="0"/>
              <w:autoSpaceDE/>
              <w:autoSpaceDN w:val="0"/>
              <w:bidi w:val="0"/>
              <w:spacing w:before="60" w:after="60" w:line="360" w:lineRule="auto"/>
              <w:ind w:right="573"/>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b w:val="0"/>
                <w:bCs w:val="0"/>
                <w:sz w:val="21"/>
                <w:szCs w:val="21"/>
                <w:highlight w:val="none"/>
              </w:rPr>
              <w:t>10.石英管尺寸：外径≥80mm，有效长度≥1000mm，配套适配密封法兰；</w:t>
            </w:r>
          </w:p>
          <w:p w14:paraId="73C3F3BF">
            <w:pPr>
              <w:keepNext w:val="0"/>
              <w:keepLines w:val="0"/>
              <w:pageBreakBefore w:val="0"/>
              <w:kinsoku/>
              <w:wordWrap/>
              <w:overflowPunct/>
              <w:topLinePunct w:val="0"/>
              <w:autoSpaceDE/>
              <w:autoSpaceDN w:val="0"/>
              <w:bidi w:val="0"/>
              <w:spacing w:before="60" w:after="60" w:line="360" w:lineRule="auto"/>
              <w:ind w:right="573"/>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b w:val="0"/>
                <w:bCs w:val="0"/>
                <w:sz w:val="21"/>
                <w:szCs w:val="21"/>
                <w:highlight w:val="none"/>
              </w:rPr>
              <w:t>11.加热元件：高电阻电热合金丝OCr27A17Mo2</w:t>
            </w:r>
            <w:r>
              <w:rPr>
                <w:rFonts w:hint="eastAsia" w:asciiTheme="minorEastAsia" w:hAnsiTheme="minorEastAsia" w:eastAsiaTheme="minorEastAsia" w:cstheme="minorEastAsia"/>
                <w:b w:val="0"/>
                <w:bCs w:val="0"/>
                <w:sz w:val="21"/>
                <w:szCs w:val="21"/>
                <w:highlight w:val="none"/>
                <w:lang w:val="en-US" w:eastAsia="zh-CN"/>
              </w:rPr>
              <w:t>或同等性能材质</w:t>
            </w:r>
            <w:r>
              <w:rPr>
                <w:rFonts w:hint="eastAsia" w:asciiTheme="minorEastAsia" w:hAnsiTheme="minorEastAsia" w:eastAsiaTheme="minorEastAsia" w:cstheme="minorEastAsia"/>
                <w:b w:val="0"/>
                <w:bCs w:val="0"/>
                <w:sz w:val="21"/>
                <w:szCs w:val="21"/>
                <w:highlight w:val="none"/>
              </w:rPr>
              <w:t>；</w:t>
            </w:r>
          </w:p>
          <w:p w14:paraId="0C5127C4">
            <w:pPr>
              <w:keepNext w:val="0"/>
              <w:keepLines w:val="0"/>
              <w:pageBreakBefore w:val="0"/>
              <w:kinsoku/>
              <w:wordWrap/>
              <w:overflowPunct/>
              <w:topLinePunct w:val="0"/>
              <w:autoSpaceDE/>
              <w:autoSpaceDN w:val="0"/>
              <w:bidi w:val="0"/>
              <w:spacing w:before="60" w:after="60" w:line="360" w:lineRule="auto"/>
              <w:ind w:right="573"/>
              <w:rPr>
                <w:rFonts w:hint="eastAsia" w:asciiTheme="minorEastAsia" w:hAnsiTheme="minorEastAsia" w:eastAsiaTheme="minorEastAsia" w:cstheme="minorEastAsia"/>
                <w:b w:val="0"/>
                <w:bCs w:val="0"/>
                <w:sz w:val="21"/>
                <w:szCs w:val="21"/>
                <w:highlight w:val="none"/>
                <w:lang w:eastAsia="zh-CN"/>
              </w:rPr>
            </w:pPr>
            <w:r>
              <w:rPr>
                <w:rFonts w:hint="eastAsia" w:asciiTheme="minorEastAsia" w:hAnsiTheme="minorEastAsia" w:eastAsiaTheme="minorEastAsia" w:cstheme="minorEastAsia"/>
                <w:b w:val="0"/>
                <w:bCs w:val="0"/>
                <w:sz w:val="21"/>
                <w:szCs w:val="21"/>
                <w:highlight w:val="none"/>
              </w:rPr>
              <w:t>12.升温速度：0-1000℃≤10℃/min，1000-1200℃≤5℃/min</w:t>
            </w:r>
            <w:r>
              <w:rPr>
                <w:rFonts w:hint="eastAsia" w:asciiTheme="minorEastAsia" w:hAnsiTheme="minorEastAsia" w:eastAsiaTheme="minorEastAsia" w:cstheme="minorEastAsia"/>
                <w:b w:val="0"/>
                <w:bCs w:val="0"/>
                <w:sz w:val="21"/>
                <w:szCs w:val="21"/>
                <w:highlight w:val="none"/>
                <w:lang w:eastAsia="zh-CN"/>
              </w:rPr>
              <w:t>；</w:t>
            </w:r>
          </w:p>
          <w:p w14:paraId="6F7D91B7">
            <w:pPr>
              <w:keepNext w:val="0"/>
              <w:keepLines w:val="0"/>
              <w:pageBreakBefore w:val="0"/>
              <w:kinsoku/>
              <w:wordWrap/>
              <w:overflowPunct/>
              <w:topLinePunct w:val="0"/>
              <w:autoSpaceDE/>
              <w:autoSpaceDN w:val="0"/>
              <w:bidi w:val="0"/>
              <w:spacing w:before="60" w:after="60" w:line="360" w:lineRule="auto"/>
              <w:ind w:right="573"/>
              <w:rPr>
                <w:rFonts w:hint="eastAsia" w:asciiTheme="minorEastAsia" w:hAnsiTheme="minorEastAsia" w:eastAsiaTheme="minorEastAsia" w:cstheme="minorEastAsia"/>
                <w:b w:val="0"/>
                <w:bCs w:val="0"/>
                <w:sz w:val="21"/>
                <w:szCs w:val="21"/>
                <w:highlight w:val="none"/>
                <w:lang w:eastAsia="zh-CN"/>
              </w:rPr>
            </w:pPr>
            <w:r>
              <w:rPr>
                <w:rFonts w:hint="eastAsia" w:asciiTheme="minorEastAsia" w:hAnsiTheme="minorEastAsia" w:eastAsiaTheme="minorEastAsia" w:cstheme="minorEastAsia"/>
                <w:b w:val="0"/>
                <w:bCs w:val="0"/>
                <w:sz w:val="21"/>
                <w:szCs w:val="21"/>
                <w:highlight w:val="none"/>
              </w:rPr>
              <w:t>13.控制面板：具备加热电流实时显示功能，方便后期故障排查</w:t>
            </w:r>
            <w:r>
              <w:rPr>
                <w:rFonts w:hint="eastAsia" w:asciiTheme="minorEastAsia" w:hAnsiTheme="minorEastAsia" w:eastAsiaTheme="minorEastAsia" w:cstheme="minorEastAsia"/>
                <w:b w:val="0"/>
                <w:bCs w:val="0"/>
                <w:sz w:val="21"/>
                <w:szCs w:val="21"/>
                <w:highlight w:val="none"/>
                <w:lang w:eastAsia="zh-CN"/>
              </w:rPr>
              <w:t>；</w:t>
            </w:r>
          </w:p>
          <w:p w14:paraId="4A9080C3">
            <w:pPr>
              <w:keepNext w:val="0"/>
              <w:keepLines w:val="0"/>
              <w:pageBreakBefore w:val="0"/>
              <w:kinsoku/>
              <w:wordWrap/>
              <w:overflowPunct/>
              <w:topLinePunct w:val="0"/>
              <w:autoSpaceDE/>
              <w:autoSpaceDN w:val="0"/>
              <w:bidi w:val="0"/>
              <w:spacing w:before="60" w:after="60" w:line="360" w:lineRule="auto"/>
              <w:ind w:right="573" w:rightChars="0"/>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rPr>
              <w:t>14.标准配置：气路总成一套（含真空压力表）、石英管一支、石英堵两个、石英舟一个、钩子一把、高温手套一副</w:t>
            </w:r>
            <w:r>
              <w:rPr>
                <w:rFonts w:hint="eastAsia" w:asciiTheme="minorEastAsia" w:hAnsiTheme="minorEastAsia" w:eastAsiaTheme="minorEastAsia" w:cstheme="minorEastAsia"/>
                <w:b w:val="0"/>
                <w:bCs w:val="0"/>
                <w:color w:val="000000"/>
                <w:sz w:val="21"/>
                <w:szCs w:val="21"/>
                <w:highlight w:val="none"/>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63613EB7">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13DE6BB1">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E0144DE">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91082BA">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29269EB">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rPr>
              <w:t>数显恒温磁力搅拌器（加热型）</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8DA232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技术参数：</w:t>
            </w:r>
          </w:p>
          <w:p w14:paraId="702DB91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1.整机功率：580W；</w:t>
            </w:r>
          </w:p>
          <w:p w14:paraId="48A1436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2.控制方式：单工位单控；</w:t>
            </w:r>
          </w:p>
          <w:p w14:paraId="3558B25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3.显示方式：液晶数字显示；</w:t>
            </w:r>
          </w:p>
          <w:p w14:paraId="48AA640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4.加热盘温控：RT+5~99℃；</w:t>
            </w:r>
          </w:p>
          <w:p w14:paraId="757DC3C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5.搅拌量上限：最大搅拌容量 1L；</w:t>
            </w:r>
          </w:p>
          <w:p w14:paraId="2D1120C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val="0"/>
                <w:sz w:val="21"/>
                <w:szCs w:val="21"/>
                <w:highlight w:val="none"/>
                <w:vertAlign w:val="baseline"/>
                <w:lang w:val="en-US" w:eastAsia="zh-CN"/>
              </w:rPr>
              <w:t>6.转速范围：≥0</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b w:val="0"/>
                <w:bCs w:val="0"/>
                <w:sz w:val="21"/>
                <w:szCs w:val="21"/>
                <w:highlight w:val="none"/>
                <w:vertAlign w:val="baseline"/>
                <w:lang w:val="en-US" w:eastAsia="zh-CN"/>
              </w:rPr>
              <w:t>1600rpm；</w:t>
            </w:r>
          </w:p>
          <w:p w14:paraId="30D4B3E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7.定时范围：无定时（/）；</w:t>
            </w:r>
          </w:p>
          <w:p w14:paraId="6CE85FE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8.产品尺寸(长*宽*高)：≤660×300×125mm；</w:t>
            </w:r>
          </w:p>
        </w:tc>
        <w:tc>
          <w:tcPr>
            <w:tcW w:w="349" w:type="pct"/>
            <w:tcBorders>
              <w:top w:val="single" w:color="auto" w:sz="4" w:space="0"/>
              <w:left w:val="nil"/>
              <w:bottom w:val="single" w:color="auto" w:sz="4" w:space="0"/>
              <w:right w:val="single" w:color="auto" w:sz="4" w:space="0"/>
            </w:tcBorders>
            <w:shd w:val="clear" w:color="auto" w:fill="auto"/>
            <w:vAlign w:val="center"/>
          </w:tcPr>
          <w:p w14:paraId="488EEAB4">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5AFB9757">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4614EBD">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32C78DE">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5E0E057">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lang w:val="en-US" w:eastAsia="zh-CN"/>
              </w:rPr>
              <w:t>单孔</w:t>
            </w:r>
            <w:r>
              <w:rPr>
                <w:rFonts w:hint="eastAsia" w:asciiTheme="minorEastAsia" w:hAnsiTheme="minorEastAsia" w:eastAsiaTheme="minorEastAsia" w:cstheme="minorEastAsia"/>
                <w:b w:val="0"/>
                <w:bCs w:val="0"/>
                <w:sz w:val="21"/>
                <w:szCs w:val="21"/>
                <w:highlight w:val="none"/>
              </w:rPr>
              <w:t>恒温水浴锅</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D23507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技术参数：</w:t>
            </w:r>
          </w:p>
          <w:p w14:paraId="23185C1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1.输入电源：AC220V/50Hz；</w:t>
            </w:r>
          </w:p>
          <w:p w14:paraId="062708A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2.输出功率：400W；</w:t>
            </w:r>
          </w:p>
          <w:p w14:paraId="46F65A0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3.显示方式：液晶数字显示；</w:t>
            </w:r>
          </w:p>
          <w:p w14:paraId="69D820F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4.孔数：1孔；</w:t>
            </w:r>
          </w:p>
          <w:p w14:paraId="7CC4592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5.环形锅盖内径：环形锅盖可适配最大内径约 93mm 容器，配备多规格可拆卸圆环</w:t>
            </w:r>
          </w:p>
          <w:p w14:paraId="3DA1FDD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6.控温范围：RT+5～100℃；</w:t>
            </w:r>
          </w:p>
          <w:p w14:paraId="39C369B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7.控温精度：±1℃；</w:t>
            </w:r>
          </w:p>
          <w:p w14:paraId="46FE647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8.温度均匀性：≤1℃；</w:t>
            </w:r>
          </w:p>
          <w:p w14:paraId="289A43A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9.温度显示精度：0.1℃；</w:t>
            </w:r>
          </w:p>
          <w:p w14:paraId="4C5CC50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10.定时范围：≥0～99h59min；</w:t>
            </w:r>
          </w:p>
          <w:p w14:paraId="0F63857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11.是否带搅拌：否；</w:t>
            </w:r>
          </w:p>
          <w:p w14:paraId="78DE7E9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12.工作室尺寸：≥150×150×100mm；</w:t>
            </w:r>
          </w:p>
          <w:p w14:paraId="618483A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13.内胆尺寸：≥150×150×138mm；</w:t>
            </w:r>
          </w:p>
          <w:p w14:paraId="2B1C0F5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14.排水管：无；</w:t>
            </w:r>
          </w:p>
          <w:p w14:paraId="74DDD9F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15.净重：≥2.5Kg；</w:t>
            </w:r>
          </w:p>
          <w:p w14:paraId="2227ED3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16.产品尺寸(长*宽*高)：≤200×200×215mm。</w:t>
            </w:r>
          </w:p>
        </w:tc>
        <w:tc>
          <w:tcPr>
            <w:tcW w:w="349" w:type="pct"/>
            <w:tcBorders>
              <w:top w:val="single" w:color="auto" w:sz="4" w:space="0"/>
              <w:left w:val="nil"/>
              <w:bottom w:val="single" w:color="auto" w:sz="4" w:space="0"/>
              <w:right w:val="single" w:color="auto" w:sz="4" w:space="0"/>
            </w:tcBorders>
            <w:shd w:val="clear" w:color="auto" w:fill="auto"/>
            <w:vAlign w:val="center"/>
          </w:tcPr>
          <w:p w14:paraId="17F41389">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78CAEE80">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689FDDB">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0B0CE2B">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E0B8462">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lang w:val="en-US" w:eastAsia="zh-CN"/>
              </w:rPr>
              <w:t>四孔恒温水浴锅</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978009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技术参数：</w:t>
            </w:r>
          </w:p>
          <w:p w14:paraId="19F0520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1.输入电源：AC220V/50Hz；</w:t>
            </w:r>
          </w:p>
          <w:p w14:paraId="3623812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2.输出功率：1000W；</w:t>
            </w:r>
          </w:p>
          <w:p w14:paraId="106E157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3.显示方式：液晶数字显示；</w:t>
            </w:r>
          </w:p>
          <w:p w14:paraId="545431F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4.孔数：4孔；</w:t>
            </w:r>
          </w:p>
          <w:p w14:paraId="0CAD940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5.环形锅盖内径：环形锅盖可适配最大内径约 93mm 容器，配备多规格可拆卸圆环；</w:t>
            </w:r>
          </w:p>
          <w:p w14:paraId="45FBF4C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6.控温范围：RT+5～100℃；</w:t>
            </w:r>
          </w:p>
          <w:p w14:paraId="3FA1901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7.控温精度：±1℃；</w:t>
            </w:r>
          </w:p>
          <w:p w14:paraId="4134B8D5">
            <w:pPr>
              <w:keepNext w:val="0"/>
              <w:keepLines w:val="0"/>
              <w:pageBreakBefore w:val="0"/>
              <w:kinsoku/>
              <w:wordWrap/>
              <w:overflowPunct/>
              <w:topLinePunct w:val="0"/>
              <w:autoSpaceDE/>
              <w:bidi w:val="0"/>
              <w:spacing w:line="360" w:lineRule="auto"/>
              <w:jc w:val="both"/>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8.温度均匀性：≤1℃；</w:t>
            </w:r>
          </w:p>
          <w:p w14:paraId="324D34DF">
            <w:pPr>
              <w:keepNext w:val="0"/>
              <w:keepLines w:val="0"/>
              <w:pageBreakBefore w:val="0"/>
              <w:kinsoku/>
              <w:wordWrap/>
              <w:overflowPunct/>
              <w:topLinePunct w:val="0"/>
              <w:autoSpaceDE/>
              <w:bidi w:val="0"/>
              <w:spacing w:line="360" w:lineRule="auto"/>
              <w:jc w:val="both"/>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9 温度显示精度：0.1℃；</w:t>
            </w:r>
          </w:p>
          <w:p w14:paraId="188644FE">
            <w:pPr>
              <w:pStyle w:val="10"/>
              <w:spacing w:line="360" w:lineRule="auto"/>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val="0"/>
                <w:sz w:val="21"/>
                <w:szCs w:val="21"/>
                <w:highlight w:val="none"/>
                <w:vertAlign w:val="baseline"/>
                <w:lang w:val="en-US" w:eastAsia="zh-CN"/>
              </w:rPr>
              <w:t>10.定时范围：≥</w:t>
            </w:r>
            <w:r>
              <w:rPr>
                <w:rFonts w:hint="eastAsia" w:asciiTheme="minorEastAsia" w:hAnsiTheme="minorEastAsia" w:eastAsiaTheme="minorEastAsia" w:cstheme="minorEastAsia"/>
                <w:b w:val="0"/>
                <w:bCs w:val="0"/>
                <w:kern w:val="2"/>
                <w:sz w:val="21"/>
                <w:szCs w:val="21"/>
                <w:highlight w:val="none"/>
                <w:vertAlign w:val="baseline"/>
                <w:lang w:val="en-US" w:eastAsia="zh-CN" w:bidi="ar-SA"/>
              </w:rPr>
              <w:t>0～99h59min；</w:t>
            </w:r>
          </w:p>
          <w:p w14:paraId="697ECE3E">
            <w:pPr>
              <w:keepNext w:val="0"/>
              <w:keepLines w:val="0"/>
              <w:pageBreakBefore w:val="0"/>
              <w:kinsoku/>
              <w:wordWrap/>
              <w:overflowPunct/>
              <w:topLinePunct w:val="0"/>
              <w:autoSpaceDE/>
              <w:bidi w:val="0"/>
              <w:spacing w:line="360" w:lineRule="auto"/>
              <w:jc w:val="both"/>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11.是否带搅拌：否；</w:t>
            </w:r>
          </w:p>
          <w:p w14:paraId="0EAA181B">
            <w:pPr>
              <w:keepNext w:val="0"/>
              <w:keepLines w:val="0"/>
              <w:pageBreakBefore w:val="0"/>
              <w:kinsoku/>
              <w:wordWrap/>
              <w:overflowPunct/>
              <w:topLinePunct w:val="0"/>
              <w:autoSpaceDE/>
              <w:bidi w:val="0"/>
              <w:spacing w:line="360" w:lineRule="auto"/>
              <w:jc w:val="both"/>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12.工作室尺寸：≥300×300×100mm</w:t>
            </w:r>
          </w:p>
          <w:p w14:paraId="51218183">
            <w:pPr>
              <w:keepNext w:val="0"/>
              <w:keepLines w:val="0"/>
              <w:pageBreakBefore w:val="0"/>
              <w:kinsoku/>
              <w:wordWrap/>
              <w:overflowPunct/>
              <w:topLinePunct w:val="0"/>
              <w:autoSpaceDE/>
              <w:bidi w:val="0"/>
              <w:spacing w:line="360" w:lineRule="auto"/>
              <w:jc w:val="both"/>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13 内胆尺寸：≥300×300×138mm；</w:t>
            </w:r>
          </w:p>
          <w:p w14:paraId="4F19D0B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14.排水管：有；</w:t>
            </w:r>
          </w:p>
          <w:p w14:paraId="35350E5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15.净重：≤5.6Kg；</w:t>
            </w:r>
          </w:p>
          <w:p w14:paraId="5B19089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16.产品尺寸(长*宽*高)：≤345×345×215mm。</w:t>
            </w:r>
          </w:p>
        </w:tc>
        <w:tc>
          <w:tcPr>
            <w:tcW w:w="349" w:type="pct"/>
            <w:tcBorders>
              <w:top w:val="single" w:color="auto" w:sz="4" w:space="0"/>
              <w:left w:val="nil"/>
              <w:bottom w:val="single" w:color="auto" w:sz="4" w:space="0"/>
              <w:right w:val="single" w:color="auto" w:sz="4" w:space="0"/>
            </w:tcBorders>
            <w:shd w:val="clear" w:color="auto" w:fill="auto"/>
            <w:vAlign w:val="center"/>
          </w:tcPr>
          <w:p w14:paraId="00D55780">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6FABEC06">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705BD40">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A01E5CD">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7BDA944">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lang w:val="en-US" w:eastAsia="zh-CN"/>
              </w:rPr>
              <w:t>六孔恒温水浴锅</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88E31C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技术参数：</w:t>
            </w:r>
          </w:p>
          <w:p w14:paraId="1747AD7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1.输入电源：AC220V/50Hz；</w:t>
            </w:r>
          </w:p>
          <w:p w14:paraId="7827A84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2.输出功率：1500W；</w:t>
            </w:r>
          </w:p>
          <w:p w14:paraId="258E3EB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3.显示方式：液晶数字显示；</w:t>
            </w:r>
          </w:p>
          <w:p w14:paraId="642AC59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4.孔数：6孔；</w:t>
            </w:r>
          </w:p>
          <w:p w14:paraId="1A14188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5.环形锅盖内径：环形锅盖可适配最大内径约 93mm 容器，配备多规格可拆卸圆环；</w:t>
            </w:r>
          </w:p>
          <w:p w14:paraId="02D5A8E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6.控温范围：RT+5～100℃；</w:t>
            </w:r>
          </w:p>
          <w:p w14:paraId="691C23A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7.控温精度：±1℃；</w:t>
            </w:r>
          </w:p>
          <w:p w14:paraId="19669B6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8.温度均匀性：≤1℃；</w:t>
            </w:r>
          </w:p>
          <w:p w14:paraId="76C1A14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9.温度显示精度：0.1℃；</w:t>
            </w:r>
          </w:p>
          <w:p w14:paraId="63ED857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10.定时范围：≥0</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b w:val="0"/>
                <w:bCs w:val="0"/>
                <w:sz w:val="21"/>
                <w:szCs w:val="21"/>
                <w:highlight w:val="none"/>
                <w:vertAlign w:val="baseline"/>
                <w:lang w:val="en-US" w:eastAsia="zh-CN"/>
              </w:rPr>
              <w:t>99h59min；</w:t>
            </w:r>
          </w:p>
          <w:p w14:paraId="1C06A72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11.是否带搅拌：否；</w:t>
            </w:r>
          </w:p>
          <w:p w14:paraId="1C1E61F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12.工作室尺寸：≥465×300×100mm；</w:t>
            </w:r>
          </w:p>
          <w:p w14:paraId="4BF62DB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13.内胆尺寸：≥465×300×138mm；</w:t>
            </w:r>
          </w:p>
          <w:p w14:paraId="4DCF985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14.排水管：有；</w:t>
            </w:r>
          </w:p>
          <w:p w14:paraId="18D258D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15.净重：≤7.5Kg；</w:t>
            </w:r>
          </w:p>
          <w:p w14:paraId="59223E5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16.产品尺寸(长*宽*高)：≤510×345×215mm；</w:t>
            </w:r>
          </w:p>
        </w:tc>
        <w:tc>
          <w:tcPr>
            <w:tcW w:w="349" w:type="pct"/>
            <w:tcBorders>
              <w:top w:val="single" w:color="auto" w:sz="4" w:space="0"/>
              <w:left w:val="nil"/>
              <w:bottom w:val="single" w:color="auto" w:sz="4" w:space="0"/>
              <w:right w:val="single" w:color="auto" w:sz="4" w:space="0"/>
            </w:tcBorders>
            <w:shd w:val="clear" w:color="auto" w:fill="auto"/>
            <w:vAlign w:val="center"/>
          </w:tcPr>
          <w:p w14:paraId="4F5A8485">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025DE226">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41F0098">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6CE099D">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31BE3CD">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rPr>
              <w:t>数显恒温油浴锅</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51D569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技术参数：</w:t>
            </w:r>
          </w:p>
          <w:p w14:paraId="2CA1FD0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1.电源电压：AC220V/50Hz；</w:t>
            </w:r>
          </w:p>
          <w:p w14:paraId="3051220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2.显示方式：LED数码管；</w:t>
            </w:r>
          </w:p>
          <w:p w14:paraId="15D78FB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3.内胆材质：304不锈钢（特氟龙涂层）；</w:t>
            </w:r>
          </w:p>
          <w:p w14:paraId="011E0C2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4.加热功率：≥800W；</w:t>
            </w:r>
          </w:p>
          <w:p w14:paraId="6950E8F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5.搅拌功率：</w:t>
            </w:r>
            <w:r>
              <w:rPr>
                <w:rFonts w:hint="eastAsia" w:asciiTheme="minorEastAsia" w:hAnsiTheme="minorEastAsia" w:eastAsiaTheme="minorEastAsia" w:cstheme="minorEastAsia"/>
                <w:kern w:val="2"/>
                <w:sz w:val="21"/>
                <w:szCs w:val="21"/>
                <w:highlight w:val="none"/>
                <w:lang w:val="en-US" w:eastAsia="zh-CN" w:bidi="ar-SA"/>
              </w:rPr>
              <w:t>≥</w:t>
            </w:r>
            <w:r>
              <w:rPr>
                <w:rFonts w:hint="eastAsia" w:asciiTheme="minorEastAsia" w:hAnsiTheme="minorEastAsia" w:eastAsiaTheme="minorEastAsia" w:cstheme="minorEastAsia"/>
                <w:b w:val="0"/>
                <w:bCs w:val="0"/>
                <w:sz w:val="21"/>
                <w:szCs w:val="21"/>
                <w:highlight w:val="none"/>
                <w:vertAlign w:val="baseline"/>
                <w:lang w:val="en-US" w:eastAsia="zh-CN"/>
              </w:rPr>
              <w:t>12W；</w:t>
            </w:r>
          </w:p>
          <w:p w14:paraId="06E181A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6.最大搅拌量：≥2L；</w:t>
            </w:r>
          </w:p>
          <w:p w14:paraId="7C54218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7.锅内筒高：80mm；</w:t>
            </w:r>
          </w:p>
          <w:p w14:paraId="0A029C6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8.转速范围：0～2400rpm；</w:t>
            </w:r>
          </w:p>
          <w:p w14:paraId="2A7FC02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9.电机类型：直流电机（永磁结构优先）；</w:t>
            </w:r>
          </w:p>
          <w:p w14:paraId="4559C7E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10.温控范围：RT+10～300℃；</w:t>
            </w:r>
          </w:p>
          <w:p w14:paraId="2281154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11.控温精度：±1℃（0～300℃）；</w:t>
            </w:r>
          </w:p>
          <w:p w14:paraId="3634BC7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12.净重：≤5.9Kg；</w:t>
            </w:r>
          </w:p>
          <w:p w14:paraId="78A755D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13.产品尺寸(长*宽*高)：≤290×290×235mm。</w:t>
            </w:r>
          </w:p>
        </w:tc>
        <w:tc>
          <w:tcPr>
            <w:tcW w:w="349" w:type="pct"/>
            <w:tcBorders>
              <w:top w:val="single" w:color="auto" w:sz="4" w:space="0"/>
              <w:left w:val="nil"/>
              <w:bottom w:val="single" w:color="auto" w:sz="4" w:space="0"/>
              <w:right w:val="single" w:color="auto" w:sz="4" w:space="0"/>
            </w:tcBorders>
            <w:shd w:val="clear" w:color="auto" w:fill="auto"/>
            <w:vAlign w:val="center"/>
          </w:tcPr>
          <w:p w14:paraId="71D945E5">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658BA738">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F41A8F2">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62AA3D7">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95E64C3">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szCs w:val="21"/>
                <w:highlight w:val="none"/>
              </w:rPr>
              <w:t>小型电解实验装置（含直流电源）</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02EA6D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一.实验目的</w:t>
            </w:r>
          </w:p>
          <w:p w14:paraId="5382DB8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rPr>
            </w:pPr>
            <w:r>
              <w:rPr>
                <w:rFonts w:hint="eastAsia" w:asciiTheme="minorEastAsia" w:hAnsiTheme="minorEastAsia" w:eastAsiaTheme="minorEastAsia" w:cstheme="minorEastAsia"/>
                <w:color w:val="000000"/>
                <w:sz w:val="21"/>
                <w:szCs w:val="21"/>
                <w:highlight w:val="none"/>
              </w:rPr>
              <w:t>1.难降解有机废水的电解实验</w:t>
            </w:r>
            <w:r>
              <w:rPr>
                <w:rFonts w:hint="eastAsia" w:asciiTheme="minorEastAsia" w:hAnsiTheme="minorEastAsia" w:eastAsiaTheme="minorEastAsia" w:cstheme="minorEastAsia"/>
                <w:color w:val="000000"/>
                <w:sz w:val="21"/>
                <w:szCs w:val="21"/>
                <w:highlight w:val="none"/>
                <w:lang w:eastAsia="zh-CN"/>
              </w:rPr>
              <w:t>；</w:t>
            </w:r>
          </w:p>
          <w:p w14:paraId="6ED968E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rPr>
            </w:pPr>
            <w:r>
              <w:rPr>
                <w:rFonts w:hint="eastAsia" w:asciiTheme="minorEastAsia" w:hAnsiTheme="minorEastAsia" w:eastAsiaTheme="minorEastAsia" w:cstheme="minorEastAsia"/>
                <w:color w:val="000000"/>
                <w:sz w:val="21"/>
                <w:szCs w:val="21"/>
                <w:highlight w:val="none"/>
              </w:rPr>
              <w:t>2.含重金属离子废水的电解实验</w:t>
            </w:r>
            <w:r>
              <w:rPr>
                <w:rFonts w:hint="eastAsia" w:asciiTheme="minorEastAsia" w:hAnsiTheme="minorEastAsia" w:eastAsiaTheme="minorEastAsia" w:cstheme="minorEastAsia"/>
                <w:color w:val="000000"/>
                <w:sz w:val="21"/>
                <w:szCs w:val="21"/>
                <w:highlight w:val="none"/>
                <w:lang w:eastAsia="zh-CN"/>
              </w:rPr>
              <w:t>；</w:t>
            </w:r>
          </w:p>
          <w:p w14:paraId="6D33125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二.技术指标</w:t>
            </w:r>
          </w:p>
          <w:p w14:paraId="12A6F78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rPr>
            </w:pPr>
            <w:r>
              <w:rPr>
                <w:rFonts w:hint="eastAsia" w:asciiTheme="minorEastAsia" w:hAnsiTheme="minorEastAsia" w:eastAsiaTheme="minorEastAsia" w:cstheme="minorEastAsia"/>
                <w:color w:val="000000"/>
                <w:sz w:val="21"/>
                <w:szCs w:val="21"/>
                <w:highlight w:val="none"/>
              </w:rPr>
              <w:t>1.处理水量：</w:t>
            </w:r>
            <w:r>
              <w:rPr>
                <w:rFonts w:ascii="宋体" w:hAnsi="宋体" w:eastAsia="宋体" w:cs="宋体"/>
                <w:sz w:val="24"/>
                <w:szCs w:val="24"/>
                <w:highlight w:val="none"/>
              </w:rPr>
              <w:t>≥</w:t>
            </w:r>
            <w:r>
              <w:rPr>
                <w:rFonts w:hint="eastAsia" w:asciiTheme="minorEastAsia" w:hAnsiTheme="minorEastAsia" w:eastAsiaTheme="minorEastAsia" w:cstheme="minorEastAsia"/>
                <w:color w:val="000000"/>
                <w:sz w:val="21"/>
                <w:szCs w:val="21"/>
                <w:highlight w:val="none"/>
              </w:rPr>
              <w:t>50L/h、水力停留时间：约在5~30min</w:t>
            </w:r>
            <w:r>
              <w:rPr>
                <w:rFonts w:hint="eastAsia" w:asciiTheme="minorEastAsia" w:hAnsiTheme="minorEastAsia" w:eastAsiaTheme="minorEastAsia" w:cstheme="minorEastAsia"/>
                <w:color w:val="000000"/>
                <w:sz w:val="21"/>
                <w:szCs w:val="21"/>
                <w:highlight w:val="none"/>
                <w:lang w:eastAsia="zh-CN"/>
              </w:rPr>
              <w:t>；</w:t>
            </w:r>
          </w:p>
          <w:p w14:paraId="15489FA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rPr>
            </w:pPr>
            <w:r>
              <w:rPr>
                <w:rFonts w:hint="eastAsia" w:asciiTheme="minorEastAsia" w:hAnsiTheme="minorEastAsia" w:eastAsiaTheme="minorEastAsia" w:cstheme="minorEastAsia"/>
                <w:color w:val="000000"/>
                <w:sz w:val="21"/>
                <w:szCs w:val="21"/>
                <w:highlight w:val="none"/>
              </w:rPr>
              <w:t>2.工作电源：电压AC220V±10%、50Hz，单相三线制，功率≤800w；安全保护：具有接地保护、漏电保护、过流保护</w:t>
            </w:r>
            <w:r>
              <w:rPr>
                <w:rFonts w:hint="eastAsia" w:asciiTheme="minorEastAsia" w:hAnsiTheme="minorEastAsia" w:eastAsiaTheme="minorEastAsia" w:cstheme="minorEastAsia"/>
                <w:color w:val="000000"/>
                <w:sz w:val="21"/>
                <w:szCs w:val="21"/>
                <w:highlight w:val="none"/>
                <w:lang w:eastAsia="zh-CN"/>
              </w:rPr>
              <w:t>；</w:t>
            </w:r>
          </w:p>
          <w:p w14:paraId="6655F19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3.304不锈钢台面、不锈钢框架实验台（（不锈钢方管框架，型材截面边长≥30mm、配脚轮均为万向轮带禁锢脚）</w:t>
            </w:r>
            <w:r>
              <w:rPr>
                <w:rFonts w:hint="eastAsia" w:asciiTheme="minorEastAsia" w:hAnsiTheme="minorEastAsia" w:eastAsiaTheme="minorEastAsia" w:cstheme="minorEastAsia"/>
                <w:color w:val="000000"/>
                <w:sz w:val="21"/>
                <w:szCs w:val="21"/>
                <w:highlight w:val="none"/>
                <w:lang w:eastAsia="zh-CN"/>
              </w:rPr>
              <w:t>；</w:t>
            </w:r>
          </w:p>
          <w:p w14:paraId="0E85034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rPr>
            </w:pPr>
            <w:r>
              <w:rPr>
                <w:rFonts w:hint="eastAsia" w:asciiTheme="minorEastAsia" w:hAnsiTheme="minorEastAsia" w:eastAsiaTheme="minorEastAsia" w:cstheme="minorEastAsia"/>
                <w:color w:val="000000"/>
                <w:sz w:val="21"/>
                <w:szCs w:val="21"/>
                <w:highlight w:val="none"/>
              </w:rPr>
              <w:t>4.装置外形尺寸：</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rPr>
              <w:t>1430*450*1200mm</w:t>
            </w:r>
            <w:r>
              <w:rPr>
                <w:rFonts w:hint="eastAsia" w:asciiTheme="minorEastAsia" w:hAnsiTheme="minorEastAsia" w:eastAsiaTheme="minorEastAsia" w:cstheme="minorEastAsia"/>
                <w:color w:val="000000"/>
                <w:sz w:val="21"/>
                <w:szCs w:val="21"/>
                <w:highlight w:val="none"/>
                <w:lang w:eastAsia="zh-CN"/>
              </w:rPr>
              <w:t>；</w:t>
            </w:r>
          </w:p>
          <w:p w14:paraId="7839128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三.主要配置及参数</w:t>
            </w:r>
          </w:p>
          <w:p w14:paraId="6434DAD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1.电解槽1套：≥主体10mm厚板，底板≥15mm厚板，有效容积≥25L</w:t>
            </w:r>
            <w:r>
              <w:rPr>
                <w:rFonts w:hint="eastAsia" w:asciiTheme="minorEastAsia" w:hAnsiTheme="minorEastAsia" w:eastAsiaTheme="minorEastAsia" w:cstheme="minorEastAsia"/>
                <w:color w:val="000000"/>
                <w:sz w:val="21"/>
                <w:szCs w:val="21"/>
                <w:highlight w:val="none"/>
                <w:lang w:eastAsia="zh-CN"/>
              </w:rPr>
              <w:t>；</w:t>
            </w:r>
          </w:p>
          <w:p w14:paraId="43DAE4E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rPr>
            </w:pPr>
            <w:r>
              <w:rPr>
                <w:rFonts w:hint="eastAsia" w:asciiTheme="minorEastAsia" w:hAnsiTheme="minorEastAsia" w:eastAsiaTheme="minorEastAsia" w:cstheme="minorEastAsia"/>
                <w:color w:val="000000"/>
                <w:sz w:val="21"/>
                <w:szCs w:val="21"/>
                <w:highlight w:val="none"/>
              </w:rPr>
              <w:t>2.高精度线性可调直流稳压电源：输入电压AC220V、</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color w:val="000000"/>
                <w:sz w:val="21"/>
                <w:szCs w:val="21"/>
                <w:highlight w:val="none"/>
              </w:rPr>
              <w:t>30V-10A、电压/电流在标准内连续可调、CC/CV自动切换</w:t>
            </w:r>
            <w:r>
              <w:rPr>
                <w:rFonts w:hint="eastAsia" w:asciiTheme="minorEastAsia" w:hAnsiTheme="minorEastAsia" w:eastAsiaTheme="minorEastAsia" w:cstheme="minorEastAsia"/>
                <w:color w:val="000000"/>
                <w:sz w:val="21"/>
                <w:szCs w:val="21"/>
                <w:highlight w:val="none"/>
                <w:lang w:eastAsia="zh-CN"/>
              </w:rPr>
              <w:t>；</w:t>
            </w:r>
          </w:p>
          <w:p w14:paraId="6BF83D5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rPr>
            </w:pPr>
            <w:r>
              <w:rPr>
                <w:rFonts w:hint="eastAsia" w:asciiTheme="minorEastAsia" w:hAnsiTheme="minorEastAsia" w:eastAsiaTheme="minorEastAsia" w:cstheme="minorEastAsia"/>
                <w:color w:val="000000"/>
                <w:sz w:val="21"/>
                <w:szCs w:val="21"/>
                <w:highlight w:val="none"/>
              </w:rPr>
              <w:t>3.阴阳电极板：铁、不锈钢各1套，尺寸</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rPr>
              <w:t>187*300*2mm</w:t>
            </w:r>
            <w:r>
              <w:rPr>
                <w:rFonts w:hint="eastAsia" w:asciiTheme="minorEastAsia" w:hAnsiTheme="minorEastAsia" w:eastAsiaTheme="minorEastAsia" w:cstheme="minorEastAsia"/>
                <w:color w:val="000000"/>
                <w:sz w:val="21"/>
                <w:szCs w:val="21"/>
                <w:highlight w:val="none"/>
                <w:lang w:eastAsia="zh-CN"/>
              </w:rPr>
              <w:t>；</w:t>
            </w:r>
          </w:p>
          <w:p w14:paraId="0F267A2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rPr>
            </w:pPr>
            <w:r>
              <w:rPr>
                <w:rFonts w:hint="eastAsia" w:asciiTheme="minorEastAsia" w:hAnsiTheme="minorEastAsia" w:eastAsiaTheme="minorEastAsia" w:cstheme="minorEastAsia"/>
                <w:color w:val="000000"/>
                <w:sz w:val="21"/>
                <w:szCs w:val="21"/>
                <w:highlight w:val="none"/>
              </w:rPr>
              <w:t>4.原水箱和清水箱各1只：白色≥10mm厚PP板，原水箱尺寸</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rPr>
              <w:t>670*400*400mm、清水箱尺寸</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rPr>
              <w:t>300*400*400mm，水箱底板上安装有放空阀，方便将水排净</w:t>
            </w:r>
            <w:r>
              <w:rPr>
                <w:rFonts w:hint="eastAsia" w:asciiTheme="minorEastAsia" w:hAnsiTheme="minorEastAsia" w:eastAsiaTheme="minorEastAsia" w:cstheme="minorEastAsia"/>
                <w:color w:val="000000"/>
                <w:sz w:val="21"/>
                <w:szCs w:val="21"/>
                <w:highlight w:val="none"/>
                <w:lang w:eastAsia="zh-CN"/>
              </w:rPr>
              <w:t>；</w:t>
            </w:r>
          </w:p>
          <w:p w14:paraId="1601F15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rPr>
            </w:pPr>
            <w:r>
              <w:rPr>
                <w:rFonts w:hint="eastAsia" w:asciiTheme="minorEastAsia" w:hAnsiTheme="minorEastAsia" w:eastAsiaTheme="minorEastAsia" w:cstheme="minorEastAsia"/>
                <w:color w:val="000000"/>
                <w:sz w:val="21"/>
                <w:szCs w:val="21"/>
                <w:highlight w:val="none"/>
              </w:rPr>
              <w:t>5.搅拌装置1套，含不锈钢搅拌桨1个，定速电机1台：电压220V、功率</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color w:val="000000"/>
                <w:sz w:val="21"/>
                <w:szCs w:val="21"/>
                <w:highlight w:val="none"/>
              </w:rPr>
              <w:t>25W、15K、90转/min</w:t>
            </w:r>
            <w:r>
              <w:rPr>
                <w:rFonts w:hint="eastAsia" w:asciiTheme="minorEastAsia" w:hAnsiTheme="minorEastAsia" w:eastAsiaTheme="minorEastAsia" w:cstheme="minorEastAsia"/>
                <w:color w:val="000000"/>
                <w:sz w:val="21"/>
                <w:szCs w:val="21"/>
                <w:highlight w:val="none"/>
                <w:lang w:eastAsia="zh-CN"/>
              </w:rPr>
              <w:t>；</w:t>
            </w:r>
          </w:p>
          <w:p w14:paraId="6CCC0A9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rPr>
            </w:pPr>
            <w:r>
              <w:rPr>
                <w:rFonts w:hint="eastAsia" w:asciiTheme="minorEastAsia" w:hAnsiTheme="minorEastAsia" w:eastAsiaTheme="minorEastAsia" w:cstheme="minorEastAsia"/>
                <w:color w:val="000000"/>
                <w:sz w:val="21"/>
                <w:szCs w:val="21"/>
                <w:highlight w:val="none"/>
              </w:rPr>
              <w:t>6.原水输送泵：电压220V、功率35W、扬程</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color w:val="000000"/>
                <w:sz w:val="21"/>
                <w:szCs w:val="21"/>
                <w:highlight w:val="none"/>
              </w:rPr>
              <w:t>2.0米、流量</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color w:val="000000"/>
                <w:sz w:val="21"/>
                <w:szCs w:val="21"/>
                <w:highlight w:val="none"/>
              </w:rPr>
              <w:t>2000L/h</w:t>
            </w:r>
            <w:r>
              <w:rPr>
                <w:rFonts w:hint="eastAsia" w:asciiTheme="minorEastAsia" w:hAnsiTheme="minorEastAsia" w:eastAsiaTheme="minorEastAsia" w:cstheme="minorEastAsia"/>
                <w:color w:val="000000"/>
                <w:sz w:val="21"/>
                <w:szCs w:val="21"/>
                <w:highlight w:val="none"/>
                <w:lang w:eastAsia="zh-CN"/>
              </w:rPr>
              <w:t>；</w:t>
            </w:r>
          </w:p>
          <w:p w14:paraId="1FCC794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rPr>
            </w:pPr>
            <w:r>
              <w:rPr>
                <w:rFonts w:hint="eastAsia" w:asciiTheme="minorEastAsia" w:hAnsiTheme="minorEastAsia" w:eastAsiaTheme="minorEastAsia" w:cstheme="minorEastAsia"/>
                <w:color w:val="000000"/>
                <w:sz w:val="21"/>
                <w:szCs w:val="21"/>
                <w:highlight w:val="none"/>
              </w:rPr>
              <w:t>7.流量测量与调节：有机玻璃面板式转子流量计1个、水、16~160LPH</w:t>
            </w:r>
            <w:r>
              <w:rPr>
                <w:rFonts w:hint="eastAsia" w:asciiTheme="minorEastAsia" w:hAnsiTheme="minorEastAsia" w:eastAsiaTheme="minorEastAsia" w:cstheme="minorEastAsia"/>
                <w:color w:val="000000"/>
                <w:sz w:val="21"/>
                <w:szCs w:val="21"/>
                <w:highlight w:val="none"/>
                <w:lang w:eastAsia="zh-CN"/>
              </w:rPr>
              <w:t>；</w:t>
            </w:r>
          </w:p>
          <w:p w14:paraId="1FB429A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rPr>
            </w:pPr>
            <w:r>
              <w:rPr>
                <w:rFonts w:hint="eastAsia" w:asciiTheme="minorEastAsia" w:hAnsiTheme="minorEastAsia" w:eastAsiaTheme="minorEastAsia" w:cstheme="minorEastAsia"/>
                <w:color w:val="000000"/>
                <w:sz w:val="21"/>
                <w:szCs w:val="21"/>
                <w:highlight w:val="none"/>
              </w:rPr>
              <w:t>8.管道、阀门、弯头：UPVC</w:t>
            </w:r>
            <w:r>
              <w:rPr>
                <w:rFonts w:hint="eastAsia" w:asciiTheme="minorEastAsia" w:hAnsiTheme="minorEastAsia" w:eastAsiaTheme="minorEastAsia" w:cstheme="minorEastAsia"/>
                <w:color w:val="000000"/>
                <w:sz w:val="21"/>
                <w:szCs w:val="21"/>
                <w:highlight w:val="none"/>
                <w:lang w:eastAsia="zh-CN"/>
              </w:rPr>
              <w:t>；</w:t>
            </w:r>
          </w:p>
          <w:p w14:paraId="6725FDE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color w:val="000000"/>
                <w:sz w:val="21"/>
                <w:szCs w:val="21"/>
                <w:highlight w:val="none"/>
              </w:rPr>
              <w:t>9.电源控制系统：电控箱1只；电压表；带灯自锁按钮开关、漏电保护空气开关等组成。</w:t>
            </w:r>
          </w:p>
        </w:tc>
        <w:tc>
          <w:tcPr>
            <w:tcW w:w="349" w:type="pct"/>
            <w:tcBorders>
              <w:top w:val="single" w:color="auto" w:sz="4" w:space="0"/>
              <w:left w:val="nil"/>
              <w:bottom w:val="single" w:color="auto" w:sz="4" w:space="0"/>
              <w:right w:val="single" w:color="auto" w:sz="4" w:space="0"/>
            </w:tcBorders>
            <w:shd w:val="clear" w:color="auto" w:fill="auto"/>
            <w:vAlign w:val="center"/>
          </w:tcPr>
          <w:p w14:paraId="6F5FF836">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5ACE5479">
        <w:tblPrEx>
          <w:tblCellMar>
            <w:top w:w="0" w:type="dxa"/>
            <w:left w:w="0" w:type="dxa"/>
            <w:bottom w:w="0" w:type="dxa"/>
            <w:right w:w="0" w:type="dxa"/>
          </w:tblCellMar>
        </w:tblPrEx>
        <w:trPr>
          <w:trHeight w:val="90"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C82602B">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95048D6">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B49A345">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szCs w:val="21"/>
                <w:highlight w:val="none"/>
              </w:rPr>
              <w:t>台式 pH 计</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3CDA423">
            <w:pPr>
              <w:keepNext w:val="0"/>
              <w:keepLines w:val="0"/>
              <w:pageBreakBefore w:val="0"/>
              <w:numPr>
                <w:ilvl w:val="0"/>
                <w:numId w:val="0"/>
              </w:numPr>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bidi="ar"/>
              </w:rPr>
            </w:pPr>
            <w:r>
              <w:rPr>
                <w:rFonts w:hint="eastAsia" w:asciiTheme="minorEastAsia" w:hAnsiTheme="minorEastAsia" w:eastAsiaTheme="minorEastAsia" w:cstheme="minorEastAsia"/>
                <w:color w:val="000000"/>
                <w:sz w:val="21"/>
                <w:szCs w:val="21"/>
                <w:highlight w:val="none"/>
                <w:lang w:val="en-US" w:eastAsia="zh-CN" w:bidi="ar"/>
              </w:rPr>
              <w:t>1.</w:t>
            </w:r>
            <w:r>
              <w:rPr>
                <w:rFonts w:hint="eastAsia" w:asciiTheme="minorEastAsia" w:hAnsiTheme="minorEastAsia" w:eastAsiaTheme="minorEastAsia" w:cstheme="minorEastAsia"/>
                <w:color w:val="000000"/>
                <w:sz w:val="21"/>
                <w:szCs w:val="21"/>
                <w:highlight w:val="none"/>
                <w:lang w:bidi="ar"/>
              </w:rPr>
              <w:t>级别</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0.001级</w:t>
            </w:r>
            <w:r>
              <w:rPr>
                <w:rFonts w:hint="eastAsia" w:asciiTheme="minorEastAsia" w:hAnsiTheme="minorEastAsia" w:eastAsiaTheme="minorEastAsia" w:cstheme="minorEastAsia"/>
                <w:color w:val="000000"/>
                <w:sz w:val="21"/>
                <w:szCs w:val="21"/>
                <w:highlight w:val="none"/>
                <w:lang w:val="en-US" w:eastAsia="zh-CN" w:bidi="ar"/>
              </w:rPr>
              <w:t>；</w:t>
            </w:r>
          </w:p>
          <w:p w14:paraId="0E601D5E">
            <w:pPr>
              <w:keepNext w:val="0"/>
              <w:keepLines w:val="0"/>
              <w:pageBreakBefore w:val="0"/>
              <w:numPr>
                <w:ilvl w:val="0"/>
                <w:numId w:val="0"/>
              </w:numPr>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bidi="ar"/>
              </w:rPr>
            </w:pPr>
            <w:r>
              <w:rPr>
                <w:rFonts w:hint="eastAsia" w:asciiTheme="minorEastAsia" w:hAnsiTheme="minorEastAsia" w:eastAsiaTheme="minorEastAsia" w:cstheme="minorEastAsia"/>
                <w:color w:val="000000"/>
                <w:sz w:val="21"/>
                <w:szCs w:val="21"/>
                <w:highlight w:val="none"/>
                <w:lang w:val="en-US" w:eastAsia="zh-CN" w:bidi="ar"/>
              </w:rPr>
              <w:t>2.</w:t>
            </w:r>
            <w:r>
              <w:rPr>
                <w:rFonts w:hint="eastAsia" w:asciiTheme="minorEastAsia" w:hAnsiTheme="minorEastAsia" w:eastAsiaTheme="minorEastAsia" w:cstheme="minorEastAsia"/>
                <w:color w:val="000000"/>
                <w:sz w:val="21"/>
                <w:szCs w:val="21"/>
                <w:highlight w:val="none"/>
                <w:lang w:bidi="ar"/>
              </w:rPr>
              <w:t>pH</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(-2.000~20.000)pH</w:t>
            </w:r>
            <w:r>
              <w:rPr>
                <w:rFonts w:hint="eastAsia" w:asciiTheme="minorEastAsia" w:hAnsiTheme="minorEastAsia" w:eastAsiaTheme="minorEastAsia" w:cstheme="minorEastAsia"/>
                <w:color w:val="000000"/>
                <w:sz w:val="21"/>
                <w:szCs w:val="21"/>
                <w:highlight w:val="none"/>
                <w:lang w:eastAsia="zh-CN" w:bidi="ar"/>
              </w:rPr>
              <w:t>；</w:t>
            </w:r>
          </w:p>
          <w:p w14:paraId="61EEE5A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3.</w:t>
            </w:r>
            <w:r>
              <w:rPr>
                <w:rFonts w:hint="eastAsia" w:asciiTheme="minorEastAsia" w:hAnsiTheme="minorEastAsia" w:eastAsiaTheme="minorEastAsia" w:cstheme="minorEastAsia"/>
                <w:color w:val="000000"/>
                <w:sz w:val="21"/>
                <w:szCs w:val="21"/>
                <w:highlight w:val="none"/>
                <w:lang w:bidi="ar"/>
              </w:rPr>
              <w:t>电子单元示值误差</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±0.002pH</w:t>
            </w:r>
            <w:r>
              <w:rPr>
                <w:rFonts w:hint="eastAsia" w:asciiTheme="minorEastAsia" w:hAnsiTheme="minorEastAsia" w:eastAsiaTheme="minorEastAsia" w:cstheme="minorEastAsia"/>
                <w:color w:val="000000"/>
                <w:sz w:val="21"/>
                <w:szCs w:val="21"/>
                <w:highlight w:val="none"/>
                <w:lang w:eastAsia="zh-CN" w:bidi="ar"/>
              </w:rPr>
              <w:t>；</w:t>
            </w:r>
          </w:p>
          <w:p w14:paraId="7C7549D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val="en-US" w:eastAsia="zh-CN" w:bidi="ar"/>
              </w:rPr>
            </w:pPr>
            <w:r>
              <w:rPr>
                <w:rFonts w:hint="eastAsia" w:asciiTheme="minorEastAsia" w:hAnsiTheme="minorEastAsia" w:eastAsiaTheme="minorEastAsia" w:cstheme="minorEastAsia"/>
                <w:color w:val="000000"/>
                <w:sz w:val="21"/>
                <w:szCs w:val="21"/>
                <w:highlight w:val="none"/>
                <w:lang w:val="en-US" w:eastAsia="zh-CN" w:bidi="ar"/>
              </w:rPr>
              <w:t>4.电位测量范围：(-2000.00~2000.00)mV；</w:t>
            </w:r>
          </w:p>
          <w:p w14:paraId="5A97D00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5.</w:t>
            </w:r>
            <w:r>
              <w:rPr>
                <w:rFonts w:hint="eastAsia" w:asciiTheme="minorEastAsia" w:hAnsiTheme="minorEastAsia" w:eastAsiaTheme="minorEastAsia" w:cstheme="minorEastAsia"/>
                <w:color w:val="000000"/>
                <w:sz w:val="21"/>
                <w:szCs w:val="21"/>
                <w:highlight w:val="none"/>
                <w:lang w:bidi="ar"/>
              </w:rPr>
              <w:t>温度</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(-10.0~135.0)℃/(14.0~275.0)°F</w:t>
            </w:r>
            <w:r>
              <w:rPr>
                <w:rFonts w:hint="eastAsia" w:asciiTheme="minorEastAsia" w:hAnsiTheme="minorEastAsia" w:eastAsiaTheme="minorEastAsia" w:cstheme="minorEastAsia"/>
                <w:color w:val="000000"/>
                <w:sz w:val="21"/>
                <w:szCs w:val="21"/>
                <w:highlight w:val="none"/>
                <w:lang w:eastAsia="zh-CN" w:bidi="ar"/>
              </w:rPr>
              <w:t>；</w:t>
            </w:r>
          </w:p>
          <w:p w14:paraId="277247D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bidi="ar"/>
              </w:rPr>
              <w:t>配套测量范围</w:t>
            </w:r>
            <w:r>
              <w:rPr>
                <w:rFonts w:hint="eastAsia" w:asciiTheme="minorEastAsia" w:hAnsiTheme="minorEastAsia" w:eastAsiaTheme="minorEastAsia" w:cstheme="minorEastAsia"/>
                <w:color w:val="000000"/>
                <w:sz w:val="21"/>
                <w:szCs w:val="21"/>
                <w:highlight w:val="none"/>
                <w:lang w:eastAsia="zh-CN" w:bidi="ar"/>
              </w:rPr>
              <w:t>：</w:t>
            </w:r>
          </w:p>
          <w:p w14:paraId="4BC6379E">
            <w:pPr>
              <w:keepNext w:val="0"/>
              <w:keepLines w:val="0"/>
              <w:pageBreakBefore w:val="0"/>
              <w:numPr>
                <w:ilvl w:val="0"/>
                <w:numId w:val="0"/>
              </w:numPr>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1.</w:t>
            </w:r>
            <w:r>
              <w:rPr>
                <w:rFonts w:hint="eastAsia" w:asciiTheme="minorEastAsia" w:hAnsiTheme="minorEastAsia" w:eastAsiaTheme="minorEastAsia" w:cstheme="minorEastAsia"/>
                <w:color w:val="000000"/>
                <w:sz w:val="21"/>
                <w:szCs w:val="21"/>
                <w:highlight w:val="none"/>
                <w:lang w:bidi="ar"/>
              </w:rPr>
              <w:t>(0.000~14.000)pH</w:t>
            </w:r>
            <w:r>
              <w:rPr>
                <w:rFonts w:hint="eastAsia" w:asciiTheme="minorEastAsia" w:hAnsiTheme="minorEastAsia" w:eastAsiaTheme="minorEastAsia" w:cstheme="minorEastAsia"/>
                <w:color w:val="000000"/>
                <w:sz w:val="21"/>
                <w:szCs w:val="21"/>
                <w:highlight w:val="none"/>
                <w:lang w:eastAsia="zh-CN" w:bidi="ar"/>
              </w:rPr>
              <w:t>；</w:t>
            </w:r>
          </w:p>
          <w:p w14:paraId="287B24F8">
            <w:pPr>
              <w:keepNext w:val="0"/>
              <w:keepLines w:val="0"/>
              <w:pageBreakBefore w:val="0"/>
              <w:numPr>
                <w:ilvl w:val="0"/>
                <w:numId w:val="0"/>
              </w:numPr>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2.</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color w:val="000000"/>
                <w:sz w:val="21"/>
                <w:szCs w:val="21"/>
                <w:highlight w:val="none"/>
                <w:lang w:bidi="ar"/>
              </w:rPr>
              <w:t>7 英寸彩色液晶屏</w:t>
            </w:r>
            <w:r>
              <w:rPr>
                <w:rFonts w:hint="eastAsia" w:asciiTheme="minorEastAsia" w:hAnsiTheme="minorEastAsia" w:eastAsiaTheme="minorEastAsia" w:cstheme="minorEastAsia"/>
                <w:color w:val="000000"/>
                <w:sz w:val="21"/>
                <w:szCs w:val="21"/>
                <w:highlight w:val="none"/>
                <w:lang w:eastAsia="zh-CN" w:bidi="ar"/>
              </w:rPr>
              <w:t>；</w:t>
            </w:r>
          </w:p>
          <w:p w14:paraId="60E49661">
            <w:pPr>
              <w:keepNext w:val="0"/>
              <w:keepLines w:val="0"/>
              <w:pageBreakBefore w:val="0"/>
              <w:numPr>
                <w:ilvl w:val="0"/>
                <w:numId w:val="0"/>
              </w:numPr>
              <w:kinsoku/>
              <w:wordWrap/>
              <w:overflowPunct/>
              <w:topLinePunct w:val="0"/>
              <w:autoSpaceDE/>
              <w:bidi w:val="0"/>
              <w:spacing w:line="360" w:lineRule="auto"/>
              <w:ind w:leftChars="0"/>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3.</w:t>
            </w:r>
            <w:r>
              <w:rPr>
                <w:rFonts w:hint="eastAsia" w:asciiTheme="minorEastAsia" w:hAnsiTheme="minorEastAsia" w:eastAsiaTheme="minorEastAsia" w:cstheme="minorEastAsia"/>
                <w:color w:val="000000"/>
                <w:sz w:val="21"/>
                <w:szCs w:val="21"/>
                <w:highlight w:val="none"/>
                <w:lang w:bidi="ar"/>
              </w:rPr>
              <w:t>智能判别终点</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支持连续读数</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平衡读数</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定时读数</w:t>
            </w:r>
            <w:r>
              <w:rPr>
                <w:rFonts w:hint="eastAsia" w:asciiTheme="minorEastAsia" w:hAnsiTheme="minorEastAsia" w:eastAsiaTheme="minorEastAsia" w:cstheme="minorEastAsia"/>
                <w:color w:val="000000"/>
                <w:sz w:val="21"/>
                <w:szCs w:val="21"/>
                <w:highlight w:val="none"/>
                <w:lang w:eastAsia="zh-CN" w:bidi="ar"/>
              </w:rPr>
              <w:t>；</w:t>
            </w:r>
          </w:p>
          <w:p w14:paraId="643074D2">
            <w:pPr>
              <w:keepNext w:val="0"/>
              <w:keepLines w:val="0"/>
              <w:pageBreakBefore w:val="0"/>
              <w:numPr>
                <w:ilvl w:val="0"/>
                <w:numId w:val="0"/>
              </w:numPr>
              <w:kinsoku/>
              <w:wordWrap/>
              <w:overflowPunct/>
              <w:topLinePunct w:val="0"/>
              <w:autoSpaceDE/>
              <w:bidi w:val="0"/>
              <w:spacing w:line="360" w:lineRule="auto"/>
              <w:ind w:leftChars="0"/>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4.</w:t>
            </w:r>
            <w:r>
              <w:rPr>
                <w:rFonts w:hint="eastAsia" w:asciiTheme="minorEastAsia" w:hAnsiTheme="minorEastAsia" w:eastAsiaTheme="minorEastAsia" w:cstheme="minorEastAsia"/>
                <w:color w:val="000000"/>
                <w:sz w:val="21"/>
                <w:szCs w:val="21"/>
                <w:highlight w:val="none"/>
                <w:lang w:bidi="ar"/>
              </w:rPr>
              <w:t>支持自动/手动温度补偿</w:t>
            </w:r>
            <w:r>
              <w:rPr>
                <w:rFonts w:hint="eastAsia" w:asciiTheme="minorEastAsia" w:hAnsiTheme="minorEastAsia" w:eastAsiaTheme="minorEastAsia" w:cstheme="minorEastAsia"/>
                <w:color w:val="000000"/>
                <w:sz w:val="21"/>
                <w:szCs w:val="21"/>
                <w:highlight w:val="none"/>
                <w:lang w:eastAsia="zh-CN" w:bidi="ar"/>
              </w:rPr>
              <w:t>；</w:t>
            </w:r>
          </w:p>
          <w:p w14:paraId="0E76D1D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5.</w:t>
            </w:r>
            <w:r>
              <w:rPr>
                <w:rFonts w:hint="eastAsia" w:asciiTheme="minorEastAsia" w:hAnsiTheme="minorEastAsia" w:eastAsiaTheme="minorEastAsia" w:cstheme="minorEastAsia"/>
                <w:color w:val="000000"/>
                <w:sz w:val="21"/>
                <w:szCs w:val="21"/>
                <w:highlight w:val="none"/>
                <w:lang w:bidi="ar"/>
              </w:rPr>
              <w:t>支持(1~5)点 pH 电极标定</w:t>
            </w:r>
            <w:r>
              <w:rPr>
                <w:rFonts w:hint="eastAsia" w:asciiTheme="minorEastAsia" w:hAnsiTheme="minorEastAsia" w:eastAsiaTheme="minorEastAsia" w:cstheme="minorEastAsia"/>
                <w:color w:val="000000"/>
                <w:sz w:val="21"/>
                <w:szCs w:val="21"/>
                <w:highlight w:val="none"/>
                <w:lang w:eastAsia="zh-CN" w:bidi="ar"/>
              </w:rPr>
              <w:t>；</w:t>
            </w:r>
          </w:p>
          <w:p w14:paraId="19EF72F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6.</w:t>
            </w:r>
            <w:r>
              <w:rPr>
                <w:rFonts w:hint="eastAsia" w:asciiTheme="minorEastAsia" w:hAnsiTheme="minorEastAsia" w:eastAsiaTheme="minorEastAsia" w:cstheme="minorEastAsia"/>
                <w:color w:val="000000"/>
                <w:sz w:val="21"/>
                <w:szCs w:val="21"/>
                <w:highlight w:val="none"/>
                <w:lang w:bidi="ar"/>
              </w:rPr>
              <w:t>自动识别 GB</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DIN</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NIST</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USA</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MERK 等 5 组标准缓冲溶液</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支持自定义 pH 缓冲溶液和标液组</w:t>
            </w:r>
            <w:r>
              <w:rPr>
                <w:rFonts w:hint="eastAsia" w:asciiTheme="minorEastAsia" w:hAnsiTheme="minorEastAsia" w:eastAsiaTheme="minorEastAsia" w:cstheme="minorEastAsia"/>
                <w:color w:val="000000"/>
                <w:sz w:val="21"/>
                <w:szCs w:val="21"/>
                <w:highlight w:val="none"/>
                <w:lang w:eastAsia="zh-CN" w:bidi="ar"/>
              </w:rPr>
              <w:t>；</w:t>
            </w:r>
          </w:p>
          <w:p w14:paraId="5BB5E75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7.</w:t>
            </w:r>
            <w:r>
              <w:rPr>
                <w:rFonts w:hint="eastAsia" w:asciiTheme="minorEastAsia" w:hAnsiTheme="minorEastAsia" w:eastAsiaTheme="minorEastAsia" w:cstheme="minorEastAsia"/>
                <w:color w:val="000000"/>
                <w:sz w:val="21"/>
                <w:szCs w:val="21"/>
                <w:highlight w:val="none"/>
                <w:lang w:bidi="ar"/>
              </w:rPr>
              <w:t>支持数据存储(≥500 套)</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查阅</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删除</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传输和打印</w:t>
            </w:r>
            <w:r>
              <w:rPr>
                <w:rFonts w:hint="eastAsia" w:asciiTheme="minorEastAsia" w:hAnsiTheme="minorEastAsia" w:eastAsiaTheme="minorEastAsia" w:cstheme="minorEastAsia"/>
                <w:color w:val="000000"/>
                <w:sz w:val="21"/>
                <w:szCs w:val="21"/>
                <w:highlight w:val="none"/>
                <w:lang w:eastAsia="zh-CN" w:bidi="ar"/>
              </w:rPr>
              <w:t>；</w:t>
            </w:r>
          </w:p>
          <w:p w14:paraId="4E647C3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8.</w:t>
            </w:r>
            <w:r>
              <w:rPr>
                <w:rFonts w:hint="eastAsia" w:asciiTheme="minorEastAsia" w:hAnsiTheme="minorEastAsia" w:eastAsiaTheme="minorEastAsia" w:cstheme="minorEastAsia"/>
                <w:color w:val="000000"/>
                <w:sz w:val="21"/>
                <w:szCs w:val="21"/>
                <w:highlight w:val="none"/>
                <w:lang w:bidi="ar"/>
              </w:rPr>
              <w:t>通过配套通信软件与 PC 连接</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实现数据传输</w:t>
            </w:r>
            <w:r>
              <w:rPr>
                <w:rFonts w:hint="eastAsia" w:asciiTheme="minorEastAsia" w:hAnsiTheme="minorEastAsia" w:eastAsiaTheme="minorEastAsia" w:cstheme="minorEastAsia"/>
                <w:color w:val="000000"/>
                <w:sz w:val="21"/>
                <w:szCs w:val="21"/>
                <w:highlight w:val="none"/>
                <w:lang w:eastAsia="zh-CN" w:bidi="ar"/>
              </w:rPr>
              <w:t>；</w:t>
            </w:r>
          </w:p>
          <w:p w14:paraId="66CED8F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9.</w:t>
            </w:r>
            <w:r>
              <w:rPr>
                <w:rFonts w:hint="eastAsia" w:asciiTheme="minorEastAsia" w:hAnsiTheme="minorEastAsia" w:eastAsiaTheme="minorEastAsia" w:cstheme="minorEastAsia"/>
                <w:color w:val="000000"/>
                <w:sz w:val="21"/>
                <w:szCs w:val="21"/>
                <w:highlight w:val="none"/>
                <w:lang w:bidi="ar"/>
              </w:rPr>
              <w:t>具有 USB 接口</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RS232 接口</w:t>
            </w:r>
            <w:r>
              <w:rPr>
                <w:rFonts w:hint="eastAsia" w:asciiTheme="minorEastAsia" w:hAnsiTheme="minorEastAsia" w:eastAsiaTheme="minorEastAsia" w:cstheme="minorEastAsia"/>
                <w:color w:val="000000"/>
                <w:sz w:val="21"/>
                <w:szCs w:val="21"/>
                <w:highlight w:val="none"/>
                <w:lang w:eastAsia="zh-CN" w:bidi="ar"/>
              </w:rPr>
              <w:t>；</w:t>
            </w:r>
          </w:p>
          <w:p w14:paraId="6D65F19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10.</w:t>
            </w:r>
            <w:r>
              <w:rPr>
                <w:rFonts w:hint="eastAsia" w:asciiTheme="minorEastAsia" w:hAnsiTheme="minorEastAsia" w:eastAsiaTheme="minorEastAsia" w:cstheme="minorEastAsia"/>
                <w:color w:val="000000"/>
                <w:sz w:val="21"/>
                <w:szCs w:val="21"/>
                <w:highlight w:val="none"/>
                <w:lang w:bidi="ar"/>
              </w:rPr>
              <w:t>支持连接 PC 软件</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打印机</w:t>
            </w:r>
            <w:r>
              <w:rPr>
                <w:rFonts w:hint="eastAsia" w:asciiTheme="minorEastAsia" w:hAnsiTheme="minorEastAsia" w:eastAsiaTheme="minorEastAsia" w:cstheme="minorEastAsia"/>
                <w:color w:val="000000"/>
                <w:sz w:val="21"/>
                <w:szCs w:val="21"/>
                <w:highlight w:val="none"/>
                <w:lang w:eastAsia="zh-CN" w:bidi="ar"/>
              </w:rPr>
              <w:t>；</w:t>
            </w:r>
          </w:p>
          <w:p w14:paraId="4300532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color w:val="000000"/>
                <w:sz w:val="21"/>
                <w:szCs w:val="21"/>
                <w:highlight w:val="none"/>
                <w:lang w:bidi="ar"/>
              </w:rPr>
              <w:t>配置：pH 计主机 1 台，pH 三复合电极 1 支，多功能电极架 1 套，pH4.00、pH6.86、pH9.18袋装缓冲溶液 (20mL) 10 包</w:t>
            </w:r>
            <w:r>
              <w:rPr>
                <w:rFonts w:hint="eastAsia" w:asciiTheme="minorEastAsia" w:hAnsiTheme="minorEastAsia" w:eastAsiaTheme="minorEastAsia" w:cstheme="minorEastAsia"/>
                <w:color w:val="000000"/>
                <w:sz w:val="21"/>
                <w:szCs w:val="21"/>
                <w:highlight w:val="none"/>
                <w:lang w:eastAsia="zh-CN" w:bidi="ar"/>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171A1B43">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385AB58B">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2897C48">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B57C4C2">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42844DA">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szCs w:val="21"/>
                <w:highlight w:val="none"/>
              </w:rPr>
              <w:t>台式电导率仪</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5AFCDF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1.</w:t>
            </w:r>
            <w:r>
              <w:rPr>
                <w:rFonts w:hint="eastAsia" w:asciiTheme="minorEastAsia" w:hAnsiTheme="minorEastAsia" w:eastAsiaTheme="minorEastAsia" w:cstheme="minorEastAsia"/>
                <w:color w:val="000000"/>
                <w:sz w:val="21"/>
                <w:szCs w:val="21"/>
                <w:highlight w:val="none"/>
                <w:lang w:bidi="ar"/>
              </w:rPr>
              <w:t>级别</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0.5 级</w:t>
            </w:r>
            <w:r>
              <w:rPr>
                <w:rFonts w:hint="eastAsia" w:asciiTheme="minorEastAsia" w:hAnsiTheme="minorEastAsia" w:eastAsiaTheme="minorEastAsia" w:cstheme="minorEastAsia"/>
                <w:color w:val="000000"/>
                <w:sz w:val="21"/>
                <w:szCs w:val="21"/>
                <w:highlight w:val="none"/>
                <w:lang w:eastAsia="zh-CN" w:bidi="ar"/>
              </w:rPr>
              <w:t>；</w:t>
            </w:r>
          </w:p>
          <w:p w14:paraId="754C95E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2.</w:t>
            </w:r>
            <w:r>
              <w:rPr>
                <w:rFonts w:hint="eastAsia" w:asciiTheme="minorEastAsia" w:hAnsiTheme="minorEastAsia" w:eastAsiaTheme="minorEastAsia" w:cstheme="minorEastAsia"/>
                <w:color w:val="000000"/>
                <w:sz w:val="21"/>
                <w:szCs w:val="21"/>
                <w:highlight w:val="none"/>
                <w:lang w:bidi="ar"/>
              </w:rPr>
              <w:t>电导率</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0.000μS/cm~1000mS/cm</w:t>
            </w:r>
            <w:r>
              <w:rPr>
                <w:rFonts w:hint="eastAsia" w:asciiTheme="minorEastAsia" w:hAnsiTheme="minorEastAsia" w:eastAsiaTheme="minorEastAsia" w:cstheme="minorEastAsia"/>
                <w:color w:val="000000"/>
                <w:sz w:val="21"/>
                <w:szCs w:val="21"/>
                <w:highlight w:val="none"/>
                <w:lang w:eastAsia="zh-CN" w:bidi="ar"/>
              </w:rPr>
              <w:t>；</w:t>
            </w:r>
          </w:p>
          <w:p w14:paraId="42D19F2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3.</w:t>
            </w:r>
            <w:r>
              <w:rPr>
                <w:rFonts w:hint="eastAsia" w:asciiTheme="minorEastAsia" w:hAnsiTheme="minorEastAsia" w:eastAsiaTheme="minorEastAsia" w:cstheme="minorEastAsia"/>
                <w:color w:val="000000"/>
                <w:sz w:val="21"/>
                <w:szCs w:val="21"/>
                <w:highlight w:val="none"/>
                <w:lang w:bidi="ar"/>
              </w:rPr>
              <w:t>电子单元引用误差</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±0.5%FS</w:t>
            </w:r>
            <w:r>
              <w:rPr>
                <w:rFonts w:hint="eastAsia" w:asciiTheme="minorEastAsia" w:hAnsiTheme="minorEastAsia" w:eastAsiaTheme="minorEastAsia" w:cstheme="minorEastAsia"/>
                <w:color w:val="000000"/>
                <w:sz w:val="21"/>
                <w:szCs w:val="21"/>
                <w:highlight w:val="none"/>
                <w:lang w:eastAsia="zh-CN" w:bidi="ar"/>
              </w:rPr>
              <w:t>；</w:t>
            </w:r>
          </w:p>
          <w:p w14:paraId="17FBAF6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bidi="ar"/>
              </w:rPr>
            </w:pPr>
            <w:r>
              <w:rPr>
                <w:rFonts w:hint="eastAsia" w:asciiTheme="minorEastAsia" w:hAnsiTheme="minorEastAsia" w:eastAsiaTheme="minorEastAsia" w:cstheme="minorEastAsia"/>
                <w:color w:val="000000"/>
                <w:sz w:val="21"/>
                <w:szCs w:val="21"/>
                <w:highlight w:val="none"/>
                <w:lang w:val="en-US" w:eastAsia="zh-CN" w:bidi="ar"/>
              </w:rPr>
              <w:t>4.</w:t>
            </w:r>
            <w:r>
              <w:rPr>
                <w:rFonts w:hint="eastAsia" w:asciiTheme="minorEastAsia" w:hAnsiTheme="minorEastAsia" w:eastAsiaTheme="minorEastAsia" w:cstheme="minorEastAsia"/>
                <w:color w:val="000000"/>
                <w:sz w:val="21"/>
                <w:szCs w:val="21"/>
                <w:highlight w:val="none"/>
                <w:lang w:bidi="ar"/>
              </w:rPr>
              <w:t>电阻率</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5.00Ω·cm~100.0MΩ·cm</w:t>
            </w:r>
          </w:p>
          <w:p w14:paraId="3A90C8D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5.</w:t>
            </w:r>
            <w:r>
              <w:rPr>
                <w:rFonts w:hint="eastAsia" w:asciiTheme="minorEastAsia" w:hAnsiTheme="minorEastAsia" w:eastAsiaTheme="minorEastAsia" w:cstheme="minorEastAsia"/>
                <w:color w:val="000000"/>
                <w:sz w:val="21"/>
                <w:szCs w:val="21"/>
                <w:highlight w:val="none"/>
                <w:lang w:bidi="ar"/>
              </w:rPr>
              <w:t>TDS</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val="en-US" w:eastAsia="zh-CN" w:bidi="ar"/>
              </w:rPr>
              <w:t>0</w:t>
            </w:r>
            <w:r>
              <w:rPr>
                <w:rFonts w:hint="eastAsia" w:asciiTheme="minorEastAsia" w:hAnsiTheme="minorEastAsia" w:eastAsiaTheme="minorEastAsia" w:cstheme="minorEastAsia"/>
                <w:color w:val="000000"/>
                <w:sz w:val="21"/>
                <w:szCs w:val="21"/>
                <w:highlight w:val="none"/>
                <w:lang w:bidi="ar"/>
              </w:rPr>
              <w:t>~1000g/L</w:t>
            </w:r>
            <w:r>
              <w:rPr>
                <w:rFonts w:hint="eastAsia" w:asciiTheme="minorEastAsia" w:hAnsiTheme="minorEastAsia" w:eastAsiaTheme="minorEastAsia" w:cstheme="minorEastAsia"/>
                <w:sz w:val="21"/>
                <w:szCs w:val="21"/>
                <w:highlight w:val="none"/>
                <w:lang w:eastAsia="zh-CN"/>
              </w:rPr>
              <w:t>；</w:t>
            </w:r>
          </w:p>
          <w:p w14:paraId="4740229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6.</w:t>
            </w:r>
            <w:r>
              <w:rPr>
                <w:rFonts w:hint="eastAsia" w:asciiTheme="minorEastAsia" w:hAnsiTheme="minorEastAsia" w:eastAsiaTheme="minorEastAsia" w:cstheme="minorEastAsia"/>
                <w:color w:val="000000"/>
                <w:sz w:val="21"/>
                <w:szCs w:val="21"/>
                <w:highlight w:val="none"/>
                <w:lang w:bidi="ar"/>
              </w:rPr>
              <w:t>盐度</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(0.00~8.00)%</w:t>
            </w:r>
            <w:r>
              <w:rPr>
                <w:rFonts w:hint="eastAsia" w:asciiTheme="minorEastAsia" w:hAnsiTheme="minorEastAsia" w:eastAsiaTheme="minorEastAsia" w:cstheme="minorEastAsia"/>
                <w:color w:val="000000"/>
                <w:sz w:val="21"/>
                <w:szCs w:val="21"/>
                <w:highlight w:val="none"/>
                <w:lang w:eastAsia="zh-CN" w:bidi="ar"/>
              </w:rPr>
              <w:t>；</w:t>
            </w:r>
          </w:p>
          <w:p w14:paraId="62DAB7A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7.</w:t>
            </w:r>
            <w:r>
              <w:rPr>
                <w:rFonts w:hint="eastAsia" w:asciiTheme="minorEastAsia" w:hAnsiTheme="minorEastAsia" w:eastAsiaTheme="minorEastAsia" w:cstheme="minorEastAsia"/>
                <w:color w:val="000000"/>
                <w:sz w:val="21"/>
                <w:szCs w:val="21"/>
                <w:highlight w:val="none"/>
                <w:lang w:bidi="ar"/>
              </w:rPr>
              <w:t>温 度</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-10.0℃～135.0℃；仪表支持摄氏度/华氏度单位切换显示</w:t>
            </w:r>
            <w:r>
              <w:rPr>
                <w:rFonts w:hint="eastAsia" w:asciiTheme="minorEastAsia" w:hAnsiTheme="minorEastAsia" w:eastAsiaTheme="minorEastAsia" w:cstheme="minorEastAsia"/>
                <w:sz w:val="21"/>
                <w:szCs w:val="21"/>
                <w:highlight w:val="none"/>
                <w:lang w:eastAsia="zh-CN"/>
              </w:rPr>
              <w:t>；</w:t>
            </w:r>
          </w:p>
          <w:p w14:paraId="4A27280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8.</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color w:val="000000"/>
                <w:sz w:val="21"/>
                <w:szCs w:val="21"/>
                <w:highlight w:val="none"/>
                <w:lang w:bidi="ar"/>
              </w:rPr>
              <w:t>7 英寸彩色液晶屏</w:t>
            </w:r>
            <w:r>
              <w:rPr>
                <w:rFonts w:hint="eastAsia" w:asciiTheme="minorEastAsia" w:hAnsiTheme="minorEastAsia" w:eastAsiaTheme="minorEastAsia" w:cstheme="minorEastAsia"/>
                <w:color w:val="000000"/>
                <w:sz w:val="21"/>
                <w:szCs w:val="21"/>
                <w:highlight w:val="none"/>
                <w:lang w:eastAsia="zh-CN" w:bidi="ar"/>
              </w:rPr>
              <w:t>；</w:t>
            </w:r>
          </w:p>
          <w:p w14:paraId="4917E4C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9.</w:t>
            </w:r>
            <w:r>
              <w:rPr>
                <w:rFonts w:hint="eastAsia" w:asciiTheme="minorEastAsia" w:hAnsiTheme="minorEastAsia" w:eastAsiaTheme="minorEastAsia" w:cstheme="minorEastAsia"/>
                <w:color w:val="000000"/>
                <w:sz w:val="21"/>
                <w:szCs w:val="21"/>
                <w:highlight w:val="none"/>
                <w:lang w:bidi="ar"/>
              </w:rPr>
              <w:t>智能判别终点, 支持连续读数, 平衡读数, 定时读数</w:t>
            </w:r>
            <w:r>
              <w:rPr>
                <w:rFonts w:hint="eastAsia" w:asciiTheme="minorEastAsia" w:hAnsiTheme="minorEastAsia" w:eastAsiaTheme="minorEastAsia" w:cstheme="minorEastAsia"/>
                <w:color w:val="000000"/>
                <w:sz w:val="21"/>
                <w:szCs w:val="21"/>
                <w:highlight w:val="none"/>
                <w:lang w:eastAsia="zh-CN" w:bidi="ar"/>
              </w:rPr>
              <w:t>；</w:t>
            </w:r>
          </w:p>
          <w:p w14:paraId="478A85A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10.</w:t>
            </w:r>
            <w:r>
              <w:rPr>
                <w:rFonts w:hint="eastAsia" w:asciiTheme="minorEastAsia" w:hAnsiTheme="minorEastAsia" w:eastAsiaTheme="minorEastAsia" w:cstheme="minorEastAsia"/>
                <w:color w:val="000000"/>
                <w:sz w:val="21"/>
                <w:szCs w:val="21"/>
                <w:highlight w:val="none"/>
                <w:lang w:bidi="ar"/>
              </w:rPr>
              <w:t>支持自动/手动温度补偿</w:t>
            </w:r>
            <w:r>
              <w:rPr>
                <w:rFonts w:hint="eastAsia" w:asciiTheme="minorEastAsia" w:hAnsiTheme="minorEastAsia" w:eastAsiaTheme="minorEastAsia" w:cstheme="minorEastAsia"/>
                <w:color w:val="000000"/>
                <w:sz w:val="21"/>
                <w:szCs w:val="21"/>
                <w:highlight w:val="none"/>
                <w:lang w:eastAsia="zh-CN" w:bidi="ar"/>
              </w:rPr>
              <w:t>；</w:t>
            </w:r>
          </w:p>
          <w:p w14:paraId="3172601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11.</w:t>
            </w:r>
            <w:r>
              <w:rPr>
                <w:rFonts w:hint="eastAsia" w:asciiTheme="minorEastAsia" w:hAnsiTheme="minorEastAsia" w:eastAsiaTheme="minorEastAsia" w:cstheme="minorEastAsia"/>
                <w:color w:val="000000"/>
                <w:sz w:val="21"/>
                <w:szCs w:val="21"/>
                <w:highlight w:val="none"/>
                <w:lang w:bidi="ar"/>
              </w:rPr>
              <w:t>自动识别 4 种 GB 电导标准溶液</w:t>
            </w:r>
            <w:r>
              <w:rPr>
                <w:rFonts w:hint="eastAsia" w:asciiTheme="minorEastAsia" w:hAnsiTheme="minorEastAsia" w:eastAsiaTheme="minorEastAsia" w:cstheme="minorEastAsia"/>
                <w:color w:val="000000"/>
                <w:sz w:val="21"/>
                <w:szCs w:val="21"/>
                <w:highlight w:val="none"/>
                <w:lang w:eastAsia="zh-CN" w:bidi="ar"/>
              </w:rPr>
              <w:t>；</w:t>
            </w:r>
          </w:p>
          <w:p w14:paraId="0C28C86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12.</w:t>
            </w:r>
            <w:r>
              <w:rPr>
                <w:rFonts w:hint="eastAsia" w:asciiTheme="minorEastAsia" w:hAnsiTheme="minorEastAsia" w:eastAsiaTheme="minorEastAsia" w:cstheme="minorEastAsia"/>
                <w:color w:val="000000"/>
                <w:sz w:val="21"/>
                <w:szCs w:val="21"/>
                <w:highlight w:val="none"/>
                <w:lang w:bidi="ar"/>
              </w:rPr>
              <w:t>支持(1~3)点电导电极标定</w:t>
            </w:r>
            <w:r>
              <w:rPr>
                <w:rFonts w:hint="eastAsia" w:asciiTheme="minorEastAsia" w:hAnsiTheme="minorEastAsia" w:eastAsiaTheme="minorEastAsia" w:cstheme="minorEastAsia"/>
                <w:color w:val="000000"/>
                <w:sz w:val="21"/>
                <w:szCs w:val="21"/>
                <w:highlight w:val="none"/>
                <w:lang w:eastAsia="zh-CN" w:bidi="ar"/>
              </w:rPr>
              <w:t>；</w:t>
            </w:r>
          </w:p>
          <w:p w14:paraId="236ACA3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13.</w:t>
            </w:r>
            <w:r>
              <w:rPr>
                <w:rFonts w:hint="eastAsia" w:asciiTheme="minorEastAsia" w:hAnsiTheme="minorEastAsia" w:eastAsiaTheme="minorEastAsia" w:cstheme="minorEastAsia"/>
                <w:color w:val="000000"/>
                <w:sz w:val="21"/>
                <w:szCs w:val="21"/>
                <w:highlight w:val="none"/>
                <w:lang w:bidi="ar"/>
              </w:rPr>
              <w:t>支持不补偿, 线性, 纯水补偿三种电导率补偿方式</w:t>
            </w:r>
            <w:r>
              <w:rPr>
                <w:rFonts w:hint="eastAsia" w:asciiTheme="minorEastAsia" w:hAnsiTheme="minorEastAsia" w:eastAsiaTheme="minorEastAsia" w:cstheme="minorEastAsia"/>
                <w:color w:val="000000"/>
                <w:sz w:val="21"/>
                <w:szCs w:val="21"/>
                <w:highlight w:val="none"/>
                <w:lang w:eastAsia="zh-CN" w:bidi="ar"/>
              </w:rPr>
              <w:t>；</w:t>
            </w:r>
          </w:p>
          <w:p w14:paraId="5603399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14.</w:t>
            </w:r>
            <w:r>
              <w:rPr>
                <w:rFonts w:hint="eastAsia" w:asciiTheme="minorEastAsia" w:hAnsiTheme="minorEastAsia" w:eastAsiaTheme="minorEastAsia" w:cstheme="minorEastAsia"/>
                <w:color w:val="000000"/>
                <w:sz w:val="21"/>
                <w:szCs w:val="21"/>
                <w:highlight w:val="none"/>
                <w:lang w:bidi="ar"/>
              </w:rPr>
              <w:t>线性补偿参比温度 20℃或 25℃可选</w:t>
            </w:r>
            <w:r>
              <w:rPr>
                <w:rFonts w:hint="eastAsia" w:asciiTheme="minorEastAsia" w:hAnsiTheme="minorEastAsia" w:eastAsiaTheme="minorEastAsia" w:cstheme="minorEastAsia"/>
                <w:color w:val="000000"/>
                <w:sz w:val="21"/>
                <w:szCs w:val="21"/>
                <w:highlight w:val="none"/>
                <w:lang w:eastAsia="zh-CN" w:bidi="ar"/>
              </w:rPr>
              <w:t>；</w:t>
            </w:r>
          </w:p>
          <w:p w14:paraId="434F2C2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15.</w:t>
            </w:r>
            <w:r>
              <w:rPr>
                <w:rFonts w:hint="eastAsia" w:asciiTheme="minorEastAsia" w:hAnsiTheme="minorEastAsia" w:eastAsiaTheme="minorEastAsia" w:cstheme="minorEastAsia"/>
                <w:color w:val="000000"/>
                <w:sz w:val="21"/>
                <w:szCs w:val="21"/>
                <w:highlight w:val="none"/>
                <w:lang w:bidi="ar"/>
              </w:rPr>
              <w:t>支持自动频率切换</w:t>
            </w:r>
            <w:r>
              <w:rPr>
                <w:rFonts w:hint="eastAsia" w:asciiTheme="minorEastAsia" w:hAnsiTheme="minorEastAsia" w:eastAsiaTheme="minorEastAsia" w:cstheme="minorEastAsia"/>
                <w:color w:val="000000"/>
                <w:sz w:val="21"/>
                <w:szCs w:val="21"/>
                <w:highlight w:val="none"/>
                <w:lang w:eastAsia="zh-CN" w:bidi="ar"/>
              </w:rPr>
              <w:t>；</w:t>
            </w:r>
          </w:p>
          <w:p w14:paraId="24913F3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16.</w:t>
            </w:r>
            <w:r>
              <w:rPr>
                <w:rFonts w:hint="eastAsia" w:asciiTheme="minorEastAsia" w:hAnsiTheme="minorEastAsia" w:eastAsiaTheme="minorEastAsia" w:cstheme="minorEastAsia"/>
                <w:color w:val="000000"/>
                <w:sz w:val="21"/>
                <w:szCs w:val="21"/>
                <w:highlight w:val="none"/>
                <w:lang w:bidi="ar"/>
              </w:rPr>
              <w:t>支持数据存储(≥500 套), 查阅,删除, 传输和打印</w:t>
            </w:r>
            <w:r>
              <w:rPr>
                <w:rFonts w:hint="eastAsia" w:asciiTheme="minorEastAsia" w:hAnsiTheme="minorEastAsia" w:eastAsiaTheme="minorEastAsia" w:cstheme="minorEastAsia"/>
                <w:color w:val="000000"/>
                <w:sz w:val="21"/>
                <w:szCs w:val="21"/>
                <w:highlight w:val="none"/>
                <w:lang w:eastAsia="zh-CN" w:bidi="ar"/>
              </w:rPr>
              <w:t>；</w:t>
            </w:r>
          </w:p>
          <w:p w14:paraId="2C51816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17.</w:t>
            </w:r>
            <w:r>
              <w:rPr>
                <w:rFonts w:hint="eastAsia" w:asciiTheme="minorEastAsia" w:hAnsiTheme="minorEastAsia" w:eastAsiaTheme="minorEastAsia" w:cstheme="minorEastAsia"/>
                <w:color w:val="000000"/>
                <w:sz w:val="21"/>
                <w:szCs w:val="21"/>
                <w:highlight w:val="none"/>
                <w:lang w:bidi="ar"/>
              </w:rPr>
              <w:t>具有 USB 接口, RS232 接口</w:t>
            </w:r>
            <w:r>
              <w:rPr>
                <w:rFonts w:hint="eastAsia" w:asciiTheme="minorEastAsia" w:hAnsiTheme="minorEastAsia" w:eastAsiaTheme="minorEastAsia" w:cstheme="minorEastAsia"/>
                <w:color w:val="000000"/>
                <w:sz w:val="21"/>
                <w:szCs w:val="21"/>
                <w:highlight w:val="none"/>
                <w:lang w:eastAsia="zh-CN" w:bidi="ar"/>
              </w:rPr>
              <w:t>；</w:t>
            </w:r>
          </w:p>
          <w:p w14:paraId="0F133E1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18.</w:t>
            </w:r>
            <w:r>
              <w:rPr>
                <w:rFonts w:hint="eastAsia" w:asciiTheme="minorEastAsia" w:hAnsiTheme="minorEastAsia" w:eastAsiaTheme="minorEastAsia" w:cstheme="minorEastAsia"/>
                <w:color w:val="000000"/>
                <w:sz w:val="21"/>
                <w:szCs w:val="21"/>
                <w:highlight w:val="none"/>
                <w:lang w:bidi="ar"/>
              </w:rPr>
              <w:t>支持连接 PC 软件, 打印机</w:t>
            </w:r>
            <w:r>
              <w:rPr>
                <w:rFonts w:hint="eastAsia" w:asciiTheme="minorEastAsia" w:hAnsiTheme="minorEastAsia" w:eastAsiaTheme="minorEastAsia" w:cstheme="minorEastAsia"/>
                <w:color w:val="000000"/>
                <w:sz w:val="21"/>
                <w:szCs w:val="21"/>
                <w:highlight w:val="none"/>
                <w:lang w:eastAsia="zh-CN" w:bidi="ar"/>
              </w:rPr>
              <w:t>；</w:t>
            </w:r>
          </w:p>
          <w:p w14:paraId="09A81DC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color w:val="000000"/>
                <w:sz w:val="21"/>
                <w:szCs w:val="21"/>
                <w:highlight w:val="none"/>
                <w:lang w:val="en-US" w:eastAsia="zh-CN" w:bidi="ar"/>
              </w:rPr>
              <w:t>19.</w:t>
            </w:r>
            <w:r>
              <w:rPr>
                <w:rFonts w:hint="eastAsia" w:asciiTheme="minorEastAsia" w:hAnsiTheme="minorEastAsia" w:eastAsiaTheme="minorEastAsia" w:cstheme="minorEastAsia"/>
                <w:color w:val="000000"/>
                <w:sz w:val="21"/>
                <w:szCs w:val="21"/>
                <w:highlight w:val="none"/>
                <w:lang w:bidi="ar"/>
              </w:rPr>
              <w:t>配置：主机</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电导电极</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电导率溶液(10 包)</w:t>
            </w:r>
            <w:r>
              <w:rPr>
                <w:rFonts w:hint="eastAsia" w:asciiTheme="minorEastAsia" w:hAnsiTheme="minorEastAsia" w:eastAsiaTheme="minorEastAsia" w:cstheme="minorEastAsia"/>
                <w:color w:val="000000"/>
                <w:sz w:val="21"/>
                <w:szCs w:val="21"/>
                <w:highlight w:val="none"/>
                <w:lang w:eastAsia="zh-CN" w:bidi="ar"/>
              </w:rPr>
              <w:t>，</w:t>
            </w:r>
            <w:r>
              <w:rPr>
                <w:rFonts w:hint="eastAsia" w:asciiTheme="minorEastAsia" w:hAnsiTheme="minorEastAsia" w:eastAsiaTheme="minorEastAsia" w:cstheme="minorEastAsia"/>
                <w:color w:val="000000"/>
                <w:sz w:val="21"/>
                <w:szCs w:val="21"/>
                <w:highlight w:val="none"/>
                <w:lang w:bidi="ar"/>
              </w:rPr>
              <w:t>多功能电极架等</w:t>
            </w:r>
            <w:r>
              <w:rPr>
                <w:rFonts w:hint="eastAsia" w:asciiTheme="minorEastAsia" w:hAnsiTheme="minorEastAsia" w:eastAsiaTheme="minorEastAsia" w:cstheme="minorEastAsia"/>
                <w:sz w:val="21"/>
                <w:szCs w:val="21"/>
                <w:highlight w:val="none"/>
                <w:lang w:eastAsia="zh-CN"/>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0EA6EE30">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6D3D8C8F">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1E6E3C0">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D95C334">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color w:val="000000"/>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3127080">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color w:val="000000"/>
                <w:sz w:val="21"/>
                <w:szCs w:val="21"/>
                <w:highlight w:val="none"/>
                <w:lang w:val="en-US" w:eastAsia="zh-CN"/>
              </w:rPr>
              <w:t>1</w:t>
            </w:r>
            <w:r>
              <w:rPr>
                <w:rFonts w:hint="eastAsia" w:asciiTheme="minorEastAsia" w:hAnsiTheme="minorEastAsia" w:eastAsiaTheme="minorEastAsia" w:cstheme="minorEastAsia"/>
                <w:b w:val="0"/>
                <w:bCs w:val="0"/>
                <w:color w:val="000000"/>
                <w:sz w:val="21"/>
                <w:szCs w:val="21"/>
                <w:highlight w:val="none"/>
              </w:rPr>
              <w:t>00mL 水热合成反应釜</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65C6A0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color w:val="000000"/>
                <w:sz w:val="21"/>
                <w:szCs w:val="21"/>
                <w:highlight w:val="none"/>
                <w:vertAlign w:val="baseline"/>
                <w:lang w:val="en-US" w:eastAsia="zh-CN"/>
              </w:rPr>
            </w:pPr>
            <w:r>
              <w:rPr>
                <w:rFonts w:hint="eastAsia" w:asciiTheme="minorEastAsia" w:hAnsiTheme="minorEastAsia" w:eastAsiaTheme="minorEastAsia" w:cstheme="minorEastAsia"/>
                <w:b w:val="0"/>
                <w:bCs w:val="0"/>
                <w:color w:val="000000"/>
                <w:sz w:val="21"/>
                <w:szCs w:val="21"/>
                <w:highlight w:val="none"/>
                <w:vertAlign w:val="baseline"/>
                <w:lang w:val="en-US" w:eastAsia="zh-CN"/>
              </w:rPr>
              <w:t>1.材质：外壳材质为304不锈钢；</w:t>
            </w:r>
          </w:p>
          <w:p w14:paraId="1EDDF49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color w:val="000000"/>
                <w:sz w:val="21"/>
                <w:szCs w:val="21"/>
                <w:highlight w:val="none"/>
                <w:vertAlign w:val="baseline"/>
                <w:lang w:val="en-US" w:eastAsia="zh-CN"/>
              </w:rPr>
            </w:pPr>
            <w:r>
              <w:rPr>
                <w:rFonts w:hint="eastAsia" w:asciiTheme="minorEastAsia" w:hAnsiTheme="minorEastAsia" w:eastAsiaTheme="minorEastAsia" w:cstheme="minorEastAsia"/>
                <w:b w:val="0"/>
                <w:bCs w:val="0"/>
                <w:color w:val="000000"/>
                <w:sz w:val="21"/>
                <w:szCs w:val="21"/>
                <w:highlight w:val="none"/>
                <w:vertAlign w:val="baseline"/>
                <w:lang w:val="en-US" w:eastAsia="zh-CN"/>
              </w:rPr>
              <w:t>2.容量：100ml；</w:t>
            </w:r>
          </w:p>
          <w:p w14:paraId="7B07CD2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color w:val="000000"/>
                <w:sz w:val="21"/>
                <w:szCs w:val="21"/>
                <w:highlight w:val="none"/>
                <w:vertAlign w:val="baseline"/>
                <w:lang w:val="en-US" w:eastAsia="zh-CN"/>
              </w:rPr>
              <w:t>3.备注：安全温度为200℃，最高压力为3MPa。</w:t>
            </w:r>
          </w:p>
        </w:tc>
        <w:tc>
          <w:tcPr>
            <w:tcW w:w="349" w:type="pct"/>
            <w:tcBorders>
              <w:top w:val="single" w:color="auto" w:sz="4" w:space="0"/>
              <w:left w:val="nil"/>
              <w:bottom w:val="single" w:color="auto" w:sz="4" w:space="0"/>
              <w:right w:val="single" w:color="auto" w:sz="4" w:space="0"/>
            </w:tcBorders>
            <w:shd w:val="clear" w:color="auto" w:fill="auto"/>
            <w:vAlign w:val="center"/>
          </w:tcPr>
          <w:p w14:paraId="612C4676">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color w:val="00000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487A6B38">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9255858">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5BA6107">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color w:val="000000"/>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C63F795">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color w:val="000000"/>
                <w:sz w:val="21"/>
                <w:szCs w:val="21"/>
                <w:highlight w:val="none"/>
              </w:rPr>
              <w:t>250mL 水热合成反应釜</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B1B3BB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color w:val="000000"/>
                <w:sz w:val="21"/>
                <w:szCs w:val="21"/>
                <w:highlight w:val="none"/>
                <w:vertAlign w:val="baseline"/>
                <w:lang w:val="en-US" w:eastAsia="zh-CN"/>
              </w:rPr>
            </w:pPr>
            <w:r>
              <w:rPr>
                <w:rFonts w:hint="eastAsia" w:asciiTheme="minorEastAsia" w:hAnsiTheme="minorEastAsia" w:eastAsiaTheme="minorEastAsia" w:cstheme="minorEastAsia"/>
                <w:b w:val="0"/>
                <w:bCs w:val="0"/>
                <w:color w:val="000000"/>
                <w:sz w:val="21"/>
                <w:szCs w:val="21"/>
                <w:highlight w:val="none"/>
                <w:vertAlign w:val="baseline"/>
                <w:lang w:val="en-US" w:eastAsia="zh-CN"/>
              </w:rPr>
              <w:t>1.材质：外壳材质为304不锈钢；</w:t>
            </w:r>
          </w:p>
          <w:p w14:paraId="74B7555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color w:val="000000"/>
                <w:sz w:val="21"/>
                <w:szCs w:val="21"/>
                <w:highlight w:val="none"/>
                <w:vertAlign w:val="baseline"/>
                <w:lang w:val="en-US" w:eastAsia="zh-CN"/>
              </w:rPr>
            </w:pPr>
            <w:r>
              <w:rPr>
                <w:rFonts w:hint="eastAsia" w:asciiTheme="minorEastAsia" w:hAnsiTheme="minorEastAsia" w:eastAsiaTheme="minorEastAsia" w:cstheme="minorEastAsia"/>
                <w:b w:val="0"/>
                <w:bCs w:val="0"/>
                <w:color w:val="000000"/>
                <w:sz w:val="21"/>
                <w:szCs w:val="21"/>
                <w:highlight w:val="none"/>
                <w:vertAlign w:val="baseline"/>
                <w:lang w:val="en-US" w:eastAsia="zh-CN"/>
              </w:rPr>
              <w:t>2.容量：250ml；</w:t>
            </w:r>
          </w:p>
          <w:p w14:paraId="55E48E7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color w:val="000000"/>
                <w:sz w:val="21"/>
                <w:szCs w:val="21"/>
                <w:highlight w:val="none"/>
                <w:vertAlign w:val="baseline"/>
                <w:lang w:val="en-US" w:eastAsia="zh-CN"/>
              </w:rPr>
              <w:t>3.备注：安全温度为200℃，最高压力为3MPa。</w:t>
            </w:r>
          </w:p>
        </w:tc>
        <w:tc>
          <w:tcPr>
            <w:tcW w:w="349" w:type="pct"/>
            <w:tcBorders>
              <w:top w:val="single" w:color="auto" w:sz="4" w:space="0"/>
              <w:left w:val="nil"/>
              <w:bottom w:val="single" w:color="auto" w:sz="4" w:space="0"/>
              <w:right w:val="single" w:color="auto" w:sz="4" w:space="0"/>
            </w:tcBorders>
            <w:shd w:val="clear" w:color="auto" w:fill="auto"/>
            <w:vAlign w:val="center"/>
          </w:tcPr>
          <w:p w14:paraId="2E7DFF34">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color w:val="00000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467C2EBB">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C4598FC">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9DB7CF2">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282D1BF">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rPr>
              <w:t>500mL 磁力搅拌高压反应釜</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5CF6C4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一、釜体部分</w:t>
            </w:r>
          </w:p>
          <w:p w14:paraId="30F0656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1.容积：500mL；</w:t>
            </w:r>
          </w:p>
          <w:p w14:paraId="195CC6D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2.材质：可选304/316/钛/哈氏合金；</w:t>
            </w:r>
          </w:p>
          <w:p w14:paraId="12F34B7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3.设计压力：≥22MPa；</w:t>
            </w:r>
          </w:p>
          <w:p w14:paraId="67017EB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4.设计温度：≥300℃；</w:t>
            </w:r>
          </w:p>
          <w:p w14:paraId="3ACA684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5.加热方式：电加热；</w:t>
            </w:r>
          </w:p>
          <w:p w14:paraId="172B694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6.加热功率：≥1500w；</w:t>
            </w:r>
          </w:p>
          <w:p w14:paraId="1147B43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7.温控精度：</w:t>
            </w:r>
            <w:r>
              <w:rPr>
                <w:rFonts w:hint="eastAsia" w:ascii="宋体" w:hAnsi="宋体" w:eastAsia="宋体" w:cs="宋体"/>
                <w:sz w:val="24"/>
                <w:szCs w:val="24"/>
                <w:highlight w:val="none"/>
                <w:lang w:val="en-US" w:eastAsia="zh-CN"/>
              </w:rPr>
              <w:t>≤</w:t>
            </w:r>
            <w:r>
              <w:rPr>
                <w:rFonts w:hint="eastAsia" w:asciiTheme="minorEastAsia" w:hAnsiTheme="minorEastAsia" w:eastAsiaTheme="minorEastAsia" w:cstheme="minorEastAsia"/>
                <w:b w:val="0"/>
                <w:bCs w:val="0"/>
                <w:sz w:val="21"/>
                <w:szCs w:val="21"/>
                <w:highlight w:val="none"/>
                <w:vertAlign w:val="baseline"/>
                <w:lang w:val="en-US" w:eastAsia="zh-CN"/>
              </w:rPr>
              <w:t>±2℃；</w:t>
            </w:r>
          </w:p>
          <w:p w14:paraId="3DCC0B8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二、搅拌部分</w:t>
            </w:r>
          </w:p>
          <w:p w14:paraId="7ACA6EF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1.密封方式：磁转动、静密封；</w:t>
            </w:r>
          </w:p>
          <w:p w14:paraId="4450BB57">
            <w:pPr>
              <w:pStyle w:val="10"/>
              <w:spacing w:line="360" w:lineRule="auto"/>
              <w:rPr>
                <w:rFonts w:hint="eastAsia" w:asciiTheme="minorEastAsia" w:hAnsiTheme="minorEastAsia" w:eastAsiaTheme="minorEastAsia" w:cstheme="minorEastAsia"/>
                <w:b w:val="0"/>
                <w:bCs w:val="0"/>
                <w:kern w:val="2"/>
                <w:sz w:val="21"/>
                <w:szCs w:val="21"/>
                <w:highlight w:val="none"/>
                <w:vertAlign w:val="baseline"/>
                <w:lang w:val="en-US" w:eastAsia="zh-CN" w:bidi="ar-SA"/>
              </w:rPr>
            </w:pPr>
            <w:r>
              <w:rPr>
                <w:rFonts w:hint="eastAsia" w:asciiTheme="minorEastAsia" w:hAnsiTheme="minorEastAsia" w:eastAsiaTheme="minorEastAsia" w:cstheme="minorEastAsia"/>
                <w:b w:val="0"/>
                <w:bCs w:val="0"/>
                <w:sz w:val="21"/>
                <w:szCs w:val="21"/>
                <w:highlight w:val="none"/>
                <w:vertAlign w:val="baseline"/>
                <w:lang w:val="en-US" w:eastAsia="zh-CN"/>
              </w:rPr>
              <w:t>2.搅拌转速：50-10</w:t>
            </w:r>
            <w:r>
              <w:rPr>
                <w:rFonts w:hint="eastAsia" w:asciiTheme="minorEastAsia" w:hAnsiTheme="minorEastAsia" w:eastAsiaTheme="minorEastAsia" w:cstheme="minorEastAsia"/>
                <w:b w:val="0"/>
                <w:bCs w:val="0"/>
                <w:kern w:val="2"/>
                <w:sz w:val="21"/>
                <w:szCs w:val="21"/>
                <w:highlight w:val="none"/>
                <w:vertAlign w:val="baseline"/>
                <w:lang w:val="en-US" w:eastAsia="zh-CN" w:bidi="ar-SA"/>
              </w:rPr>
              <w:t>00r/min；</w:t>
            </w:r>
          </w:p>
          <w:p w14:paraId="5A7CAB3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3.电机功率：24V，60W；</w:t>
            </w:r>
          </w:p>
          <w:p w14:paraId="6A1A081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4.搅拌形式：磁力耦合搅拌；</w:t>
            </w:r>
          </w:p>
          <w:p w14:paraId="1BA8B1A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三、控制部分</w:t>
            </w:r>
          </w:p>
          <w:p w14:paraId="39A9DC2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1.转速调节：包含；</w:t>
            </w:r>
          </w:p>
          <w:p w14:paraId="53CFE24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2.温度控制：包含（程序控制可定做）；</w:t>
            </w:r>
          </w:p>
          <w:p w14:paraId="2322D3D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3.温度显示：包含；</w:t>
            </w:r>
          </w:p>
          <w:p w14:paraId="380AF85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4.转速显示：包含；</w:t>
            </w:r>
          </w:p>
          <w:p w14:paraId="605CFF8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5.电源：220V 50Hz；</w:t>
            </w:r>
          </w:p>
          <w:p w14:paraId="05909AD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四、管口部分</w:t>
            </w:r>
          </w:p>
          <w:p w14:paraId="6391F80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1.搅拌口：包含，配磁力耦合器；</w:t>
            </w:r>
          </w:p>
          <w:p w14:paraId="1232016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2.排气阀：包含；</w:t>
            </w:r>
          </w:p>
          <w:p w14:paraId="2407B79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3.压力安全防爆口：包含，配压力表及爆破阀（防爆片）；</w:t>
            </w:r>
          </w:p>
          <w:p w14:paraId="7E66A0B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4.测温口：包含，配保护管；</w:t>
            </w:r>
          </w:p>
          <w:p w14:paraId="3462638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5.冷却口：包含；</w:t>
            </w:r>
          </w:p>
          <w:p w14:paraId="2DBEC1F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6.保温层：包含；</w:t>
            </w:r>
          </w:p>
          <w:p w14:paraId="172D4E2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五、打包清单</w:t>
            </w:r>
          </w:p>
          <w:p w14:paraId="26E4F9B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1.釜体带架子；</w:t>
            </w:r>
          </w:p>
          <w:p w14:paraId="6E99EF5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2.控制器；</w:t>
            </w:r>
          </w:p>
          <w:p w14:paraId="5E03541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3.进气管；</w:t>
            </w:r>
          </w:p>
          <w:p w14:paraId="2DA10BC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4.说明书及注意事项；</w:t>
            </w:r>
          </w:p>
          <w:p w14:paraId="6CEF550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5.密封易损配件；</w:t>
            </w:r>
          </w:p>
          <w:p w14:paraId="077DAC8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6.公斤扳手。</w:t>
            </w:r>
          </w:p>
        </w:tc>
        <w:tc>
          <w:tcPr>
            <w:tcW w:w="349" w:type="pct"/>
            <w:tcBorders>
              <w:top w:val="single" w:color="auto" w:sz="4" w:space="0"/>
              <w:left w:val="nil"/>
              <w:bottom w:val="single" w:color="auto" w:sz="4" w:space="0"/>
              <w:right w:val="single" w:color="auto" w:sz="4" w:space="0"/>
            </w:tcBorders>
            <w:shd w:val="clear" w:color="auto" w:fill="auto"/>
            <w:vAlign w:val="center"/>
          </w:tcPr>
          <w:p w14:paraId="2BCBD11E">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13D0A7A7">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4BB21BB">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2D2C7D3">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39B5342">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rPr>
              <w:t>1L 磁力搅拌高压反应釜</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4DCC85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技术参数：</w:t>
            </w:r>
          </w:p>
          <w:p w14:paraId="64D1C38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一、釜体部分</w:t>
            </w:r>
          </w:p>
          <w:p w14:paraId="184A15C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1.容积：1L；</w:t>
            </w:r>
          </w:p>
          <w:p w14:paraId="795F632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2.材质：可选可选304/316/钛/哈氏合金；</w:t>
            </w:r>
          </w:p>
          <w:p w14:paraId="0911CF1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3.设计压力：≥22MPa；</w:t>
            </w:r>
          </w:p>
          <w:p w14:paraId="0520BBC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4.设计温度：≥300℃；</w:t>
            </w:r>
          </w:p>
          <w:p w14:paraId="46DF425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5.加热方式：电加热；</w:t>
            </w:r>
          </w:p>
          <w:p w14:paraId="6281483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6.加热功率：≥1500w；</w:t>
            </w:r>
          </w:p>
          <w:p w14:paraId="115F6D6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7.温控精度：±2℃；</w:t>
            </w:r>
          </w:p>
          <w:p w14:paraId="489C398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二、搅拌部分</w:t>
            </w:r>
          </w:p>
          <w:p w14:paraId="46E8CC3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1.密封方式：磁转动、静密封；</w:t>
            </w:r>
          </w:p>
          <w:p w14:paraId="2B8D628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2.搅拌转速：50-1000r/min；</w:t>
            </w:r>
          </w:p>
          <w:p w14:paraId="35F9C8B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3.电机功率：24V，60W；</w:t>
            </w:r>
          </w:p>
          <w:p w14:paraId="4E6EED1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4.搅拌形式：磁力耦合搅拌；</w:t>
            </w:r>
          </w:p>
          <w:p w14:paraId="108EEEE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三、控制部分</w:t>
            </w:r>
          </w:p>
          <w:p w14:paraId="257A5FD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1.转速调节：包含；</w:t>
            </w:r>
          </w:p>
          <w:p w14:paraId="3CEC095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2.温度控制：包含（程序控制可定做）；</w:t>
            </w:r>
          </w:p>
          <w:p w14:paraId="440957C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3.温度显示：包含；</w:t>
            </w:r>
          </w:p>
          <w:p w14:paraId="2AFB26C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4.转速显示：包含；</w:t>
            </w:r>
          </w:p>
          <w:p w14:paraId="4EB1C8A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5.电源：220V 50Hz；</w:t>
            </w:r>
          </w:p>
          <w:p w14:paraId="4533C95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四、管口部分</w:t>
            </w:r>
          </w:p>
          <w:p w14:paraId="3EBA04D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1.搅拌口：包含，配磁力耦合器；</w:t>
            </w:r>
          </w:p>
          <w:p w14:paraId="39C5023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2.排气阀：包含；</w:t>
            </w:r>
          </w:p>
          <w:p w14:paraId="260CC56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3.压力安全防爆口：包含，配压力表及爆破阀（防爆片）；</w:t>
            </w:r>
          </w:p>
          <w:p w14:paraId="0C31A10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4.测温口：包含，配保护管；</w:t>
            </w:r>
          </w:p>
          <w:p w14:paraId="06CFFEC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5.冷却口：包含；</w:t>
            </w:r>
          </w:p>
          <w:p w14:paraId="6EE0A91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6.保温层：包含；</w:t>
            </w:r>
          </w:p>
          <w:p w14:paraId="559F98C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五、打包清单</w:t>
            </w:r>
          </w:p>
          <w:p w14:paraId="42DA784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1.釜体带架子；</w:t>
            </w:r>
          </w:p>
          <w:p w14:paraId="075C0BC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2.控制器；</w:t>
            </w:r>
          </w:p>
          <w:p w14:paraId="0E74D2D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3.进气管；</w:t>
            </w:r>
          </w:p>
          <w:p w14:paraId="3557F20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4.说明书及注意事项；</w:t>
            </w:r>
          </w:p>
          <w:p w14:paraId="5DCAF69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5.密封易损配件；</w:t>
            </w:r>
          </w:p>
          <w:p w14:paraId="47750F6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6.公斤扳手；</w:t>
            </w:r>
          </w:p>
        </w:tc>
        <w:tc>
          <w:tcPr>
            <w:tcW w:w="349" w:type="pct"/>
            <w:tcBorders>
              <w:top w:val="single" w:color="auto" w:sz="4" w:space="0"/>
              <w:left w:val="nil"/>
              <w:bottom w:val="single" w:color="auto" w:sz="4" w:space="0"/>
              <w:right w:val="single" w:color="auto" w:sz="4" w:space="0"/>
            </w:tcBorders>
            <w:shd w:val="clear" w:color="auto" w:fill="auto"/>
            <w:vAlign w:val="center"/>
          </w:tcPr>
          <w:p w14:paraId="500A9E54">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6CC742CC">
        <w:tblPrEx>
          <w:tblCellMar>
            <w:top w:w="0" w:type="dxa"/>
            <w:left w:w="0" w:type="dxa"/>
            <w:bottom w:w="0" w:type="dxa"/>
            <w:right w:w="0" w:type="dxa"/>
          </w:tblCellMar>
        </w:tblPrEx>
        <w:trPr>
          <w:trHeight w:val="90"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268B728">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0C9B6CA">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EAEAD45">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rPr>
              <w:t>1L 哈氏合金高压反应釜</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1DCDF28F">
            <w:pPr>
              <w:keepNext w:val="0"/>
              <w:keepLines w:val="0"/>
              <w:pageBreakBefore w:val="0"/>
              <w:numPr>
                <w:ilvl w:val="0"/>
                <w:numId w:val="11"/>
              </w:numPr>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val="0"/>
                <w:sz w:val="21"/>
                <w:szCs w:val="21"/>
                <w:highlight w:val="none"/>
                <w:vertAlign w:val="baseline"/>
                <w:lang w:val="en-US" w:eastAsia="zh-CN"/>
              </w:rPr>
              <w:t>釜体部分</w:t>
            </w:r>
          </w:p>
          <w:p w14:paraId="3C43106D">
            <w:pPr>
              <w:keepNext w:val="0"/>
              <w:keepLines w:val="0"/>
              <w:pageBreakBefore w:val="0"/>
              <w:numPr>
                <w:ilvl w:val="0"/>
                <w:numId w:val="0"/>
              </w:numPr>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1.1容积1L；</w:t>
            </w:r>
          </w:p>
          <w:p w14:paraId="05EF05F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1.2材质：哈氏合金；</w:t>
            </w:r>
          </w:p>
          <w:p w14:paraId="3CA0106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1.3设计压力：≥22MPa；</w:t>
            </w:r>
          </w:p>
          <w:p w14:paraId="55E622D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1.4设计温度：≥300℃；</w:t>
            </w:r>
          </w:p>
          <w:p w14:paraId="3210450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1.5加热方式：电加热；</w:t>
            </w:r>
          </w:p>
          <w:p w14:paraId="1BF9E23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1.6加热功率：≥1500W；</w:t>
            </w:r>
          </w:p>
          <w:p w14:paraId="7C39512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1.7温控精度：</w:t>
            </w:r>
            <w:r>
              <w:rPr>
                <w:rFonts w:hint="eastAsia" w:ascii="宋体" w:hAnsi="宋体" w:eastAsia="宋体" w:cs="宋体"/>
                <w:sz w:val="24"/>
                <w:szCs w:val="24"/>
                <w:highlight w:val="none"/>
                <w:lang w:val="en-US" w:eastAsia="zh-CN"/>
              </w:rPr>
              <w:t>≤</w:t>
            </w:r>
            <w:r>
              <w:rPr>
                <w:rFonts w:hint="eastAsia" w:asciiTheme="minorEastAsia" w:hAnsiTheme="minorEastAsia" w:eastAsiaTheme="minorEastAsia" w:cstheme="minorEastAsia"/>
                <w:b w:val="0"/>
                <w:bCs w:val="0"/>
                <w:sz w:val="21"/>
                <w:szCs w:val="21"/>
                <w:highlight w:val="none"/>
                <w:vertAlign w:val="baseline"/>
                <w:lang w:val="en-US" w:eastAsia="zh-CN"/>
              </w:rPr>
              <w:t>±1℃；</w:t>
            </w:r>
          </w:p>
          <w:p w14:paraId="14BF0EE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2.搅拌部分</w:t>
            </w:r>
          </w:p>
          <w:p w14:paraId="2C95D2D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2.1密封方式：磁转动、静密封；</w:t>
            </w:r>
          </w:p>
          <w:p w14:paraId="175394E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2.2搅拌转速：20-1000r/min；</w:t>
            </w:r>
          </w:p>
          <w:p w14:paraId="1AC1833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2.3电机功率：24V，60W；</w:t>
            </w:r>
          </w:p>
          <w:p w14:paraId="2F6436A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2.4搅拌形式：磁力耦合搅拌；</w:t>
            </w:r>
          </w:p>
          <w:p w14:paraId="687B0FE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3.控制部分</w:t>
            </w:r>
          </w:p>
          <w:p w14:paraId="0CD26A9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3.1转速调节：包含；</w:t>
            </w:r>
          </w:p>
          <w:p w14:paraId="6D680DE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3.2温度控制：包含（程序控制可定做）；</w:t>
            </w:r>
          </w:p>
          <w:p w14:paraId="356B8C8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3.3温度显示：包含；</w:t>
            </w:r>
          </w:p>
          <w:p w14:paraId="11223A5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3.4转速显示：包含；</w:t>
            </w:r>
          </w:p>
          <w:p w14:paraId="5DEB922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3.5电源：220V/50Hz；</w:t>
            </w:r>
          </w:p>
          <w:p w14:paraId="5803B73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4.管口部分</w:t>
            </w:r>
          </w:p>
          <w:p w14:paraId="04D24FD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4.1搅拌口：包含，配磁力耦合器；</w:t>
            </w:r>
          </w:p>
          <w:p w14:paraId="4AF0701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4.2排气阀：包含；</w:t>
            </w:r>
          </w:p>
          <w:p w14:paraId="62B5DC7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4.3压力安全防爆口：包含，配压力表及爆破阀（防爆片）；</w:t>
            </w:r>
          </w:p>
          <w:p w14:paraId="6C26792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4.4测温口：包含，配保护管；</w:t>
            </w:r>
          </w:p>
          <w:p w14:paraId="0D9C48E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4.5冷却口：包含；</w:t>
            </w:r>
          </w:p>
          <w:p w14:paraId="7739911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4.6保温层：包含；</w:t>
            </w:r>
          </w:p>
          <w:p w14:paraId="328C6B5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5.打包清单</w:t>
            </w:r>
          </w:p>
          <w:p w14:paraId="4C476BE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5.1釜体带架子；</w:t>
            </w:r>
          </w:p>
          <w:p w14:paraId="6933129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5.2控制器；</w:t>
            </w:r>
          </w:p>
          <w:p w14:paraId="64A7559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5.3进气管；</w:t>
            </w:r>
          </w:p>
          <w:p w14:paraId="0B360678">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5.4说明书及注意事项；</w:t>
            </w:r>
          </w:p>
          <w:p w14:paraId="35CD615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5.5密封易损配件；</w:t>
            </w:r>
          </w:p>
          <w:p w14:paraId="3864035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5.6公斤扳手；</w:t>
            </w:r>
          </w:p>
        </w:tc>
        <w:tc>
          <w:tcPr>
            <w:tcW w:w="349" w:type="pct"/>
            <w:tcBorders>
              <w:top w:val="single" w:color="auto" w:sz="4" w:space="0"/>
              <w:left w:val="nil"/>
              <w:bottom w:val="single" w:color="auto" w:sz="4" w:space="0"/>
              <w:right w:val="single" w:color="auto" w:sz="4" w:space="0"/>
            </w:tcBorders>
            <w:shd w:val="clear" w:color="auto" w:fill="auto"/>
            <w:vAlign w:val="center"/>
          </w:tcPr>
          <w:p w14:paraId="13989F98">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22FF2476">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5F34EBB">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01972B4E">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6130ED9A">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rPr>
              <w:t>2L 钛材高压反应釜</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5EC2BE3">
            <w:pPr>
              <w:keepNext w:val="0"/>
              <w:keepLines w:val="0"/>
              <w:pageBreakBefore w:val="0"/>
              <w:numPr>
                <w:ilvl w:val="0"/>
                <w:numId w:val="12"/>
              </w:numPr>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val="0"/>
                <w:sz w:val="21"/>
                <w:szCs w:val="21"/>
                <w:highlight w:val="none"/>
                <w:vertAlign w:val="baseline"/>
                <w:lang w:val="en-US" w:eastAsia="zh-CN"/>
              </w:rPr>
              <w:t>釜体部分</w:t>
            </w:r>
          </w:p>
          <w:p w14:paraId="142020ED">
            <w:pPr>
              <w:keepNext w:val="0"/>
              <w:keepLines w:val="0"/>
              <w:pageBreakBefore w:val="0"/>
              <w:numPr>
                <w:ilvl w:val="0"/>
                <w:numId w:val="0"/>
              </w:numPr>
              <w:kinsoku/>
              <w:wordWrap/>
              <w:overflowPunct/>
              <w:topLinePunct w:val="0"/>
              <w:autoSpaceDE/>
              <w:bidi w:val="0"/>
              <w:spacing w:line="360" w:lineRule="auto"/>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1.1容积：2L；</w:t>
            </w:r>
          </w:p>
          <w:p w14:paraId="2918321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1.2材质：钛合金；</w:t>
            </w:r>
          </w:p>
          <w:p w14:paraId="0B0B5AA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1.3设计压力：</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b w:val="0"/>
                <w:bCs w:val="0"/>
                <w:sz w:val="21"/>
                <w:szCs w:val="21"/>
                <w:highlight w:val="none"/>
                <w:vertAlign w:val="baseline"/>
                <w:lang w:val="en-US" w:eastAsia="zh-CN"/>
              </w:rPr>
              <w:t>22MPa；</w:t>
            </w:r>
          </w:p>
          <w:p w14:paraId="4F75F2F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1.4设计温度：</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b w:val="0"/>
                <w:bCs w:val="0"/>
                <w:sz w:val="21"/>
                <w:szCs w:val="21"/>
                <w:highlight w:val="none"/>
                <w:vertAlign w:val="baseline"/>
                <w:lang w:val="en-US" w:eastAsia="zh-CN"/>
              </w:rPr>
              <w:t>300℃；</w:t>
            </w:r>
          </w:p>
          <w:p w14:paraId="58DE1EE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1.5加热方式：电加热；</w:t>
            </w:r>
          </w:p>
          <w:p w14:paraId="05C0AE6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1.6加热功率：</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b w:val="0"/>
                <w:bCs w:val="0"/>
                <w:sz w:val="21"/>
                <w:szCs w:val="21"/>
                <w:highlight w:val="none"/>
                <w:vertAlign w:val="baseline"/>
                <w:lang w:val="en-US" w:eastAsia="zh-CN"/>
              </w:rPr>
              <w:t>1500W；</w:t>
            </w:r>
          </w:p>
          <w:p w14:paraId="580C747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1.7温控精度：</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b w:val="0"/>
                <w:bCs w:val="0"/>
                <w:sz w:val="21"/>
                <w:szCs w:val="21"/>
                <w:highlight w:val="none"/>
                <w:vertAlign w:val="baseline"/>
                <w:lang w:val="en-US" w:eastAsia="zh-CN"/>
              </w:rPr>
              <w:t>±1℃；</w:t>
            </w:r>
          </w:p>
          <w:p w14:paraId="5ECD024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2.搅拌部分</w:t>
            </w:r>
          </w:p>
          <w:p w14:paraId="2BF6A47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2.1密封方式：磁转动、静密封；</w:t>
            </w:r>
          </w:p>
          <w:p w14:paraId="444C205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2.2搅拌转速：20-1000r/min；</w:t>
            </w:r>
          </w:p>
          <w:p w14:paraId="44B5753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2.3电机功率：24V，60W；</w:t>
            </w:r>
          </w:p>
          <w:p w14:paraId="68F4B00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2.4搅拌形式：磁力耦合搅拌；</w:t>
            </w:r>
          </w:p>
          <w:p w14:paraId="4516A1E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3.控制部分</w:t>
            </w:r>
          </w:p>
          <w:p w14:paraId="607B804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3.1转速调节：包含；</w:t>
            </w:r>
          </w:p>
          <w:p w14:paraId="4D7C5C70">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3.2温度控制：包含（程序控制可定做）；</w:t>
            </w:r>
          </w:p>
          <w:p w14:paraId="270832D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3.3温度显示：包含；</w:t>
            </w:r>
          </w:p>
          <w:p w14:paraId="303D4F5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3.4转速显示：包含；</w:t>
            </w:r>
          </w:p>
          <w:p w14:paraId="3A47F6E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3.5电源：220V/50Hz；</w:t>
            </w:r>
          </w:p>
          <w:p w14:paraId="67BA3CA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4.管口部分</w:t>
            </w:r>
          </w:p>
          <w:p w14:paraId="4A6E5B3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4.1搅拌口：包含，配磁力耦合器；</w:t>
            </w:r>
          </w:p>
          <w:p w14:paraId="5D962C9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4.2排气阀：包含；</w:t>
            </w:r>
          </w:p>
          <w:p w14:paraId="6FC2B27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4.3压力安全防爆口：包含，配压力表及爆破阀（防爆片）；</w:t>
            </w:r>
          </w:p>
          <w:p w14:paraId="0C98722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4.4测温口：包含，配保护管；</w:t>
            </w:r>
          </w:p>
          <w:p w14:paraId="59F6D96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4.5冷却口：包含；</w:t>
            </w:r>
          </w:p>
          <w:p w14:paraId="468D1B9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4.6保温层：包含；</w:t>
            </w:r>
          </w:p>
          <w:p w14:paraId="26B02562">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5.打包清单</w:t>
            </w:r>
          </w:p>
          <w:p w14:paraId="03C5261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5.1釜体带架子；</w:t>
            </w:r>
          </w:p>
          <w:p w14:paraId="39F6A60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5.2控制器；</w:t>
            </w:r>
          </w:p>
          <w:p w14:paraId="468BF63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5.3进气管；</w:t>
            </w:r>
          </w:p>
          <w:p w14:paraId="3AD3D97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5.4说明书及注意事项；</w:t>
            </w:r>
          </w:p>
          <w:p w14:paraId="5EB76C0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5.5密封易损配件；</w:t>
            </w:r>
          </w:p>
          <w:p w14:paraId="7E79EB0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5.6公斤扳手；</w:t>
            </w:r>
          </w:p>
        </w:tc>
        <w:tc>
          <w:tcPr>
            <w:tcW w:w="349" w:type="pct"/>
            <w:tcBorders>
              <w:top w:val="single" w:color="auto" w:sz="4" w:space="0"/>
              <w:left w:val="nil"/>
              <w:bottom w:val="single" w:color="auto" w:sz="4" w:space="0"/>
              <w:right w:val="single" w:color="auto" w:sz="4" w:space="0"/>
            </w:tcBorders>
            <w:shd w:val="clear" w:color="auto" w:fill="auto"/>
            <w:vAlign w:val="center"/>
          </w:tcPr>
          <w:p w14:paraId="542E7160">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02D28E59">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8F1E4AA">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86E043A">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E74A629">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rPr>
              <w:t>循环水式真空泵</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4068ACD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1.规格：双抽头防腐；</w:t>
            </w:r>
          </w:p>
          <w:p w14:paraId="016AB4D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2.功率：180W；</w:t>
            </w:r>
          </w:p>
          <w:p w14:paraId="14D2936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3.工作电源：AC220V/50HZ；</w:t>
            </w:r>
          </w:p>
          <w:p w14:paraId="05534ED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4.流量：≥60L/min；</w:t>
            </w:r>
          </w:p>
          <w:p w14:paraId="533F106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5.扬程：≥8M；</w:t>
            </w:r>
          </w:p>
          <w:p w14:paraId="2E0BC597">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6.最大真空度：≤0.098Mpa；</w:t>
            </w:r>
          </w:p>
          <w:p w14:paraId="2A05A5A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7.单头抽气量：≥10L/min；</w:t>
            </w:r>
          </w:p>
          <w:p w14:paraId="5442CDD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8.抽头数：2；</w:t>
            </w:r>
          </w:p>
          <w:p w14:paraId="1AE7EBBA">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9.储水箱容积：≥15L；</w:t>
            </w:r>
          </w:p>
          <w:p w14:paraId="4C4AAB91">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b w:val="0"/>
                <w:bCs w:val="0"/>
                <w:sz w:val="21"/>
                <w:szCs w:val="21"/>
                <w:highlight w:val="none"/>
                <w:vertAlign w:val="baseline"/>
                <w:lang w:val="en-US" w:eastAsia="zh-CN"/>
              </w:rPr>
            </w:pPr>
            <w:r>
              <w:rPr>
                <w:rFonts w:hint="eastAsia" w:asciiTheme="minorEastAsia" w:hAnsiTheme="minorEastAsia" w:eastAsiaTheme="minorEastAsia" w:cstheme="minorEastAsia"/>
                <w:b w:val="0"/>
                <w:bCs w:val="0"/>
                <w:sz w:val="21"/>
                <w:szCs w:val="21"/>
                <w:highlight w:val="none"/>
                <w:vertAlign w:val="baseline"/>
                <w:lang w:val="en-US" w:eastAsia="zh-CN"/>
              </w:rPr>
              <w:t>10.外形尺寸(长*宽*高)：≤400mm×280mm×420mm；</w:t>
            </w:r>
          </w:p>
          <w:p w14:paraId="029B1C63">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b w:val="0"/>
                <w:bCs w:val="0"/>
                <w:sz w:val="21"/>
                <w:szCs w:val="21"/>
                <w:highlight w:val="none"/>
                <w:vertAlign w:val="baseline"/>
                <w:lang w:val="en-US" w:eastAsia="zh-CN"/>
              </w:rPr>
              <w:t>11.全机重量：≤15kg。</w:t>
            </w:r>
          </w:p>
        </w:tc>
        <w:tc>
          <w:tcPr>
            <w:tcW w:w="349" w:type="pct"/>
            <w:tcBorders>
              <w:top w:val="single" w:color="auto" w:sz="4" w:space="0"/>
              <w:left w:val="nil"/>
              <w:bottom w:val="single" w:color="auto" w:sz="4" w:space="0"/>
              <w:right w:val="single" w:color="auto" w:sz="4" w:space="0"/>
            </w:tcBorders>
            <w:shd w:val="clear" w:color="auto" w:fill="auto"/>
            <w:vAlign w:val="center"/>
          </w:tcPr>
          <w:p w14:paraId="6657C3EF">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34F83B46">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1115A65">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54454C4C">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D76A0C3">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szCs w:val="21"/>
                <w:highlight w:val="none"/>
              </w:rPr>
              <w:t>小型冷水机</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2919A9F5">
            <w:pPr>
              <w:keepNext w:val="0"/>
              <w:keepLines w:val="0"/>
              <w:pageBreakBefore w:val="0"/>
              <w:numPr>
                <w:ilvl w:val="0"/>
                <w:numId w:val="0"/>
              </w:numPr>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bidi="ar"/>
              </w:rPr>
            </w:pPr>
            <w:r>
              <w:rPr>
                <w:rFonts w:hint="eastAsia" w:asciiTheme="minorEastAsia" w:hAnsiTheme="minorEastAsia" w:eastAsiaTheme="minorEastAsia" w:cstheme="minorEastAsia"/>
                <w:color w:val="000000"/>
                <w:sz w:val="21"/>
                <w:szCs w:val="21"/>
                <w:highlight w:val="none"/>
                <w:lang w:val="en-US" w:eastAsia="zh-CN" w:bidi="ar"/>
              </w:rPr>
              <w:t>1.</w:t>
            </w:r>
            <w:r>
              <w:rPr>
                <w:rFonts w:hint="eastAsia" w:asciiTheme="minorEastAsia" w:hAnsiTheme="minorEastAsia" w:eastAsiaTheme="minorEastAsia" w:cstheme="minorEastAsia"/>
                <w:color w:val="000000"/>
                <w:sz w:val="21"/>
                <w:szCs w:val="21"/>
                <w:highlight w:val="none"/>
                <w:lang w:bidi="ar"/>
              </w:rPr>
              <w:t>电压：220-240V/110V</w:t>
            </w:r>
            <w:r>
              <w:rPr>
                <w:rFonts w:hint="eastAsia" w:asciiTheme="minorEastAsia" w:hAnsiTheme="minorEastAsia" w:eastAsiaTheme="minorEastAsia" w:cstheme="minorEastAsia"/>
                <w:color w:val="000000"/>
                <w:sz w:val="21"/>
                <w:szCs w:val="21"/>
                <w:highlight w:val="none"/>
                <w:lang w:eastAsia="zh-CN" w:bidi="ar"/>
              </w:rPr>
              <w:t>；</w:t>
            </w:r>
          </w:p>
          <w:p w14:paraId="19D0BF80">
            <w:pPr>
              <w:keepNext w:val="0"/>
              <w:keepLines w:val="0"/>
              <w:pageBreakBefore w:val="0"/>
              <w:numPr>
                <w:ilvl w:val="0"/>
                <w:numId w:val="0"/>
              </w:numPr>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2.</w:t>
            </w:r>
            <w:r>
              <w:rPr>
                <w:rFonts w:hint="eastAsia" w:asciiTheme="minorEastAsia" w:hAnsiTheme="minorEastAsia" w:eastAsiaTheme="minorEastAsia" w:cstheme="minorEastAsia"/>
                <w:color w:val="000000"/>
                <w:sz w:val="21"/>
                <w:szCs w:val="21"/>
                <w:highlight w:val="none"/>
                <w:lang w:bidi="ar"/>
              </w:rPr>
              <w:t>额定功率：≤850W</w:t>
            </w:r>
            <w:r>
              <w:rPr>
                <w:rFonts w:hint="eastAsia" w:asciiTheme="minorEastAsia" w:hAnsiTheme="minorEastAsia" w:eastAsiaTheme="minorEastAsia" w:cstheme="minorEastAsia"/>
                <w:color w:val="000000"/>
                <w:sz w:val="21"/>
                <w:szCs w:val="21"/>
                <w:highlight w:val="none"/>
                <w:lang w:eastAsia="zh-CN" w:bidi="ar"/>
              </w:rPr>
              <w:t>；</w:t>
            </w:r>
          </w:p>
          <w:p w14:paraId="094F4B26">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3.</w:t>
            </w:r>
            <w:r>
              <w:rPr>
                <w:rFonts w:hint="eastAsia" w:asciiTheme="minorEastAsia" w:hAnsiTheme="minorEastAsia" w:eastAsiaTheme="minorEastAsia" w:cstheme="minorEastAsia"/>
                <w:color w:val="000000"/>
                <w:sz w:val="21"/>
                <w:szCs w:val="21"/>
                <w:highlight w:val="none"/>
                <w:lang w:bidi="ar"/>
              </w:rPr>
              <w:t>制冷量：</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color w:val="000000"/>
                <w:sz w:val="21"/>
                <w:szCs w:val="21"/>
                <w:highlight w:val="none"/>
                <w:lang w:bidi="ar"/>
              </w:rPr>
              <w:t>2100W</w:t>
            </w:r>
            <w:r>
              <w:rPr>
                <w:rFonts w:hint="eastAsia" w:asciiTheme="minorEastAsia" w:hAnsiTheme="minorEastAsia" w:eastAsiaTheme="minorEastAsia" w:cstheme="minorEastAsia"/>
                <w:color w:val="000000"/>
                <w:sz w:val="21"/>
                <w:szCs w:val="21"/>
                <w:highlight w:val="none"/>
                <w:lang w:eastAsia="zh-CN" w:bidi="ar"/>
              </w:rPr>
              <w:t>；</w:t>
            </w:r>
          </w:p>
          <w:p w14:paraId="7E6DB91F">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4.</w:t>
            </w:r>
            <w:r>
              <w:rPr>
                <w:rFonts w:hint="eastAsia" w:asciiTheme="minorEastAsia" w:hAnsiTheme="minorEastAsia" w:eastAsiaTheme="minorEastAsia" w:cstheme="minorEastAsia"/>
                <w:color w:val="000000"/>
                <w:sz w:val="21"/>
                <w:szCs w:val="21"/>
                <w:highlight w:val="none"/>
                <w:lang w:bidi="ar"/>
              </w:rPr>
              <w:t>水泵：</w:t>
            </w:r>
            <w:r>
              <w:rPr>
                <w:rFonts w:hint="eastAsia" w:asciiTheme="minorEastAsia" w:hAnsiTheme="minorEastAsia" w:eastAsiaTheme="minorEastAsia" w:cstheme="minorEastAsia"/>
                <w:sz w:val="21"/>
                <w:szCs w:val="21"/>
                <w:highlight w:val="none"/>
              </w:rPr>
              <w:t>≥8</w:t>
            </w:r>
            <w:r>
              <w:rPr>
                <w:rFonts w:hint="eastAsia" w:asciiTheme="minorEastAsia" w:hAnsiTheme="minorEastAsia" w:eastAsiaTheme="minorEastAsia" w:cstheme="minorEastAsia"/>
                <w:color w:val="000000"/>
                <w:sz w:val="21"/>
                <w:szCs w:val="21"/>
                <w:highlight w:val="none"/>
                <w:lang w:bidi="ar"/>
              </w:rPr>
              <w:t>8W</w:t>
            </w:r>
            <w:r>
              <w:rPr>
                <w:rFonts w:hint="eastAsia" w:asciiTheme="minorEastAsia" w:hAnsiTheme="minorEastAsia" w:eastAsiaTheme="minorEastAsia" w:cstheme="minorEastAsia"/>
                <w:sz w:val="21"/>
                <w:szCs w:val="21"/>
                <w:highlight w:val="none"/>
                <w:lang w:eastAsia="zh-CN"/>
              </w:rPr>
              <w:t>；</w:t>
            </w:r>
          </w:p>
          <w:p w14:paraId="7EA11FB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5.</w:t>
            </w:r>
            <w:r>
              <w:rPr>
                <w:rFonts w:hint="eastAsia" w:asciiTheme="minorEastAsia" w:hAnsiTheme="minorEastAsia" w:eastAsiaTheme="minorEastAsia" w:cstheme="minorEastAsia"/>
                <w:color w:val="000000"/>
                <w:sz w:val="21"/>
                <w:szCs w:val="21"/>
                <w:highlight w:val="none"/>
                <w:lang w:bidi="ar"/>
              </w:rPr>
              <w:t>水箱：</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color w:val="000000"/>
                <w:sz w:val="21"/>
                <w:szCs w:val="21"/>
                <w:highlight w:val="none"/>
                <w:lang w:bidi="ar"/>
              </w:rPr>
              <w:t>6L</w:t>
            </w:r>
            <w:r>
              <w:rPr>
                <w:rFonts w:hint="eastAsia" w:asciiTheme="minorEastAsia" w:hAnsiTheme="minorEastAsia" w:eastAsiaTheme="minorEastAsia" w:cstheme="minorEastAsia"/>
                <w:color w:val="000000"/>
                <w:sz w:val="21"/>
                <w:szCs w:val="21"/>
                <w:highlight w:val="none"/>
                <w:lang w:eastAsia="zh-CN" w:bidi="ar"/>
              </w:rPr>
              <w:t>；</w:t>
            </w:r>
          </w:p>
          <w:p w14:paraId="7922211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6.</w:t>
            </w:r>
            <w:r>
              <w:rPr>
                <w:rFonts w:hint="eastAsia" w:asciiTheme="minorEastAsia" w:hAnsiTheme="minorEastAsia" w:eastAsiaTheme="minorEastAsia" w:cstheme="minorEastAsia"/>
                <w:color w:val="000000"/>
                <w:sz w:val="21"/>
                <w:szCs w:val="21"/>
                <w:highlight w:val="none"/>
                <w:lang w:bidi="ar"/>
              </w:rPr>
              <w:t>流量：</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color w:val="000000"/>
                <w:sz w:val="21"/>
                <w:szCs w:val="21"/>
                <w:highlight w:val="none"/>
                <w:lang w:bidi="ar"/>
              </w:rPr>
              <w:t>25L/min</w:t>
            </w:r>
            <w:r>
              <w:rPr>
                <w:rFonts w:hint="eastAsia" w:asciiTheme="minorEastAsia" w:hAnsiTheme="minorEastAsia" w:eastAsiaTheme="minorEastAsia" w:cstheme="minorEastAsia"/>
                <w:color w:val="000000"/>
                <w:sz w:val="21"/>
                <w:szCs w:val="21"/>
                <w:highlight w:val="none"/>
                <w:lang w:eastAsia="zh-CN" w:bidi="ar"/>
              </w:rPr>
              <w:t>；</w:t>
            </w:r>
          </w:p>
          <w:p w14:paraId="77D4CDC9">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7.</w:t>
            </w:r>
            <w:r>
              <w:rPr>
                <w:rFonts w:hint="eastAsia" w:asciiTheme="minorEastAsia" w:hAnsiTheme="minorEastAsia" w:eastAsiaTheme="minorEastAsia" w:cstheme="minorEastAsia"/>
                <w:color w:val="000000"/>
                <w:sz w:val="21"/>
                <w:szCs w:val="21"/>
                <w:highlight w:val="none"/>
                <w:lang w:bidi="ar"/>
              </w:rPr>
              <w:t>扬程：</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color w:val="000000"/>
                <w:sz w:val="21"/>
                <w:szCs w:val="21"/>
                <w:highlight w:val="none"/>
                <w:lang w:bidi="ar"/>
              </w:rPr>
              <w:t>25M</w:t>
            </w:r>
            <w:r>
              <w:rPr>
                <w:rFonts w:hint="eastAsia" w:asciiTheme="minorEastAsia" w:hAnsiTheme="minorEastAsia" w:eastAsiaTheme="minorEastAsia" w:cstheme="minorEastAsia"/>
                <w:color w:val="000000"/>
                <w:sz w:val="21"/>
                <w:szCs w:val="21"/>
                <w:highlight w:val="none"/>
                <w:lang w:eastAsia="zh-CN" w:bidi="ar"/>
              </w:rPr>
              <w:t>；</w:t>
            </w:r>
          </w:p>
          <w:p w14:paraId="18A24654">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8.</w:t>
            </w:r>
            <w:r>
              <w:rPr>
                <w:rFonts w:hint="eastAsia" w:asciiTheme="minorEastAsia" w:hAnsiTheme="minorEastAsia" w:eastAsiaTheme="minorEastAsia" w:cstheme="minorEastAsia"/>
                <w:color w:val="000000"/>
                <w:sz w:val="21"/>
                <w:szCs w:val="21"/>
                <w:highlight w:val="none"/>
                <w:lang w:bidi="ar"/>
              </w:rPr>
              <w:t>重量：</w:t>
            </w:r>
            <w:r>
              <w:rPr>
                <w:rFonts w:hint="eastAsia" w:asciiTheme="minorEastAsia" w:hAnsiTheme="minorEastAsia" w:eastAsiaTheme="minorEastAsia" w:cstheme="minorEastAsia"/>
                <w:sz w:val="21"/>
                <w:szCs w:val="21"/>
                <w:highlight w:val="none"/>
                <w:lang w:val="en-US" w:eastAsia="zh-CN"/>
              </w:rPr>
              <w:t>≤</w:t>
            </w:r>
            <w:r>
              <w:rPr>
                <w:rFonts w:hint="eastAsia" w:asciiTheme="minorEastAsia" w:hAnsiTheme="minorEastAsia" w:eastAsiaTheme="minorEastAsia" w:cstheme="minorEastAsia"/>
                <w:color w:val="000000"/>
                <w:sz w:val="21"/>
                <w:szCs w:val="21"/>
                <w:highlight w:val="none"/>
                <w:lang w:bidi="ar"/>
              </w:rPr>
              <w:t>30KG</w:t>
            </w:r>
            <w:r>
              <w:rPr>
                <w:rFonts w:hint="eastAsia" w:asciiTheme="minorEastAsia" w:hAnsiTheme="minorEastAsia" w:eastAsiaTheme="minorEastAsia" w:cstheme="minorEastAsia"/>
                <w:color w:val="000000"/>
                <w:sz w:val="21"/>
                <w:szCs w:val="21"/>
                <w:highlight w:val="none"/>
                <w:lang w:eastAsia="zh-CN" w:bidi="ar"/>
              </w:rPr>
              <w:t>；</w:t>
            </w:r>
          </w:p>
          <w:p w14:paraId="7236807C">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color w:val="000000"/>
                <w:sz w:val="21"/>
                <w:szCs w:val="21"/>
                <w:highlight w:val="none"/>
                <w:lang w:val="en-US" w:eastAsia="zh-CN" w:bidi="ar"/>
              </w:rPr>
              <w:t>9.</w:t>
            </w:r>
            <w:r>
              <w:rPr>
                <w:rFonts w:hint="eastAsia" w:asciiTheme="minorEastAsia" w:hAnsiTheme="minorEastAsia" w:eastAsiaTheme="minorEastAsia" w:cstheme="minorEastAsia"/>
                <w:color w:val="000000"/>
                <w:sz w:val="21"/>
                <w:szCs w:val="21"/>
                <w:highlight w:val="none"/>
                <w:lang w:bidi="ar"/>
              </w:rPr>
              <w:t>尺寸</w:t>
            </w:r>
            <w:r>
              <w:rPr>
                <w:rFonts w:hint="eastAsia" w:asciiTheme="minorEastAsia" w:hAnsiTheme="minorEastAsia" w:eastAsiaTheme="minorEastAsia" w:cstheme="minorEastAsia"/>
                <w:b w:val="0"/>
                <w:bCs w:val="0"/>
                <w:sz w:val="21"/>
                <w:szCs w:val="21"/>
                <w:highlight w:val="none"/>
                <w:vertAlign w:val="baseline"/>
                <w:lang w:val="en-US" w:eastAsia="zh-CN"/>
              </w:rPr>
              <w:t>(长*宽*高)</w:t>
            </w:r>
            <w:r>
              <w:rPr>
                <w:rFonts w:hint="eastAsia" w:asciiTheme="minorEastAsia" w:hAnsiTheme="minorEastAsia" w:eastAsiaTheme="minorEastAsia" w:cstheme="minorEastAsia"/>
                <w:color w:val="000000"/>
                <w:sz w:val="21"/>
                <w:szCs w:val="21"/>
                <w:highlight w:val="none"/>
                <w:lang w:bidi="ar"/>
              </w:rPr>
              <w:t>：</w:t>
            </w:r>
            <w:r>
              <w:rPr>
                <w:rFonts w:hint="eastAsia" w:asciiTheme="minorEastAsia" w:hAnsiTheme="minorEastAsia" w:eastAsiaTheme="minorEastAsia" w:cstheme="minorEastAsia"/>
                <w:b w:val="0"/>
                <w:bCs w:val="0"/>
                <w:sz w:val="21"/>
                <w:szCs w:val="21"/>
                <w:highlight w:val="none"/>
                <w:vertAlign w:val="baseline"/>
                <w:lang w:val="en-US" w:eastAsia="zh-CN"/>
              </w:rPr>
              <w:t>≤</w:t>
            </w:r>
            <w:r>
              <w:rPr>
                <w:rFonts w:hint="eastAsia" w:asciiTheme="minorEastAsia" w:hAnsiTheme="minorEastAsia" w:eastAsiaTheme="minorEastAsia" w:cstheme="minorEastAsia"/>
                <w:color w:val="000000"/>
                <w:sz w:val="21"/>
                <w:szCs w:val="21"/>
                <w:highlight w:val="none"/>
                <w:lang w:bidi="ar"/>
              </w:rPr>
              <w:t>540*350*660</w:t>
            </w:r>
            <w:r>
              <w:rPr>
                <w:rFonts w:hint="eastAsia" w:asciiTheme="minorEastAsia" w:hAnsiTheme="minorEastAsia" w:eastAsiaTheme="minorEastAsia" w:cstheme="minorEastAsia"/>
                <w:color w:val="000000"/>
                <w:sz w:val="21"/>
                <w:szCs w:val="21"/>
                <w:highlight w:val="none"/>
                <w:lang w:eastAsia="zh-CN" w:bidi="ar"/>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67E0EF35">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台</w:t>
            </w:r>
          </w:p>
        </w:tc>
      </w:tr>
      <w:tr w14:paraId="618FE631">
        <w:tblPrEx>
          <w:tblCellMar>
            <w:top w:w="0" w:type="dxa"/>
            <w:left w:w="0" w:type="dxa"/>
            <w:bottom w:w="0" w:type="dxa"/>
            <w:right w:w="0" w:type="dxa"/>
          </w:tblCellMar>
        </w:tblPrEx>
        <w:trPr>
          <w:trHeight w:val="567" w:hRule="atLeast"/>
          <w:jc w:val="center"/>
        </w:trPr>
        <w:tc>
          <w:tcPr>
            <w:tcW w:w="337"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9D03A42">
            <w:pPr>
              <w:pStyle w:val="57"/>
              <w:widowControl/>
              <w:numPr>
                <w:ilvl w:val="0"/>
                <w:numId w:val="3"/>
              </w:numPr>
              <w:spacing w:line="360" w:lineRule="auto"/>
              <w:ind w:left="425" w:leftChars="0" w:hanging="425" w:firstLineChars="0"/>
              <w:jc w:val="center"/>
              <w:textAlignment w:val="center"/>
              <w:rPr>
                <w:rFonts w:hint="eastAsia" w:ascii="宋体" w:hAnsi="宋体" w:eastAsia="宋体" w:cs="宋体"/>
                <w:color w:val="000000" w:themeColor="text1"/>
                <w:kern w:val="0"/>
                <w:sz w:val="21"/>
                <w:szCs w:val="21"/>
                <w:highlight w:val="none"/>
                <w:lang w:bidi="zh-CN"/>
                <w14:textFill>
                  <w14:solidFill>
                    <w14:schemeClr w14:val="tx1"/>
                  </w14:solidFill>
                </w14:textFill>
              </w:rPr>
            </w:pPr>
          </w:p>
        </w:tc>
        <w:tc>
          <w:tcPr>
            <w:tcW w:w="34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3C0A1971">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工业</w:t>
            </w:r>
          </w:p>
        </w:tc>
        <w:tc>
          <w:tcPr>
            <w:tcW w:w="718" w:type="pct"/>
            <w:gridSpan w:val="2"/>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076BF17">
            <w:pPr>
              <w:keepNext w:val="0"/>
              <w:keepLines w:val="0"/>
              <w:pageBreakBefore w:val="0"/>
              <w:kinsoku/>
              <w:wordWrap/>
              <w:overflowPunct/>
              <w:topLinePunct w:val="0"/>
              <w:autoSpaceDE/>
              <w:bidi w:val="0"/>
              <w:spacing w:line="36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color w:val="000000"/>
                <w:szCs w:val="21"/>
                <w:highlight w:val="none"/>
              </w:rPr>
              <w:t>高纯气体减压阀（氧气 / 氮气）</w:t>
            </w:r>
          </w:p>
        </w:tc>
        <w:tc>
          <w:tcPr>
            <w:tcW w:w="3252" w:type="pct"/>
            <w:tcBorders>
              <w:top w:val="single" w:color="auto" w:sz="4" w:space="0"/>
              <w:left w:val="nil"/>
              <w:bottom w:val="single" w:color="auto" w:sz="4" w:space="0"/>
              <w:right w:val="single" w:color="auto" w:sz="4" w:space="0"/>
            </w:tcBorders>
            <w:shd w:val="clear" w:color="auto" w:fill="auto"/>
            <w:tcMar>
              <w:top w:w="13" w:type="dxa"/>
              <w:left w:w="57" w:type="dxa"/>
              <w:bottom w:w="0" w:type="dxa"/>
              <w:right w:w="57" w:type="dxa"/>
            </w:tcMar>
            <w:vAlign w:val="center"/>
          </w:tcPr>
          <w:p w14:paraId="7DDEAD6A">
            <w:pPr>
              <w:keepNext w:val="0"/>
              <w:keepLines w:val="0"/>
              <w:pageBreakBefore w:val="0"/>
              <w:numPr>
                <w:ilvl w:val="0"/>
                <w:numId w:val="0"/>
              </w:numPr>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rPr>
            </w:pPr>
            <w:r>
              <w:rPr>
                <w:rFonts w:hint="eastAsia" w:asciiTheme="minorEastAsia" w:hAnsiTheme="minorEastAsia" w:eastAsiaTheme="minorEastAsia" w:cstheme="minorEastAsia"/>
                <w:color w:val="000000"/>
                <w:sz w:val="21"/>
                <w:szCs w:val="21"/>
                <w:highlight w:val="none"/>
                <w:lang w:val="en-US" w:eastAsia="zh-CN"/>
              </w:rPr>
              <w:t>1.</w:t>
            </w:r>
            <w:r>
              <w:rPr>
                <w:rFonts w:hint="eastAsia" w:asciiTheme="minorEastAsia" w:hAnsiTheme="minorEastAsia" w:eastAsiaTheme="minorEastAsia" w:cstheme="minorEastAsia"/>
                <w:color w:val="000000"/>
                <w:sz w:val="21"/>
                <w:szCs w:val="21"/>
                <w:highlight w:val="none"/>
              </w:rPr>
              <w:t>纯铜材质</w:t>
            </w:r>
            <w:r>
              <w:rPr>
                <w:rFonts w:hint="eastAsia" w:asciiTheme="minorEastAsia" w:hAnsiTheme="minorEastAsia" w:eastAsiaTheme="minorEastAsia" w:cstheme="minorEastAsia"/>
                <w:color w:val="000000"/>
                <w:sz w:val="21"/>
                <w:szCs w:val="21"/>
                <w:highlight w:val="none"/>
                <w:lang w:eastAsia="zh-CN"/>
              </w:rPr>
              <w:t>；</w:t>
            </w:r>
          </w:p>
          <w:p w14:paraId="5F75A6AE">
            <w:pPr>
              <w:keepNext w:val="0"/>
              <w:keepLines w:val="0"/>
              <w:pageBreakBefore w:val="0"/>
              <w:numPr>
                <w:ilvl w:val="0"/>
                <w:numId w:val="0"/>
              </w:numPr>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rPr>
              <w:t>2.</w:t>
            </w:r>
            <w:r>
              <w:rPr>
                <w:rFonts w:hint="eastAsia" w:asciiTheme="minorEastAsia" w:hAnsiTheme="minorEastAsia" w:eastAsiaTheme="minorEastAsia" w:cstheme="minorEastAsia"/>
                <w:color w:val="000000"/>
                <w:sz w:val="21"/>
                <w:szCs w:val="21"/>
                <w:highlight w:val="none"/>
                <w:lang w:bidi="ar"/>
              </w:rPr>
              <w:t>公式流量：≥20Nm³/h（标准状态）</w:t>
            </w:r>
            <w:r>
              <w:rPr>
                <w:rFonts w:hint="eastAsia" w:asciiTheme="minorEastAsia" w:hAnsiTheme="minorEastAsia" w:eastAsiaTheme="minorEastAsia" w:cstheme="minorEastAsia"/>
                <w:color w:val="000000"/>
                <w:sz w:val="21"/>
                <w:szCs w:val="21"/>
                <w:highlight w:val="none"/>
                <w:lang w:eastAsia="zh-CN" w:bidi="ar"/>
              </w:rPr>
              <w:t>；</w:t>
            </w:r>
          </w:p>
          <w:p w14:paraId="69CBE8B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3.</w:t>
            </w:r>
            <w:r>
              <w:rPr>
                <w:rFonts w:hint="eastAsia" w:asciiTheme="minorEastAsia" w:hAnsiTheme="minorEastAsia" w:eastAsiaTheme="minorEastAsia" w:cstheme="minorEastAsia"/>
                <w:color w:val="000000"/>
                <w:sz w:val="21"/>
                <w:szCs w:val="21"/>
                <w:highlight w:val="none"/>
                <w:lang w:bidi="ar"/>
              </w:rPr>
              <w:t>最高输入气压：15MPa</w:t>
            </w:r>
            <w:r>
              <w:rPr>
                <w:rFonts w:hint="eastAsia" w:asciiTheme="minorEastAsia" w:hAnsiTheme="minorEastAsia" w:eastAsiaTheme="minorEastAsia" w:cstheme="minorEastAsia"/>
                <w:color w:val="000000"/>
                <w:sz w:val="21"/>
                <w:szCs w:val="21"/>
                <w:highlight w:val="none"/>
                <w:lang w:eastAsia="zh-CN" w:bidi="ar"/>
              </w:rPr>
              <w:t>；</w:t>
            </w:r>
          </w:p>
          <w:p w14:paraId="2090550E">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4.</w:t>
            </w:r>
            <w:r>
              <w:rPr>
                <w:rFonts w:hint="eastAsia" w:asciiTheme="minorEastAsia" w:hAnsiTheme="minorEastAsia" w:eastAsiaTheme="minorEastAsia" w:cstheme="minorEastAsia"/>
                <w:color w:val="000000"/>
                <w:sz w:val="21"/>
                <w:szCs w:val="21"/>
                <w:highlight w:val="none"/>
                <w:lang w:bidi="ar"/>
              </w:rPr>
              <w:t>输出气压调节范围：</w:t>
            </w:r>
            <w:r>
              <w:rPr>
                <w:rFonts w:hint="eastAsia" w:asciiTheme="minorEastAsia" w:hAnsiTheme="minorEastAsia" w:eastAsiaTheme="minorEastAsia" w:cstheme="minorEastAsia"/>
                <w:color w:val="000000"/>
                <w:sz w:val="21"/>
                <w:szCs w:val="21"/>
                <w:highlight w:val="none"/>
                <w:lang w:val="en-US" w:eastAsia="zh-CN" w:bidi="ar"/>
              </w:rPr>
              <w:t>0.4</w:t>
            </w:r>
            <w:r>
              <w:rPr>
                <w:rFonts w:hint="eastAsia" w:asciiTheme="minorEastAsia" w:hAnsiTheme="minorEastAsia" w:eastAsiaTheme="minorEastAsia" w:cstheme="minorEastAsia"/>
                <w:color w:val="000000"/>
                <w:sz w:val="21"/>
                <w:szCs w:val="21"/>
                <w:highlight w:val="none"/>
                <w:lang w:bidi="ar"/>
              </w:rPr>
              <w:t>MPa～12MPa</w:t>
            </w:r>
            <w:r>
              <w:rPr>
                <w:rFonts w:hint="eastAsia" w:asciiTheme="minorEastAsia" w:hAnsiTheme="minorEastAsia" w:eastAsiaTheme="minorEastAsia" w:cstheme="minorEastAsia"/>
                <w:color w:val="000000"/>
                <w:sz w:val="21"/>
                <w:szCs w:val="21"/>
                <w:highlight w:val="none"/>
                <w:lang w:eastAsia="zh-CN" w:bidi="ar"/>
              </w:rPr>
              <w:t>；</w:t>
            </w:r>
          </w:p>
          <w:p w14:paraId="18A2BEEB">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5.</w:t>
            </w:r>
            <w:r>
              <w:rPr>
                <w:rFonts w:hint="eastAsia" w:asciiTheme="minorEastAsia" w:hAnsiTheme="minorEastAsia" w:eastAsiaTheme="minorEastAsia" w:cstheme="minorEastAsia"/>
                <w:color w:val="000000"/>
                <w:sz w:val="21"/>
                <w:szCs w:val="21"/>
                <w:highlight w:val="none"/>
                <w:lang w:bidi="ar"/>
              </w:rPr>
              <w:t>输入压力表量程：0～25MPa</w:t>
            </w:r>
            <w:r>
              <w:rPr>
                <w:rFonts w:hint="eastAsia" w:asciiTheme="minorEastAsia" w:hAnsiTheme="minorEastAsia" w:eastAsiaTheme="minorEastAsia" w:cstheme="minorEastAsia"/>
                <w:color w:val="000000"/>
                <w:sz w:val="21"/>
                <w:szCs w:val="21"/>
                <w:highlight w:val="none"/>
                <w:lang w:eastAsia="zh-CN" w:bidi="ar"/>
              </w:rPr>
              <w:t>；</w:t>
            </w:r>
          </w:p>
          <w:p w14:paraId="3F85007D">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sz w:val="21"/>
                <w:szCs w:val="21"/>
                <w:highlight w:val="none"/>
                <w:lang w:eastAsia="zh-CN" w:bidi="ar"/>
              </w:rPr>
            </w:pPr>
            <w:r>
              <w:rPr>
                <w:rFonts w:hint="eastAsia" w:asciiTheme="minorEastAsia" w:hAnsiTheme="minorEastAsia" w:eastAsiaTheme="minorEastAsia" w:cstheme="minorEastAsia"/>
                <w:color w:val="000000"/>
                <w:sz w:val="21"/>
                <w:szCs w:val="21"/>
                <w:highlight w:val="none"/>
                <w:lang w:val="en-US" w:eastAsia="zh-CN" w:bidi="ar"/>
              </w:rPr>
              <w:t>6.</w:t>
            </w:r>
            <w:r>
              <w:rPr>
                <w:rFonts w:hint="eastAsia" w:asciiTheme="minorEastAsia" w:hAnsiTheme="minorEastAsia" w:eastAsiaTheme="minorEastAsia" w:cstheme="minorEastAsia"/>
                <w:color w:val="000000"/>
                <w:sz w:val="21"/>
                <w:szCs w:val="21"/>
                <w:highlight w:val="none"/>
                <w:lang w:bidi="ar"/>
              </w:rPr>
              <w:t>输出量程：16MPa</w:t>
            </w:r>
            <w:r>
              <w:rPr>
                <w:rFonts w:hint="eastAsia" w:asciiTheme="minorEastAsia" w:hAnsiTheme="minorEastAsia" w:eastAsiaTheme="minorEastAsia" w:cstheme="minorEastAsia"/>
                <w:color w:val="000000"/>
                <w:sz w:val="21"/>
                <w:szCs w:val="21"/>
                <w:highlight w:val="none"/>
                <w:lang w:eastAsia="zh-CN" w:bidi="ar"/>
              </w:rPr>
              <w:t>；</w:t>
            </w:r>
          </w:p>
          <w:p w14:paraId="233909C5">
            <w:pPr>
              <w:keepNext w:val="0"/>
              <w:keepLines w:val="0"/>
              <w:pageBreakBefore w:val="0"/>
              <w:kinsoku/>
              <w:wordWrap/>
              <w:overflowPunct/>
              <w:topLinePunct w:val="0"/>
              <w:autoSpaceDE/>
              <w:bidi w:val="0"/>
              <w:spacing w:line="360" w:lineRule="auto"/>
              <w:jc w:val="left"/>
              <w:rPr>
                <w:rFonts w:hint="eastAsia" w:asciiTheme="minorEastAsia" w:hAnsiTheme="minorEastAsia" w:eastAsiaTheme="minorEastAsia" w:cstheme="minorEastAsia"/>
                <w:color w:val="000000"/>
                <w:kern w:val="2"/>
                <w:sz w:val="21"/>
                <w:szCs w:val="21"/>
                <w:highlight w:val="none"/>
                <w:u w:val="none"/>
                <w:lang w:val="en-US" w:eastAsia="zh-CN" w:bidi="ar"/>
              </w:rPr>
            </w:pPr>
            <w:r>
              <w:rPr>
                <w:rFonts w:hint="eastAsia" w:asciiTheme="minorEastAsia" w:hAnsiTheme="minorEastAsia" w:eastAsiaTheme="minorEastAsia" w:cstheme="minorEastAsia"/>
                <w:color w:val="000000"/>
                <w:sz w:val="21"/>
                <w:szCs w:val="21"/>
                <w:highlight w:val="none"/>
                <w:lang w:val="en-US" w:eastAsia="zh-CN" w:bidi="ar"/>
              </w:rPr>
              <w:t>7.</w:t>
            </w:r>
            <w:r>
              <w:rPr>
                <w:rFonts w:hint="eastAsia" w:asciiTheme="minorEastAsia" w:hAnsiTheme="minorEastAsia" w:eastAsiaTheme="minorEastAsia" w:cstheme="minorEastAsia"/>
                <w:color w:val="000000"/>
                <w:sz w:val="21"/>
                <w:szCs w:val="21"/>
                <w:highlight w:val="none"/>
                <w:lang w:bidi="ar"/>
              </w:rPr>
              <w:t>输入端螺纹规格：G5/8 右旋（RH）</w:t>
            </w:r>
            <w:r>
              <w:rPr>
                <w:rFonts w:hint="eastAsia" w:asciiTheme="minorEastAsia" w:hAnsiTheme="minorEastAsia" w:eastAsiaTheme="minorEastAsia" w:cstheme="minorEastAsia"/>
                <w:color w:val="000000"/>
                <w:sz w:val="21"/>
                <w:szCs w:val="21"/>
                <w:highlight w:val="none"/>
                <w:lang w:eastAsia="zh-CN" w:bidi="ar"/>
              </w:rPr>
              <w:t>。</w:t>
            </w:r>
          </w:p>
        </w:tc>
        <w:tc>
          <w:tcPr>
            <w:tcW w:w="349" w:type="pct"/>
            <w:tcBorders>
              <w:top w:val="single" w:color="auto" w:sz="4" w:space="0"/>
              <w:left w:val="nil"/>
              <w:bottom w:val="single" w:color="auto" w:sz="4" w:space="0"/>
              <w:right w:val="single" w:color="auto" w:sz="4" w:space="0"/>
            </w:tcBorders>
            <w:shd w:val="clear" w:color="auto" w:fill="auto"/>
            <w:vAlign w:val="center"/>
          </w:tcPr>
          <w:p w14:paraId="7E9724D5">
            <w:pPr>
              <w:keepNext w:val="0"/>
              <w:keepLines w:val="0"/>
              <w:pageBreakBefore w:val="0"/>
              <w:kinsoku/>
              <w:wordWrap/>
              <w:overflowPunct/>
              <w:topLinePunct w:val="0"/>
              <w:autoSpaceDE/>
              <w:bidi w:val="0"/>
              <w:spacing w:line="360" w:lineRule="auto"/>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b w:val="0"/>
                <w:bCs w:val="0"/>
                <w:sz w:val="21"/>
                <w:szCs w:val="21"/>
                <w:highlight w:val="none"/>
                <w:vertAlign w:val="baseline"/>
                <w:lang w:val="en-US" w:eastAsia="zh-CN"/>
              </w:rPr>
              <w:t>1</w:t>
            </w:r>
            <w:r>
              <w:rPr>
                <w:rFonts w:hint="eastAsia" w:ascii="宋体" w:hAnsi="宋体" w:eastAsia="宋体" w:cs="宋体"/>
                <w:sz w:val="21"/>
                <w:szCs w:val="21"/>
                <w:highlight w:val="none"/>
                <w:vertAlign w:val="baseline"/>
                <w:lang w:val="en-US" w:eastAsia="zh-CN"/>
              </w:rPr>
              <w:t>个</w:t>
            </w:r>
          </w:p>
        </w:tc>
      </w:tr>
      <w:tr w14:paraId="0DE02DAB">
        <w:tblPrEx>
          <w:tblCellMar>
            <w:top w:w="0" w:type="dxa"/>
            <w:left w:w="0" w:type="dxa"/>
            <w:bottom w:w="0" w:type="dxa"/>
            <w:right w:w="0" w:type="dxa"/>
          </w:tblCellMar>
        </w:tblPrEx>
        <w:trPr>
          <w:trHeight w:val="567" w:hRule="atLeast"/>
          <w:jc w:val="center"/>
        </w:trPr>
        <w:tc>
          <w:tcPr>
            <w:tcW w:w="5000" w:type="pct"/>
            <w:gridSpan w:val="6"/>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4DB3817">
            <w:pPr>
              <w:keepNext w:val="0"/>
              <w:keepLines w:val="0"/>
              <w:pageBreakBefore w:val="0"/>
              <w:kinsoku/>
              <w:wordWrap/>
              <w:overflowPunct/>
              <w:topLinePunct w:val="0"/>
              <w:autoSpaceDE/>
              <w:bidi w:val="0"/>
              <w:spacing w:line="360" w:lineRule="auto"/>
              <w:jc w:val="left"/>
              <w:rPr>
                <w:rFonts w:hint="eastAsia" w:ascii="微软雅黑" w:hAnsi="微软雅黑" w:eastAsia="微软雅黑" w:cs="微软雅黑"/>
                <w:b/>
                <w:bCs/>
                <w:sz w:val="21"/>
                <w:szCs w:val="21"/>
                <w:highlight w:val="none"/>
                <w:vertAlign w:val="baseline"/>
                <w:lang w:val="en-US" w:eastAsia="zh-CN"/>
              </w:rPr>
            </w:pPr>
            <w:r>
              <w:rPr>
                <w:rFonts w:hint="eastAsia" w:ascii="微软雅黑" w:hAnsi="微软雅黑" w:eastAsia="微软雅黑" w:cs="微软雅黑"/>
                <w:b/>
                <w:bCs/>
                <w:sz w:val="21"/>
                <w:szCs w:val="21"/>
                <w:highlight w:val="none"/>
                <w:vertAlign w:val="baseline"/>
                <w:lang w:val="en-US" w:eastAsia="zh-CN"/>
              </w:rPr>
              <w:t>▲</w:t>
            </w:r>
            <w:r>
              <w:rPr>
                <w:rFonts w:hint="eastAsia" w:ascii="宋体" w:hAnsi="宋体" w:eastAsia="宋体" w:cs="宋体"/>
                <w:b/>
                <w:bCs/>
                <w:sz w:val="21"/>
                <w:szCs w:val="21"/>
                <w:highlight w:val="none"/>
                <w:vertAlign w:val="baseline"/>
                <w:lang w:val="en-US" w:eastAsia="zh-CN"/>
              </w:rPr>
              <w:t>二、商务要求</w:t>
            </w:r>
          </w:p>
        </w:tc>
      </w:tr>
      <w:tr w14:paraId="2EFC7731">
        <w:tblPrEx>
          <w:tblCellMar>
            <w:top w:w="0" w:type="dxa"/>
            <w:left w:w="0" w:type="dxa"/>
            <w:bottom w:w="0" w:type="dxa"/>
            <w:right w:w="0" w:type="dxa"/>
          </w:tblCellMar>
        </w:tblPrEx>
        <w:trPr>
          <w:trHeight w:val="567" w:hRule="atLeast"/>
          <w:jc w:val="center"/>
        </w:trPr>
        <w:tc>
          <w:tcPr>
            <w:tcW w:w="931" w:type="pct"/>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C2F40B1">
            <w:pPr>
              <w:spacing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报价要求</w:t>
            </w:r>
          </w:p>
        </w:tc>
        <w:tc>
          <w:tcPr>
            <w:tcW w:w="4068" w:type="pct"/>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80B727E">
            <w:pPr>
              <w:autoSpaceDE w:val="0"/>
              <w:autoSpaceDN w:val="0"/>
              <w:snapToGrid w:val="0"/>
              <w:spacing w:line="360" w:lineRule="auto"/>
              <w:textAlignment w:val="bottom"/>
              <w:rPr>
                <w:rFonts w:hint="eastAsia" w:ascii="宋体" w:hAnsi="宋体" w:cs="宋体"/>
                <w:szCs w:val="21"/>
                <w:highlight w:val="none"/>
              </w:rPr>
            </w:pPr>
            <w:r>
              <w:rPr>
                <w:rFonts w:hint="eastAsia" w:ascii="宋体" w:hAnsi="宋体" w:cs="宋体"/>
                <w:szCs w:val="21"/>
                <w:highlight w:val="none"/>
              </w:rPr>
              <w:t>报价为采购人指定地点的现场交货价，包括：</w:t>
            </w:r>
          </w:p>
          <w:p w14:paraId="182A61FD">
            <w:pPr>
              <w:autoSpaceDE w:val="0"/>
              <w:autoSpaceDN w:val="0"/>
              <w:snapToGrid w:val="0"/>
              <w:spacing w:line="360" w:lineRule="auto"/>
              <w:textAlignment w:val="bottom"/>
              <w:rPr>
                <w:rFonts w:hint="eastAsia" w:ascii="宋体" w:hAnsi="宋体" w:cs="宋体"/>
                <w:szCs w:val="21"/>
                <w:highlight w:val="none"/>
              </w:rPr>
            </w:pPr>
            <w:r>
              <w:rPr>
                <w:rFonts w:hint="eastAsia" w:ascii="宋体" w:hAnsi="宋体" w:cs="宋体"/>
                <w:szCs w:val="21"/>
                <w:highlight w:val="none"/>
              </w:rPr>
              <w:t>（1）货物的价格：包括货款、零配件、安装调试费、验收费；</w:t>
            </w:r>
          </w:p>
          <w:p w14:paraId="74DEBEC9">
            <w:pPr>
              <w:autoSpaceDE w:val="0"/>
              <w:autoSpaceDN w:val="0"/>
              <w:snapToGrid w:val="0"/>
              <w:spacing w:line="360" w:lineRule="auto"/>
              <w:textAlignment w:val="bottom"/>
              <w:rPr>
                <w:rFonts w:hint="eastAsia" w:ascii="宋体" w:hAnsi="宋体" w:cs="宋体"/>
                <w:szCs w:val="21"/>
                <w:highlight w:val="none"/>
              </w:rPr>
            </w:pPr>
            <w:r>
              <w:rPr>
                <w:rFonts w:hint="eastAsia" w:ascii="宋体" w:hAnsi="宋体" w:cs="宋体"/>
                <w:szCs w:val="21"/>
                <w:highlight w:val="none"/>
              </w:rPr>
              <w:t>（2）货物的标准附件、备品备件、专用工具的价格；</w:t>
            </w:r>
          </w:p>
          <w:p w14:paraId="2690B511">
            <w:pPr>
              <w:autoSpaceDE w:val="0"/>
              <w:autoSpaceDN w:val="0"/>
              <w:snapToGrid w:val="0"/>
              <w:spacing w:line="360" w:lineRule="auto"/>
              <w:textAlignment w:val="bottom"/>
              <w:rPr>
                <w:rFonts w:hint="eastAsia" w:ascii="宋体" w:hAnsi="宋体" w:cs="宋体"/>
                <w:szCs w:val="21"/>
                <w:highlight w:val="none"/>
              </w:rPr>
            </w:pPr>
            <w:r>
              <w:rPr>
                <w:rFonts w:hint="eastAsia" w:ascii="宋体" w:hAnsi="宋体" w:cs="宋体"/>
                <w:szCs w:val="21"/>
                <w:highlight w:val="none"/>
              </w:rPr>
              <w:t>（3）运输、装卸、调试、培训、技术支持、售后服务费；</w:t>
            </w:r>
          </w:p>
          <w:p w14:paraId="287AEC6D">
            <w:pPr>
              <w:autoSpaceDE w:val="0"/>
              <w:autoSpaceDN w:val="0"/>
              <w:snapToGrid w:val="0"/>
              <w:spacing w:line="360" w:lineRule="auto"/>
              <w:textAlignment w:val="bottom"/>
              <w:rPr>
                <w:rFonts w:hint="eastAsia" w:ascii="宋体" w:hAnsi="宋体" w:cs="宋体"/>
                <w:szCs w:val="21"/>
                <w:highlight w:val="none"/>
              </w:rPr>
            </w:pPr>
            <w:r>
              <w:rPr>
                <w:rFonts w:hint="eastAsia" w:ascii="宋体" w:hAnsi="宋体" w:cs="宋体"/>
                <w:szCs w:val="21"/>
                <w:highlight w:val="none"/>
              </w:rPr>
              <w:t>（4）按采购人要求进行摆放的费用。</w:t>
            </w:r>
          </w:p>
          <w:p w14:paraId="4261DFC6">
            <w:pPr>
              <w:spacing w:line="360" w:lineRule="auto"/>
              <w:jc w:val="left"/>
              <w:rPr>
                <w:rFonts w:hint="eastAsia" w:ascii="宋体" w:hAnsi="宋体" w:cs="宋体"/>
                <w:szCs w:val="21"/>
                <w:highlight w:val="none"/>
              </w:rPr>
            </w:pPr>
            <w:r>
              <w:rPr>
                <w:rFonts w:hint="eastAsia" w:ascii="宋体" w:hAnsi="宋体" w:cs="宋体"/>
                <w:szCs w:val="21"/>
                <w:highlight w:val="none"/>
              </w:rPr>
              <w:t>注：供应商自行考虑完成项目所需的辅材、零配件等数量，报价中应包含全部内容，成交后采购人不再另行支付额外费用。</w:t>
            </w:r>
          </w:p>
        </w:tc>
      </w:tr>
      <w:tr w14:paraId="4B45357C">
        <w:tblPrEx>
          <w:tblCellMar>
            <w:top w:w="0" w:type="dxa"/>
            <w:left w:w="0" w:type="dxa"/>
            <w:bottom w:w="0" w:type="dxa"/>
            <w:right w:w="0" w:type="dxa"/>
          </w:tblCellMar>
        </w:tblPrEx>
        <w:trPr>
          <w:trHeight w:val="567" w:hRule="atLeast"/>
          <w:jc w:val="center"/>
        </w:trPr>
        <w:tc>
          <w:tcPr>
            <w:tcW w:w="931" w:type="pct"/>
            <w:gridSpan w:val="3"/>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10ACE1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sz w:val="21"/>
                <w:szCs w:val="21"/>
                <w:highlight w:val="none"/>
              </w:rPr>
              <w:t>合同签订时间</w:t>
            </w:r>
          </w:p>
        </w:tc>
        <w:tc>
          <w:tcPr>
            <w:tcW w:w="4068" w:type="pct"/>
            <w:gridSpan w:val="3"/>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16D272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color w:val="000000"/>
                <w:sz w:val="21"/>
                <w:szCs w:val="21"/>
                <w:highlight w:val="none"/>
              </w:rPr>
              <w:t>自成交通知书发出之日起25日内</w:t>
            </w:r>
            <w:r>
              <w:rPr>
                <w:rFonts w:hint="eastAsia" w:ascii="宋体" w:hAnsi="宋体" w:eastAsia="宋体" w:cs="宋体"/>
                <w:color w:val="000000"/>
                <w:sz w:val="21"/>
                <w:szCs w:val="21"/>
                <w:highlight w:val="none"/>
                <w:lang w:eastAsia="zh-CN"/>
              </w:rPr>
              <w:t>。</w:t>
            </w:r>
          </w:p>
        </w:tc>
      </w:tr>
      <w:tr w14:paraId="5752BFE8">
        <w:tblPrEx>
          <w:tblCellMar>
            <w:top w:w="0" w:type="dxa"/>
            <w:left w:w="0" w:type="dxa"/>
            <w:bottom w:w="0" w:type="dxa"/>
            <w:right w:w="0" w:type="dxa"/>
          </w:tblCellMar>
        </w:tblPrEx>
        <w:trPr>
          <w:trHeight w:val="567" w:hRule="atLeast"/>
          <w:jc w:val="center"/>
        </w:trPr>
        <w:tc>
          <w:tcPr>
            <w:tcW w:w="931" w:type="pct"/>
            <w:gridSpan w:val="3"/>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74602771">
            <w:pPr>
              <w:spacing w:line="360" w:lineRule="auto"/>
              <w:jc w:val="cente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质保期</w:t>
            </w:r>
          </w:p>
        </w:tc>
        <w:tc>
          <w:tcPr>
            <w:tcW w:w="4068" w:type="pct"/>
            <w:gridSpan w:val="3"/>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20E03812">
            <w:pPr>
              <w:spacing w:line="360" w:lineRule="auto"/>
              <w:jc w:val="left"/>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auto"/>
                <w:sz w:val="21"/>
                <w:szCs w:val="21"/>
                <w:highlight w:val="none"/>
              </w:rPr>
              <w:t>按国家有关产品“三包”规定执行“三包”，所有货物质保期不少于</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年（采购需求另有要求的，按具体要求执行，若厂家质保期超过要求年限的，按厂家规定全免费包修），质保期内负责保修。</w:t>
            </w:r>
          </w:p>
        </w:tc>
      </w:tr>
      <w:tr w14:paraId="39983B58">
        <w:tblPrEx>
          <w:tblCellMar>
            <w:top w:w="0" w:type="dxa"/>
            <w:left w:w="0" w:type="dxa"/>
            <w:bottom w:w="0" w:type="dxa"/>
            <w:right w:w="0" w:type="dxa"/>
          </w:tblCellMar>
        </w:tblPrEx>
        <w:trPr>
          <w:trHeight w:val="567" w:hRule="atLeast"/>
          <w:jc w:val="center"/>
        </w:trPr>
        <w:tc>
          <w:tcPr>
            <w:tcW w:w="931" w:type="pct"/>
            <w:gridSpan w:val="3"/>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5EBFAAEF">
            <w:pPr>
              <w:spacing w:line="360" w:lineRule="auto"/>
              <w:jc w:val="cente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交付时间、交付地点</w:t>
            </w:r>
          </w:p>
        </w:tc>
        <w:tc>
          <w:tcPr>
            <w:tcW w:w="4068" w:type="pct"/>
            <w:gridSpan w:val="3"/>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4C4AF189">
            <w:pPr>
              <w:spacing w:line="360" w:lineRule="auto"/>
              <w:jc w:val="both"/>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交付时间：</w:t>
            </w:r>
            <w:r>
              <w:rPr>
                <w:rFonts w:hint="eastAsia" w:ascii="宋体" w:hAnsi="宋体" w:eastAsia="宋体" w:cs="宋体"/>
                <w:b w:val="0"/>
                <w:bCs w:val="0"/>
                <w:color w:val="000000" w:themeColor="text1"/>
                <w:sz w:val="21"/>
                <w:szCs w:val="21"/>
                <w:highlight w:val="none"/>
                <w14:textFill>
                  <w14:solidFill>
                    <w14:schemeClr w14:val="tx1"/>
                  </w14:solidFill>
                </w14:textFill>
              </w:rPr>
              <w:t>所有货物自合同签订之日起30工作日内交付使用。</w:t>
            </w:r>
          </w:p>
          <w:p w14:paraId="2F116086">
            <w:pPr>
              <w:spacing w:line="360" w:lineRule="auto"/>
              <w:jc w:val="both"/>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交付地点：采购人指定地点。</w:t>
            </w:r>
          </w:p>
        </w:tc>
      </w:tr>
      <w:tr w14:paraId="53FD21E1">
        <w:tblPrEx>
          <w:tblCellMar>
            <w:top w:w="0" w:type="dxa"/>
            <w:left w:w="0" w:type="dxa"/>
            <w:bottom w:w="0" w:type="dxa"/>
            <w:right w:w="0" w:type="dxa"/>
          </w:tblCellMar>
        </w:tblPrEx>
        <w:trPr>
          <w:trHeight w:val="567" w:hRule="atLeast"/>
          <w:jc w:val="center"/>
        </w:trPr>
        <w:tc>
          <w:tcPr>
            <w:tcW w:w="931" w:type="pct"/>
            <w:gridSpan w:val="3"/>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107BEB3E">
            <w:pPr>
              <w:spacing w:line="360" w:lineRule="auto"/>
              <w:jc w:val="cente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付款条件</w:t>
            </w:r>
          </w:p>
        </w:tc>
        <w:tc>
          <w:tcPr>
            <w:tcW w:w="4068" w:type="pct"/>
            <w:gridSpan w:val="3"/>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053E88FD">
            <w:pPr>
              <w:spacing w:line="360" w:lineRule="auto"/>
              <w:jc w:val="both"/>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color w:val="auto"/>
                <w:highlight w:val="none"/>
              </w:rPr>
              <w:t>签订合同后，</w:t>
            </w:r>
            <w:r>
              <w:rPr>
                <w:rFonts w:hint="default" w:ascii="宋体" w:hAnsi="宋体"/>
                <w:color w:val="auto"/>
                <w:highlight w:val="none"/>
                <w:lang w:val="en" w:eastAsia="zh-CN"/>
              </w:rPr>
              <w:t>成交</w:t>
            </w:r>
            <w:r>
              <w:rPr>
                <w:rFonts w:hint="eastAsia" w:ascii="宋体" w:hAnsi="宋体"/>
                <w:color w:val="auto"/>
                <w:highlight w:val="none"/>
              </w:rPr>
              <w:t>供应商完成项目且验收合格后，</w:t>
            </w:r>
            <w:r>
              <w:rPr>
                <w:rFonts w:hint="default" w:ascii="宋体" w:hAnsi="宋体"/>
                <w:color w:val="auto"/>
                <w:highlight w:val="none"/>
                <w:lang w:val="en" w:eastAsia="zh-CN"/>
              </w:rPr>
              <w:t>成交</w:t>
            </w:r>
            <w:r>
              <w:rPr>
                <w:rFonts w:hint="eastAsia" w:ascii="宋体" w:hAnsi="宋体"/>
                <w:color w:val="auto"/>
                <w:highlight w:val="none"/>
              </w:rPr>
              <w:t>供应商开具合格发票并提供履约保证金转账凭证后一次性支付。</w:t>
            </w:r>
          </w:p>
        </w:tc>
      </w:tr>
      <w:tr w14:paraId="60D0F9CD">
        <w:tblPrEx>
          <w:tblCellMar>
            <w:top w:w="0" w:type="dxa"/>
            <w:left w:w="0" w:type="dxa"/>
            <w:bottom w:w="0" w:type="dxa"/>
            <w:right w:w="0" w:type="dxa"/>
          </w:tblCellMar>
        </w:tblPrEx>
        <w:trPr>
          <w:trHeight w:val="567" w:hRule="atLeast"/>
          <w:jc w:val="center"/>
        </w:trPr>
        <w:tc>
          <w:tcPr>
            <w:tcW w:w="931" w:type="pct"/>
            <w:gridSpan w:val="3"/>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272DF583">
            <w:pPr>
              <w:widowControl/>
              <w:spacing w:line="360" w:lineRule="auto"/>
              <w:jc w:val="cente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sz w:val="21"/>
                <w:szCs w:val="21"/>
                <w:highlight w:val="none"/>
              </w:rPr>
              <w:t>验收标准、规范</w:t>
            </w:r>
          </w:p>
        </w:tc>
        <w:tc>
          <w:tcPr>
            <w:tcW w:w="4068" w:type="pct"/>
            <w:gridSpan w:val="3"/>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342BED22">
            <w:pPr>
              <w:widowControl/>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1.验收条件及标准</w:t>
            </w:r>
          </w:p>
          <w:p w14:paraId="20ACA3F7">
            <w:pPr>
              <w:widowControl/>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（1）符合合同要求及国家相关标准；</w:t>
            </w:r>
          </w:p>
          <w:p w14:paraId="6B703345">
            <w:pPr>
              <w:widowControl/>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（2）参数配置符合或优于合同要求；</w:t>
            </w:r>
          </w:p>
          <w:p w14:paraId="2716A9B0">
            <w:pPr>
              <w:widowControl/>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成交人在货物验收时由采购单位对照竞争性谈判文件的功能目标及技术指标全面核对检验，对所有要求出具的证明文件的原件进行核查，如不符合竞争性谈判文件的技术需求及要求以及提供虚假承诺的，按相关规定做退货处理及违约处理，成交人承担所有责任和费用，采购人保留进一步追究责任的权利。</w:t>
            </w:r>
          </w:p>
          <w:p w14:paraId="52719148">
            <w:pPr>
              <w:widowControl/>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2.验收方法及方案：</w:t>
            </w:r>
          </w:p>
          <w:p w14:paraId="40E9C970">
            <w:pPr>
              <w:widowControl/>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（1）验收方式：设备到达单位，安装、调试完毕且正常，供需双方共同确认货物性能合格后，完成货物验收。</w:t>
            </w:r>
          </w:p>
          <w:p w14:paraId="372C8174">
            <w:pPr>
              <w:widowControl/>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（2）验收费用：验收所产生的劳务费、检验费（含抽检时可能对样品造成的物理伤害和破坏）、场保费及相关发生的全部费用均由成交人承担。</w:t>
            </w:r>
          </w:p>
          <w:p w14:paraId="1B4229B2">
            <w:pPr>
              <w:widowControl/>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（3）交付验收应按本分标约定的时间进行，如因采购人的原因而导致不能按时交付，将按延期时间顺延交付时间。</w:t>
            </w:r>
          </w:p>
          <w:p w14:paraId="3BC5ACB5">
            <w:pPr>
              <w:widowControl/>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3.实施和安装要求：</w:t>
            </w:r>
          </w:p>
          <w:p w14:paraId="6115BEAB">
            <w:pPr>
              <w:widowControl/>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（1）供应商必须服从甲方现场负责人的指挥，按指定地点进行安装；</w:t>
            </w:r>
          </w:p>
          <w:p w14:paraId="08C148D8">
            <w:pPr>
              <w:widowControl/>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（2）安装过程中的所有安全保障由供应商自行负责；</w:t>
            </w:r>
          </w:p>
          <w:p w14:paraId="21D1ECD0">
            <w:pPr>
              <w:spacing w:line="360" w:lineRule="auto"/>
              <w:jc w:val="both"/>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z w:val="21"/>
                <w:szCs w:val="21"/>
                <w:highlight w:val="none"/>
              </w:rPr>
              <w:t>（3）严格按所投产品的安装规范要求进行安装，确保安全。</w:t>
            </w:r>
          </w:p>
        </w:tc>
      </w:tr>
      <w:tr w14:paraId="3ADDD97E">
        <w:tblPrEx>
          <w:tblCellMar>
            <w:top w:w="0" w:type="dxa"/>
            <w:left w:w="0" w:type="dxa"/>
            <w:bottom w:w="0" w:type="dxa"/>
            <w:right w:w="0" w:type="dxa"/>
          </w:tblCellMar>
        </w:tblPrEx>
        <w:trPr>
          <w:trHeight w:val="567" w:hRule="atLeast"/>
          <w:jc w:val="center"/>
        </w:trPr>
        <w:tc>
          <w:tcPr>
            <w:tcW w:w="931" w:type="pct"/>
            <w:gridSpan w:val="3"/>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46D61F2F">
            <w:pPr>
              <w:spacing w:line="360" w:lineRule="auto"/>
              <w:jc w:val="cente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进口产品要求</w:t>
            </w:r>
          </w:p>
        </w:tc>
        <w:tc>
          <w:tcPr>
            <w:tcW w:w="4068" w:type="pct"/>
            <w:gridSpan w:val="3"/>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51370A3C">
            <w:pPr>
              <w:spacing w:line="360" w:lineRule="auto"/>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szCs w:val="21"/>
                <w:highlight w:val="none"/>
              </w:rPr>
              <w:t>本表货物不接受进口产品（即通过中国海关报关验放进入中国境内且产自关境外的产品）参与竞标，</w:t>
            </w:r>
            <w:r>
              <w:rPr>
                <w:rFonts w:hint="eastAsia" w:ascii="宋体" w:hAnsi="宋体"/>
                <w:b/>
                <w:szCs w:val="21"/>
                <w:highlight w:val="none"/>
              </w:rPr>
              <w:t>如有进口产品参与竞标的，其响应文件按无效处理</w:t>
            </w:r>
            <w:r>
              <w:rPr>
                <w:rFonts w:hint="eastAsia" w:ascii="宋体" w:hAnsi="宋体"/>
                <w:szCs w:val="21"/>
                <w:highlight w:val="none"/>
              </w:rPr>
              <w:t>。</w:t>
            </w:r>
          </w:p>
        </w:tc>
      </w:tr>
      <w:tr w14:paraId="3E9C99EF">
        <w:tblPrEx>
          <w:tblCellMar>
            <w:top w:w="0" w:type="dxa"/>
            <w:left w:w="0" w:type="dxa"/>
            <w:bottom w:w="0" w:type="dxa"/>
            <w:right w:w="0" w:type="dxa"/>
          </w:tblCellMar>
        </w:tblPrEx>
        <w:trPr>
          <w:trHeight w:val="567" w:hRule="atLeast"/>
          <w:jc w:val="center"/>
        </w:trPr>
        <w:tc>
          <w:tcPr>
            <w:tcW w:w="931" w:type="pct"/>
            <w:gridSpan w:val="3"/>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4686FB43">
            <w:pPr>
              <w:spacing w:line="360" w:lineRule="auto"/>
              <w:jc w:val="cente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核心产品</w:t>
            </w:r>
          </w:p>
        </w:tc>
        <w:tc>
          <w:tcPr>
            <w:tcW w:w="4068" w:type="pct"/>
            <w:gridSpan w:val="3"/>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771BC97F">
            <w:pPr>
              <w:spacing w:line="360" w:lineRule="auto"/>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color w:val="auto"/>
                <w:sz w:val="21"/>
                <w:szCs w:val="21"/>
                <w:highlight w:val="none"/>
              </w:rPr>
              <w:t>核心产品为“</w:t>
            </w:r>
            <w:r>
              <w:rPr>
                <w:rFonts w:hint="eastAsia" w:ascii="宋体" w:hAnsi="宋体" w:eastAsia="宋体" w:cs="宋体"/>
                <w:b/>
                <w:color w:val="auto"/>
                <w:sz w:val="21"/>
                <w:szCs w:val="21"/>
                <w:highlight w:val="none"/>
                <w:lang w:val="en-US" w:eastAsia="zh-CN"/>
              </w:rPr>
              <w:t>双光束紫外-可见漫反射分光光度计</w:t>
            </w: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多家竞标人提供的核心产品品牌相同的，且通过资格审查、符合性审查的不同竞标人参加同一合同项下竞标的，按一家竞标人计算，按报价低者优先的原则。最后报价相同的，由采购人或者采购人委托谈判小组按照竞争性谈判文件规定的方式确定一个参加评审的供应商，竞争性谈判文件未规定的采取随机抽取方式确定，其他响应文件作无效处理。</w:t>
            </w:r>
          </w:p>
        </w:tc>
      </w:tr>
      <w:tr w14:paraId="54AA8A21">
        <w:tblPrEx>
          <w:tblCellMar>
            <w:top w:w="0" w:type="dxa"/>
            <w:left w:w="0" w:type="dxa"/>
            <w:bottom w:w="0" w:type="dxa"/>
            <w:right w:w="0" w:type="dxa"/>
          </w:tblCellMar>
        </w:tblPrEx>
        <w:trPr>
          <w:trHeight w:val="567" w:hRule="atLeast"/>
          <w:jc w:val="center"/>
        </w:trPr>
        <w:tc>
          <w:tcPr>
            <w:tcW w:w="931" w:type="pct"/>
            <w:gridSpan w:val="3"/>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221FCA85">
            <w:pPr>
              <w:spacing w:line="360" w:lineRule="auto"/>
              <w:jc w:val="center"/>
              <w:rPr>
                <w:rFonts w:hint="eastAsia" w:ascii="宋体" w:hAnsi="宋体" w:eastAsia="宋体" w:cs="Times New Roman"/>
                <w:b/>
                <w:bCs/>
                <w:kern w:val="2"/>
                <w:sz w:val="21"/>
                <w:szCs w:val="21"/>
                <w:highlight w:val="none"/>
                <w:lang w:val="en-US" w:eastAsia="zh-CN" w:bidi="ar-SA"/>
              </w:rPr>
            </w:pPr>
            <w:r>
              <w:rPr>
                <w:rFonts w:hint="eastAsia" w:ascii="宋体" w:hAnsi="宋体"/>
                <w:b/>
                <w:bCs/>
                <w:szCs w:val="21"/>
                <w:highlight w:val="none"/>
              </w:rPr>
              <w:t>知识产权</w:t>
            </w:r>
          </w:p>
        </w:tc>
        <w:tc>
          <w:tcPr>
            <w:tcW w:w="4068" w:type="pct"/>
            <w:gridSpan w:val="3"/>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26C212EE">
            <w:pPr>
              <w:snapToGrid w:val="0"/>
              <w:spacing w:line="360" w:lineRule="auto"/>
              <w:outlineLvl w:val="0"/>
              <w:rPr>
                <w:rFonts w:hint="eastAsia" w:ascii="宋体" w:hAnsi="宋体" w:eastAsia="宋体" w:cs="宋体"/>
                <w:kern w:val="2"/>
                <w:sz w:val="21"/>
                <w:szCs w:val="21"/>
                <w:highlight w:val="none"/>
                <w:lang w:val="en-US" w:eastAsia="zh-CN" w:bidi="ar-SA"/>
              </w:rPr>
            </w:pPr>
            <w:r>
              <w:rPr>
                <w:rFonts w:hint="eastAsia" w:ascii="宋体" w:hAnsi="宋体"/>
                <w:szCs w:val="21"/>
                <w:highlight w:val="none"/>
              </w:rPr>
              <w:t>供应商应保证针对本项目的货物或服务涉及到的知识产权和所提供的相关技术资料是合法取得，并享有完整的知识产权，不会因为采购人的使用而被责令停止使用、追偿或要求赔偿损失，如出现此情况，一切经济和法律责任均由供应商承担。</w:t>
            </w:r>
          </w:p>
        </w:tc>
      </w:tr>
      <w:tr w14:paraId="216862D1">
        <w:tblPrEx>
          <w:tblCellMar>
            <w:top w:w="0" w:type="dxa"/>
            <w:left w:w="0" w:type="dxa"/>
            <w:bottom w:w="0" w:type="dxa"/>
            <w:right w:w="0" w:type="dxa"/>
          </w:tblCellMar>
        </w:tblPrEx>
        <w:trPr>
          <w:trHeight w:val="567" w:hRule="atLeast"/>
          <w:jc w:val="center"/>
        </w:trPr>
        <w:tc>
          <w:tcPr>
            <w:tcW w:w="931" w:type="pct"/>
            <w:gridSpan w:val="3"/>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center"/>
          </w:tcPr>
          <w:p w14:paraId="383E920E">
            <w:pPr>
              <w:spacing w:line="360" w:lineRule="auto"/>
              <w:jc w:val="center"/>
              <w:rPr>
                <w:rFonts w:hint="eastAsia" w:ascii="宋体" w:hAnsi="宋体" w:eastAsia="宋体" w:cs="Times New Roman"/>
                <w:b/>
                <w:bCs/>
                <w:kern w:val="2"/>
                <w:sz w:val="21"/>
                <w:szCs w:val="21"/>
                <w:highlight w:val="none"/>
                <w:lang w:val="en-US" w:eastAsia="zh-CN" w:bidi="ar-SA"/>
              </w:rPr>
            </w:pPr>
            <w:r>
              <w:rPr>
                <w:rFonts w:hint="eastAsia" w:ascii="宋体" w:hAnsi="宋体" w:cs="宋体"/>
                <w:b/>
                <w:bCs/>
                <w:szCs w:val="21"/>
                <w:highlight w:val="none"/>
              </w:rPr>
              <w:t>说明</w:t>
            </w:r>
          </w:p>
        </w:tc>
        <w:tc>
          <w:tcPr>
            <w:tcW w:w="4068" w:type="pct"/>
            <w:gridSpan w:val="3"/>
            <w:tcBorders>
              <w:top w:val="single" w:color="auto" w:sz="4" w:space="0"/>
              <w:left w:val="single" w:color="auto" w:sz="4" w:space="0"/>
              <w:bottom w:val="single" w:color="auto" w:sz="4" w:space="0"/>
              <w:right w:val="single" w:color="auto" w:sz="4" w:space="0"/>
            </w:tcBorders>
            <w:shd w:val="clear" w:color="auto" w:fill="auto"/>
            <w:tcMar>
              <w:top w:w="13" w:type="dxa"/>
              <w:left w:w="57" w:type="dxa"/>
              <w:bottom w:w="0" w:type="dxa"/>
              <w:right w:w="57" w:type="dxa"/>
            </w:tcMar>
            <w:vAlign w:val="top"/>
          </w:tcPr>
          <w:p w14:paraId="60F007BC">
            <w:pPr>
              <w:snapToGrid w:val="0"/>
              <w:spacing w:line="360" w:lineRule="auto"/>
              <w:outlineLvl w:val="0"/>
              <w:rPr>
                <w:rFonts w:hint="eastAsia" w:ascii="宋体" w:hAnsi="宋体" w:eastAsia="宋体" w:cs="宋体"/>
                <w:kern w:val="2"/>
                <w:sz w:val="21"/>
                <w:szCs w:val="21"/>
                <w:highlight w:val="none"/>
                <w:lang w:val="en-US" w:eastAsia="zh-CN" w:bidi="ar-SA"/>
              </w:rPr>
            </w:pPr>
            <w:r>
              <w:rPr>
                <w:rFonts w:hint="eastAsia" w:ascii="宋体" w:hAnsi="宋体"/>
                <w:szCs w:val="21"/>
                <w:highlight w:val="none"/>
              </w:rPr>
              <w:t>在谈判过程中，谈判小组可能会根据谈判文件和谈判情况实质性变动采购需求中的技术、服务要求以及合同草案条款，对谈判文件作出的实质性变动是谈判文件的有效组成部分，谈判小组以书面形式同时通知所有参加谈判的供应商。请各供应商做好谈判应答准备。</w:t>
            </w:r>
          </w:p>
        </w:tc>
      </w:tr>
    </w:tbl>
    <w:p w14:paraId="10B63EFE">
      <w:pPr>
        <w:pStyle w:val="12"/>
        <w:rPr>
          <w:color w:val="000000" w:themeColor="text1"/>
          <w:highlight w:val="none"/>
          <w14:textFill>
            <w14:solidFill>
              <w14:schemeClr w14:val="tx1"/>
            </w14:solidFill>
          </w14:textFill>
        </w:rPr>
      </w:pPr>
    </w:p>
    <w:p w14:paraId="74372C9A">
      <w:pPr>
        <w:pStyle w:val="12"/>
        <w:rPr>
          <w:color w:val="000000" w:themeColor="text1"/>
          <w:highlight w:val="none"/>
          <w14:textFill>
            <w14:solidFill>
              <w14:schemeClr w14:val="tx1"/>
            </w14:solidFill>
          </w14:textFill>
        </w:rPr>
      </w:pPr>
    </w:p>
    <w:p w14:paraId="03B6F52D">
      <w:pPr>
        <w:rPr>
          <w:rFonts w:ascii="Calibri" w:hAnsi="Calibri"/>
          <w:color w:val="000000" w:themeColor="text1"/>
          <w:highlight w:val="none"/>
          <w14:textFill>
            <w14:solidFill>
              <w14:schemeClr w14:val="tx1"/>
            </w14:solidFill>
          </w14:textFill>
        </w:rPr>
      </w:pPr>
      <w:r>
        <w:rPr>
          <w:rFonts w:ascii="Calibri" w:hAnsi="Calibri"/>
          <w:color w:val="000000" w:themeColor="text1"/>
          <w:highlight w:val="none"/>
          <w14:textFill>
            <w14:solidFill>
              <w14:schemeClr w14:val="tx1"/>
            </w14:solidFill>
          </w14:textFill>
        </w:rPr>
        <w:br w:type="page"/>
      </w:r>
    </w:p>
    <w:bookmarkEnd w:id="73"/>
    <w:p w14:paraId="1CE8821C">
      <w:pPr>
        <w:spacing w:line="428" w:lineRule="exact"/>
        <w:ind w:left="119"/>
        <w:rPr>
          <w:rFonts w:ascii="Arial Unicode MS" w:hAnsi="Arial Unicode MS" w:eastAsia="Arial Unicode MS" w:cs="Arial Unicode MS"/>
          <w:color w:val="000000" w:themeColor="text1"/>
          <w:sz w:val="17"/>
          <w:szCs w:val="17"/>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附件1：</w:t>
      </w:r>
    </w:p>
    <w:p w14:paraId="1ED43FF2">
      <w:pPr>
        <w:spacing w:line="528" w:lineRule="exact"/>
        <w:ind w:left="1871"/>
        <w:rPr>
          <w:rFonts w:ascii="Arial Unicode MS" w:hAnsi="Arial Unicode MS" w:eastAsia="Arial Unicode MS" w:cs="Arial Unicode MS"/>
          <w:color w:val="000000" w:themeColor="text1"/>
          <w:sz w:val="40"/>
          <w:szCs w:val="40"/>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节能产品政府采购品目清单</w:t>
      </w:r>
    </w:p>
    <w:tbl>
      <w:tblPr>
        <w:tblStyle w:val="2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422"/>
        <w:gridCol w:w="1496"/>
        <w:gridCol w:w="1367"/>
        <w:gridCol w:w="3566"/>
      </w:tblGrid>
      <w:tr w14:paraId="24C8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4FA5DD3D">
            <w:pPr>
              <w:jc w:val="center"/>
              <w:rPr>
                <w:rFonts w:ascii="Calibri" w:hAnsi="Calibri"/>
                <w:color w:val="000000" w:themeColor="text1"/>
                <w:szCs w:val="22"/>
                <w:highlight w:val="none"/>
                <w14:textFill>
                  <w14:solidFill>
                    <w14:schemeClr w14:val="tx1"/>
                  </w14:solidFill>
                </w14:textFill>
              </w:rPr>
            </w:pPr>
            <w:r>
              <w:rPr>
                <w:rFonts w:hint="eastAsia" w:ascii="宋体" w:hAnsi="宋体" w:cs="宋体"/>
                <w:b/>
                <w:bCs/>
                <w:color w:val="000000" w:themeColor="text1"/>
                <w:w w:val="99"/>
                <w:highlight w:val="none"/>
                <w14:textFill>
                  <w14:solidFill>
                    <w14:schemeClr w14:val="tx1"/>
                  </w14:solidFill>
                </w14:textFill>
              </w:rPr>
              <w:t>品目序号</w:t>
            </w:r>
          </w:p>
        </w:tc>
        <w:tc>
          <w:tcPr>
            <w:tcW w:w="4285" w:type="dxa"/>
            <w:gridSpan w:val="3"/>
            <w:tcBorders>
              <w:top w:val="single" w:color="000000" w:sz="4" w:space="0"/>
              <w:left w:val="single" w:color="000000" w:sz="4" w:space="0"/>
              <w:bottom w:val="single" w:color="000000" w:sz="4" w:space="0"/>
              <w:right w:val="single" w:color="000000" w:sz="4" w:space="0"/>
            </w:tcBorders>
            <w:vAlign w:val="center"/>
          </w:tcPr>
          <w:p w14:paraId="29253B16">
            <w:pPr>
              <w:jc w:val="center"/>
              <w:rPr>
                <w:rFonts w:ascii="Calibri" w:hAnsi="Calibri"/>
                <w:color w:val="000000" w:themeColor="text1"/>
                <w:szCs w:val="22"/>
                <w:highlight w:val="none"/>
                <w14:textFill>
                  <w14:solidFill>
                    <w14:schemeClr w14:val="tx1"/>
                  </w14:solidFill>
                </w14:textFill>
              </w:rPr>
            </w:pPr>
            <w:r>
              <w:rPr>
                <w:rFonts w:hint="eastAsia" w:ascii="宋体" w:hAnsi="宋体" w:cs="宋体"/>
                <w:b/>
                <w:bCs/>
                <w:color w:val="000000" w:themeColor="text1"/>
                <w:w w:val="99"/>
                <w:highlight w:val="none"/>
                <w14:textFill>
                  <w14:solidFill>
                    <w14:schemeClr w14:val="tx1"/>
                  </w14:solidFill>
                </w14:textFill>
              </w:rPr>
              <w:t>名称</w:t>
            </w:r>
          </w:p>
        </w:tc>
        <w:tc>
          <w:tcPr>
            <w:tcW w:w="3566" w:type="dxa"/>
            <w:tcBorders>
              <w:top w:val="single" w:color="000000" w:sz="4" w:space="0"/>
              <w:left w:val="single" w:color="000000" w:sz="4" w:space="0"/>
              <w:bottom w:val="single" w:color="000000" w:sz="4" w:space="0"/>
              <w:right w:val="single" w:color="000000" w:sz="4" w:space="0"/>
            </w:tcBorders>
            <w:vAlign w:val="center"/>
          </w:tcPr>
          <w:p w14:paraId="1458913D">
            <w:pPr>
              <w:jc w:val="center"/>
              <w:rPr>
                <w:rFonts w:ascii="Calibri" w:hAnsi="Calibri"/>
                <w:color w:val="000000" w:themeColor="text1"/>
                <w:szCs w:val="22"/>
                <w:highlight w:val="none"/>
                <w14:textFill>
                  <w14:solidFill>
                    <w14:schemeClr w14:val="tx1"/>
                  </w14:solidFill>
                </w14:textFill>
              </w:rPr>
            </w:pPr>
            <w:r>
              <w:rPr>
                <w:rFonts w:hint="eastAsia" w:ascii="宋体" w:hAnsi="宋体" w:cs="宋体"/>
                <w:b/>
                <w:bCs/>
                <w:color w:val="000000" w:themeColor="text1"/>
                <w:w w:val="99"/>
                <w:highlight w:val="none"/>
                <w14:textFill>
                  <w14:solidFill>
                    <w14:schemeClr w14:val="tx1"/>
                  </w14:solidFill>
                </w14:textFill>
              </w:rPr>
              <w:t>依据的标准</w:t>
            </w:r>
          </w:p>
        </w:tc>
      </w:tr>
      <w:tr w14:paraId="3DF8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BF9CE5C">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96E8206">
            <w:pPr>
              <w:jc w:val="center"/>
              <w:rPr>
                <w:rFonts w:ascii="宋体" w:hAnsi="宋体"/>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A02010100</w:t>
            </w:r>
            <w:r>
              <w:rPr>
                <w:rFonts w:hint="eastAsia" w:ascii="宋体" w:hAnsi="宋体" w:cs="宋体"/>
                <w:color w:val="000000" w:themeColor="text1"/>
                <w:w w:val="99"/>
                <w:szCs w:val="21"/>
                <w:highlight w:val="none"/>
                <w14:textFill>
                  <w14:solidFill>
                    <w14:schemeClr w14:val="tx1"/>
                  </w14:solidFill>
                </w14:textFill>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1F7F21E2">
            <w:pPr>
              <w:pStyle w:val="58"/>
              <w:spacing w:before="93"/>
              <w:ind w:left="7" w:right="5"/>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w:t>
            </w:r>
            <w:r>
              <w:rPr>
                <w:rFonts w:hint="eastAsia" w:ascii="宋体" w:hAnsi="宋体" w:cs="仿宋_GB2312"/>
                <w:color w:val="000000" w:themeColor="text1"/>
                <w:kern w:val="2"/>
                <w:sz w:val="21"/>
                <w:szCs w:val="21"/>
                <w:highlight w:val="none"/>
                <w14:textFill>
                  <w14:solidFill>
                    <w14:schemeClr w14:val="tx1"/>
                  </w14:solidFill>
                </w14:textFill>
              </w:rPr>
              <w:t>A02010105</w:t>
            </w:r>
            <w:r>
              <w:rPr>
                <w:rFonts w:hint="eastAsia" w:ascii="宋体" w:hAnsi="宋体" w:cs="宋体"/>
                <w:color w:val="000000" w:themeColor="text1"/>
                <w:w w:val="99"/>
                <w:kern w:val="2"/>
                <w:sz w:val="21"/>
                <w:szCs w:val="21"/>
                <w:highlight w:val="none"/>
                <w14:textFill>
                  <w14:solidFill>
                    <w14:schemeClr w14:val="tx1"/>
                  </w14:solidFill>
                </w14:textFill>
              </w:rPr>
              <w:t>台式计算机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6B439EC2">
            <w:pPr>
              <w:jc w:val="center"/>
              <w:rPr>
                <w:rFonts w:ascii="宋体" w:hAnsi="宋体"/>
                <w:color w:val="000000" w:themeColor="text1"/>
                <w:szCs w:val="21"/>
                <w:highlight w:val="none"/>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1C2E7981">
            <w:pPr>
              <w:pStyle w:val="58"/>
              <w:spacing w:before="93"/>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《微型计算机能效限定</w:t>
            </w:r>
            <w:r>
              <w:rPr>
                <w:rFonts w:hint="eastAsia" w:ascii="宋体" w:hAnsi="宋体" w:cs="宋体"/>
                <w:color w:val="000000" w:themeColor="text1"/>
                <w:spacing w:val="9"/>
                <w:w w:val="99"/>
                <w:kern w:val="2"/>
                <w:sz w:val="21"/>
                <w:szCs w:val="21"/>
                <w:highlight w:val="none"/>
                <w:lang w:eastAsia="zh-CN"/>
                <w14:textFill>
                  <w14:solidFill>
                    <w14:schemeClr w14:val="tx1"/>
                  </w14:solidFill>
                </w14:textFill>
              </w:rPr>
              <w:t>值</w:t>
            </w: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及能</w:t>
            </w:r>
            <w:r>
              <w:rPr>
                <w:rFonts w:hint="eastAsia" w:ascii="宋体" w:hAnsi="宋体" w:cs="宋体"/>
                <w:color w:val="000000" w:themeColor="text1"/>
                <w:w w:val="99"/>
                <w:kern w:val="2"/>
                <w:sz w:val="21"/>
                <w:szCs w:val="21"/>
                <w:highlight w:val="none"/>
                <w:lang w:eastAsia="zh-CN"/>
                <w14:textFill>
                  <w14:solidFill>
                    <w14:schemeClr w14:val="tx1"/>
                  </w14:solidFill>
                </w14:textFill>
              </w:rPr>
              <w:t>效等级》（</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28380</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6920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2481007">
            <w:pPr>
              <w:widowControl/>
              <w:jc w:val="left"/>
              <w:rPr>
                <w:rFonts w:ascii="宋体" w:hAnsi="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19BCD02">
            <w:pPr>
              <w:widowControl/>
              <w:jc w:val="left"/>
              <w:rPr>
                <w:rFonts w:ascii="宋体" w:hAnsi="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114B84A">
            <w:pPr>
              <w:pStyle w:val="58"/>
              <w:spacing w:before="44"/>
              <w:ind w:left="7" w:right="5"/>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w:t>
            </w:r>
            <w:r>
              <w:rPr>
                <w:rFonts w:hint="eastAsia" w:ascii="宋体" w:hAnsi="宋体" w:cs="仿宋_GB2312"/>
                <w:color w:val="000000" w:themeColor="text1"/>
                <w:kern w:val="2"/>
                <w:sz w:val="21"/>
                <w:szCs w:val="21"/>
                <w:highlight w:val="none"/>
                <w14:textFill>
                  <w14:solidFill>
                    <w14:schemeClr w14:val="tx1"/>
                  </w14:solidFill>
                </w14:textFill>
              </w:rPr>
              <w:t>A02010108</w:t>
            </w:r>
            <w:r>
              <w:rPr>
                <w:rFonts w:hint="eastAsia" w:ascii="宋体" w:hAnsi="宋体" w:cs="宋体"/>
                <w:color w:val="000000" w:themeColor="text1"/>
                <w:w w:val="99"/>
                <w:kern w:val="2"/>
                <w:sz w:val="21"/>
                <w:szCs w:val="21"/>
                <w:highlight w:val="none"/>
                <w14:textFill>
                  <w14:solidFill>
                    <w14:schemeClr w14:val="tx1"/>
                  </w14:solidFill>
                </w14:textFill>
              </w:rPr>
              <w:t>便携式计算机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72EEE4AB">
            <w:pPr>
              <w:jc w:val="center"/>
              <w:rPr>
                <w:rFonts w:ascii="宋体" w:hAnsi="宋体"/>
                <w:color w:val="000000" w:themeColor="text1"/>
                <w:szCs w:val="21"/>
                <w:highlight w:val="none"/>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51C762A4">
            <w:pPr>
              <w:pStyle w:val="58"/>
              <w:spacing w:before="44"/>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《微型计算机能效限定</w:t>
            </w:r>
            <w:r>
              <w:rPr>
                <w:rFonts w:hint="eastAsia" w:ascii="宋体" w:hAnsi="宋体" w:cs="宋体"/>
                <w:color w:val="000000" w:themeColor="text1"/>
                <w:spacing w:val="9"/>
                <w:w w:val="99"/>
                <w:kern w:val="2"/>
                <w:sz w:val="21"/>
                <w:szCs w:val="21"/>
                <w:highlight w:val="none"/>
                <w:lang w:eastAsia="zh-CN"/>
                <w14:textFill>
                  <w14:solidFill>
                    <w14:schemeClr w14:val="tx1"/>
                  </w14:solidFill>
                </w14:textFill>
              </w:rPr>
              <w:t>值</w:t>
            </w: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及能</w:t>
            </w:r>
            <w:r>
              <w:rPr>
                <w:rFonts w:hint="eastAsia" w:ascii="宋体" w:hAnsi="宋体" w:cs="宋体"/>
                <w:color w:val="000000" w:themeColor="text1"/>
                <w:w w:val="99"/>
                <w:kern w:val="2"/>
                <w:sz w:val="21"/>
                <w:szCs w:val="21"/>
                <w:highlight w:val="none"/>
                <w:lang w:eastAsia="zh-CN"/>
                <w14:textFill>
                  <w14:solidFill>
                    <w14:schemeClr w14:val="tx1"/>
                  </w14:solidFill>
                </w14:textFill>
              </w:rPr>
              <w:t>效等级》（</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28380</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5953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C566AB8">
            <w:pPr>
              <w:widowControl/>
              <w:jc w:val="left"/>
              <w:rPr>
                <w:rFonts w:ascii="宋体" w:hAnsi="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A48D342">
            <w:pPr>
              <w:widowControl/>
              <w:jc w:val="left"/>
              <w:rPr>
                <w:rFonts w:ascii="宋体" w:hAnsi="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6DD7095">
            <w:pPr>
              <w:pStyle w:val="58"/>
              <w:spacing w:before="64"/>
              <w:ind w:left="7" w:right="5"/>
              <w:jc w:val="center"/>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仿宋_GB2312"/>
                <w:color w:val="000000" w:themeColor="text1"/>
                <w:kern w:val="2"/>
                <w:sz w:val="21"/>
                <w:szCs w:val="21"/>
                <w:highlight w:val="none"/>
                <w:lang w:eastAsia="zh-CN"/>
                <w14:textFill>
                  <w14:solidFill>
                    <w14:schemeClr w14:val="tx1"/>
                  </w14:solidFill>
                </w14:textFill>
              </w:rPr>
              <w:t>A02010109平板式计算机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7834C34A">
            <w:pPr>
              <w:jc w:val="center"/>
              <w:rPr>
                <w:rFonts w:ascii="宋体" w:hAnsi="宋体"/>
                <w:color w:val="000000" w:themeColor="text1"/>
                <w:szCs w:val="21"/>
                <w:highlight w:val="none"/>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1B34F2CF">
            <w:pPr>
              <w:pStyle w:val="58"/>
              <w:spacing w:before="64"/>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《微型计算机能效限定</w:t>
            </w:r>
            <w:r>
              <w:rPr>
                <w:rFonts w:hint="eastAsia" w:ascii="宋体" w:hAnsi="宋体" w:cs="宋体"/>
                <w:color w:val="000000" w:themeColor="text1"/>
                <w:spacing w:val="9"/>
                <w:w w:val="99"/>
                <w:kern w:val="2"/>
                <w:sz w:val="21"/>
                <w:szCs w:val="21"/>
                <w:highlight w:val="none"/>
                <w:lang w:eastAsia="zh-CN"/>
                <w14:textFill>
                  <w14:solidFill>
                    <w14:schemeClr w14:val="tx1"/>
                  </w14:solidFill>
                </w14:textFill>
              </w:rPr>
              <w:t>值</w:t>
            </w: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及能</w:t>
            </w:r>
            <w:r>
              <w:rPr>
                <w:rFonts w:hint="eastAsia" w:ascii="宋体" w:hAnsi="宋体" w:cs="宋体"/>
                <w:color w:val="000000" w:themeColor="text1"/>
                <w:w w:val="99"/>
                <w:kern w:val="2"/>
                <w:sz w:val="21"/>
                <w:szCs w:val="21"/>
                <w:highlight w:val="none"/>
                <w:lang w:eastAsia="zh-CN"/>
                <w14:textFill>
                  <w14:solidFill>
                    <w14:schemeClr w14:val="tx1"/>
                  </w14:solidFill>
                </w14:textFill>
              </w:rPr>
              <w:t>效等级》（</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28380</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6E11D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9ED88FF">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28ADA296">
            <w:pPr>
              <w:pStyle w:val="58"/>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A02020000</w:t>
            </w:r>
            <w:r>
              <w:rPr>
                <w:rFonts w:hint="eastAsia" w:ascii="宋体" w:hAnsi="宋体" w:cs="宋体"/>
                <w:color w:val="000000" w:themeColor="text1"/>
                <w:w w:val="99"/>
                <w:kern w:val="2"/>
                <w:sz w:val="21"/>
                <w:szCs w:val="21"/>
                <w:highlight w:val="none"/>
                <w14:textFill>
                  <w14:solidFill>
                    <w14:schemeClr w14:val="tx1"/>
                  </w14:solidFill>
                </w14:textFill>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8432963">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pacing w:val="1"/>
                <w:w w:val="99"/>
                <w:szCs w:val="21"/>
                <w:highlight w:val="none"/>
                <w14:textFill>
                  <w14:solidFill>
                    <w14:schemeClr w14:val="tx1"/>
                  </w14:solidFill>
                </w14:textFill>
              </w:rPr>
              <w:t>A02021000</w:t>
            </w:r>
            <w:r>
              <w:rPr>
                <w:rFonts w:hint="eastAsia" w:ascii="宋体" w:hAnsi="宋体" w:cs="Arial"/>
                <w:color w:val="000000" w:themeColor="text1"/>
                <w:szCs w:val="21"/>
                <w:highlight w:val="none"/>
                <w:shd w:val="clear" w:color="auto" w:fill="FFFFFF"/>
                <w14:textFill>
                  <w14:solidFill>
                    <w14:schemeClr w14:val="tx1"/>
                  </w14:solidFill>
                </w14:textFill>
              </w:rPr>
              <w:t>打印机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33978D16">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A02021001 A3黑白打印机</w:t>
            </w:r>
          </w:p>
        </w:tc>
        <w:tc>
          <w:tcPr>
            <w:tcW w:w="3566" w:type="dxa"/>
            <w:tcBorders>
              <w:top w:val="single" w:color="000000" w:sz="4" w:space="0"/>
              <w:left w:val="single" w:color="000000" w:sz="4" w:space="0"/>
              <w:bottom w:val="single" w:color="000000" w:sz="4" w:space="0"/>
              <w:right w:val="single" w:color="000000" w:sz="4" w:space="0"/>
            </w:tcBorders>
          </w:tcPr>
          <w:p w14:paraId="580C61D4">
            <w:pPr>
              <w:pStyle w:val="58"/>
              <w:spacing w:before="52"/>
              <w:ind w:left="7" w:right="7"/>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《复印</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机</w:t>
            </w:r>
            <w:r>
              <w:rPr>
                <w:rFonts w:hint="eastAsia" w:ascii="宋体" w:hAnsi="宋体" w:cs="宋体"/>
                <w:color w:val="000000" w:themeColor="text1"/>
                <w:spacing w:val="-58"/>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打</w:t>
            </w:r>
            <w:r>
              <w:rPr>
                <w:rFonts w:hint="eastAsia" w:ascii="宋体" w:hAnsi="宋体" w:cs="宋体"/>
                <w:color w:val="000000" w:themeColor="text1"/>
                <w:w w:val="99"/>
                <w:kern w:val="2"/>
                <w:sz w:val="21"/>
                <w:szCs w:val="21"/>
                <w:highlight w:val="none"/>
                <w:lang w:eastAsia="zh-CN"/>
                <w14:textFill>
                  <w14:solidFill>
                    <w14:schemeClr w14:val="tx1"/>
                  </w14:solidFill>
                </w14:textFill>
              </w:rPr>
              <w:t>印机</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和</w:t>
            </w:r>
            <w:r>
              <w:rPr>
                <w:rFonts w:hint="eastAsia" w:ascii="宋体" w:hAnsi="宋体" w:cs="宋体"/>
                <w:color w:val="000000" w:themeColor="text1"/>
                <w:w w:val="99"/>
                <w:kern w:val="2"/>
                <w:sz w:val="21"/>
                <w:szCs w:val="21"/>
                <w:highlight w:val="none"/>
                <w:lang w:eastAsia="zh-CN"/>
                <w14:textFill>
                  <w14:solidFill>
                    <w14:schemeClr w14:val="tx1"/>
                  </w14:solidFill>
                </w14:textFill>
              </w:rPr>
              <w:t>传真</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机</w:t>
            </w:r>
            <w:r>
              <w:rPr>
                <w:rFonts w:hint="eastAsia" w:ascii="宋体" w:hAnsi="宋体" w:cs="宋体"/>
                <w:color w:val="000000" w:themeColor="text1"/>
                <w:w w:val="99"/>
                <w:kern w:val="2"/>
                <w:sz w:val="21"/>
                <w:szCs w:val="21"/>
                <w:highlight w:val="none"/>
                <w:lang w:eastAsia="zh-CN"/>
                <w14:textFill>
                  <w14:solidFill>
                    <w14:schemeClr w14:val="tx1"/>
                  </w14:solidFill>
                </w14:textFill>
              </w:rPr>
              <w:t>能效限定值及</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能</w:t>
            </w:r>
            <w:r>
              <w:rPr>
                <w:rFonts w:hint="eastAsia" w:ascii="宋体" w:hAnsi="宋体" w:cs="宋体"/>
                <w:color w:val="000000" w:themeColor="text1"/>
                <w:w w:val="99"/>
                <w:kern w:val="2"/>
                <w:sz w:val="21"/>
                <w:szCs w:val="21"/>
                <w:highlight w:val="none"/>
                <w:lang w:eastAsia="zh-CN"/>
                <w14:textFill>
                  <w14:solidFill>
                    <w14:schemeClr w14:val="tx1"/>
                  </w14:solidFill>
                </w14:textFill>
              </w:rPr>
              <w:t>效等</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级</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21</w:t>
            </w:r>
            <w:r>
              <w:rPr>
                <w:rFonts w:hint="eastAsia" w:ascii="宋体" w:hAnsi="宋体" w:cs="宋体"/>
                <w:color w:val="000000" w:themeColor="text1"/>
                <w:w w:val="99"/>
                <w:kern w:val="2"/>
                <w:sz w:val="21"/>
                <w:szCs w:val="21"/>
                <w:highlight w:val="none"/>
                <w:lang w:eastAsia="zh-CN"/>
                <w14:textFill>
                  <w14:solidFill>
                    <w14:schemeClr w14:val="tx1"/>
                  </w14:solidFill>
                </w14:textFill>
              </w:rPr>
              <w:t>52</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1</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2CCB8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E79CEBD">
            <w:pPr>
              <w:widowControl/>
              <w:jc w:val="left"/>
              <w:rPr>
                <w:rFonts w:ascii="宋体" w:hAnsi="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1FD05F2">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42D9F439">
            <w:pPr>
              <w:widowControl/>
              <w:jc w:val="left"/>
              <w:rPr>
                <w:rFonts w:ascii="宋体" w:hAnsi="宋体"/>
                <w:color w:val="000000" w:themeColor="text1"/>
                <w:szCs w:val="21"/>
                <w:highlight w:val="none"/>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3E7B0A58">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A02021002 A3彩色打印机</w:t>
            </w:r>
          </w:p>
        </w:tc>
        <w:tc>
          <w:tcPr>
            <w:tcW w:w="3566" w:type="dxa"/>
            <w:tcBorders>
              <w:top w:val="single" w:color="000000" w:sz="4" w:space="0"/>
              <w:left w:val="single" w:color="000000" w:sz="4" w:space="0"/>
              <w:bottom w:val="single" w:color="000000" w:sz="4" w:space="0"/>
              <w:right w:val="single" w:color="000000" w:sz="4" w:space="0"/>
            </w:tcBorders>
          </w:tcPr>
          <w:p w14:paraId="1148B16E">
            <w:pPr>
              <w:pStyle w:val="58"/>
              <w:spacing w:before="52"/>
              <w:ind w:left="7" w:right="7"/>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《复印</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机</w:t>
            </w:r>
            <w:r>
              <w:rPr>
                <w:rFonts w:hint="eastAsia" w:ascii="宋体" w:hAnsi="宋体" w:cs="宋体"/>
                <w:color w:val="000000" w:themeColor="text1"/>
                <w:spacing w:val="-58"/>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打</w:t>
            </w:r>
            <w:r>
              <w:rPr>
                <w:rFonts w:hint="eastAsia" w:ascii="宋体" w:hAnsi="宋体" w:cs="宋体"/>
                <w:color w:val="000000" w:themeColor="text1"/>
                <w:w w:val="99"/>
                <w:kern w:val="2"/>
                <w:sz w:val="21"/>
                <w:szCs w:val="21"/>
                <w:highlight w:val="none"/>
                <w:lang w:eastAsia="zh-CN"/>
                <w14:textFill>
                  <w14:solidFill>
                    <w14:schemeClr w14:val="tx1"/>
                  </w14:solidFill>
                </w14:textFill>
              </w:rPr>
              <w:t>印机</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和</w:t>
            </w:r>
            <w:r>
              <w:rPr>
                <w:rFonts w:hint="eastAsia" w:ascii="宋体" w:hAnsi="宋体" w:cs="宋体"/>
                <w:color w:val="000000" w:themeColor="text1"/>
                <w:w w:val="99"/>
                <w:kern w:val="2"/>
                <w:sz w:val="21"/>
                <w:szCs w:val="21"/>
                <w:highlight w:val="none"/>
                <w:lang w:eastAsia="zh-CN"/>
                <w14:textFill>
                  <w14:solidFill>
                    <w14:schemeClr w14:val="tx1"/>
                  </w14:solidFill>
                </w14:textFill>
              </w:rPr>
              <w:t>传真</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机</w:t>
            </w:r>
            <w:r>
              <w:rPr>
                <w:rFonts w:hint="eastAsia" w:ascii="宋体" w:hAnsi="宋体" w:cs="宋体"/>
                <w:color w:val="000000" w:themeColor="text1"/>
                <w:w w:val="99"/>
                <w:kern w:val="2"/>
                <w:sz w:val="21"/>
                <w:szCs w:val="21"/>
                <w:highlight w:val="none"/>
                <w:lang w:eastAsia="zh-CN"/>
                <w14:textFill>
                  <w14:solidFill>
                    <w14:schemeClr w14:val="tx1"/>
                  </w14:solidFill>
                </w14:textFill>
              </w:rPr>
              <w:t>能效限定值及</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能</w:t>
            </w:r>
            <w:r>
              <w:rPr>
                <w:rFonts w:hint="eastAsia" w:ascii="宋体" w:hAnsi="宋体" w:cs="宋体"/>
                <w:color w:val="000000" w:themeColor="text1"/>
                <w:w w:val="99"/>
                <w:kern w:val="2"/>
                <w:sz w:val="21"/>
                <w:szCs w:val="21"/>
                <w:highlight w:val="none"/>
                <w:lang w:eastAsia="zh-CN"/>
                <w14:textFill>
                  <w14:solidFill>
                    <w14:schemeClr w14:val="tx1"/>
                  </w14:solidFill>
                </w14:textFill>
              </w:rPr>
              <w:t>效等</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级</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21</w:t>
            </w:r>
            <w:r>
              <w:rPr>
                <w:rFonts w:hint="eastAsia" w:ascii="宋体" w:hAnsi="宋体" w:cs="宋体"/>
                <w:color w:val="000000" w:themeColor="text1"/>
                <w:w w:val="99"/>
                <w:kern w:val="2"/>
                <w:sz w:val="21"/>
                <w:szCs w:val="21"/>
                <w:highlight w:val="none"/>
                <w:lang w:eastAsia="zh-CN"/>
                <w14:textFill>
                  <w14:solidFill>
                    <w14:schemeClr w14:val="tx1"/>
                  </w14:solidFill>
                </w14:textFill>
              </w:rPr>
              <w:t>52</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1</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3E02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7CD4B34">
            <w:pPr>
              <w:widowControl/>
              <w:jc w:val="left"/>
              <w:rPr>
                <w:rFonts w:ascii="宋体" w:hAnsi="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39CACDDA">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3447F45F">
            <w:pPr>
              <w:widowControl/>
              <w:jc w:val="left"/>
              <w:rPr>
                <w:rFonts w:ascii="宋体" w:hAnsi="宋体"/>
                <w:color w:val="000000" w:themeColor="text1"/>
                <w:szCs w:val="21"/>
                <w:highlight w:val="none"/>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4776A1A0">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A02021003 A4黑白打印机</w:t>
            </w:r>
          </w:p>
        </w:tc>
        <w:tc>
          <w:tcPr>
            <w:tcW w:w="3566" w:type="dxa"/>
            <w:tcBorders>
              <w:top w:val="single" w:color="000000" w:sz="4" w:space="0"/>
              <w:left w:val="single" w:color="000000" w:sz="4" w:space="0"/>
              <w:bottom w:val="single" w:color="000000" w:sz="4" w:space="0"/>
              <w:right w:val="single" w:color="000000" w:sz="4" w:space="0"/>
            </w:tcBorders>
          </w:tcPr>
          <w:p w14:paraId="2D234B0C">
            <w:pPr>
              <w:pStyle w:val="58"/>
              <w:spacing w:before="52"/>
              <w:ind w:left="7" w:right="7"/>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《复印</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机</w:t>
            </w:r>
            <w:r>
              <w:rPr>
                <w:rFonts w:hint="eastAsia" w:ascii="宋体" w:hAnsi="宋体" w:cs="宋体"/>
                <w:color w:val="000000" w:themeColor="text1"/>
                <w:spacing w:val="-58"/>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打</w:t>
            </w:r>
            <w:r>
              <w:rPr>
                <w:rFonts w:hint="eastAsia" w:ascii="宋体" w:hAnsi="宋体" w:cs="宋体"/>
                <w:color w:val="000000" w:themeColor="text1"/>
                <w:w w:val="99"/>
                <w:kern w:val="2"/>
                <w:sz w:val="21"/>
                <w:szCs w:val="21"/>
                <w:highlight w:val="none"/>
                <w:lang w:eastAsia="zh-CN"/>
                <w14:textFill>
                  <w14:solidFill>
                    <w14:schemeClr w14:val="tx1"/>
                  </w14:solidFill>
                </w14:textFill>
              </w:rPr>
              <w:t>印机</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和</w:t>
            </w:r>
            <w:r>
              <w:rPr>
                <w:rFonts w:hint="eastAsia" w:ascii="宋体" w:hAnsi="宋体" w:cs="宋体"/>
                <w:color w:val="000000" w:themeColor="text1"/>
                <w:w w:val="99"/>
                <w:kern w:val="2"/>
                <w:sz w:val="21"/>
                <w:szCs w:val="21"/>
                <w:highlight w:val="none"/>
                <w:lang w:eastAsia="zh-CN"/>
                <w14:textFill>
                  <w14:solidFill>
                    <w14:schemeClr w14:val="tx1"/>
                  </w14:solidFill>
                </w14:textFill>
              </w:rPr>
              <w:t>传真</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机</w:t>
            </w:r>
            <w:r>
              <w:rPr>
                <w:rFonts w:hint="eastAsia" w:ascii="宋体" w:hAnsi="宋体" w:cs="宋体"/>
                <w:color w:val="000000" w:themeColor="text1"/>
                <w:w w:val="99"/>
                <w:kern w:val="2"/>
                <w:sz w:val="21"/>
                <w:szCs w:val="21"/>
                <w:highlight w:val="none"/>
                <w:lang w:eastAsia="zh-CN"/>
                <w14:textFill>
                  <w14:solidFill>
                    <w14:schemeClr w14:val="tx1"/>
                  </w14:solidFill>
                </w14:textFill>
              </w:rPr>
              <w:t>能效限定值及</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能</w:t>
            </w:r>
            <w:r>
              <w:rPr>
                <w:rFonts w:hint="eastAsia" w:ascii="宋体" w:hAnsi="宋体" w:cs="宋体"/>
                <w:color w:val="000000" w:themeColor="text1"/>
                <w:w w:val="99"/>
                <w:kern w:val="2"/>
                <w:sz w:val="21"/>
                <w:szCs w:val="21"/>
                <w:highlight w:val="none"/>
                <w:lang w:eastAsia="zh-CN"/>
                <w14:textFill>
                  <w14:solidFill>
                    <w14:schemeClr w14:val="tx1"/>
                  </w14:solidFill>
                </w14:textFill>
              </w:rPr>
              <w:t>效等</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级</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21</w:t>
            </w:r>
            <w:r>
              <w:rPr>
                <w:rFonts w:hint="eastAsia" w:ascii="宋体" w:hAnsi="宋体" w:cs="宋体"/>
                <w:color w:val="000000" w:themeColor="text1"/>
                <w:w w:val="99"/>
                <w:kern w:val="2"/>
                <w:sz w:val="21"/>
                <w:szCs w:val="21"/>
                <w:highlight w:val="none"/>
                <w:lang w:eastAsia="zh-CN"/>
                <w14:textFill>
                  <w14:solidFill>
                    <w14:schemeClr w14:val="tx1"/>
                  </w14:solidFill>
                </w14:textFill>
              </w:rPr>
              <w:t>52</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1</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547BA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CE3CC73">
            <w:pPr>
              <w:widowControl/>
              <w:jc w:val="left"/>
              <w:rPr>
                <w:rFonts w:ascii="宋体" w:hAnsi="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A270869">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667A5333">
            <w:pPr>
              <w:widowControl/>
              <w:jc w:val="left"/>
              <w:rPr>
                <w:rFonts w:ascii="宋体" w:hAnsi="宋体"/>
                <w:color w:val="000000" w:themeColor="text1"/>
                <w:szCs w:val="21"/>
                <w:highlight w:val="none"/>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7DD6A80F">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A02021004 A4彩色打印机</w:t>
            </w:r>
          </w:p>
        </w:tc>
        <w:tc>
          <w:tcPr>
            <w:tcW w:w="3566" w:type="dxa"/>
            <w:tcBorders>
              <w:top w:val="single" w:color="000000" w:sz="4" w:space="0"/>
              <w:left w:val="single" w:color="000000" w:sz="4" w:space="0"/>
              <w:bottom w:val="single" w:color="000000" w:sz="4" w:space="0"/>
              <w:right w:val="single" w:color="000000" w:sz="4" w:space="0"/>
            </w:tcBorders>
          </w:tcPr>
          <w:p w14:paraId="2EFA542A">
            <w:pPr>
              <w:pStyle w:val="58"/>
              <w:spacing w:before="52"/>
              <w:ind w:left="7" w:right="7"/>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《复印</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机</w:t>
            </w:r>
            <w:r>
              <w:rPr>
                <w:rFonts w:hint="eastAsia" w:ascii="宋体" w:hAnsi="宋体" w:cs="宋体"/>
                <w:color w:val="000000" w:themeColor="text1"/>
                <w:spacing w:val="-58"/>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打</w:t>
            </w:r>
            <w:r>
              <w:rPr>
                <w:rFonts w:hint="eastAsia" w:ascii="宋体" w:hAnsi="宋体" w:cs="宋体"/>
                <w:color w:val="000000" w:themeColor="text1"/>
                <w:w w:val="99"/>
                <w:kern w:val="2"/>
                <w:sz w:val="21"/>
                <w:szCs w:val="21"/>
                <w:highlight w:val="none"/>
                <w:lang w:eastAsia="zh-CN"/>
                <w14:textFill>
                  <w14:solidFill>
                    <w14:schemeClr w14:val="tx1"/>
                  </w14:solidFill>
                </w14:textFill>
              </w:rPr>
              <w:t>印机</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和</w:t>
            </w:r>
            <w:r>
              <w:rPr>
                <w:rFonts w:hint="eastAsia" w:ascii="宋体" w:hAnsi="宋体" w:cs="宋体"/>
                <w:color w:val="000000" w:themeColor="text1"/>
                <w:w w:val="99"/>
                <w:kern w:val="2"/>
                <w:sz w:val="21"/>
                <w:szCs w:val="21"/>
                <w:highlight w:val="none"/>
                <w:lang w:eastAsia="zh-CN"/>
                <w14:textFill>
                  <w14:solidFill>
                    <w14:schemeClr w14:val="tx1"/>
                  </w14:solidFill>
                </w14:textFill>
              </w:rPr>
              <w:t>传真</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机</w:t>
            </w:r>
            <w:r>
              <w:rPr>
                <w:rFonts w:hint="eastAsia" w:ascii="宋体" w:hAnsi="宋体" w:cs="宋体"/>
                <w:color w:val="000000" w:themeColor="text1"/>
                <w:w w:val="99"/>
                <w:kern w:val="2"/>
                <w:sz w:val="21"/>
                <w:szCs w:val="21"/>
                <w:highlight w:val="none"/>
                <w:lang w:eastAsia="zh-CN"/>
                <w14:textFill>
                  <w14:solidFill>
                    <w14:schemeClr w14:val="tx1"/>
                  </w14:solidFill>
                </w14:textFill>
              </w:rPr>
              <w:t>能效限定值及</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能</w:t>
            </w:r>
            <w:r>
              <w:rPr>
                <w:rFonts w:hint="eastAsia" w:ascii="宋体" w:hAnsi="宋体" w:cs="宋体"/>
                <w:color w:val="000000" w:themeColor="text1"/>
                <w:w w:val="99"/>
                <w:kern w:val="2"/>
                <w:sz w:val="21"/>
                <w:szCs w:val="21"/>
                <w:highlight w:val="none"/>
                <w:lang w:eastAsia="zh-CN"/>
                <w14:textFill>
                  <w14:solidFill>
                    <w14:schemeClr w14:val="tx1"/>
                  </w14:solidFill>
                </w14:textFill>
              </w:rPr>
              <w:t>效等</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级</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21</w:t>
            </w:r>
            <w:r>
              <w:rPr>
                <w:rFonts w:hint="eastAsia" w:ascii="宋体" w:hAnsi="宋体" w:cs="宋体"/>
                <w:color w:val="000000" w:themeColor="text1"/>
                <w:w w:val="99"/>
                <w:kern w:val="2"/>
                <w:sz w:val="21"/>
                <w:szCs w:val="21"/>
                <w:highlight w:val="none"/>
                <w:lang w:eastAsia="zh-CN"/>
                <w14:textFill>
                  <w14:solidFill>
                    <w14:schemeClr w14:val="tx1"/>
                  </w14:solidFill>
                </w14:textFill>
              </w:rPr>
              <w:t>52</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1</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707A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7CAED7B">
            <w:pPr>
              <w:widowControl/>
              <w:jc w:val="left"/>
              <w:rPr>
                <w:rFonts w:ascii="宋体" w:hAnsi="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F053F82">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77621E10">
            <w:pPr>
              <w:widowControl/>
              <w:jc w:val="left"/>
              <w:rPr>
                <w:rFonts w:ascii="宋体" w:hAnsi="宋体"/>
                <w:color w:val="000000" w:themeColor="text1"/>
                <w:szCs w:val="21"/>
                <w:highlight w:val="none"/>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0A2842BA">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A02021005 3D打印机</w:t>
            </w:r>
          </w:p>
        </w:tc>
        <w:tc>
          <w:tcPr>
            <w:tcW w:w="3566" w:type="dxa"/>
            <w:tcBorders>
              <w:top w:val="single" w:color="000000" w:sz="4" w:space="0"/>
              <w:left w:val="single" w:color="000000" w:sz="4" w:space="0"/>
              <w:bottom w:val="single" w:color="000000" w:sz="4" w:space="0"/>
              <w:right w:val="single" w:color="000000" w:sz="4" w:space="0"/>
            </w:tcBorders>
          </w:tcPr>
          <w:p w14:paraId="4594973C">
            <w:pPr>
              <w:pStyle w:val="58"/>
              <w:spacing w:before="52"/>
              <w:ind w:left="7" w:right="7"/>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《复印</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机</w:t>
            </w:r>
            <w:r>
              <w:rPr>
                <w:rFonts w:hint="eastAsia" w:ascii="宋体" w:hAnsi="宋体" w:cs="宋体"/>
                <w:color w:val="000000" w:themeColor="text1"/>
                <w:spacing w:val="-58"/>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打</w:t>
            </w:r>
            <w:r>
              <w:rPr>
                <w:rFonts w:hint="eastAsia" w:ascii="宋体" w:hAnsi="宋体" w:cs="宋体"/>
                <w:color w:val="000000" w:themeColor="text1"/>
                <w:w w:val="99"/>
                <w:kern w:val="2"/>
                <w:sz w:val="21"/>
                <w:szCs w:val="21"/>
                <w:highlight w:val="none"/>
                <w:lang w:eastAsia="zh-CN"/>
                <w14:textFill>
                  <w14:solidFill>
                    <w14:schemeClr w14:val="tx1"/>
                  </w14:solidFill>
                </w14:textFill>
              </w:rPr>
              <w:t>印机</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和</w:t>
            </w:r>
            <w:r>
              <w:rPr>
                <w:rFonts w:hint="eastAsia" w:ascii="宋体" w:hAnsi="宋体" w:cs="宋体"/>
                <w:color w:val="000000" w:themeColor="text1"/>
                <w:w w:val="99"/>
                <w:kern w:val="2"/>
                <w:sz w:val="21"/>
                <w:szCs w:val="21"/>
                <w:highlight w:val="none"/>
                <w:lang w:eastAsia="zh-CN"/>
                <w14:textFill>
                  <w14:solidFill>
                    <w14:schemeClr w14:val="tx1"/>
                  </w14:solidFill>
                </w14:textFill>
              </w:rPr>
              <w:t>传真</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机</w:t>
            </w:r>
            <w:r>
              <w:rPr>
                <w:rFonts w:hint="eastAsia" w:ascii="宋体" w:hAnsi="宋体" w:cs="宋体"/>
                <w:color w:val="000000" w:themeColor="text1"/>
                <w:w w:val="99"/>
                <w:kern w:val="2"/>
                <w:sz w:val="21"/>
                <w:szCs w:val="21"/>
                <w:highlight w:val="none"/>
                <w:lang w:eastAsia="zh-CN"/>
                <w14:textFill>
                  <w14:solidFill>
                    <w14:schemeClr w14:val="tx1"/>
                  </w14:solidFill>
                </w14:textFill>
              </w:rPr>
              <w:t>能效限定值及</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能</w:t>
            </w:r>
            <w:r>
              <w:rPr>
                <w:rFonts w:hint="eastAsia" w:ascii="宋体" w:hAnsi="宋体" w:cs="宋体"/>
                <w:color w:val="000000" w:themeColor="text1"/>
                <w:w w:val="99"/>
                <w:kern w:val="2"/>
                <w:sz w:val="21"/>
                <w:szCs w:val="21"/>
                <w:highlight w:val="none"/>
                <w:lang w:eastAsia="zh-CN"/>
                <w14:textFill>
                  <w14:solidFill>
                    <w14:schemeClr w14:val="tx1"/>
                  </w14:solidFill>
                </w14:textFill>
              </w:rPr>
              <w:t>效等</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级</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21</w:t>
            </w:r>
            <w:r>
              <w:rPr>
                <w:rFonts w:hint="eastAsia" w:ascii="宋体" w:hAnsi="宋体" w:cs="宋体"/>
                <w:color w:val="000000" w:themeColor="text1"/>
                <w:w w:val="99"/>
                <w:kern w:val="2"/>
                <w:sz w:val="21"/>
                <w:szCs w:val="21"/>
                <w:highlight w:val="none"/>
                <w:lang w:eastAsia="zh-CN"/>
                <w14:textFill>
                  <w14:solidFill>
                    <w14:schemeClr w14:val="tx1"/>
                  </w14:solidFill>
                </w14:textFill>
              </w:rPr>
              <w:t>52</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1</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3F9B3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0F5686D">
            <w:pPr>
              <w:widowControl/>
              <w:jc w:val="left"/>
              <w:rPr>
                <w:rFonts w:ascii="宋体" w:hAnsi="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1B3F87C">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050938E">
            <w:pPr>
              <w:widowControl/>
              <w:jc w:val="left"/>
              <w:rPr>
                <w:rFonts w:ascii="宋体" w:hAnsi="宋体"/>
                <w:color w:val="000000" w:themeColor="text1"/>
                <w:szCs w:val="21"/>
                <w:highlight w:val="none"/>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2E394E48">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A02021006票据打印机</w:t>
            </w:r>
          </w:p>
        </w:tc>
        <w:tc>
          <w:tcPr>
            <w:tcW w:w="3566" w:type="dxa"/>
            <w:tcBorders>
              <w:top w:val="single" w:color="000000" w:sz="4" w:space="0"/>
              <w:left w:val="single" w:color="000000" w:sz="4" w:space="0"/>
              <w:bottom w:val="single" w:color="000000" w:sz="4" w:space="0"/>
              <w:right w:val="single" w:color="000000" w:sz="4" w:space="0"/>
            </w:tcBorders>
          </w:tcPr>
          <w:p w14:paraId="677CF3A0">
            <w:pPr>
              <w:pStyle w:val="58"/>
              <w:spacing w:before="52"/>
              <w:ind w:left="7" w:right="7"/>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《复印</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机</w:t>
            </w:r>
            <w:r>
              <w:rPr>
                <w:rFonts w:hint="eastAsia" w:ascii="宋体" w:hAnsi="宋体" w:cs="宋体"/>
                <w:color w:val="000000" w:themeColor="text1"/>
                <w:spacing w:val="-58"/>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打</w:t>
            </w:r>
            <w:r>
              <w:rPr>
                <w:rFonts w:hint="eastAsia" w:ascii="宋体" w:hAnsi="宋体" w:cs="宋体"/>
                <w:color w:val="000000" w:themeColor="text1"/>
                <w:w w:val="99"/>
                <w:kern w:val="2"/>
                <w:sz w:val="21"/>
                <w:szCs w:val="21"/>
                <w:highlight w:val="none"/>
                <w:lang w:eastAsia="zh-CN"/>
                <w14:textFill>
                  <w14:solidFill>
                    <w14:schemeClr w14:val="tx1"/>
                  </w14:solidFill>
                </w14:textFill>
              </w:rPr>
              <w:t>印机</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和</w:t>
            </w:r>
            <w:r>
              <w:rPr>
                <w:rFonts w:hint="eastAsia" w:ascii="宋体" w:hAnsi="宋体" w:cs="宋体"/>
                <w:color w:val="000000" w:themeColor="text1"/>
                <w:w w:val="99"/>
                <w:kern w:val="2"/>
                <w:sz w:val="21"/>
                <w:szCs w:val="21"/>
                <w:highlight w:val="none"/>
                <w:lang w:eastAsia="zh-CN"/>
                <w14:textFill>
                  <w14:solidFill>
                    <w14:schemeClr w14:val="tx1"/>
                  </w14:solidFill>
                </w14:textFill>
              </w:rPr>
              <w:t>传真</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机</w:t>
            </w:r>
            <w:r>
              <w:rPr>
                <w:rFonts w:hint="eastAsia" w:ascii="宋体" w:hAnsi="宋体" w:cs="宋体"/>
                <w:color w:val="000000" w:themeColor="text1"/>
                <w:w w:val="99"/>
                <w:kern w:val="2"/>
                <w:sz w:val="21"/>
                <w:szCs w:val="21"/>
                <w:highlight w:val="none"/>
                <w:lang w:eastAsia="zh-CN"/>
                <w14:textFill>
                  <w14:solidFill>
                    <w14:schemeClr w14:val="tx1"/>
                  </w14:solidFill>
                </w14:textFill>
              </w:rPr>
              <w:t>能效限定值及</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能</w:t>
            </w:r>
            <w:r>
              <w:rPr>
                <w:rFonts w:hint="eastAsia" w:ascii="宋体" w:hAnsi="宋体" w:cs="宋体"/>
                <w:color w:val="000000" w:themeColor="text1"/>
                <w:w w:val="99"/>
                <w:kern w:val="2"/>
                <w:sz w:val="21"/>
                <w:szCs w:val="21"/>
                <w:highlight w:val="none"/>
                <w:lang w:eastAsia="zh-CN"/>
                <w14:textFill>
                  <w14:solidFill>
                    <w14:schemeClr w14:val="tx1"/>
                  </w14:solidFill>
                </w14:textFill>
              </w:rPr>
              <w:t>效等</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级</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21</w:t>
            </w:r>
            <w:r>
              <w:rPr>
                <w:rFonts w:hint="eastAsia" w:ascii="宋体" w:hAnsi="宋体" w:cs="宋体"/>
                <w:color w:val="000000" w:themeColor="text1"/>
                <w:w w:val="99"/>
                <w:kern w:val="2"/>
                <w:sz w:val="21"/>
                <w:szCs w:val="21"/>
                <w:highlight w:val="none"/>
                <w:lang w:eastAsia="zh-CN"/>
                <w14:textFill>
                  <w14:solidFill>
                    <w14:schemeClr w14:val="tx1"/>
                  </w14:solidFill>
                </w14:textFill>
              </w:rPr>
              <w:t>52</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1</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2232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08DD78D">
            <w:pPr>
              <w:widowControl/>
              <w:jc w:val="left"/>
              <w:rPr>
                <w:rFonts w:ascii="宋体" w:hAnsi="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C931F5B">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326A572">
            <w:pPr>
              <w:widowControl/>
              <w:jc w:val="left"/>
              <w:rPr>
                <w:rFonts w:ascii="宋体" w:hAnsi="宋体"/>
                <w:color w:val="000000" w:themeColor="text1"/>
                <w:szCs w:val="21"/>
                <w:highlight w:val="none"/>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0CA5F9E2">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A02021007条码打印机</w:t>
            </w:r>
          </w:p>
        </w:tc>
        <w:tc>
          <w:tcPr>
            <w:tcW w:w="3566" w:type="dxa"/>
            <w:tcBorders>
              <w:top w:val="single" w:color="000000" w:sz="4" w:space="0"/>
              <w:left w:val="single" w:color="000000" w:sz="4" w:space="0"/>
              <w:bottom w:val="single" w:color="000000" w:sz="4" w:space="0"/>
              <w:right w:val="single" w:color="000000" w:sz="4" w:space="0"/>
            </w:tcBorders>
          </w:tcPr>
          <w:p w14:paraId="5670030E">
            <w:pPr>
              <w:pStyle w:val="58"/>
              <w:spacing w:before="52"/>
              <w:ind w:left="7" w:right="7"/>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《复印</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机</w:t>
            </w:r>
            <w:r>
              <w:rPr>
                <w:rFonts w:hint="eastAsia" w:ascii="宋体" w:hAnsi="宋体" w:cs="宋体"/>
                <w:color w:val="000000" w:themeColor="text1"/>
                <w:spacing w:val="-58"/>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打</w:t>
            </w:r>
            <w:r>
              <w:rPr>
                <w:rFonts w:hint="eastAsia" w:ascii="宋体" w:hAnsi="宋体" w:cs="宋体"/>
                <w:color w:val="000000" w:themeColor="text1"/>
                <w:w w:val="99"/>
                <w:kern w:val="2"/>
                <w:sz w:val="21"/>
                <w:szCs w:val="21"/>
                <w:highlight w:val="none"/>
                <w:lang w:eastAsia="zh-CN"/>
                <w14:textFill>
                  <w14:solidFill>
                    <w14:schemeClr w14:val="tx1"/>
                  </w14:solidFill>
                </w14:textFill>
              </w:rPr>
              <w:t>印机</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和</w:t>
            </w:r>
            <w:r>
              <w:rPr>
                <w:rFonts w:hint="eastAsia" w:ascii="宋体" w:hAnsi="宋体" w:cs="宋体"/>
                <w:color w:val="000000" w:themeColor="text1"/>
                <w:w w:val="99"/>
                <w:kern w:val="2"/>
                <w:sz w:val="21"/>
                <w:szCs w:val="21"/>
                <w:highlight w:val="none"/>
                <w:lang w:eastAsia="zh-CN"/>
                <w14:textFill>
                  <w14:solidFill>
                    <w14:schemeClr w14:val="tx1"/>
                  </w14:solidFill>
                </w14:textFill>
              </w:rPr>
              <w:t>传真</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机</w:t>
            </w:r>
            <w:r>
              <w:rPr>
                <w:rFonts w:hint="eastAsia" w:ascii="宋体" w:hAnsi="宋体" w:cs="宋体"/>
                <w:color w:val="000000" w:themeColor="text1"/>
                <w:w w:val="99"/>
                <w:kern w:val="2"/>
                <w:sz w:val="21"/>
                <w:szCs w:val="21"/>
                <w:highlight w:val="none"/>
                <w:lang w:eastAsia="zh-CN"/>
                <w14:textFill>
                  <w14:solidFill>
                    <w14:schemeClr w14:val="tx1"/>
                  </w14:solidFill>
                </w14:textFill>
              </w:rPr>
              <w:t>能效限定值及</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能</w:t>
            </w:r>
            <w:r>
              <w:rPr>
                <w:rFonts w:hint="eastAsia" w:ascii="宋体" w:hAnsi="宋体" w:cs="宋体"/>
                <w:color w:val="000000" w:themeColor="text1"/>
                <w:w w:val="99"/>
                <w:kern w:val="2"/>
                <w:sz w:val="21"/>
                <w:szCs w:val="21"/>
                <w:highlight w:val="none"/>
                <w:lang w:eastAsia="zh-CN"/>
                <w14:textFill>
                  <w14:solidFill>
                    <w14:schemeClr w14:val="tx1"/>
                  </w14:solidFill>
                </w14:textFill>
              </w:rPr>
              <w:t>效等</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级</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21</w:t>
            </w:r>
            <w:r>
              <w:rPr>
                <w:rFonts w:hint="eastAsia" w:ascii="宋体" w:hAnsi="宋体" w:cs="宋体"/>
                <w:color w:val="000000" w:themeColor="text1"/>
                <w:w w:val="99"/>
                <w:kern w:val="2"/>
                <w:sz w:val="21"/>
                <w:szCs w:val="21"/>
                <w:highlight w:val="none"/>
                <w:lang w:eastAsia="zh-CN"/>
                <w14:textFill>
                  <w14:solidFill>
                    <w14:schemeClr w14:val="tx1"/>
                  </w14:solidFill>
                </w14:textFill>
              </w:rPr>
              <w:t>52</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1</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3C93F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6238A36">
            <w:pPr>
              <w:widowControl/>
              <w:jc w:val="left"/>
              <w:rPr>
                <w:rFonts w:ascii="宋体" w:hAnsi="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C7A42F6">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967AF43">
            <w:pPr>
              <w:widowControl/>
              <w:jc w:val="left"/>
              <w:rPr>
                <w:rFonts w:ascii="宋体" w:hAnsi="宋体"/>
                <w:color w:val="000000" w:themeColor="text1"/>
                <w:szCs w:val="21"/>
                <w:highlight w:val="none"/>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69BB5349">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A02021008地址打印机</w:t>
            </w:r>
          </w:p>
        </w:tc>
        <w:tc>
          <w:tcPr>
            <w:tcW w:w="3566" w:type="dxa"/>
            <w:tcBorders>
              <w:top w:val="single" w:color="000000" w:sz="4" w:space="0"/>
              <w:left w:val="single" w:color="000000" w:sz="4" w:space="0"/>
              <w:bottom w:val="single" w:color="000000" w:sz="4" w:space="0"/>
              <w:right w:val="single" w:color="000000" w:sz="4" w:space="0"/>
            </w:tcBorders>
          </w:tcPr>
          <w:p w14:paraId="52770F54">
            <w:pPr>
              <w:pStyle w:val="58"/>
              <w:spacing w:before="52"/>
              <w:ind w:left="7" w:right="7"/>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《复印</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机</w:t>
            </w:r>
            <w:r>
              <w:rPr>
                <w:rFonts w:hint="eastAsia" w:ascii="宋体" w:hAnsi="宋体" w:cs="宋体"/>
                <w:color w:val="000000" w:themeColor="text1"/>
                <w:spacing w:val="-58"/>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打</w:t>
            </w:r>
            <w:r>
              <w:rPr>
                <w:rFonts w:hint="eastAsia" w:ascii="宋体" w:hAnsi="宋体" w:cs="宋体"/>
                <w:color w:val="000000" w:themeColor="text1"/>
                <w:w w:val="99"/>
                <w:kern w:val="2"/>
                <w:sz w:val="21"/>
                <w:szCs w:val="21"/>
                <w:highlight w:val="none"/>
                <w:lang w:eastAsia="zh-CN"/>
                <w14:textFill>
                  <w14:solidFill>
                    <w14:schemeClr w14:val="tx1"/>
                  </w14:solidFill>
                </w14:textFill>
              </w:rPr>
              <w:t>印机</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和</w:t>
            </w:r>
            <w:r>
              <w:rPr>
                <w:rFonts w:hint="eastAsia" w:ascii="宋体" w:hAnsi="宋体" w:cs="宋体"/>
                <w:color w:val="000000" w:themeColor="text1"/>
                <w:w w:val="99"/>
                <w:kern w:val="2"/>
                <w:sz w:val="21"/>
                <w:szCs w:val="21"/>
                <w:highlight w:val="none"/>
                <w:lang w:eastAsia="zh-CN"/>
                <w14:textFill>
                  <w14:solidFill>
                    <w14:schemeClr w14:val="tx1"/>
                  </w14:solidFill>
                </w14:textFill>
              </w:rPr>
              <w:t>传真</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机</w:t>
            </w:r>
            <w:r>
              <w:rPr>
                <w:rFonts w:hint="eastAsia" w:ascii="宋体" w:hAnsi="宋体" w:cs="宋体"/>
                <w:color w:val="000000" w:themeColor="text1"/>
                <w:w w:val="99"/>
                <w:kern w:val="2"/>
                <w:sz w:val="21"/>
                <w:szCs w:val="21"/>
                <w:highlight w:val="none"/>
                <w:lang w:eastAsia="zh-CN"/>
                <w14:textFill>
                  <w14:solidFill>
                    <w14:schemeClr w14:val="tx1"/>
                  </w14:solidFill>
                </w14:textFill>
              </w:rPr>
              <w:t>能效限定值及</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能</w:t>
            </w:r>
            <w:r>
              <w:rPr>
                <w:rFonts w:hint="eastAsia" w:ascii="宋体" w:hAnsi="宋体" w:cs="宋体"/>
                <w:color w:val="000000" w:themeColor="text1"/>
                <w:w w:val="99"/>
                <w:kern w:val="2"/>
                <w:sz w:val="21"/>
                <w:szCs w:val="21"/>
                <w:highlight w:val="none"/>
                <w:lang w:eastAsia="zh-CN"/>
                <w14:textFill>
                  <w14:solidFill>
                    <w14:schemeClr w14:val="tx1"/>
                  </w14:solidFill>
                </w14:textFill>
              </w:rPr>
              <w:t>效等</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级</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21</w:t>
            </w:r>
            <w:r>
              <w:rPr>
                <w:rFonts w:hint="eastAsia" w:ascii="宋体" w:hAnsi="宋体" w:cs="宋体"/>
                <w:color w:val="000000" w:themeColor="text1"/>
                <w:w w:val="99"/>
                <w:kern w:val="2"/>
                <w:sz w:val="21"/>
                <w:szCs w:val="21"/>
                <w:highlight w:val="none"/>
                <w:lang w:eastAsia="zh-CN"/>
                <w14:textFill>
                  <w14:solidFill>
                    <w14:schemeClr w14:val="tx1"/>
                  </w14:solidFill>
                </w14:textFill>
              </w:rPr>
              <w:t>52</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1</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04AB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3126E60">
            <w:pPr>
              <w:widowControl/>
              <w:jc w:val="left"/>
              <w:rPr>
                <w:rFonts w:ascii="宋体" w:hAnsi="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5212381">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235BE268">
            <w:pPr>
              <w:widowControl/>
              <w:jc w:val="left"/>
              <w:rPr>
                <w:rFonts w:ascii="宋体" w:hAnsi="宋体"/>
                <w:color w:val="000000" w:themeColor="text1"/>
                <w:szCs w:val="21"/>
                <w:highlight w:val="none"/>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170981C1">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A02021099其他打印机</w:t>
            </w:r>
          </w:p>
        </w:tc>
        <w:tc>
          <w:tcPr>
            <w:tcW w:w="3566" w:type="dxa"/>
            <w:tcBorders>
              <w:top w:val="single" w:color="000000" w:sz="4" w:space="0"/>
              <w:left w:val="single" w:color="000000" w:sz="4" w:space="0"/>
              <w:bottom w:val="single" w:color="000000" w:sz="4" w:space="0"/>
              <w:right w:val="single" w:color="000000" w:sz="4" w:space="0"/>
            </w:tcBorders>
          </w:tcPr>
          <w:p w14:paraId="62C39803">
            <w:pPr>
              <w:pStyle w:val="58"/>
              <w:spacing w:before="52"/>
              <w:ind w:left="7" w:right="7"/>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《复印</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机</w:t>
            </w:r>
            <w:r>
              <w:rPr>
                <w:rFonts w:hint="eastAsia" w:ascii="宋体" w:hAnsi="宋体" w:cs="宋体"/>
                <w:color w:val="000000" w:themeColor="text1"/>
                <w:spacing w:val="-58"/>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打</w:t>
            </w:r>
            <w:r>
              <w:rPr>
                <w:rFonts w:hint="eastAsia" w:ascii="宋体" w:hAnsi="宋体" w:cs="宋体"/>
                <w:color w:val="000000" w:themeColor="text1"/>
                <w:w w:val="99"/>
                <w:kern w:val="2"/>
                <w:sz w:val="21"/>
                <w:szCs w:val="21"/>
                <w:highlight w:val="none"/>
                <w:lang w:eastAsia="zh-CN"/>
                <w14:textFill>
                  <w14:solidFill>
                    <w14:schemeClr w14:val="tx1"/>
                  </w14:solidFill>
                </w14:textFill>
              </w:rPr>
              <w:t>印机</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和</w:t>
            </w:r>
            <w:r>
              <w:rPr>
                <w:rFonts w:hint="eastAsia" w:ascii="宋体" w:hAnsi="宋体" w:cs="宋体"/>
                <w:color w:val="000000" w:themeColor="text1"/>
                <w:w w:val="99"/>
                <w:kern w:val="2"/>
                <w:sz w:val="21"/>
                <w:szCs w:val="21"/>
                <w:highlight w:val="none"/>
                <w:lang w:eastAsia="zh-CN"/>
                <w14:textFill>
                  <w14:solidFill>
                    <w14:schemeClr w14:val="tx1"/>
                  </w14:solidFill>
                </w14:textFill>
              </w:rPr>
              <w:t>传真</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机</w:t>
            </w:r>
            <w:r>
              <w:rPr>
                <w:rFonts w:hint="eastAsia" w:ascii="宋体" w:hAnsi="宋体" w:cs="宋体"/>
                <w:color w:val="000000" w:themeColor="text1"/>
                <w:w w:val="99"/>
                <w:kern w:val="2"/>
                <w:sz w:val="21"/>
                <w:szCs w:val="21"/>
                <w:highlight w:val="none"/>
                <w:lang w:eastAsia="zh-CN"/>
                <w14:textFill>
                  <w14:solidFill>
                    <w14:schemeClr w14:val="tx1"/>
                  </w14:solidFill>
                </w14:textFill>
              </w:rPr>
              <w:t>能效限定值及</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能</w:t>
            </w:r>
            <w:r>
              <w:rPr>
                <w:rFonts w:hint="eastAsia" w:ascii="宋体" w:hAnsi="宋体" w:cs="宋体"/>
                <w:color w:val="000000" w:themeColor="text1"/>
                <w:w w:val="99"/>
                <w:kern w:val="2"/>
                <w:sz w:val="21"/>
                <w:szCs w:val="21"/>
                <w:highlight w:val="none"/>
                <w:lang w:eastAsia="zh-CN"/>
                <w14:textFill>
                  <w14:solidFill>
                    <w14:schemeClr w14:val="tx1"/>
                  </w14:solidFill>
                </w14:textFill>
              </w:rPr>
              <w:t>效等</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级</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21</w:t>
            </w:r>
            <w:r>
              <w:rPr>
                <w:rFonts w:hint="eastAsia" w:ascii="宋体" w:hAnsi="宋体" w:cs="宋体"/>
                <w:color w:val="000000" w:themeColor="text1"/>
                <w:w w:val="99"/>
                <w:kern w:val="2"/>
                <w:sz w:val="21"/>
                <w:szCs w:val="21"/>
                <w:highlight w:val="none"/>
                <w:lang w:eastAsia="zh-CN"/>
                <w14:textFill>
                  <w14:solidFill>
                    <w14:schemeClr w14:val="tx1"/>
                  </w14:solidFill>
                </w14:textFill>
              </w:rPr>
              <w:t>52</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1</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009BA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4A13E6A">
            <w:pPr>
              <w:widowControl/>
              <w:jc w:val="left"/>
              <w:rPr>
                <w:rFonts w:ascii="宋体" w:hAnsi="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8E44CC2">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6961B006">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A02021100输入输出设备</w:t>
            </w:r>
          </w:p>
        </w:tc>
        <w:tc>
          <w:tcPr>
            <w:tcW w:w="1367" w:type="dxa"/>
            <w:tcBorders>
              <w:top w:val="single" w:color="000000" w:sz="4" w:space="0"/>
              <w:left w:val="single" w:color="000000" w:sz="4" w:space="0"/>
              <w:bottom w:val="single" w:color="000000" w:sz="4" w:space="0"/>
              <w:right w:val="single" w:color="000000" w:sz="4" w:space="0"/>
            </w:tcBorders>
            <w:vAlign w:val="center"/>
          </w:tcPr>
          <w:p w14:paraId="63AAD8A1">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A02021104液晶显示器</w:t>
            </w:r>
          </w:p>
        </w:tc>
        <w:tc>
          <w:tcPr>
            <w:tcW w:w="3566" w:type="dxa"/>
            <w:tcBorders>
              <w:top w:val="single" w:color="000000" w:sz="4" w:space="0"/>
              <w:left w:val="single" w:color="000000" w:sz="4" w:space="0"/>
              <w:bottom w:val="single" w:color="000000" w:sz="4" w:space="0"/>
              <w:right w:val="single" w:color="000000" w:sz="4" w:space="0"/>
            </w:tcBorders>
            <w:vAlign w:val="center"/>
          </w:tcPr>
          <w:p w14:paraId="2C457B65">
            <w:pP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pacing w:val="12"/>
                <w:w w:val="99"/>
                <w:szCs w:val="21"/>
                <w:highlight w:val="none"/>
                <w14:textFill>
                  <w14:solidFill>
                    <w14:schemeClr w14:val="tx1"/>
                  </w14:solidFill>
                </w14:textFill>
              </w:rPr>
              <w:t>《计算机显示器能效限</w:t>
            </w:r>
            <w:r>
              <w:rPr>
                <w:rFonts w:hint="eastAsia" w:ascii="宋体" w:hAnsi="宋体" w:cs="宋体"/>
                <w:color w:val="000000" w:themeColor="text1"/>
                <w:spacing w:val="9"/>
                <w:w w:val="99"/>
                <w:szCs w:val="21"/>
                <w:highlight w:val="none"/>
                <w14:textFill>
                  <w14:solidFill>
                    <w14:schemeClr w14:val="tx1"/>
                  </w14:solidFill>
                </w14:textFill>
              </w:rPr>
              <w:t>定</w:t>
            </w:r>
            <w:r>
              <w:rPr>
                <w:rFonts w:hint="eastAsia" w:ascii="宋体" w:hAnsi="宋体" w:cs="宋体"/>
                <w:color w:val="000000" w:themeColor="text1"/>
                <w:spacing w:val="12"/>
                <w:w w:val="99"/>
                <w:szCs w:val="21"/>
                <w:highlight w:val="none"/>
                <w14:textFill>
                  <w14:solidFill>
                    <w14:schemeClr w14:val="tx1"/>
                  </w14:solidFill>
                </w14:textFill>
              </w:rPr>
              <w:t>值及</w:t>
            </w:r>
            <w:r>
              <w:rPr>
                <w:rFonts w:hint="eastAsia" w:ascii="宋体" w:hAnsi="宋体" w:cs="宋体"/>
                <w:color w:val="000000" w:themeColor="text1"/>
                <w:w w:val="99"/>
                <w:szCs w:val="21"/>
                <w:highlight w:val="none"/>
                <w14:textFill>
                  <w14:solidFill>
                    <w14:schemeClr w14:val="tx1"/>
                  </w14:solidFill>
                </w14:textFill>
              </w:rPr>
              <w:t>能效等级</w:t>
            </w:r>
            <w:r>
              <w:rPr>
                <w:rFonts w:hint="eastAsia" w:ascii="宋体" w:hAnsi="宋体" w:cs="宋体"/>
                <w:color w:val="000000" w:themeColor="text1"/>
                <w:spacing w:val="2"/>
                <w:w w:val="99"/>
                <w:szCs w:val="21"/>
                <w:highlight w:val="none"/>
                <w14:textFill>
                  <w14:solidFill>
                    <w14:schemeClr w14:val="tx1"/>
                  </w14:solidFill>
                </w14:textFill>
              </w:rPr>
              <w:t>》</w:t>
            </w:r>
            <w:r>
              <w:rPr>
                <w:rFonts w:hint="eastAsia" w:ascii="宋体" w:hAnsi="宋体" w:cs="宋体"/>
                <w:color w:val="000000" w:themeColor="text1"/>
                <w:w w:val="99"/>
                <w:szCs w:val="21"/>
                <w:highlight w:val="none"/>
                <w14:textFill>
                  <w14:solidFill>
                    <w14:schemeClr w14:val="tx1"/>
                  </w14:solidFill>
                </w14:textFill>
              </w:rPr>
              <w:t>（</w:t>
            </w:r>
            <w:r>
              <w:rPr>
                <w:rFonts w:hint="eastAsia" w:ascii="宋体" w:hAnsi="宋体" w:cs="宋体"/>
                <w:color w:val="000000" w:themeColor="text1"/>
                <w:spacing w:val="1"/>
                <w:w w:val="99"/>
                <w:szCs w:val="21"/>
                <w:highlight w:val="none"/>
                <w14:textFill>
                  <w14:solidFill>
                    <w14:schemeClr w14:val="tx1"/>
                  </w14:solidFill>
                </w14:textFill>
              </w:rPr>
              <w:t>G</w:t>
            </w:r>
            <w:r>
              <w:rPr>
                <w:rFonts w:hint="eastAsia" w:ascii="宋体" w:hAnsi="宋体" w:cs="宋体"/>
                <w:color w:val="000000" w:themeColor="text1"/>
                <w:w w:val="99"/>
                <w:szCs w:val="21"/>
                <w:highlight w:val="none"/>
                <w14:textFill>
                  <w14:solidFill>
                    <w14:schemeClr w14:val="tx1"/>
                  </w14:solidFill>
                </w14:textFill>
              </w:rPr>
              <w:t>B</w:t>
            </w:r>
            <w:r>
              <w:rPr>
                <w:rFonts w:hint="eastAsia" w:ascii="宋体" w:hAnsi="宋体" w:cs="宋体"/>
                <w:color w:val="000000" w:themeColor="text1"/>
                <w:spacing w:val="1"/>
                <w:w w:val="99"/>
                <w:szCs w:val="21"/>
                <w:highlight w:val="none"/>
                <w14:textFill>
                  <w14:solidFill>
                    <w14:schemeClr w14:val="tx1"/>
                  </w14:solidFill>
                </w14:textFill>
              </w:rPr>
              <w:t>21</w:t>
            </w:r>
            <w:r>
              <w:rPr>
                <w:rFonts w:hint="eastAsia" w:ascii="宋体" w:hAnsi="宋体" w:cs="宋体"/>
                <w:color w:val="000000" w:themeColor="text1"/>
                <w:w w:val="99"/>
                <w:szCs w:val="21"/>
                <w:highlight w:val="none"/>
                <w14:textFill>
                  <w14:solidFill>
                    <w14:schemeClr w14:val="tx1"/>
                  </w14:solidFill>
                </w14:textFill>
              </w:rPr>
              <w:t>52</w:t>
            </w:r>
            <w:r>
              <w:rPr>
                <w:rFonts w:hint="eastAsia" w:ascii="宋体" w:hAnsi="宋体" w:cs="宋体"/>
                <w:color w:val="000000" w:themeColor="text1"/>
                <w:spacing w:val="1"/>
                <w:w w:val="99"/>
                <w:szCs w:val="21"/>
                <w:highlight w:val="none"/>
                <w14:textFill>
                  <w14:solidFill>
                    <w14:schemeClr w14:val="tx1"/>
                  </w14:solidFill>
                </w14:textFill>
              </w:rPr>
              <w:t>0</w:t>
            </w:r>
            <w:r>
              <w:rPr>
                <w:rFonts w:hint="eastAsia" w:ascii="宋体" w:hAnsi="宋体" w:cs="宋体"/>
                <w:color w:val="000000" w:themeColor="text1"/>
                <w:w w:val="99"/>
                <w:szCs w:val="21"/>
                <w:highlight w:val="none"/>
                <w14:textFill>
                  <w14:solidFill>
                    <w14:schemeClr w14:val="tx1"/>
                  </w14:solidFill>
                </w14:textFill>
              </w:rPr>
              <w:t>）</w:t>
            </w:r>
          </w:p>
        </w:tc>
      </w:tr>
      <w:tr w14:paraId="0187C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6DB76198">
            <w:pPr>
              <w:widowControl/>
              <w:jc w:val="left"/>
              <w:rPr>
                <w:rFonts w:ascii="宋体" w:hAnsi="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F27FFC7">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2C8C488A">
            <w:pPr>
              <w:widowControl/>
              <w:jc w:val="left"/>
              <w:rPr>
                <w:rFonts w:ascii="宋体" w:hAnsi="宋体"/>
                <w:color w:val="000000" w:themeColor="text1"/>
                <w:szCs w:val="21"/>
                <w:highlight w:val="none"/>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1CC7A868">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A02021118扫描仪</w:t>
            </w:r>
          </w:p>
        </w:tc>
        <w:tc>
          <w:tcPr>
            <w:tcW w:w="3566" w:type="dxa"/>
            <w:tcBorders>
              <w:top w:val="single" w:color="000000" w:sz="4" w:space="0"/>
              <w:left w:val="single" w:color="000000" w:sz="4" w:space="0"/>
              <w:bottom w:val="single" w:color="000000" w:sz="4" w:space="0"/>
              <w:right w:val="single" w:color="000000" w:sz="4" w:space="0"/>
            </w:tcBorders>
            <w:vAlign w:val="center"/>
          </w:tcPr>
          <w:p w14:paraId="32946231">
            <w:pP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w w:val="99"/>
                <w:szCs w:val="21"/>
                <w:highlight w:val="none"/>
                <w14:textFill>
                  <w14:solidFill>
                    <w14:schemeClr w14:val="tx1"/>
                  </w14:solidFill>
                </w14:textFill>
              </w:rPr>
              <w:t>参</w:t>
            </w:r>
            <w:r>
              <w:rPr>
                <w:rFonts w:hint="eastAsia" w:ascii="宋体" w:hAnsi="宋体" w:cs="宋体"/>
                <w:color w:val="000000" w:themeColor="text1"/>
                <w:spacing w:val="-29"/>
                <w:w w:val="99"/>
                <w:szCs w:val="21"/>
                <w:highlight w:val="none"/>
                <w14:textFill>
                  <w14:solidFill>
                    <w14:schemeClr w14:val="tx1"/>
                  </w14:solidFill>
                </w14:textFill>
              </w:rPr>
              <w:t>照</w:t>
            </w:r>
            <w:r>
              <w:rPr>
                <w:rFonts w:hint="eastAsia" w:ascii="宋体" w:hAnsi="宋体" w:cs="宋体"/>
                <w:color w:val="000000" w:themeColor="text1"/>
                <w:w w:val="99"/>
                <w:szCs w:val="21"/>
                <w:highlight w:val="none"/>
                <w14:textFill>
                  <w14:solidFill>
                    <w14:schemeClr w14:val="tx1"/>
                  </w14:solidFill>
                </w14:textFill>
              </w:rPr>
              <w:t>《</w:t>
            </w:r>
            <w:r>
              <w:rPr>
                <w:rFonts w:hint="eastAsia" w:ascii="宋体" w:hAnsi="宋体" w:cs="宋体"/>
                <w:color w:val="000000" w:themeColor="text1"/>
                <w:spacing w:val="2"/>
                <w:w w:val="99"/>
                <w:szCs w:val="21"/>
                <w:highlight w:val="none"/>
                <w14:textFill>
                  <w14:solidFill>
                    <w14:schemeClr w14:val="tx1"/>
                  </w14:solidFill>
                </w14:textFill>
              </w:rPr>
              <w:t>复</w:t>
            </w:r>
            <w:r>
              <w:rPr>
                <w:rFonts w:hint="eastAsia" w:ascii="宋体" w:hAnsi="宋体" w:cs="宋体"/>
                <w:color w:val="000000" w:themeColor="text1"/>
                <w:w w:val="99"/>
                <w:szCs w:val="21"/>
                <w:highlight w:val="none"/>
                <w14:textFill>
                  <w14:solidFill>
                    <w14:schemeClr w14:val="tx1"/>
                  </w14:solidFill>
                </w14:textFill>
              </w:rPr>
              <w:t>印</w:t>
            </w:r>
            <w:r>
              <w:rPr>
                <w:rFonts w:hint="eastAsia" w:ascii="宋体" w:hAnsi="宋体" w:cs="宋体"/>
                <w:color w:val="000000" w:themeColor="text1"/>
                <w:spacing w:val="2"/>
                <w:w w:val="99"/>
                <w:szCs w:val="21"/>
                <w:highlight w:val="none"/>
                <w14:textFill>
                  <w14:solidFill>
                    <w14:schemeClr w14:val="tx1"/>
                  </w14:solidFill>
                </w14:textFill>
              </w:rPr>
              <w:t>机</w:t>
            </w:r>
            <w:r>
              <w:rPr>
                <w:rFonts w:hint="eastAsia" w:ascii="宋体" w:hAnsi="宋体" w:cs="宋体"/>
                <w:color w:val="000000" w:themeColor="text1"/>
                <w:spacing w:val="-29"/>
                <w:w w:val="99"/>
                <w:szCs w:val="21"/>
                <w:highlight w:val="none"/>
                <w14:textFill>
                  <w14:solidFill>
                    <w14:schemeClr w14:val="tx1"/>
                  </w14:solidFill>
                </w14:textFill>
              </w:rPr>
              <w:t>、</w:t>
            </w:r>
            <w:r>
              <w:rPr>
                <w:rFonts w:hint="eastAsia" w:ascii="宋体" w:hAnsi="宋体" w:cs="宋体"/>
                <w:color w:val="000000" w:themeColor="text1"/>
                <w:w w:val="99"/>
                <w:szCs w:val="21"/>
                <w:highlight w:val="none"/>
                <w14:textFill>
                  <w14:solidFill>
                    <w14:schemeClr w14:val="tx1"/>
                  </w14:solidFill>
                </w14:textFill>
              </w:rPr>
              <w:t>打</w:t>
            </w:r>
            <w:r>
              <w:rPr>
                <w:rFonts w:hint="eastAsia" w:ascii="宋体" w:hAnsi="宋体" w:cs="宋体"/>
                <w:color w:val="000000" w:themeColor="text1"/>
                <w:spacing w:val="2"/>
                <w:w w:val="99"/>
                <w:szCs w:val="21"/>
                <w:highlight w:val="none"/>
                <w14:textFill>
                  <w14:solidFill>
                    <w14:schemeClr w14:val="tx1"/>
                  </w14:solidFill>
                </w14:textFill>
              </w:rPr>
              <w:t>印</w:t>
            </w:r>
            <w:r>
              <w:rPr>
                <w:rFonts w:hint="eastAsia" w:ascii="宋体" w:hAnsi="宋体" w:cs="宋体"/>
                <w:color w:val="000000" w:themeColor="text1"/>
                <w:w w:val="99"/>
                <w:szCs w:val="21"/>
                <w:highlight w:val="none"/>
                <w14:textFill>
                  <w14:solidFill>
                    <w14:schemeClr w14:val="tx1"/>
                  </w14:solidFill>
                </w14:textFill>
              </w:rPr>
              <w:t>机和</w:t>
            </w:r>
            <w:r>
              <w:rPr>
                <w:rFonts w:hint="eastAsia" w:ascii="宋体" w:hAnsi="宋体" w:cs="宋体"/>
                <w:color w:val="000000" w:themeColor="text1"/>
                <w:spacing w:val="2"/>
                <w:w w:val="99"/>
                <w:szCs w:val="21"/>
                <w:highlight w:val="none"/>
                <w14:textFill>
                  <w14:solidFill>
                    <w14:schemeClr w14:val="tx1"/>
                  </w14:solidFill>
                </w14:textFill>
              </w:rPr>
              <w:t>传</w:t>
            </w:r>
            <w:r>
              <w:rPr>
                <w:rFonts w:hint="eastAsia" w:ascii="宋体" w:hAnsi="宋体" w:cs="宋体"/>
                <w:color w:val="000000" w:themeColor="text1"/>
                <w:w w:val="99"/>
                <w:szCs w:val="21"/>
                <w:highlight w:val="none"/>
                <w14:textFill>
                  <w14:solidFill>
                    <w14:schemeClr w14:val="tx1"/>
                  </w14:solidFill>
                </w14:textFill>
              </w:rPr>
              <w:t>真机能效限定</w:t>
            </w:r>
            <w:r>
              <w:rPr>
                <w:rFonts w:hint="eastAsia" w:ascii="宋体" w:hAnsi="宋体" w:cs="宋体"/>
                <w:color w:val="000000" w:themeColor="text1"/>
                <w:spacing w:val="2"/>
                <w:w w:val="99"/>
                <w:szCs w:val="21"/>
                <w:highlight w:val="none"/>
                <w14:textFill>
                  <w14:solidFill>
                    <w14:schemeClr w14:val="tx1"/>
                  </w14:solidFill>
                </w14:textFill>
              </w:rPr>
              <w:t>值</w:t>
            </w:r>
            <w:r>
              <w:rPr>
                <w:rFonts w:hint="eastAsia" w:ascii="宋体" w:hAnsi="宋体" w:cs="宋体"/>
                <w:color w:val="000000" w:themeColor="text1"/>
                <w:w w:val="99"/>
                <w:szCs w:val="21"/>
                <w:highlight w:val="none"/>
                <w14:textFill>
                  <w14:solidFill>
                    <w14:schemeClr w14:val="tx1"/>
                  </w14:solidFill>
                </w14:textFill>
              </w:rPr>
              <w:t>及能</w:t>
            </w:r>
            <w:r>
              <w:rPr>
                <w:rFonts w:hint="eastAsia" w:ascii="宋体" w:hAnsi="宋体" w:cs="宋体"/>
                <w:color w:val="000000" w:themeColor="text1"/>
                <w:spacing w:val="2"/>
                <w:w w:val="99"/>
                <w:szCs w:val="21"/>
                <w:highlight w:val="none"/>
                <w14:textFill>
                  <w14:solidFill>
                    <w14:schemeClr w14:val="tx1"/>
                  </w14:solidFill>
                </w14:textFill>
              </w:rPr>
              <w:t>效</w:t>
            </w:r>
            <w:r>
              <w:rPr>
                <w:rFonts w:hint="eastAsia" w:ascii="宋体" w:hAnsi="宋体" w:cs="宋体"/>
                <w:color w:val="000000" w:themeColor="text1"/>
                <w:w w:val="99"/>
                <w:szCs w:val="21"/>
                <w:highlight w:val="none"/>
                <w14:textFill>
                  <w14:solidFill>
                    <w14:schemeClr w14:val="tx1"/>
                  </w14:solidFill>
                </w14:textFill>
              </w:rPr>
              <w:t>等级</w:t>
            </w:r>
            <w:r>
              <w:rPr>
                <w:rFonts w:hint="eastAsia" w:ascii="宋体" w:hAnsi="宋体" w:cs="宋体"/>
                <w:color w:val="000000" w:themeColor="text1"/>
                <w:spacing w:val="-106"/>
                <w:w w:val="99"/>
                <w:szCs w:val="21"/>
                <w:highlight w:val="none"/>
                <w14:textFill>
                  <w14:solidFill>
                    <w14:schemeClr w14:val="tx1"/>
                  </w14:solidFill>
                </w14:textFill>
              </w:rPr>
              <w:t>》</w:t>
            </w:r>
            <w:r>
              <w:rPr>
                <w:rFonts w:hint="eastAsia" w:ascii="宋体" w:hAnsi="宋体" w:cs="宋体"/>
                <w:color w:val="000000" w:themeColor="text1"/>
                <w:w w:val="99"/>
                <w:szCs w:val="21"/>
                <w:highlight w:val="none"/>
                <w14:textFill>
                  <w14:solidFill>
                    <w14:schemeClr w14:val="tx1"/>
                  </w14:solidFill>
                </w14:textFill>
              </w:rPr>
              <w:t>（</w:t>
            </w:r>
            <w:r>
              <w:rPr>
                <w:rFonts w:hint="eastAsia" w:ascii="宋体" w:hAnsi="宋体" w:cs="宋体"/>
                <w:color w:val="000000" w:themeColor="text1"/>
                <w:spacing w:val="1"/>
                <w:w w:val="99"/>
                <w:szCs w:val="21"/>
                <w:highlight w:val="none"/>
                <w14:textFill>
                  <w14:solidFill>
                    <w14:schemeClr w14:val="tx1"/>
                  </w14:solidFill>
                </w14:textFill>
              </w:rPr>
              <w:t>G</w:t>
            </w:r>
            <w:r>
              <w:rPr>
                <w:rFonts w:hint="eastAsia" w:ascii="宋体" w:hAnsi="宋体" w:cs="宋体"/>
                <w:color w:val="000000" w:themeColor="text1"/>
                <w:w w:val="99"/>
                <w:szCs w:val="21"/>
                <w:highlight w:val="none"/>
                <w14:textFill>
                  <w14:solidFill>
                    <w14:schemeClr w14:val="tx1"/>
                  </w14:solidFill>
                </w14:textFill>
              </w:rPr>
              <w:t>B</w:t>
            </w:r>
            <w:r>
              <w:rPr>
                <w:rFonts w:hint="eastAsia" w:ascii="宋体" w:hAnsi="宋体" w:cs="宋体"/>
                <w:color w:val="000000" w:themeColor="text1"/>
                <w:spacing w:val="1"/>
                <w:w w:val="99"/>
                <w:szCs w:val="21"/>
                <w:highlight w:val="none"/>
                <w14:textFill>
                  <w14:solidFill>
                    <w14:schemeClr w14:val="tx1"/>
                  </w14:solidFill>
                </w14:textFill>
              </w:rPr>
              <w:t>2152</w:t>
            </w:r>
            <w:r>
              <w:rPr>
                <w:rFonts w:hint="eastAsia" w:ascii="宋体" w:hAnsi="宋体" w:cs="宋体"/>
                <w:color w:val="000000" w:themeColor="text1"/>
                <w:w w:val="99"/>
                <w:szCs w:val="21"/>
                <w:highlight w:val="none"/>
                <w14:textFill>
                  <w14:solidFill>
                    <w14:schemeClr w14:val="tx1"/>
                  </w14:solidFill>
                </w14:textFill>
              </w:rPr>
              <w:t>1）</w:t>
            </w:r>
            <w:r>
              <w:rPr>
                <w:rFonts w:hint="eastAsia" w:ascii="宋体" w:hAnsi="宋体" w:cs="宋体"/>
                <w:color w:val="000000" w:themeColor="text1"/>
                <w:spacing w:val="2"/>
                <w:w w:val="99"/>
                <w:szCs w:val="21"/>
                <w:highlight w:val="none"/>
                <w14:textFill>
                  <w14:solidFill>
                    <w14:schemeClr w14:val="tx1"/>
                  </w14:solidFill>
                </w14:textFill>
              </w:rPr>
              <w:t>中</w:t>
            </w:r>
            <w:r>
              <w:rPr>
                <w:rFonts w:hint="eastAsia" w:ascii="宋体" w:hAnsi="宋体" w:cs="宋体"/>
                <w:color w:val="000000" w:themeColor="text1"/>
                <w:spacing w:val="4"/>
                <w:w w:val="99"/>
                <w:szCs w:val="21"/>
                <w:highlight w:val="none"/>
                <w14:textFill>
                  <w14:solidFill>
                    <w14:schemeClr w14:val="tx1"/>
                  </w14:solidFill>
                </w14:textFill>
              </w:rPr>
              <w:t>打印速</w:t>
            </w:r>
            <w:r>
              <w:rPr>
                <w:rFonts w:hint="eastAsia" w:ascii="宋体" w:hAnsi="宋体" w:cs="宋体"/>
                <w:color w:val="000000" w:themeColor="text1"/>
                <w:spacing w:val="2"/>
                <w:w w:val="99"/>
                <w:szCs w:val="21"/>
                <w:highlight w:val="none"/>
                <w14:textFill>
                  <w14:solidFill>
                    <w14:schemeClr w14:val="tx1"/>
                  </w14:solidFill>
                </w14:textFill>
              </w:rPr>
              <w:t>度</w:t>
            </w:r>
            <w:r>
              <w:rPr>
                <w:rFonts w:hint="eastAsia" w:ascii="宋体" w:hAnsi="宋体" w:cs="宋体"/>
                <w:color w:val="000000" w:themeColor="text1"/>
                <w:w w:val="99"/>
                <w:szCs w:val="21"/>
                <w:highlight w:val="none"/>
                <w14:textFill>
                  <w14:solidFill>
                    <w14:schemeClr w14:val="tx1"/>
                  </w14:solidFill>
                </w14:textFill>
              </w:rPr>
              <w:t>为</w:t>
            </w:r>
            <w:r>
              <w:rPr>
                <w:rFonts w:hint="eastAsia" w:ascii="宋体" w:hAnsi="宋体" w:cs="宋体"/>
                <w:color w:val="000000" w:themeColor="text1"/>
                <w:spacing w:val="1"/>
                <w:w w:val="99"/>
                <w:szCs w:val="21"/>
                <w:highlight w:val="none"/>
                <w14:textFill>
                  <w14:solidFill>
                    <w14:schemeClr w14:val="tx1"/>
                  </w14:solidFill>
                </w14:textFill>
              </w:rPr>
              <w:t>1</w:t>
            </w:r>
            <w:r>
              <w:rPr>
                <w:rFonts w:hint="eastAsia" w:ascii="宋体" w:hAnsi="宋体" w:cs="宋体"/>
                <w:color w:val="000000" w:themeColor="text1"/>
                <w:w w:val="99"/>
                <w:szCs w:val="21"/>
                <w:highlight w:val="none"/>
                <w14:textFill>
                  <w14:solidFill>
                    <w14:schemeClr w14:val="tx1"/>
                  </w14:solidFill>
                </w14:textFill>
              </w:rPr>
              <w:t>5</w:t>
            </w:r>
            <w:r>
              <w:rPr>
                <w:rFonts w:hint="eastAsia" w:ascii="宋体" w:hAnsi="宋体" w:cs="宋体"/>
                <w:color w:val="000000" w:themeColor="text1"/>
                <w:spacing w:val="2"/>
                <w:w w:val="99"/>
                <w:szCs w:val="21"/>
                <w:highlight w:val="none"/>
                <w14:textFill>
                  <w14:solidFill>
                    <w14:schemeClr w14:val="tx1"/>
                  </w14:solidFill>
                </w14:textFill>
              </w:rPr>
              <w:t>页</w:t>
            </w:r>
            <w:r>
              <w:rPr>
                <w:rFonts w:hint="eastAsia" w:ascii="宋体" w:hAnsi="宋体" w:cs="宋体"/>
                <w:color w:val="000000" w:themeColor="text1"/>
                <w:spacing w:val="5"/>
                <w:w w:val="99"/>
                <w:szCs w:val="21"/>
                <w:highlight w:val="none"/>
                <w14:textFill>
                  <w14:solidFill>
                    <w14:schemeClr w14:val="tx1"/>
                  </w14:solidFill>
                </w14:textFill>
              </w:rPr>
              <w:t>/</w:t>
            </w:r>
            <w:r>
              <w:rPr>
                <w:rFonts w:hint="eastAsia" w:ascii="宋体" w:hAnsi="宋体" w:cs="宋体"/>
                <w:color w:val="000000" w:themeColor="text1"/>
                <w:spacing w:val="4"/>
                <w:w w:val="99"/>
                <w:szCs w:val="21"/>
                <w:highlight w:val="none"/>
                <w14:textFill>
                  <w14:solidFill>
                    <w14:schemeClr w14:val="tx1"/>
                  </w14:solidFill>
                </w14:textFill>
              </w:rPr>
              <w:t>分的</w:t>
            </w:r>
            <w:r>
              <w:rPr>
                <w:rFonts w:hint="eastAsia" w:ascii="宋体" w:hAnsi="宋体" w:cs="宋体"/>
                <w:color w:val="000000" w:themeColor="text1"/>
                <w:spacing w:val="2"/>
                <w:w w:val="99"/>
                <w:szCs w:val="21"/>
                <w:highlight w:val="none"/>
                <w14:textFill>
                  <w14:solidFill>
                    <w14:schemeClr w14:val="tx1"/>
                  </w14:solidFill>
                </w14:textFill>
              </w:rPr>
              <w:t>针</w:t>
            </w:r>
            <w:r>
              <w:rPr>
                <w:rFonts w:hint="eastAsia" w:ascii="宋体" w:hAnsi="宋体" w:cs="宋体"/>
                <w:color w:val="000000" w:themeColor="text1"/>
                <w:spacing w:val="4"/>
                <w:w w:val="99"/>
                <w:szCs w:val="21"/>
                <w:highlight w:val="none"/>
                <w14:textFill>
                  <w14:solidFill>
                    <w14:schemeClr w14:val="tx1"/>
                  </w14:solidFill>
                </w14:textFill>
              </w:rPr>
              <w:t>式</w:t>
            </w:r>
            <w:r>
              <w:rPr>
                <w:rFonts w:hint="eastAsia" w:ascii="宋体" w:hAnsi="宋体" w:cs="宋体"/>
                <w:color w:val="000000" w:themeColor="text1"/>
                <w:w w:val="99"/>
                <w:szCs w:val="21"/>
                <w:highlight w:val="none"/>
                <w14:textFill>
                  <w14:solidFill>
                    <w14:schemeClr w14:val="tx1"/>
                  </w14:solidFill>
                </w14:textFill>
              </w:rPr>
              <w:t>打印机相</w:t>
            </w:r>
            <w:r>
              <w:rPr>
                <w:rFonts w:hint="eastAsia" w:ascii="宋体" w:hAnsi="宋体" w:cs="宋体"/>
                <w:color w:val="000000" w:themeColor="text1"/>
                <w:spacing w:val="2"/>
                <w:w w:val="99"/>
                <w:szCs w:val="21"/>
                <w:highlight w:val="none"/>
                <w14:textFill>
                  <w14:solidFill>
                    <w14:schemeClr w14:val="tx1"/>
                  </w14:solidFill>
                </w14:textFill>
              </w:rPr>
              <w:t>关</w:t>
            </w:r>
            <w:r>
              <w:rPr>
                <w:rFonts w:hint="eastAsia" w:ascii="宋体" w:hAnsi="宋体" w:cs="宋体"/>
                <w:color w:val="000000" w:themeColor="text1"/>
                <w:w w:val="99"/>
                <w:szCs w:val="21"/>
                <w:highlight w:val="none"/>
                <w14:textFill>
                  <w14:solidFill>
                    <w14:schemeClr w14:val="tx1"/>
                  </w14:solidFill>
                </w14:textFill>
              </w:rPr>
              <w:t>要求</w:t>
            </w:r>
          </w:p>
        </w:tc>
      </w:tr>
      <w:tr w14:paraId="34A3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50AD8EFC">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w w:val="99"/>
                <w:szCs w:val="21"/>
                <w:highlight w:val="none"/>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2D532FB8">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6B5A606F">
            <w:pPr>
              <w:jc w:val="center"/>
              <w:rPr>
                <w:rFonts w:ascii="宋体" w:hAnsi="宋体"/>
                <w:color w:val="000000" w:themeColor="text1"/>
                <w:szCs w:val="21"/>
                <w:highlight w:val="none"/>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0532842E">
            <w:pPr>
              <w:jc w:val="center"/>
              <w:rPr>
                <w:rFonts w:ascii="宋体" w:hAnsi="宋体"/>
                <w:color w:val="000000" w:themeColor="text1"/>
                <w:szCs w:val="21"/>
                <w:highlight w:val="none"/>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vAlign w:val="center"/>
          </w:tcPr>
          <w:p w14:paraId="7E0583F1">
            <w:pP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w w:val="99"/>
                <w:szCs w:val="21"/>
                <w:highlight w:val="none"/>
                <w14:textFill>
                  <w14:solidFill>
                    <w14:schemeClr w14:val="tx1"/>
                  </w14:solidFill>
                </w14:textFill>
              </w:rPr>
              <w:t>《投影</w:t>
            </w:r>
            <w:r>
              <w:rPr>
                <w:rFonts w:hint="eastAsia" w:ascii="宋体" w:hAnsi="宋体" w:cs="宋体"/>
                <w:color w:val="000000" w:themeColor="text1"/>
                <w:spacing w:val="2"/>
                <w:w w:val="99"/>
                <w:szCs w:val="21"/>
                <w:highlight w:val="none"/>
                <w14:textFill>
                  <w14:solidFill>
                    <w14:schemeClr w14:val="tx1"/>
                  </w14:solidFill>
                </w14:textFill>
              </w:rPr>
              <w:t>机</w:t>
            </w:r>
            <w:r>
              <w:rPr>
                <w:rFonts w:hint="eastAsia" w:ascii="宋体" w:hAnsi="宋体" w:cs="宋体"/>
                <w:color w:val="000000" w:themeColor="text1"/>
                <w:w w:val="99"/>
                <w:szCs w:val="21"/>
                <w:highlight w:val="none"/>
                <w14:textFill>
                  <w14:solidFill>
                    <w14:schemeClr w14:val="tx1"/>
                  </w14:solidFill>
                </w14:textFill>
              </w:rPr>
              <w:t>能效</w:t>
            </w:r>
            <w:r>
              <w:rPr>
                <w:rFonts w:hint="eastAsia" w:ascii="宋体" w:hAnsi="宋体" w:cs="宋体"/>
                <w:color w:val="000000" w:themeColor="text1"/>
                <w:spacing w:val="2"/>
                <w:w w:val="99"/>
                <w:szCs w:val="21"/>
                <w:highlight w:val="none"/>
                <w14:textFill>
                  <w14:solidFill>
                    <w14:schemeClr w14:val="tx1"/>
                  </w14:solidFill>
                </w14:textFill>
              </w:rPr>
              <w:t>限</w:t>
            </w:r>
            <w:r>
              <w:rPr>
                <w:rFonts w:hint="eastAsia" w:ascii="宋体" w:hAnsi="宋体" w:cs="宋体"/>
                <w:color w:val="000000" w:themeColor="text1"/>
                <w:w w:val="99"/>
                <w:szCs w:val="21"/>
                <w:highlight w:val="none"/>
                <w14:textFill>
                  <w14:solidFill>
                    <w14:schemeClr w14:val="tx1"/>
                  </w14:solidFill>
                </w14:textFill>
              </w:rPr>
              <w:t>定值</w:t>
            </w:r>
            <w:r>
              <w:rPr>
                <w:rFonts w:hint="eastAsia" w:ascii="宋体" w:hAnsi="宋体" w:cs="宋体"/>
                <w:color w:val="000000" w:themeColor="text1"/>
                <w:spacing w:val="2"/>
                <w:w w:val="99"/>
                <w:szCs w:val="21"/>
                <w:highlight w:val="none"/>
                <w14:textFill>
                  <w14:solidFill>
                    <w14:schemeClr w14:val="tx1"/>
                  </w14:solidFill>
                </w14:textFill>
              </w:rPr>
              <w:t>及</w:t>
            </w:r>
            <w:r>
              <w:rPr>
                <w:rFonts w:hint="eastAsia" w:ascii="宋体" w:hAnsi="宋体" w:cs="宋体"/>
                <w:color w:val="000000" w:themeColor="text1"/>
                <w:w w:val="99"/>
                <w:szCs w:val="21"/>
                <w:highlight w:val="none"/>
                <w14:textFill>
                  <w14:solidFill>
                    <w14:schemeClr w14:val="tx1"/>
                  </w14:solidFill>
                </w14:textFill>
              </w:rPr>
              <w:t>能</w:t>
            </w:r>
            <w:r>
              <w:rPr>
                <w:rFonts w:hint="eastAsia" w:ascii="宋体" w:hAnsi="宋体" w:cs="宋体"/>
                <w:color w:val="000000" w:themeColor="text1"/>
                <w:spacing w:val="2"/>
                <w:w w:val="99"/>
                <w:szCs w:val="21"/>
                <w:highlight w:val="none"/>
                <w14:textFill>
                  <w14:solidFill>
                    <w14:schemeClr w14:val="tx1"/>
                  </w14:solidFill>
                </w14:textFill>
              </w:rPr>
              <w:t>效</w:t>
            </w:r>
            <w:r>
              <w:rPr>
                <w:rFonts w:hint="eastAsia" w:ascii="宋体" w:hAnsi="宋体" w:cs="宋体"/>
                <w:color w:val="000000" w:themeColor="text1"/>
                <w:w w:val="99"/>
                <w:szCs w:val="21"/>
                <w:highlight w:val="none"/>
                <w14:textFill>
                  <w14:solidFill>
                    <w14:schemeClr w14:val="tx1"/>
                  </w14:solidFill>
                </w14:textFill>
              </w:rPr>
              <w:t>等级》（</w:t>
            </w:r>
            <w:r>
              <w:rPr>
                <w:rFonts w:hint="eastAsia" w:ascii="宋体" w:hAnsi="宋体" w:cs="宋体"/>
                <w:color w:val="000000" w:themeColor="text1"/>
                <w:spacing w:val="1"/>
                <w:w w:val="99"/>
                <w:szCs w:val="21"/>
                <w:highlight w:val="none"/>
                <w14:textFill>
                  <w14:solidFill>
                    <w14:schemeClr w14:val="tx1"/>
                  </w14:solidFill>
                </w14:textFill>
              </w:rPr>
              <w:t>G</w:t>
            </w:r>
            <w:r>
              <w:rPr>
                <w:rFonts w:hint="eastAsia" w:ascii="宋体" w:hAnsi="宋体" w:cs="宋体"/>
                <w:color w:val="000000" w:themeColor="text1"/>
                <w:w w:val="99"/>
                <w:szCs w:val="21"/>
                <w:highlight w:val="none"/>
                <w14:textFill>
                  <w14:solidFill>
                    <w14:schemeClr w14:val="tx1"/>
                  </w14:solidFill>
                </w14:textFill>
              </w:rPr>
              <w:t>B</w:t>
            </w:r>
            <w:r>
              <w:rPr>
                <w:rFonts w:hint="eastAsia" w:ascii="宋体" w:hAnsi="宋体" w:cs="宋体"/>
                <w:color w:val="000000" w:themeColor="text1"/>
                <w:spacing w:val="1"/>
                <w:w w:val="99"/>
                <w:szCs w:val="21"/>
                <w:highlight w:val="none"/>
                <w14:textFill>
                  <w14:solidFill>
                    <w14:schemeClr w14:val="tx1"/>
                  </w14:solidFill>
                </w14:textFill>
              </w:rPr>
              <w:t>3</w:t>
            </w:r>
            <w:r>
              <w:rPr>
                <w:rFonts w:hint="eastAsia" w:ascii="宋体" w:hAnsi="宋体" w:cs="宋体"/>
                <w:color w:val="000000" w:themeColor="text1"/>
                <w:w w:val="99"/>
                <w:szCs w:val="21"/>
                <w:highlight w:val="none"/>
                <w14:textFill>
                  <w14:solidFill>
                    <w14:schemeClr w14:val="tx1"/>
                  </w14:solidFill>
                </w14:textFill>
              </w:rPr>
              <w:t>20</w:t>
            </w:r>
            <w:r>
              <w:rPr>
                <w:rFonts w:hint="eastAsia" w:ascii="宋体" w:hAnsi="宋体" w:cs="宋体"/>
                <w:color w:val="000000" w:themeColor="text1"/>
                <w:spacing w:val="1"/>
                <w:w w:val="99"/>
                <w:szCs w:val="21"/>
                <w:highlight w:val="none"/>
                <w14:textFill>
                  <w14:solidFill>
                    <w14:schemeClr w14:val="tx1"/>
                  </w14:solidFill>
                </w14:textFill>
              </w:rPr>
              <w:t>28</w:t>
            </w:r>
            <w:r>
              <w:rPr>
                <w:rFonts w:hint="eastAsia" w:ascii="宋体" w:hAnsi="宋体" w:cs="宋体"/>
                <w:color w:val="000000" w:themeColor="text1"/>
                <w:w w:val="99"/>
                <w:szCs w:val="21"/>
                <w:highlight w:val="none"/>
                <w14:textFill>
                  <w14:solidFill>
                    <w14:schemeClr w14:val="tx1"/>
                  </w14:solidFill>
                </w14:textFill>
              </w:rPr>
              <w:t>）</w:t>
            </w:r>
          </w:p>
        </w:tc>
      </w:tr>
      <w:tr w14:paraId="715D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063D8E98">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0294023D">
            <w:pPr>
              <w:pStyle w:val="58"/>
              <w:spacing w:before="66"/>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A02020400</w:t>
            </w:r>
            <w:r>
              <w:rPr>
                <w:rFonts w:hint="eastAsia" w:ascii="宋体" w:hAnsi="宋体" w:cs="宋体"/>
                <w:color w:val="000000" w:themeColor="text1"/>
                <w:w w:val="99"/>
                <w:kern w:val="2"/>
                <w:sz w:val="21"/>
                <w:szCs w:val="21"/>
                <w:highlight w:val="none"/>
                <w14:textFill>
                  <w14:solidFill>
                    <w14:schemeClr w14:val="tx1"/>
                  </w14:solidFill>
                </w14:textFill>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0326874D">
            <w:pPr>
              <w:jc w:val="center"/>
              <w:rPr>
                <w:rFonts w:ascii="宋体" w:hAnsi="宋体"/>
                <w:color w:val="000000" w:themeColor="text1"/>
                <w:szCs w:val="21"/>
                <w:highlight w:val="none"/>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78213DBC">
            <w:pPr>
              <w:jc w:val="center"/>
              <w:rPr>
                <w:rFonts w:ascii="宋体" w:hAnsi="宋体"/>
                <w:color w:val="000000" w:themeColor="text1"/>
                <w:szCs w:val="21"/>
                <w:highlight w:val="none"/>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vAlign w:val="center"/>
          </w:tcPr>
          <w:p w14:paraId="2E4A3EF1">
            <w:pP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w w:val="99"/>
                <w:szCs w:val="21"/>
                <w:highlight w:val="none"/>
                <w14:textFill>
                  <w14:solidFill>
                    <w14:schemeClr w14:val="tx1"/>
                  </w14:solidFill>
                </w14:textFill>
              </w:rPr>
              <w:t>《复印</w:t>
            </w:r>
            <w:r>
              <w:rPr>
                <w:rFonts w:hint="eastAsia" w:ascii="宋体" w:hAnsi="宋体" w:cs="宋体"/>
                <w:color w:val="000000" w:themeColor="text1"/>
                <w:spacing w:val="2"/>
                <w:w w:val="99"/>
                <w:szCs w:val="21"/>
                <w:highlight w:val="none"/>
                <w14:textFill>
                  <w14:solidFill>
                    <w14:schemeClr w14:val="tx1"/>
                  </w14:solidFill>
                </w14:textFill>
              </w:rPr>
              <w:t>机</w:t>
            </w:r>
            <w:r>
              <w:rPr>
                <w:rFonts w:hint="eastAsia" w:ascii="宋体" w:hAnsi="宋体" w:cs="宋体"/>
                <w:color w:val="000000" w:themeColor="text1"/>
                <w:spacing w:val="-58"/>
                <w:w w:val="99"/>
                <w:szCs w:val="21"/>
                <w:highlight w:val="none"/>
                <w14:textFill>
                  <w14:solidFill>
                    <w14:schemeClr w14:val="tx1"/>
                  </w14:solidFill>
                </w14:textFill>
              </w:rPr>
              <w:t>、</w:t>
            </w:r>
            <w:r>
              <w:rPr>
                <w:rFonts w:hint="eastAsia" w:ascii="宋体" w:hAnsi="宋体" w:cs="宋体"/>
                <w:color w:val="000000" w:themeColor="text1"/>
                <w:spacing w:val="2"/>
                <w:w w:val="99"/>
                <w:szCs w:val="21"/>
                <w:highlight w:val="none"/>
                <w14:textFill>
                  <w14:solidFill>
                    <w14:schemeClr w14:val="tx1"/>
                  </w14:solidFill>
                </w14:textFill>
              </w:rPr>
              <w:t>打</w:t>
            </w:r>
            <w:r>
              <w:rPr>
                <w:rFonts w:hint="eastAsia" w:ascii="宋体" w:hAnsi="宋体" w:cs="宋体"/>
                <w:color w:val="000000" w:themeColor="text1"/>
                <w:w w:val="99"/>
                <w:szCs w:val="21"/>
                <w:highlight w:val="none"/>
                <w14:textFill>
                  <w14:solidFill>
                    <w14:schemeClr w14:val="tx1"/>
                  </w14:solidFill>
                </w14:textFill>
              </w:rPr>
              <w:t>印机</w:t>
            </w:r>
            <w:r>
              <w:rPr>
                <w:rFonts w:hint="eastAsia" w:ascii="宋体" w:hAnsi="宋体" w:cs="宋体"/>
                <w:color w:val="000000" w:themeColor="text1"/>
                <w:spacing w:val="2"/>
                <w:w w:val="99"/>
                <w:szCs w:val="21"/>
                <w:highlight w:val="none"/>
                <w14:textFill>
                  <w14:solidFill>
                    <w14:schemeClr w14:val="tx1"/>
                  </w14:solidFill>
                </w14:textFill>
              </w:rPr>
              <w:t>和</w:t>
            </w:r>
            <w:r>
              <w:rPr>
                <w:rFonts w:hint="eastAsia" w:ascii="宋体" w:hAnsi="宋体" w:cs="宋体"/>
                <w:color w:val="000000" w:themeColor="text1"/>
                <w:w w:val="99"/>
                <w:szCs w:val="21"/>
                <w:highlight w:val="none"/>
                <w14:textFill>
                  <w14:solidFill>
                    <w14:schemeClr w14:val="tx1"/>
                  </w14:solidFill>
                </w14:textFill>
              </w:rPr>
              <w:t>传真</w:t>
            </w:r>
            <w:r>
              <w:rPr>
                <w:rFonts w:hint="eastAsia" w:ascii="宋体" w:hAnsi="宋体" w:cs="宋体"/>
                <w:color w:val="000000" w:themeColor="text1"/>
                <w:spacing w:val="2"/>
                <w:w w:val="99"/>
                <w:szCs w:val="21"/>
                <w:highlight w:val="none"/>
                <w14:textFill>
                  <w14:solidFill>
                    <w14:schemeClr w14:val="tx1"/>
                  </w14:solidFill>
                </w14:textFill>
              </w:rPr>
              <w:t>机</w:t>
            </w:r>
            <w:r>
              <w:rPr>
                <w:rFonts w:hint="eastAsia" w:ascii="宋体" w:hAnsi="宋体" w:cs="宋体"/>
                <w:color w:val="000000" w:themeColor="text1"/>
                <w:w w:val="99"/>
                <w:szCs w:val="21"/>
                <w:highlight w:val="none"/>
                <w14:textFill>
                  <w14:solidFill>
                    <w14:schemeClr w14:val="tx1"/>
                  </w14:solidFill>
                </w14:textFill>
              </w:rPr>
              <w:t>能效限定值及</w:t>
            </w:r>
            <w:r>
              <w:rPr>
                <w:rFonts w:hint="eastAsia" w:ascii="宋体" w:hAnsi="宋体" w:cs="宋体"/>
                <w:color w:val="000000" w:themeColor="text1"/>
                <w:spacing w:val="2"/>
                <w:w w:val="99"/>
                <w:szCs w:val="21"/>
                <w:highlight w:val="none"/>
                <w14:textFill>
                  <w14:solidFill>
                    <w14:schemeClr w14:val="tx1"/>
                  </w14:solidFill>
                </w14:textFill>
              </w:rPr>
              <w:t>能</w:t>
            </w:r>
            <w:r>
              <w:rPr>
                <w:rFonts w:hint="eastAsia" w:ascii="宋体" w:hAnsi="宋体" w:cs="宋体"/>
                <w:color w:val="000000" w:themeColor="text1"/>
                <w:w w:val="99"/>
                <w:szCs w:val="21"/>
                <w:highlight w:val="none"/>
                <w14:textFill>
                  <w14:solidFill>
                    <w14:schemeClr w14:val="tx1"/>
                  </w14:solidFill>
                </w14:textFill>
              </w:rPr>
              <w:t>效等</w:t>
            </w:r>
            <w:r>
              <w:rPr>
                <w:rFonts w:hint="eastAsia" w:ascii="宋体" w:hAnsi="宋体" w:cs="宋体"/>
                <w:color w:val="000000" w:themeColor="text1"/>
                <w:spacing w:val="2"/>
                <w:w w:val="99"/>
                <w:szCs w:val="21"/>
                <w:highlight w:val="none"/>
                <w14:textFill>
                  <w14:solidFill>
                    <w14:schemeClr w14:val="tx1"/>
                  </w14:solidFill>
                </w14:textFill>
              </w:rPr>
              <w:t>级</w:t>
            </w:r>
            <w:r>
              <w:rPr>
                <w:rFonts w:hint="eastAsia" w:ascii="宋体" w:hAnsi="宋体" w:cs="宋体"/>
                <w:color w:val="000000" w:themeColor="text1"/>
                <w:w w:val="99"/>
                <w:szCs w:val="21"/>
                <w:highlight w:val="none"/>
                <w14:textFill>
                  <w14:solidFill>
                    <w14:schemeClr w14:val="tx1"/>
                  </w14:solidFill>
                </w14:textFill>
              </w:rPr>
              <w:t>》（</w:t>
            </w:r>
            <w:r>
              <w:rPr>
                <w:rFonts w:hint="eastAsia" w:ascii="宋体" w:hAnsi="宋体" w:cs="宋体"/>
                <w:color w:val="000000" w:themeColor="text1"/>
                <w:spacing w:val="1"/>
                <w:w w:val="99"/>
                <w:szCs w:val="21"/>
                <w:highlight w:val="none"/>
                <w14:textFill>
                  <w14:solidFill>
                    <w14:schemeClr w14:val="tx1"/>
                  </w14:solidFill>
                </w14:textFill>
              </w:rPr>
              <w:t>G</w:t>
            </w:r>
            <w:r>
              <w:rPr>
                <w:rFonts w:hint="eastAsia" w:ascii="宋体" w:hAnsi="宋体" w:cs="宋体"/>
                <w:color w:val="000000" w:themeColor="text1"/>
                <w:w w:val="99"/>
                <w:szCs w:val="21"/>
                <w:highlight w:val="none"/>
                <w14:textFill>
                  <w14:solidFill>
                    <w14:schemeClr w14:val="tx1"/>
                  </w14:solidFill>
                </w14:textFill>
              </w:rPr>
              <w:t>B</w:t>
            </w:r>
            <w:r>
              <w:rPr>
                <w:rFonts w:hint="eastAsia" w:ascii="宋体" w:hAnsi="宋体" w:cs="宋体"/>
                <w:color w:val="000000" w:themeColor="text1"/>
                <w:spacing w:val="1"/>
                <w:w w:val="99"/>
                <w:szCs w:val="21"/>
                <w:highlight w:val="none"/>
                <w14:textFill>
                  <w14:solidFill>
                    <w14:schemeClr w14:val="tx1"/>
                  </w14:solidFill>
                </w14:textFill>
              </w:rPr>
              <w:t>21</w:t>
            </w:r>
            <w:r>
              <w:rPr>
                <w:rFonts w:hint="eastAsia" w:ascii="宋体" w:hAnsi="宋体" w:cs="宋体"/>
                <w:color w:val="000000" w:themeColor="text1"/>
                <w:w w:val="99"/>
                <w:szCs w:val="21"/>
                <w:highlight w:val="none"/>
                <w14:textFill>
                  <w14:solidFill>
                    <w14:schemeClr w14:val="tx1"/>
                  </w14:solidFill>
                </w14:textFill>
              </w:rPr>
              <w:t>52</w:t>
            </w:r>
            <w:r>
              <w:rPr>
                <w:rFonts w:hint="eastAsia" w:ascii="宋体" w:hAnsi="宋体" w:cs="宋体"/>
                <w:color w:val="000000" w:themeColor="text1"/>
                <w:spacing w:val="1"/>
                <w:w w:val="99"/>
                <w:szCs w:val="21"/>
                <w:highlight w:val="none"/>
                <w14:textFill>
                  <w14:solidFill>
                    <w14:schemeClr w14:val="tx1"/>
                  </w14:solidFill>
                </w14:textFill>
              </w:rPr>
              <w:t>1</w:t>
            </w:r>
            <w:r>
              <w:rPr>
                <w:rFonts w:hint="eastAsia" w:ascii="宋体" w:hAnsi="宋体" w:cs="宋体"/>
                <w:color w:val="000000" w:themeColor="text1"/>
                <w:w w:val="99"/>
                <w:szCs w:val="21"/>
                <w:highlight w:val="none"/>
                <w14:textFill>
                  <w14:solidFill>
                    <w14:schemeClr w14:val="tx1"/>
                  </w14:solidFill>
                </w14:textFill>
              </w:rPr>
              <w:t>）</w:t>
            </w:r>
          </w:p>
        </w:tc>
      </w:tr>
      <w:tr w14:paraId="57620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2A277C6F">
            <w:pPr>
              <w:pStyle w:val="58"/>
              <w:spacing w:before="160"/>
              <w:ind w:right="1"/>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w w:val="99"/>
                <w:kern w:val="2"/>
                <w:sz w:val="21"/>
                <w:szCs w:val="21"/>
                <w:highlight w:val="none"/>
                <w14:textFill>
                  <w14:solidFill>
                    <w14:schemeClr w14:val="tx1"/>
                  </w14:solidFill>
                </w14:textFill>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47DD74FB">
            <w:pPr>
              <w:pStyle w:val="58"/>
              <w:spacing w:before="160"/>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A02051900</w:t>
            </w:r>
            <w:r>
              <w:rPr>
                <w:rFonts w:hint="eastAsia" w:ascii="宋体" w:hAnsi="宋体" w:cs="宋体"/>
                <w:color w:val="000000" w:themeColor="text1"/>
                <w:w w:val="99"/>
                <w:kern w:val="2"/>
                <w:sz w:val="21"/>
                <w:szCs w:val="21"/>
                <w:highlight w:val="none"/>
                <w14:textFill>
                  <w14:solidFill>
                    <w14:schemeClr w14:val="tx1"/>
                  </w14:solidFill>
                </w14:textFill>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15DDA60A">
            <w:pPr>
              <w:pStyle w:val="58"/>
              <w:spacing w:before="160"/>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spacing w:val="1"/>
                <w:w w:val="99"/>
                <w:kern w:val="2"/>
                <w:sz w:val="21"/>
                <w:szCs w:val="21"/>
                <w:highlight w:val="none"/>
                <w14:textFill>
                  <w14:solidFill>
                    <w14:schemeClr w14:val="tx1"/>
                  </w14:solidFill>
                </w14:textFill>
              </w:rPr>
              <w:t>A02</w:t>
            </w:r>
            <w:r>
              <w:rPr>
                <w:rFonts w:hint="eastAsia" w:ascii="宋体" w:hAnsi="宋体" w:cs="宋体"/>
                <w:color w:val="000000" w:themeColor="text1"/>
                <w:w w:val="99"/>
                <w:kern w:val="2"/>
                <w:sz w:val="21"/>
                <w:szCs w:val="21"/>
                <w:highlight w:val="none"/>
                <w14:textFill>
                  <w14:solidFill>
                    <w14:schemeClr w14:val="tx1"/>
                  </w14:solidFill>
                </w14:textFill>
              </w:rPr>
              <w:t>05</w:t>
            </w:r>
            <w:r>
              <w:rPr>
                <w:rFonts w:hint="eastAsia" w:ascii="宋体" w:hAnsi="宋体" w:cs="宋体"/>
                <w:color w:val="000000" w:themeColor="text1"/>
                <w:spacing w:val="1"/>
                <w:w w:val="99"/>
                <w:kern w:val="2"/>
                <w:sz w:val="21"/>
                <w:szCs w:val="21"/>
                <w:highlight w:val="none"/>
                <w14:textFill>
                  <w14:solidFill>
                    <w14:schemeClr w14:val="tx1"/>
                  </w14:solidFill>
                </w14:textFill>
              </w:rPr>
              <w:t>1</w:t>
            </w:r>
            <w:r>
              <w:rPr>
                <w:rFonts w:hint="eastAsia" w:ascii="宋体" w:hAnsi="宋体" w:cs="宋体"/>
                <w:color w:val="000000" w:themeColor="text1"/>
                <w:w w:val="99"/>
                <w:kern w:val="2"/>
                <w:sz w:val="21"/>
                <w:szCs w:val="21"/>
                <w:highlight w:val="none"/>
                <w14:textFill>
                  <w14:solidFill>
                    <w14:schemeClr w14:val="tx1"/>
                  </w14:solidFill>
                </w14:textFill>
              </w:rPr>
              <w:t>901离心泵</w:t>
            </w:r>
          </w:p>
        </w:tc>
        <w:tc>
          <w:tcPr>
            <w:tcW w:w="1367" w:type="dxa"/>
            <w:tcBorders>
              <w:top w:val="single" w:color="000000" w:sz="4" w:space="0"/>
              <w:left w:val="single" w:color="000000" w:sz="4" w:space="0"/>
              <w:bottom w:val="single" w:color="000000" w:sz="4" w:space="0"/>
              <w:right w:val="single" w:color="000000" w:sz="4" w:space="0"/>
            </w:tcBorders>
            <w:vAlign w:val="center"/>
          </w:tcPr>
          <w:p w14:paraId="733793D6">
            <w:pPr>
              <w:jc w:val="center"/>
              <w:rPr>
                <w:rFonts w:ascii="宋体" w:hAnsi="宋体"/>
                <w:color w:val="000000" w:themeColor="text1"/>
                <w:szCs w:val="21"/>
                <w:highlight w:val="none"/>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362F8083">
            <w:pPr>
              <w:pStyle w:val="58"/>
              <w:spacing w:before="4"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《清水离心泵能效限定</w:t>
            </w:r>
            <w:r>
              <w:rPr>
                <w:rFonts w:hint="eastAsia" w:ascii="宋体" w:hAnsi="宋体" w:cs="宋体"/>
                <w:color w:val="000000" w:themeColor="text1"/>
                <w:spacing w:val="9"/>
                <w:w w:val="99"/>
                <w:kern w:val="2"/>
                <w:sz w:val="21"/>
                <w:szCs w:val="21"/>
                <w:highlight w:val="none"/>
                <w:lang w:eastAsia="zh-CN"/>
                <w14:textFill>
                  <w14:solidFill>
                    <w14:schemeClr w14:val="tx1"/>
                  </w14:solidFill>
                </w14:textFill>
              </w:rPr>
              <w:t>值</w:t>
            </w: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及节</w:t>
            </w:r>
            <w:r>
              <w:rPr>
                <w:rFonts w:hint="eastAsia" w:ascii="宋体" w:hAnsi="宋体" w:cs="宋体"/>
                <w:color w:val="000000" w:themeColor="text1"/>
                <w:w w:val="99"/>
                <w:kern w:val="2"/>
                <w:sz w:val="21"/>
                <w:szCs w:val="21"/>
                <w:highlight w:val="none"/>
                <w:lang w:eastAsia="zh-CN"/>
                <w14:textFill>
                  <w14:solidFill>
                    <w14:schemeClr w14:val="tx1"/>
                  </w14:solidFill>
                </w14:textFill>
              </w:rPr>
              <w:t>能评价值</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19</w:t>
            </w:r>
            <w:r>
              <w:rPr>
                <w:rFonts w:hint="eastAsia" w:ascii="宋体" w:hAnsi="宋体" w:cs="宋体"/>
                <w:color w:val="000000" w:themeColor="text1"/>
                <w:w w:val="99"/>
                <w:kern w:val="2"/>
                <w:sz w:val="21"/>
                <w:szCs w:val="21"/>
                <w:highlight w:val="none"/>
                <w:lang w:eastAsia="zh-CN"/>
                <w14:textFill>
                  <w14:solidFill>
                    <w14:schemeClr w14:val="tx1"/>
                  </w14:solidFill>
                </w14:textFill>
              </w:rPr>
              <w:t>76</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2</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4A570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65BAF3D6">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50294CCE">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A02052300</w:t>
            </w:r>
            <w:r>
              <w:rPr>
                <w:rFonts w:hint="eastAsia" w:ascii="宋体" w:hAnsi="宋体" w:cs="宋体"/>
                <w:color w:val="000000" w:themeColor="text1"/>
                <w:w w:val="99"/>
                <w:kern w:val="2"/>
                <w:sz w:val="21"/>
                <w:szCs w:val="21"/>
                <w:highlight w:val="none"/>
                <w14:textFill>
                  <w14:solidFill>
                    <w14:schemeClr w14:val="tx1"/>
                  </w14:solidFill>
                </w14:textFill>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5B746289">
            <w:pPr>
              <w:pStyle w:val="58"/>
              <w:spacing w:line="276" w:lineRule="auto"/>
              <w:ind w:right="5"/>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w:t>
            </w:r>
            <w:r>
              <w:rPr>
                <w:rFonts w:hint="eastAsia" w:ascii="宋体" w:hAnsi="宋体" w:cs="宋体"/>
                <w:color w:val="000000" w:themeColor="text1"/>
                <w:spacing w:val="1"/>
                <w:w w:val="99"/>
                <w:kern w:val="2"/>
                <w:sz w:val="21"/>
                <w:szCs w:val="21"/>
                <w:highlight w:val="none"/>
                <w14:textFill>
                  <w14:solidFill>
                    <w14:schemeClr w14:val="tx1"/>
                  </w14:solidFill>
                </w14:textFill>
              </w:rPr>
              <w:t>A020</w:t>
            </w:r>
            <w:r>
              <w:rPr>
                <w:rFonts w:hint="eastAsia" w:ascii="宋体" w:hAnsi="宋体" w:cs="宋体"/>
                <w:color w:val="000000" w:themeColor="text1"/>
                <w:w w:val="99"/>
                <w:kern w:val="2"/>
                <w:sz w:val="21"/>
                <w:szCs w:val="21"/>
                <w:highlight w:val="none"/>
                <w14:textFill>
                  <w14:solidFill>
                    <w14:schemeClr w14:val="tx1"/>
                  </w14:solidFill>
                </w14:textFill>
              </w:rPr>
              <w:t>52</w:t>
            </w:r>
            <w:r>
              <w:rPr>
                <w:rFonts w:hint="eastAsia" w:ascii="宋体" w:hAnsi="宋体" w:cs="宋体"/>
                <w:color w:val="000000" w:themeColor="text1"/>
                <w:spacing w:val="1"/>
                <w:w w:val="99"/>
                <w:kern w:val="2"/>
                <w:sz w:val="21"/>
                <w:szCs w:val="21"/>
                <w:highlight w:val="none"/>
                <w14:textFill>
                  <w14:solidFill>
                    <w14:schemeClr w14:val="tx1"/>
                  </w14:solidFill>
                </w14:textFill>
              </w:rPr>
              <w:t>3</w:t>
            </w:r>
            <w:r>
              <w:rPr>
                <w:rFonts w:hint="eastAsia" w:ascii="宋体" w:hAnsi="宋体" w:cs="宋体"/>
                <w:color w:val="000000" w:themeColor="text1"/>
                <w:w w:val="99"/>
                <w:kern w:val="2"/>
                <w:sz w:val="21"/>
                <w:szCs w:val="21"/>
                <w:highlight w:val="none"/>
                <w14:textFill>
                  <w14:solidFill>
                    <w14:schemeClr w14:val="tx1"/>
                  </w14:solidFill>
                </w14:textFill>
              </w:rPr>
              <w:t>01制冷压缩机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1AF50A99">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冷水机组</w:t>
            </w:r>
          </w:p>
        </w:tc>
        <w:tc>
          <w:tcPr>
            <w:tcW w:w="3566" w:type="dxa"/>
            <w:tcBorders>
              <w:top w:val="single" w:color="000000" w:sz="4" w:space="0"/>
              <w:left w:val="single" w:color="000000" w:sz="4" w:space="0"/>
              <w:bottom w:val="single" w:color="000000" w:sz="4" w:space="0"/>
              <w:right w:val="single" w:color="000000" w:sz="4" w:space="0"/>
            </w:tcBorders>
          </w:tcPr>
          <w:p w14:paraId="45A4477B">
            <w:pPr>
              <w:pStyle w:val="58"/>
              <w:spacing w:before="30" w:line="276" w:lineRule="auto"/>
              <w:ind w:left="7" w:right="4"/>
              <w:jc w:val="both"/>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《冷水机组能效限定值</w:t>
            </w:r>
            <w:r>
              <w:rPr>
                <w:rFonts w:hint="eastAsia" w:ascii="宋体" w:hAnsi="宋体" w:cs="宋体"/>
                <w:color w:val="000000" w:themeColor="text1"/>
                <w:spacing w:val="9"/>
                <w:w w:val="99"/>
                <w:kern w:val="2"/>
                <w:sz w:val="21"/>
                <w:szCs w:val="21"/>
                <w:highlight w:val="none"/>
                <w:lang w:eastAsia="zh-CN"/>
                <w14:textFill>
                  <w14:solidFill>
                    <w14:schemeClr w14:val="tx1"/>
                  </w14:solidFill>
                </w14:textFill>
              </w:rPr>
              <w:t>及</w:t>
            </w: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能效</w:t>
            </w:r>
            <w:r>
              <w:rPr>
                <w:rFonts w:hint="eastAsia" w:ascii="宋体" w:hAnsi="宋体" w:cs="宋体"/>
                <w:color w:val="000000" w:themeColor="text1"/>
                <w:w w:val="99"/>
                <w:kern w:val="2"/>
                <w:sz w:val="21"/>
                <w:szCs w:val="21"/>
                <w:highlight w:val="none"/>
                <w:lang w:eastAsia="zh-CN"/>
                <w14:textFill>
                  <w14:solidFill>
                    <w14:schemeClr w14:val="tx1"/>
                  </w14:solidFill>
                </w14:textFill>
              </w:rPr>
              <w:t>等级</w:t>
            </w:r>
            <w:r>
              <w:rPr>
                <w:rFonts w:hint="eastAsia" w:ascii="宋体" w:hAnsi="宋体" w:cs="宋体"/>
                <w:color w:val="000000" w:themeColor="text1"/>
                <w:spacing w:val="-3"/>
                <w:w w:val="99"/>
                <w:kern w:val="2"/>
                <w:sz w:val="21"/>
                <w:szCs w:val="21"/>
                <w:highlight w:val="none"/>
                <w:lang w:eastAsia="zh-CN"/>
                <w14:textFill>
                  <w14:solidFill>
                    <w14:schemeClr w14:val="tx1"/>
                  </w14:solidFill>
                </w14:textFill>
              </w:rPr>
              <w:t>》</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195</w:t>
            </w:r>
            <w:r>
              <w:rPr>
                <w:rFonts w:hint="eastAsia" w:ascii="宋体" w:hAnsi="宋体" w:cs="宋体"/>
                <w:color w:val="000000" w:themeColor="text1"/>
                <w:w w:val="99"/>
                <w:kern w:val="2"/>
                <w:sz w:val="21"/>
                <w:szCs w:val="21"/>
                <w:highlight w:val="none"/>
                <w:lang w:eastAsia="zh-CN"/>
                <w14:textFill>
                  <w14:solidFill>
                    <w14:schemeClr w14:val="tx1"/>
                  </w14:solidFill>
                </w14:textFill>
              </w:rPr>
              <w:t>77</w:t>
            </w:r>
            <w:r>
              <w:rPr>
                <w:rFonts w:hint="eastAsia" w:ascii="宋体" w:hAnsi="宋体" w:cs="宋体"/>
                <w:color w:val="000000" w:themeColor="text1"/>
                <w:spacing w:val="-3"/>
                <w:w w:val="99"/>
                <w:kern w:val="2"/>
                <w:sz w:val="21"/>
                <w:szCs w:val="21"/>
                <w:highlight w:val="none"/>
                <w:lang w:eastAsia="zh-CN"/>
                <w14:textFill>
                  <w14:solidFill>
                    <w14:schemeClr w14:val="tx1"/>
                  </w14:solidFill>
                </w14:textFill>
              </w:rPr>
              <w:t>），</w:t>
            </w:r>
            <w:r>
              <w:rPr>
                <w:rFonts w:hint="eastAsia" w:ascii="宋体" w:hAnsi="宋体" w:cs="宋体"/>
                <w:color w:val="000000" w:themeColor="text1"/>
                <w:w w:val="99"/>
                <w:kern w:val="2"/>
                <w:sz w:val="21"/>
                <w:szCs w:val="21"/>
                <w:highlight w:val="none"/>
                <w:lang w:eastAsia="zh-CN"/>
                <w14:textFill>
                  <w14:solidFill>
                    <w14:schemeClr w14:val="tx1"/>
                  </w14:solidFill>
                </w14:textFill>
              </w:rPr>
              <w:t>《低</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环</w:t>
            </w:r>
            <w:r>
              <w:rPr>
                <w:rFonts w:hint="eastAsia" w:ascii="宋体" w:hAnsi="宋体" w:cs="宋体"/>
                <w:color w:val="000000" w:themeColor="text1"/>
                <w:w w:val="99"/>
                <w:kern w:val="2"/>
                <w:sz w:val="21"/>
                <w:szCs w:val="21"/>
                <w:highlight w:val="none"/>
                <w:lang w:eastAsia="zh-CN"/>
                <w14:textFill>
                  <w14:solidFill>
                    <w14:schemeClr w14:val="tx1"/>
                  </w14:solidFill>
                </w14:textFill>
              </w:rPr>
              <w:t>境温度空气源</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热</w:t>
            </w:r>
            <w:r>
              <w:rPr>
                <w:rFonts w:hint="eastAsia" w:ascii="宋体" w:hAnsi="宋体" w:cs="宋体"/>
                <w:color w:val="000000" w:themeColor="text1"/>
                <w:spacing w:val="-29"/>
                <w:w w:val="99"/>
                <w:kern w:val="2"/>
                <w:sz w:val="21"/>
                <w:szCs w:val="21"/>
                <w:highlight w:val="none"/>
                <w:lang w:eastAsia="zh-CN"/>
                <w14:textFill>
                  <w14:solidFill>
                    <w14:schemeClr w14:val="tx1"/>
                  </w14:solidFill>
                </w14:textFill>
              </w:rPr>
              <w:t>泵</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w:t>
            </w:r>
            <w:r>
              <w:rPr>
                <w:rFonts w:hint="eastAsia" w:ascii="宋体" w:hAnsi="宋体" w:cs="宋体"/>
                <w:color w:val="000000" w:themeColor="text1"/>
                <w:w w:val="99"/>
                <w:kern w:val="2"/>
                <w:sz w:val="21"/>
                <w:szCs w:val="21"/>
                <w:highlight w:val="none"/>
                <w:lang w:eastAsia="zh-CN"/>
                <w14:textFill>
                  <w14:solidFill>
                    <w14:schemeClr w14:val="tx1"/>
                  </w14:solidFill>
                </w14:textFill>
              </w:rPr>
              <w:t>冷水</w:t>
            </w:r>
            <w:r>
              <w:rPr>
                <w:rFonts w:hint="eastAsia" w:ascii="宋体" w:hAnsi="宋体" w:cs="宋体"/>
                <w:color w:val="000000" w:themeColor="text1"/>
                <w:spacing w:val="-27"/>
                <w:w w:val="99"/>
                <w:kern w:val="2"/>
                <w:sz w:val="21"/>
                <w:szCs w:val="21"/>
                <w:highlight w:val="none"/>
                <w:lang w:eastAsia="zh-CN"/>
                <w14:textFill>
                  <w14:solidFill>
                    <w14:schemeClr w14:val="tx1"/>
                  </w14:solidFill>
                </w14:textFill>
              </w:rPr>
              <w:t>）</w:t>
            </w:r>
            <w:r>
              <w:rPr>
                <w:rFonts w:hint="eastAsia" w:ascii="宋体" w:hAnsi="宋体" w:cs="宋体"/>
                <w:color w:val="000000" w:themeColor="text1"/>
                <w:w w:val="99"/>
                <w:kern w:val="2"/>
                <w:sz w:val="21"/>
                <w:szCs w:val="21"/>
                <w:highlight w:val="none"/>
                <w:lang w:eastAsia="zh-CN"/>
                <w14:textFill>
                  <w14:solidFill>
                    <w14:schemeClr w14:val="tx1"/>
                  </w14:solidFill>
                </w14:textFill>
              </w:rPr>
              <w:t>机组</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能</w:t>
            </w:r>
            <w:r>
              <w:rPr>
                <w:rFonts w:hint="eastAsia" w:ascii="宋体" w:hAnsi="宋体" w:cs="宋体"/>
                <w:color w:val="000000" w:themeColor="text1"/>
                <w:w w:val="99"/>
                <w:kern w:val="2"/>
                <w:sz w:val="21"/>
                <w:szCs w:val="21"/>
                <w:highlight w:val="none"/>
                <w:lang w:eastAsia="zh-CN"/>
                <w14:textFill>
                  <w14:solidFill>
                    <w14:schemeClr w14:val="tx1"/>
                  </w14:solidFill>
                </w14:textFill>
              </w:rPr>
              <w:t>效限定值及能</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效</w:t>
            </w:r>
            <w:r>
              <w:rPr>
                <w:rFonts w:hint="eastAsia" w:ascii="宋体" w:hAnsi="宋体" w:cs="宋体"/>
                <w:color w:val="000000" w:themeColor="text1"/>
                <w:w w:val="99"/>
                <w:kern w:val="2"/>
                <w:sz w:val="21"/>
                <w:szCs w:val="21"/>
                <w:highlight w:val="none"/>
                <w:lang w:eastAsia="zh-CN"/>
                <w14:textFill>
                  <w14:solidFill>
                    <w14:schemeClr w14:val="tx1"/>
                  </w14:solidFill>
                </w14:textFill>
              </w:rPr>
              <w:t>等级</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37</w:t>
            </w:r>
            <w:r>
              <w:rPr>
                <w:rFonts w:hint="eastAsia" w:ascii="宋体" w:hAnsi="宋体" w:cs="宋体"/>
                <w:color w:val="000000" w:themeColor="text1"/>
                <w:w w:val="99"/>
                <w:kern w:val="2"/>
                <w:sz w:val="21"/>
                <w:szCs w:val="21"/>
                <w:highlight w:val="none"/>
                <w:lang w:eastAsia="zh-CN"/>
                <w14:textFill>
                  <w14:solidFill>
                    <w14:schemeClr w14:val="tx1"/>
                  </w14:solidFill>
                </w14:textFill>
              </w:rPr>
              <w:t>48</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0</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7FD3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6BAAE34">
            <w:pPr>
              <w:widowControl/>
              <w:jc w:val="left"/>
              <w:rPr>
                <w:rFonts w:ascii="宋体" w:hAnsi="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2B9BEDB">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6ADBB9B6">
            <w:pPr>
              <w:widowControl/>
              <w:jc w:val="left"/>
              <w:rPr>
                <w:rFonts w:ascii="宋体" w:hAnsi="宋体" w:cs="宋体"/>
                <w:color w:val="000000" w:themeColor="text1"/>
                <w:szCs w:val="21"/>
                <w:highlight w:val="none"/>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0A707960">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溴化锂吸收式冷水机组</w:t>
            </w:r>
          </w:p>
        </w:tc>
        <w:tc>
          <w:tcPr>
            <w:tcW w:w="3566" w:type="dxa"/>
            <w:tcBorders>
              <w:top w:val="single" w:color="000000" w:sz="4" w:space="0"/>
              <w:left w:val="single" w:color="000000" w:sz="4" w:space="0"/>
              <w:bottom w:val="single" w:color="000000" w:sz="4" w:space="0"/>
              <w:right w:val="single" w:color="000000" w:sz="4" w:space="0"/>
            </w:tcBorders>
            <w:vAlign w:val="center"/>
          </w:tcPr>
          <w:p w14:paraId="17ED0DE7">
            <w:pPr>
              <w:pStyle w:val="58"/>
              <w:spacing w:before="93"/>
              <w:ind w:left="7"/>
              <w:rPr>
                <w:rFonts w:ascii="宋体" w:hAnsi="宋体" w:cs="宋体"/>
                <w:color w:val="000000" w:themeColor="text1"/>
                <w:w w:val="99"/>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《溴化锂吸收式冷水机组能效限</w:t>
            </w:r>
          </w:p>
          <w:p w14:paraId="7C3B08F7">
            <w:pP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w w:val="99"/>
                <w:szCs w:val="21"/>
                <w:highlight w:val="none"/>
                <w14:textFill>
                  <w14:solidFill>
                    <w14:schemeClr w14:val="tx1"/>
                  </w14:solidFill>
                </w14:textFill>
              </w:rPr>
              <w:t>定值及能效等级》（GB29540）</w:t>
            </w:r>
          </w:p>
        </w:tc>
      </w:tr>
      <w:tr w14:paraId="0C11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1FD6B55">
            <w:pPr>
              <w:widowControl/>
              <w:jc w:val="left"/>
              <w:rPr>
                <w:rFonts w:ascii="宋体" w:hAnsi="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20B43AA">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52FBBE9">
            <w:pPr>
              <w:pStyle w:val="58"/>
              <w:spacing w:line="276" w:lineRule="auto"/>
              <w:ind w:right="5"/>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★A02052305空调机组</w:t>
            </w:r>
          </w:p>
        </w:tc>
        <w:tc>
          <w:tcPr>
            <w:tcW w:w="1367" w:type="dxa"/>
            <w:tcBorders>
              <w:top w:val="single" w:color="000000" w:sz="4" w:space="0"/>
              <w:left w:val="single" w:color="000000" w:sz="4" w:space="0"/>
              <w:bottom w:val="single" w:color="000000" w:sz="4" w:space="0"/>
              <w:right w:val="single" w:color="000000" w:sz="4" w:space="0"/>
            </w:tcBorders>
            <w:vAlign w:val="center"/>
          </w:tcPr>
          <w:p w14:paraId="03489A76">
            <w:pPr>
              <w:pStyle w:val="58"/>
              <w:spacing w:before="4" w:line="276" w:lineRule="auto"/>
              <w:ind w:left="7" w:right="7"/>
              <w:jc w:val="center"/>
              <w:rPr>
                <w:rFonts w:ascii="宋体" w:hAnsi="宋体" w:cs="宋体"/>
                <w:color w:val="000000" w:themeColor="text1"/>
                <w:w w:val="99"/>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多联式空调（热泵）机组（制冷量&gt;14000W）</w:t>
            </w:r>
          </w:p>
        </w:tc>
        <w:tc>
          <w:tcPr>
            <w:tcW w:w="3566" w:type="dxa"/>
            <w:tcBorders>
              <w:top w:val="single" w:color="000000" w:sz="4" w:space="0"/>
              <w:left w:val="single" w:color="000000" w:sz="4" w:space="0"/>
              <w:bottom w:val="single" w:color="000000" w:sz="4" w:space="0"/>
              <w:right w:val="single" w:color="000000" w:sz="4" w:space="0"/>
            </w:tcBorders>
          </w:tcPr>
          <w:p w14:paraId="135A58EB">
            <w:pPr>
              <w:pStyle w:val="58"/>
              <w:spacing w:before="160" w:line="276" w:lineRule="auto"/>
              <w:ind w:left="7" w:right="7"/>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《多联式空调（热泵）机组能效限定值及能源效率等级》（GB21454）</w:t>
            </w:r>
          </w:p>
        </w:tc>
      </w:tr>
      <w:tr w14:paraId="49BEB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475104E">
            <w:pPr>
              <w:widowControl/>
              <w:jc w:val="left"/>
              <w:rPr>
                <w:rFonts w:ascii="宋体" w:hAnsi="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39FF35FC">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EC6E07D">
            <w:pPr>
              <w:widowControl/>
              <w:jc w:val="left"/>
              <w:rPr>
                <w:rFonts w:ascii="宋体" w:hAnsi="宋体" w:cs="宋体"/>
                <w:color w:val="000000" w:themeColor="text1"/>
                <w:szCs w:val="21"/>
                <w:highlight w:val="none"/>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7E9ECA03">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w w:val="99"/>
                <w:szCs w:val="21"/>
                <w:highlight w:val="none"/>
                <w14:textFill>
                  <w14:solidFill>
                    <w14:schemeClr w14:val="tx1"/>
                  </w14:solidFill>
                </w14:textFill>
              </w:rPr>
              <w:t>单元式空气调节机</w:t>
            </w:r>
          </w:p>
        </w:tc>
        <w:tc>
          <w:tcPr>
            <w:tcW w:w="3566" w:type="dxa"/>
            <w:tcBorders>
              <w:top w:val="single" w:color="000000" w:sz="4" w:space="0"/>
              <w:left w:val="single" w:color="000000" w:sz="4" w:space="0"/>
              <w:bottom w:val="single" w:color="000000" w:sz="4" w:space="0"/>
              <w:right w:val="single" w:color="000000" w:sz="4" w:space="0"/>
            </w:tcBorders>
          </w:tcPr>
          <w:p w14:paraId="2CB8D48B">
            <w:pP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w w:val="99"/>
                <w:szCs w:val="21"/>
                <w:highlight w:val="none"/>
                <w14:textFill>
                  <w14:solidFill>
                    <w14:schemeClr w14:val="tx1"/>
                  </w14:solidFill>
                </w14:textFill>
              </w:rPr>
              <w:t>《单元式空气调节机能效限定值及能效等级》（GB19576）《风管送风式空调机组能效限定值及能效等级》（GB37479）</w:t>
            </w:r>
          </w:p>
        </w:tc>
      </w:tr>
      <w:tr w14:paraId="15C1E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3A420BA">
            <w:pPr>
              <w:widowControl/>
              <w:jc w:val="left"/>
              <w:rPr>
                <w:rFonts w:ascii="宋体" w:hAnsi="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3A8845EE">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8EF8472">
            <w:pPr>
              <w:pStyle w:val="58"/>
              <w:spacing w:before="83"/>
              <w:ind w:left="7"/>
              <w:jc w:val="center"/>
              <w:rPr>
                <w:rFonts w:ascii="宋体" w:hAnsi="宋体" w:cs="宋体"/>
                <w:color w:val="000000" w:themeColor="text1"/>
                <w:w w:val="99"/>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★A02052309专用制冷、空调设备</w:t>
            </w:r>
          </w:p>
        </w:tc>
        <w:tc>
          <w:tcPr>
            <w:tcW w:w="1367" w:type="dxa"/>
            <w:tcBorders>
              <w:top w:val="single" w:color="000000" w:sz="4" w:space="0"/>
              <w:left w:val="single" w:color="000000" w:sz="4" w:space="0"/>
              <w:bottom w:val="single" w:color="000000" w:sz="4" w:space="0"/>
              <w:right w:val="single" w:color="000000" w:sz="4" w:space="0"/>
            </w:tcBorders>
            <w:vAlign w:val="center"/>
          </w:tcPr>
          <w:p w14:paraId="37B8B9BE">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机房空调</w:t>
            </w:r>
          </w:p>
        </w:tc>
        <w:tc>
          <w:tcPr>
            <w:tcW w:w="3566" w:type="dxa"/>
            <w:tcBorders>
              <w:top w:val="single" w:color="000000" w:sz="4" w:space="0"/>
              <w:left w:val="single" w:color="000000" w:sz="4" w:space="0"/>
              <w:bottom w:val="single" w:color="000000" w:sz="4" w:space="0"/>
              <w:right w:val="single" w:color="000000" w:sz="4" w:space="0"/>
            </w:tcBorders>
          </w:tcPr>
          <w:p w14:paraId="44BA8DEF">
            <w:pPr>
              <w:pStyle w:val="58"/>
              <w:spacing w:before="83"/>
              <w:ind w:left="7"/>
              <w:rPr>
                <w:rFonts w:ascii="宋体" w:hAnsi="宋体" w:cs="宋体"/>
                <w:color w:val="000000" w:themeColor="text1"/>
                <w:w w:val="99"/>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《单元式空气调节机能效限定值</w:t>
            </w:r>
          </w:p>
          <w:p w14:paraId="43E3D07B">
            <w:pPr>
              <w:pStyle w:val="58"/>
              <w:spacing w:before="83"/>
              <w:ind w:left="7"/>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及能效等级》（GB19576）</w:t>
            </w:r>
          </w:p>
        </w:tc>
      </w:tr>
      <w:tr w14:paraId="2992F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A42EB57">
            <w:pPr>
              <w:widowControl/>
              <w:jc w:val="left"/>
              <w:rPr>
                <w:rFonts w:ascii="宋体" w:hAnsi="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44B4A04">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7633406">
            <w:pPr>
              <w:pStyle w:val="58"/>
              <w:spacing w:line="254" w:lineRule="exact"/>
              <w:ind w:left="7"/>
              <w:jc w:val="center"/>
              <w:rPr>
                <w:rFonts w:ascii="宋体" w:hAnsi="宋体" w:cs="宋体"/>
                <w:color w:val="000000" w:themeColor="text1"/>
                <w:w w:val="99"/>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A02052399其他制冷</w:t>
            </w:r>
          </w:p>
          <w:p w14:paraId="13CFA957">
            <w:pPr>
              <w:pStyle w:val="58"/>
              <w:spacing w:line="254" w:lineRule="exact"/>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空调设备</w:t>
            </w:r>
          </w:p>
        </w:tc>
        <w:tc>
          <w:tcPr>
            <w:tcW w:w="1367" w:type="dxa"/>
            <w:tcBorders>
              <w:top w:val="single" w:color="000000" w:sz="4" w:space="0"/>
              <w:left w:val="single" w:color="000000" w:sz="4" w:space="0"/>
              <w:bottom w:val="single" w:color="000000" w:sz="4" w:space="0"/>
              <w:right w:val="single" w:color="000000" w:sz="4" w:space="0"/>
            </w:tcBorders>
            <w:vAlign w:val="center"/>
          </w:tcPr>
          <w:p w14:paraId="20A03C4F">
            <w:pPr>
              <w:widowControl/>
              <w:jc w:val="center"/>
              <w:rPr>
                <w:rFonts w:ascii="宋体" w:hAnsi="宋体" w:cs="宋体"/>
                <w:color w:val="000000" w:themeColor="text1"/>
                <w:szCs w:val="21"/>
                <w:highlight w:val="none"/>
                <w:lang w:eastAsia="en-US"/>
                <w14:textFill>
                  <w14:solidFill>
                    <w14:schemeClr w14:val="tx1"/>
                  </w14:solidFill>
                </w14:textFill>
              </w:rPr>
            </w:pPr>
            <w:r>
              <w:rPr>
                <w:rFonts w:hint="eastAsia" w:ascii="宋体" w:hAnsi="宋体" w:cs="宋体"/>
                <w:color w:val="000000" w:themeColor="text1"/>
                <w:w w:val="99"/>
                <w:szCs w:val="21"/>
                <w:highlight w:val="none"/>
                <w14:textFill>
                  <w14:solidFill>
                    <w14:schemeClr w14:val="tx1"/>
                  </w14:solidFill>
                </w14:textFill>
              </w:rPr>
              <w:t>冷却塔</w:t>
            </w:r>
          </w:p>
        </w:tc>
        <w:tc>
          <w:tcPr>
            <w:tcW w:w="3566" w:type="dxa"/>
            <w:tcBorders>
              <w:top w:val="single" w:color="000000" w:sz="4" w:space="0"/>
              <w:left w:val="single" w:color="000000" w:sz="4" w:space="0"/>
              <w:bottom w:val="single" w:color="000000" w:sz="4" w:space="0"/>
              <w:right w:val="single" w:color="000000" w:sz="4" w:space="0"/>
            </w:tcBorders>
          </w:tcPr>
          <w:p w14:paraId="3E36640A">
            <w:pPr>
              <w:pStyle w:val="58"/>
              <w:spacing w:line="254" w:lineRule="exact"/>
              <w:ind w:left="7"/>
              <w:rPr>
                <w:rFonts w:ascii="宋体" w:hAnsi="宋体" w:cs="宋体"/>
                <w:color w:val="000000" w:themeColor="text1"/>
                <w:w w:val="99"/>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《机械通风冷却塔第1部分：中小型开式冷却塔》（GB/T7190.1）</w:t>
            </w:r>
          </w:p>
          <w:p w14:paraId="47A89618">
            <w:pPr>
              <w:pStyle w:val="58"/>
              <w:spacing w:line="254" w:lineRule="exact"/>
              <w:ind w:left="7"/>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《机械通风冷却塔第2部分：大型开式冷却塔》（GB/T7190.2）</w:t>
            </w:r>
          </w:p>
        </w:tc>
      </w:tr>
      <w:tr w14:paraId="6AB3F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05CD07FF">
            <w:pPr>
              <w:pStyle w:val="58"/>
              <w:ind w:right="1"/>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w w:val="99"/>
                <w:kern w:val="2"/>
                <w:sz w:val="21"/>
                <w:szCs w:val="21"/>
                <w:highlight w:val="none"/>
                <w14:textFill>
                  <w14:solidFill>
                    <w14:schemeClr w14:val="tx1"/>
                  </w14:solidFill>
                </w14:textFill>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25B867B4">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A02060100</w:t>
            </w:r>
            <w:r>
              <w:rPr>
                <w:rFonts w:hint="eastAsia" w:ascii="宋体" w:hAnsi="宋体" w:cs="宋体"/>
                <w:color w:val="000000" w:themeColor="text1"/>
                <w:w w:val="99"/>
                <w:kern w:val="2"/>
                <w:sz w:val="21"/>
                <w:szCs w:val="21"/>
                <w:highlight w:val="none"/>
                <w14:textFill>
                  <w14:solidFill>
                    <w14:schemeClr w14:val="tx1"/>
                  </w14:solidFill>
                </w14:textFill>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2E6F225C">
            <w:pPr>
              <w:jc w:val="center"/>
              <w:rPr>
                <w:rFonts w:ascii="宋体" w:hAnsi="宋体"/>
                <w:color w:val="000000" w:themeColor="text1"/>
                <w:szCs w:val="21"/>
                <w:highlight w:val="none"/>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7885DF36">
            <w:pPr>
              <w:jc w:val="center"/>
              <w:rPr>
                <w:rFonts w:ascii="宋体" w:hAnsi="宋体"/>
                <w:color w:val="000000" w:themeColor="text1"/>
                <w:szCs w:val="21"/>
                <w:highlight w:val="none"/>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42D118DF">
            <w:pPr>
              <w:pStyle w:val="58"/>
              <w:spacing w:before="52"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《中小型三相异步电动机能效限定值及能效等级》（GB18613）</w:t>
            </w:r>
          </w:p>
        </w:tc>
      </w:tr>
      <w:tr w14:paraId="42DB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1659C479">
            <w:pPr>
              <w:pStyle w:val="58"/>
              <w:ind w:right="1"/>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w w:val="99"/>
                <w:kern w:val="2"/>
                <w:sz w:val="21"/>
                <w:szCs w:val="21"/>
                <w:highlight w:val="none"/>
                <w14:textFill>
                  <w14:solidFill>
                    <w14:schemeClr w14:val="tx1"/>
                  </w14:solidFill>
                </w14:textFill>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0CD31653">
            <w:pPr>
              <w:pStyle w:val="58"/>
              <w:spacing w:before="30"/>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A02060200</w:t>
            </w:r>
            <w:r>
              <w:rPr>
                <w:rFonts w:hint="eastAsia" w:ascii="宋体" w:hAnsi="宋体" w:cs="宋体"/>
                <w:color w:val="000000" w:themeColor="text1"/>
                <w:w w:val="99"/>
                <w:kern w:val="2"/>
                <w:sz w:val="21"/>
                <w:szCs w:val="21"/>
                <w:highlight w:val="none"/>
                <w14:textFill>
                  <w14:solidFill>
                    <w14:schemeClr w14:val="tx1"/>
                  </w14:solidFill>
                </w14:textFill>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190C22C1">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配电变压器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019E0D39">
            <w:pPr>
              <w:jc w:val="center"/>
              <w:rPr>
                <w:rFonts w:ascii="宋体" w:hAnsi="宋体"/>
                <w:color w:val="000000" w:themeColor="text1"/>
                <w:szCs w:val="21"/>
                <w:highlight w:val="none"/>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276E05A5">
            <w:pPr>
              <w:pStyle w:val="58"/>
              <w:spacing w:before="30"/>
              <w:ind w:left="7"/>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《三相配电变压器能效限定值及</w:t>
            </w:r>
          </w:p>
        </w:tc>
      </w:tr>
      <w:tr w14:paraId="0ED5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74D0342C">
            <w:pPr>
              <w:pStyle w:val="58"/>
              <w:ind w:right="1"/>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w w:val="99"/>
                <w:kern w:val="2"/>
                <w:sz w:val="21"/>
                <w:szCs w:val="21"/>
                <w:highlight w:val="none"/>
                <w14:textFill>
                  <w14:solidFill>
                    <w14:schemeClr w14:val="tx1"/>
                  </w14:solidFill>
                </w14:textFill>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726E7AC3">
            <w:pPr>
              <w:pStyle w:val="58"/>
              <w:spacing w:before="126"/>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3687192">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管型荧光灯镇流器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28D9A2B7">
            <w:pPr>
              <w:jc w:val="center"/>
              <w:rPr>
                <w:rFonts w:ascii="宋体" w:hAnsi="宋体"/>
                <w:color w:val="000000" w:themeColor="text1"/>
                <w:szCs w:val="21"/>
                <w:highlight w:val="none"/>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4044148E">
            <w:pPr>
              <w:pStyle w:val="58"/>
              <w:spacing w:before="126"/>
              <w:ind w:left="7"/>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《管形荧光灯镇流器能效限定值及能效等级》（GB17896）</w:t>
            </w:r>
          </w:p>
        </w:tc>
      </w:tr>
      <w:tr w14:paraId="67E31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2D2D866D">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w w:val="99"/>
                <w:kern w:val="2"/>
                <w:sz w:val="21"/>
                <w:szCs w:val="21"/>
                <w:highlight w:val="none"/>
                <w14:textFill>
                  <w14:solidFill>
                    <w14:schemeClr w14:val="tx1"/>
                  </w14:solidFill>
                </w14:textFill>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68ABD5E">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538F9AB6">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A02061801电冰箱</w:t>
            </w:r>
          </w:p>
        </w:tc>
        <w:tc>
          <w:tcPr>
            <w:tcW w:w="1367" w:type="dxa"/>
            <w:tcBorders>
              <w:top w:val="single" w:color="000000" w:sz="4" w:space="0"/>
              <w:left w:val="single" w:color="000000" w:sz="4" w:space="0"/>
              <w:bottom w:val="single" w:color="000000" w:sz="4" w:space="0"/>
              <w:right w:val="single" w:color="000000" w:sz="4" w:space="0"/>
            </w:tcBorders>
            <w:vAlign w:val="center"/>
          </w:tcPr>
          <w:p w14:paraId="472F109B">
            <w:pPr>
              <w:jc w:val="center"/>
              <w:rPr>
                <w:rFonts w:ascii="宋体" w:hAnsi="宋体"/>
                <w:color w:val="000000" w:themeColor="text1"/>
                <w:szCs w:val="21"/>
                <w:highlight w:val="none"/>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739CF800">
            <w:pPr>
              <w:pStyle w:val="58"/>
              <w:spacing w:before="126"/>
              <w:ind w:left="7"/>
              <w:rPr>
                <w:rFonts w:ascii="宋体" w:hAnsi="宋体" w:cs="宋体"/>
                <w:color w:val="000000" w:themeColor="text1"/>
                <w:w w:val="99"/>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《家用电冰箱耗电量限定值及能效等级》（GB12021.2）</w:t>
            </w:r>
          </w:p>
        </w:tc>
      </w:tr>
      <w:tr w14:paraId="64D6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DB159D0">
            <w:pPr>
              <w:widowControl/>
              <w:jc w:val="left"/>
              <w:rPr>
                <w:rFonts w:ascii="宋体" w:hAnsi="宋体" w:cs="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7CF45F2">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5BB3666">
            <w:pPr>
              <w:pStyle w:val="58"/>
              <w:spacing w:before="171"/>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w:t>
            </w:r>
            <w:r>
              <w:rPr>
                <w:rFonts w:hint="eastAsia" w:ascii="宋体" w:hAnsi="宋体" w:cs="仿宋_GB2312"/>
                <w:color w:val="000000" w:themeColor="text1"/>
                <w:kern w:val="2"/>
                <w:sz w:val="21"/>
                <w:szCs w:val="21"/>
                <w:highlight w:val="none"/>
                <w14:textFill>
                  <w14:solidFill>
                    <w14:schemeClr w14:val="tx1"/>
                  </w14:solidFill>
                </w14:textFill>
              </w:rPr>
              <w:t>A02061804</w:t>
            </w:r>
            <w:r>
              <w:rPr>
                <w:rFonts w:hint="eastAsia" w:ascii="宋体" w:hAnsi="宋体" w:cs="宋体"/>
                <w:color w:val="000000" w:themeColor="text1"/>
                <w:w w:val="99"/>
                <w:kern w:val="2"/>
                <w:sz w:val="21"/>
                <w:szCs w:val="21"/>
                <w:highlight w:val="none"/>
                <w14:textFill>
                  <w14:solidFill>
                    <w14:schemeClr w14:val="tx1"/>
                  </w14:solidFill>
                </w14:textFill>
              </w:rPr>
              <w:t>空调机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4A22A698">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房间空气调节器</w:t>
            </w:r>
          </w:p>
        </w:tc>
        <w:tc>
          <w:tcPr>
            <w:tcW w:w="3566" w:type="dxa"/>
            <w:tcBorders>
              <w:top w:val="single" w:color="000000" w:sz="4" w:space="0"/>
              <w:left w:val="single" w:color="000000" w:sz="4" w:space="0"/>
              <w:bottom w:val="single" w:color="000000" w:sz="4" w:space="0"/>
              <w:right w:val="single" w:color="000000" w:sz="4" w:space="0"/>
            </w:tcBorders>
          </w:tcPr>
          <w:p w14:paraId="2E5DF042">
            <w:pPr>
              <w:pStyle w:val="58"/>
              <w:spacing w:line="256" w:lineRule="exact"/>
              <w:ind w:left="7"/>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《房间空气调节器能效限定值及能效等级》（GB21455-2019）</w:t>
            </w:r>
          </w:p>
        </w:tc>
      </w:tr>
      <w:tr w14:paraId="43E5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2AAF0E7">
            <w:pPr>
              <w:widowControl/>
              <w:jc w:val="left"/>
              <w:rPr>
                <w:rFonts w:ascii="宋体" w:hAnsi="宋体" w:cs="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2E8A224">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1A0F8DA">
            <w:pPr>
              <w:widowControl/>
              <w:jc w:val="left"/>
              <w:rPr>
                <w:rFonts w:ascii="宋体" w:hAnsi="宋体" w:cs="宋体"/>
                <w:color w:val="000000" w:themeColor="text1"/>
                <w:szCs w:val="21"/>
                <w:highlight w:val="none"/>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17777866">
            <w:pPr>
              <w:pStyle w:val="58"/>
              <w:spacing w:before="4" w:line="276" w:lineRule="auto"/>
              <w:ind w:left="7" w:right="7"/>
              <w:jc w:val="center"/>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多联式空调（热泵）机组（制冷量≤ 14000W）</w:t>
            </w:r>
          </w:p>
        </w:tc>
        <w:tc>
          <w:tcPr>
            <w:tcW w:w="3566" w:type="dxa"/>
            <w:tcBorders>
              <w:top w:val="single" w:color="000000" w:sz="4" w:space="0"/>
              <w:left w:val="single" w:color="000000" w:sz="4" w:space="0"/>
              <w:bottom w:val="single" w:color="000000" w:sz="4" w:space="0"/>
              <w:right w:val="single" w:color="000000" w:sz="4" w:space="0"/>
            </w:tcBorders>
          </w:tcPr>
          <w:p w14:paraId="5D52932E">
            <w:pPr>
              <w:pStyle w:val="58"/>
              <w:spacing w:before="160" w:line="276" w:lineRule="auto"/>
              <w:ind w:left="7" w:right="7"/>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《多联式空调（热泵）机组能效限定值及能源效率等级》（GB21454）</w:t>
            </w:r>
          </w:p>
        </w:tc>
      </w:tr>
      <w:tr w14:paraId="6B304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D915DBC">
            <w:pPr>
              <w:widowControl/>
              <w:jc w:val="left"/>
              <w:rPr>
                <w:rFonts w:ascii="宋体" w:hAnsi="宋体" w:cs="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CC5CCE3">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2B520745">
            <w:pPr>
              <w:widowControl/>
              <w:jc w:val="left"/>
              <w:rPr>
                <w:rFonts w:ascii="宋体" w:hAnsi="宋体" w:cs="宋体"/>
                <w:color w:val="000000" w:themeColor="text1"/>
                <w:szCs w:val="21"/>
                <w:highlight w:val="none"/>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04ED9DA3">
            <w:pPr>
              <w:pStyle w:val="58"/>
              <w:jc w:val="center"/>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单元式空气调节机（制冷量≤ 14000W）</w:t>
            </w:r>
          </w:p>
        </w:tc>
        <w:tc>
          <w:tcPr>
            <w:tcW w:w="3566" w:type="dxa"/>
            <w:tcBorders>
              <w:top w:val="single" w:color="000000" w:sz="4" w:space="0"/>
              <w:left w:val="single" w:color="000000" w:sz="4" w:space="0"/>
              <w:bottom w:val="single" w:color="000000" w:sz="4" w:space="0"/>
              <w:right w:val="single" w:color="000000" w:sz="4" w:space="0"/>
            </w:tcBorders>
          </w:tcPr>
          <w:p w14:paraId="2AC53934">
            <w:pPr>
              <w:pStyle w:val="58"/>
              <w:spacing w:before="4"/>
              <w:ind w:left="7"/>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《单元式空气调节机能效限定值及能源效率等级》（GB19576）《风管送风式空调机组能效限定值及能效等级》（GB37479）</w:t>
            </w:r>
          </w:p>
        </w:tc>
      </w:tr>
      <w:tr w14:paraId="1727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5689537">
            <w:pPr>
              <w:widowControl/>
              <w:jc w:val="left"/>
              <w:rPr>
                <w:rFonts w:ascii="宋体" w:hAnsi="宋体" w:cs="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8312E09">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1BFB495">
            <w:pPr>
              <w:pStyle w:val="58"/>
              <w:spacing w:before="162"/>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A02061810</w:t>
            </w:r>
            <w:r>
              <w:rPr>
                <w:rFonts w:hint="eastAsia" w:ascii="宋体" w:hAnsi="宋体" w:cs="宋体"/>
                <w:color w:val="000000" w:themeColor="text1"/>
                <w:w w:val="99"/>
                <w:kern w:val="2"/>
                <w:sz w:val="21"/>
                <w:szCs w:val="21"/>
                <w:highlight w:val="none"/>
                <w14:textFill>
                  <w14:solidFill>
                    <w14:schemeClr w14:val="tx1"/>
                  </w14:solidFill>
                </w14:textFill>
              </w:rPr>
              <w:t>洗衣机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127FA381">
            <w:pPr>
              <w:jc w:val="center"/>
              <w:rPr>
                <w:rFonts w:ascii="宋体" w:hAnsi="宋体"/>
                <w:color w:val="000000" w:themeColor="text1"/>
                <w:szCs w:val="21"/>
                <w:highlight w:val="none"/>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45B04A81">
            <w:pPr>
              <w:pStyle w:val="58"/>
              <w:spacing w:before="6"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《电动洗衣机能效水效限定值及等级》（GB12021.4）</w:t>
            </w:r>
          </w:p>
        </w:tc>
      </w:tr>
      <w:tr w14:paraId="3F90D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FDE24E4">
            <w:pPr>
              <w:widowControl/>
              <w:jc w:val="left"/>
              <w:rPr>
                <w:rFonts w:ascii="宋体" w:hAnsi="宋体" w:cs="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83A1E84">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08B15FB6">
            <w:pPr>
              <w:pStyle w:val="58"/>
              <w:spacing w:before="161"/>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A02061819</w:t>
            </w:r>
            <w:r>
              <w:rPr>
                <w:rFonts w:hint="eastAsia" w:ascii="宋体" w:hAnsi="宋体" w:cs="宋体"/>
                <w:color w:val="000000" w:themeColor="text1"/>
                <w:w w:val="99"/>
                <w:kern w:val="2"/>
                <w:sz w:val="21"/>
                <w:szCs w:val="21"/>
                <w:highlight w:val="none"/>
                <w14:textFill>
                  <w14:solidFill>
                    <w14:schemeClr w14:val="tx1"/>
                  </w14:solidFill>
                </w14:textFill>
              </w:rPr>
              <w:t>热水器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17B16D9C">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★电热</w:t>
            </w:r>
            <w:r>
              <w:rPr>
                <w:rFonts w:hint="eastAsia" w:ascii="宋体" w:hAnsi="宋体" w:cs="宋体"/>
                <w:color w:val="000000" w:themeColor="text1"/>
                <w:spacing w:val="2"/>
                <w:w w:val="99"/>
                <w:kern w:val="2"/>
                <w:sz w:val="21"/>
                <w:szCs w:val="21"/>
                <w:highlight w:val="none"/>
                <w14:textFill>
                  <w14:solidFill>
                    <w14:schemeClr w14:val="tx1"/>
                  </w14:solidFill>
                </w14:textFill>
              </w:rPr>
              <w:t>水</w:t>
            </w:r>
            <w:r>
              <w:rPr>
                <w:rFonts w:hint="eastAsia" w:ascii="宋体" w:hAnsi="宋体" w:cs="宋体"/>
                <w:color w:val="000000" w:themeColor="text1"/>
                <w:w w:val="99"/>
                <w:kern w:val="2"/>
                <w:sz w:val="21"/>
                <w:szCs w:val="21"/>
                <w:highlight w:val="none"/>
                <w14:textFill>
                  <w14:solidFill>
                    <w14:schemeClr w14:val="tx1"/>
                  </w14:solidFill>
                </w14:textFill>
              </w:rPr>
              <w:t>器</w:t>
            </w:r>
          </w:p>
        </w:tc>
        <w:tc>
          <w:tcPr>
            <w:tcW w:w="3566" w:type="dxa"/>
            <w:tcBorders>
              <w:top w:val="single" w:color="000000" w:sz="4" w:space="0"/>
              <w:left w:val="single" w:color="000000" w:sz="4" w:space="0"/>
              <w:bottom w:val="single" w:color="000000" w:sz="4" w:space="0"/>
              <w:right w:val="single" w:color="000000" w:sz="4" w:space="0"/>
            </w:tcBorders>
          </w:tcPr>
          <w:p w14:paraId="0CC6BEC2">
            <w:pPr>
              <w:pStyle w:val="58"/>
              <w:tabs>
                <w:tab w:val="left" w:pos="1608"/>
              </w:tabs>
              <w:spacing w:before="52"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《储水式电热水器能效</w:t>
            </w:r>
            <w:r>
              <w:rPr>
                <w:rFonts w:hint="eastAsia" w:ascii="宋体" w:hAnsi="宋体" w:cs="宋体"/>
                <w:color w:val="000000" w:themeColor="text1"/>
                <w:spacing w:val="9"/>
                <w:w w:val="99"/>
                <w:kern w:val="2"/>
                <w:sz w:val="21"/>
                <w:szCs w:val="21"/>
                <w:highlight w:val="none"/>
                <w:lang w:eastAsia="zh-CN"/>
                <w14:textFill>
                  <w14:solidFill>
                    <w14:schemeClr w14:val="tx1"/>
                  </w14:solidFill>
                </w14:textFill>
              </w:rPr>
              <w:t>限</w:t>
            </w: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定值</w:t>
            </w:r>
            <w:r>
              <w:rPr>
                <w:rFonts w:hint="eastAsia" w:ascii="宋体" w:hAnsi="宋体" w:cs="宋体"/>
                <w:color w:val="000000" w:themeColor="text1"/>
                <w:w w:val="99"/>
                <w:kern w:val="2"/>
                <w:sz w:val="21"/>
                <w:szCs w:val="21"/>
                <w:highlight w:val="none"/>
                <w:lang w:eastAsia="zh-CN"/>
                <w14:textFill>
                  <w14:solidFill>
                    <w14:schemeClr w14:val="tx1"/>
                  </w14:solidFill>
                </w14:textFill>
              </w:rPr>
              <w:t>及能效等</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级</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21</w:t>
            </w:r>
            <w:r>
              <w:rPr>
                <w:rFonts w:hint="eastAsia" w:ascii="宋体" w:hAnsi="宋体" w:cs="宋体"/>
                <w:color w:val="000000" w:themeColor="text1"/>
                <w:w w:val="99"/>
                <w:kern w:val="2"/>
                <w:sz w:val="21"/>
                <w:szCs w:val="21"/>
                <w:highlight w:val="none"/>
                <w:lang w:eastAsia="zh-CN"/>
                <w14:textFill>
                  <w14:solidFill>
                    <w14:schemeClr w14:val="tx1"/>
                  </w14:solidFill>
                </w14:textFill>
              </w:rPr>
              <w:t>51</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9</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460E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3A4C204">
            <w:pPr>
              <w:widowControl/>
              <w:jc w:val="left"/>
              <w:rPr>
                <w:rFonts w:ascii="宋体" w:hAnsi="宋体" w:cs="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2B3ECFE">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B97A86F">
            <w:pPr>
              <w:widowControl/>
              <w:jc w:val="left"/>
              <w:rPr>
                <w:rFonts w:ascii="宋体" w:hAnsi="宋体" w:cs="宋体"/>
                <w:color w:val="000000" w:themeColor="text1"/>
                <w:szCs w:val="21"/>
                <w:highlight w:val="none"/>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64259432">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燃气热</w:t>
            </w:r>
            <w:r>
              <w:rPr>
                <w:rFonts w:hint="eastAsia" w:ascii="宋体" w:hAnsi="宋体" w:cs="宋体"/>
                <w:color w:val="000000" w:themeColor="text1"/>
                <w:spacing w:val="2"/>
                <w:w w:val="99"/>
                <w:kern w:val="2"/>
                <w:sz w:val="21"/>
                <w:szCs w:val="21"/>
                <w:highlight w:val="none"/>
                <w14:textFill>
                  <w14:solidFill>
                    <w14:schemeClr w14:val="tx1"/>
                  </w14:solidFill>
                </w14:textFill>
              </w:rPr>
              <w:t>水</w:t>
            </w:r>
            <w:r>
              <w:rPr>
                <w:rFonts w:hint="eastAsia" w:ascii="宋体" w:hAnsi="宋体" w:cs="宋体"/>
                <w:color w:val="000000" w:themeColor="text1"/>
                <w:w w:val="99"/>
                <w:kern w:val="2"/>
                <w:sz w:val="21"/>
                <w:szCs w:val="21"/>
                <w:highlight w:val="none"/>
                <w14:textFill>
                  <w14:solidFill>
                    <w14:schemeClr w14:val="tx1"/>
                  </w14:solidFill>
                </w14:textFill>
              </w:rPr>
              <w:t>器</w:t>
            </w:r>
          </w:p>
        </w:tc>
        <w:tc>
          <w:tcPr>
            <w:tcW w:w="3566" w:type="dxa"/>
            <w:tcBorders>
              <w:top w:val="single" w:color="000000" w:sz="4" w:space="0"/>
              <w:left w:val="single" w:color="000000" w:sz="4" w:space="0"/>
              <w:bottom w:val="single" w:color="000000" w:sz="4" w:space="0"/>
              <w:right w:val="single" w:color="000000" w:sz="4" w:space="0"/>
            </w:tcBorders>
          </w:tcPr>
          <w:p w14:paraId="10B33542">
            <w:pPr>
              <w:pStyle w:val="58"/>
              <w:spacing w:before="4"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《家用燃气快速热水器</w:t>
            </w:r>
            <w:r>
              <w:rPr>
                <w:rFonts w:hint="eastAsia" w:ascii="宋体" w:hAnsi="宋体" w:cs="宋体"/>
                <w:color w:val="000000" w:themeColor="text1"/>
                <w:spacing w:val="9"/>
                <w:w w:val="99"/>
                <w:kern w:val="2"/>
                <w:sz w:val="21"/>
                <w:szCs w:val="21"/>
                <w:highlight w:val="none"/>
                <w:lang w:eastAsia="zh-CN"/>
                <w14:textFill>
                  <w14:solidFill>
                    <w14:schemeClr w14:val="tx1"/>
                  </w14:solidFill>
                </w14:textFill>
              </w:rPr>
              <w:t>和</w:t>
            </w: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燃气</w:t>
            </w:r>
            <w:r>
              <w:rPr>
                <w:rFonts w:hint="eastAsia" w:ascii="宋体" w:hAnsi="宋体" w:cs="宋体"/>
                <w:color w:val="000000" w:themeColor="text1"/>
                <w:w w:val="99"/>
                <w:kern w:val="2"/>
                <w:sz w:val="21"/>
                <w:szCs w:val="21"/>
                <w:highlight w:val="none"/>
                <w:lang w:eastAsia="zh-CN"/>
                <w14:textFill>
                  <w14:solidFill>
                    <w14:schemeClr w14:val="tx1"/>
                  </w14:solidFill>
                </w14:textFill>
              </w:rPr>
              <w:t>采暖热水</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炉</w:t>
            </w:r>
            <w:r>
              <w:rPr>
                <w:rFonts w:hint="eastAsia" w:ascii="宋体" w:hAnsi="宋体" w:cs="宋体"/>
                <w:color w:val="000000" w:themeColor="text1"/>
                <w:w w:val="99"/>
                <w:kern w:val="2"/>
                <w:sz w:val="21"/>
                <w:szCs w:val="21"/>
                <w:highlight w:val="none"/>
                <w:lang w:eastAsia="zh-CN"/>
                <w14:textFill>
                  <w14:solidFill>
                    <w14:schemeClr w14:val="tx1"/>
                  </w14:solidFill>
                </w14:textFill>
              </w:rPr>
              <w:t>能效</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限</w:t>
            </w:r>
            <w:r>
              <w:rPr>
                <w:rFonts w:hint="eastAsia" w:ascii="宋体" w:hAnsi="宋体" w:cs="宋体"/>
                <w:color w:val="000000" w:themeColor="text1"/>
                <w:w w:val="99"/>
                <w:kern w:val="2"/>
                <w:sz w:val="21"/>
                <w:szCs w:val="21"/>
                <w:highlight w:val="none"/>
                <w:lang w:eastAsia="zh-CN"/>
                <w14:textFill>
                  <w14:solidFill>
                    <w14:schemeClr w14:val="tx1"/>
                  </w14:solidFill>
                </w14:textFill>
              </w:rPr>
              <w:t>定值</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及</w:t>
            </w:r>
            <w:r>
              <w:rPr>
                <w:rFonts w:hint="eastAsia" w:ascii="宋体" w:hAnsi="宋体" w:cs="宋体"/>
                <w:color w:val="000000" w:themeColor="text1"/>
                <w:w w:val="99"/>
                <w:kern w:val="2"/>
                <w:sz w:val="21"/>
                <w:szCs w:val="21"/>
                <w:highlight w:val="none"/>
                <w:lang w:eastAsia="zh-CN"/>
                <w14:textFill>
                  <w14:solidFill>
                    <w14:schemeClr w14:val="tx1"/>
                  </w14:solidFill>
                </w14:textFill>
              </w:rPr>
              <w:t>能</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效</w:t>
            </w:r>
            <w:r>
              <w:rPr>
                <w:rFonts w:hint="eastAsia" w:ascii="宋体" w:hAnsi="宋体" w:cs="宋体"/>
                <w:color w:val="000000" w:themeColor="text1"/>
                <w:w w:val="99"/>
                <w:kern w:val="2"/>
                <w:sz w:val="21"/>
                <w:szCs w:val="21"/>
                <w:highlight w:val="none"/>
                <w:lang w:eastAsia="zh-CN"/>
                <w14:textFill>
                  <w14:solidFill>
                    <w14:schemeClr w14:val="tx1"/>
                  </w14:solidFill>
                </w14:textFill>
              </w:rPr>
              <w:t>等级》（</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2</w:t>
            </w:r>
            <w:r>
              <w:rPr>
                <w:rFonts w:hint="eastAsia" w:ascii="宋体" w:hAnsi="宋体" w:cs="宋体"/>
                <w:color w:val="000000" w:themeColor="text1"/>
                <w:w w:val="99"/>
                <w:kern w:val="2"/>
                <w:sz w:val="21"/>
                <w:szCs w:val="21"/>
                <w:highlight w:val="none"/>
                <w:lang w:eastAsia="zh-CN"/>
                <w14:textFill>
                  <w14:solidFill>
                    <w14:schemeClr w14:val="tx1"/>
                  </w14:solidFill>
                </w14:textFill>
              </w:rPr>
              <w:t>06</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65</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77686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292ABD0">
            <w:pPr>
              <w:widowControl/>
              <w:jc w:val="left"/>
              <w:rPr>
                <w:rFonts w:ascii="宋体" w:hAnsi="宋体" w:cs="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FD623F5">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252E15DE">
            <w:pPr>
              <w:widowControl/>
              <w:jc w:val="left"/>
              <w:rPr>
                <w:rFonts w:ascii="宋体" w:hAnsi="宋体" w:cs="宋体"/>
                <w:color w:val="000000" w:themeColor="text1"/>
                <w:szCs w:val="21"/>
                <w:highlight w:val="none"/>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7409B166">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热泵热</w:t>
            </w:r>
            <w:r>
              <w:rPr>
                <w:rFonts w:hint="eastAsia" w:ascii="宋体" w:hAnsi="宋体" w:cs="宋体"/>
                <w:color w:val="000000" w:themeColor="text1"/>
                <w:spacing w:val="2"/>
                <w:w w:val="99"/>
                <w:kern w:val="2"/>
                <w:sz w:val="21"/>
                <w:szCs w:val="21"/>
                <w:highlight w:val="none"/>
                <w14:textFill>
                  <w14:solidFill>
                    <w14:schemeClr w14:val="tx1"/>
                  </w14:solidFill>
                </w14:textFill>
              </w:rPr>
              <w:t>水</w:t>
            </w:r>
            <w:r>
              <w:rPr>
                <w:rFonts w:hint="eastAsia" w:ascii="宋体" w:hAnsi="宋体" w:cs="宋体"/>
                <w:color w:val="000000" w:themeColor="text1"/>
                <w:w w:val="99"/>
                <w:kern w:val="2"/>
                <w:sz w:val="21"/>
                <w:szCs w:val="21"/>
                <w:highlight w:val="none"/>
                <w14:textFill>
                  <w14:solidFill>
                    <w14:schemeClr w14:val="tx1"/>
                  </w14:solidFill>
                </w14:textFill>
              </w:rPr>
              <w:t>器</w:t>
            </w:r>
          </w:p>
        </w:tc>
        <w:tc>
          <w:tcPr>
            <w:tcW w:w="3566" w:type="dxa"/>
            <w:tcBorders>
              <w:top w:val="single" w:color="000000" w:sz="4" w:space="0"/>
              <w:left w:val="single" w:color="000000" w:sz="4" w:space="0"/>
              <w:bottom w:val="single" w:color="000000" w:sz="4" w:space="0"/>
              <w:right w:val="single" w:color="000000" w:sz="4" w:space="0"/>
            </w:tcBorders>
          </w:tcPr>
          <w:p w14:paraId="32E78865">
            <w:pPr>
              <w:pStyle w:val="58"/>
              <w:spacing w:before="93" w:line="276" w:lineRule="auto"/>
              <w:ind w:left="7" w:right="7"/>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《热泵</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热</w:t>
            </w:r>
            <w:r>
              <w:rPr>
                <w:rFonts w:hint="eastAsia" w:ascii="宋体" w:hAnsi="宋体" w:cs="宋体"/>
                <w:color w:val="000000" w:themeColor="text1"/>
                <w:w w:val="99"/>
                <w:kern w:val="2"/>
                <w:sz w:val="21"/>
                <w:szCs w:val="21"/>
                <w:highlight w:val="none"/>
                <w:lang w:eastAsia="zh-CN"/>
                <w14:textFill>
                  <w14:solidFill>
                    <w14:schemeClr w14:val="tx1"/>
                  </w14:solidFill>
                </w14:textFill>
              </w:rPr>
              <w:t>水</w:t>
            </w:r>
            <w:r>
              <w:rPr>
                <w:rFonts w:hint="eastAsia" w:ascii="宋体" w:hAnsi="宋体" w:cs="宋体"/>
                <w:color w:val="000000" w:themeColor="text1"/>
                <w:spacing w:val="-27"/>
                <w:w w:val="99"/>
                <w:kern w:val="2"/>
                <w:sz w:val="21"/>
                <w:szCs w:val="21"/>
                <w:highlight w:val="none"/>
                <w:lang w:eastAsia="zh-CN"/>
                <w14:textFill>
                  <w14:solidFill>
                    <w14:schemeClr w14:val="tx1"/>
                  </w14:solidFill>
                </w14:textFill>
              </w:rPr>
              <w:t>机</w:t>
            </w:r>
            <w:r>
              <w:rPr>
                <w:rFonts w:hint="eastAsia" w:ascii="宋体" w:hAnsi="宋体" w:cs="宋体"/>
                <w:color w:val="000000" w:themeColor="text1"/>
                <w:w w:val="99"/>
                <w:kern w:val="2"/>
                <w:sz w:val="21"/>
                <w:szCs w:val="21"/>
                <w:highlight w:val="none"/>
                <w:lang w:eastAsia="zh-CN"/>
                <w14:textFill>
                  <w14:solidFill>
                    <w14:schemeClr w14:val="tx1"/>
                  </w14:solidFill>
                </w14:textFill>
              </w:rPr>
              <w:t>（器</w:t>
            </w:r>
            <w:r>
              <w:rPr>
                <w:rFonts w:hint="eastAsia" w:ascii="宋体" w:hAnsi="宋体" w:cs="宋体"/>
                <w:color w:val="000000" w:themeColor="text1"/>
                <w:spacing w:val="-27"/>
                <w:w w:val="99"/>
                <w:kern w:val="2"/>
                <w:sz w:val="21"/>
                <w:szCs w:val="21"/>
                <w:highlight w:val="none"/>
                <w:lang w:eastAsia="zh-CN"/>
                <w14:textFill>
                  <w14:solidFill>
                    <w14:schemeClr w14:val="tx1"/>
                  </w14:solidFill>
                </w14:textFill>
              </w:rPr>
              <w:t>）</w:t>
            </w:r>
            <w:r>
              <w:rPr>
                <w:rFonts w:hint="eastAsia" w:ascii="宋体" w:hAnsi="宋体" w:cs="宋体"/>
                <w:color w:val="000000" w:themeColor="text1"/>
                <w:w w:val="99"/>
                <w:kern w:val="2"/>
                <w:sz w:val="21"/>
                <w:szCs w:val="21"/>
                <w:highlight w:val="none"/>
                <w:lang w:eastAsia="zh-CN"/>
                <w14:textFill>
                  <w14:solidFill>
                    <w14:schemeClr w14:val="tx1"/>
                  </w14:solidFill>
                </w14:textFill>
              </w:rPr>
              <w:t>能效</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限</w:t>
            </w:r>
            <w:r>
              <w:rPr>
                <w:rFonts w:hint="eastAsia" w:ascii="宋体" w:hAnsi="宋体" w:cs="宋体"/>
                <w:color w:val="000000" w:themeColor="text1"/>
                <w:w w:val="99"/>
                <w:kern w:val="2"/>
                <w:sz w:val="21"/>
                <w:szCs w:val="21"/>
                <w:highlight w:val="none"/>
                <w:lang w:eastAsia="zh-CN"/>
                <w14:textFill>
                  <w14:solidFill>
                    <w14:schemeClr w14:val="tx1"/>
                  </w14:solidFill>
                </w14:textFill>
              </w:rPr>
              <w:t>定值及能效等</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级</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295</w:t>
            </w:r>
            <w:r>
              <w:rPr>
                <w:rFonts w:hint="eastAsia" w:ascii="宋体" w:hAnsi="宋体" w:cs="宋体"/>
                <w:color w:val="000000" w:themeColor="text1"/>
                <w:w w:val="99"/>
                <w:kern w:val="2"/>
                <w:sz w:val="21"/>
                <w:szCs w:val="21"/>
                <w:highlight w:val="none"/>
                <w:lang w:eastAsia="zh-CN"/>
                <w14:textFill>
                  <w14:solidFill>
                    <w14:schemeClr w14:val="tx1"/>
                  </w14:solidFill>
                </w14:textFill>
              </w:rPr>
              <w:t>4</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1</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79B16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BF97AA9">
            <w:pPr>
              <w:widowControl/>
              <w:jc w:val="left"/>
              <w:rPr>
                <w:rFonts w:ascii="宋体" w:hAnsi="宋体" w:cs="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CE3994F">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327D458A">
            <w:pPr>
              <w:widowControl/>
              <w:jc w:val="left"/>
              <w:rPr>
                <w:rFonts w:ascii="宋体" w:hAnsi="宋体" w:cs="宋体"/>
                <w:color w:val="000000" w:themeColor="text1"/>
                <w:szCs w:val="21"/>
                <w:highlight w:val="none"/>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0AE190CF">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太阳能</w:t>
            </w:r>
            <w:r>
              <w:rPr>
                <w:rFonts w:hint="eastAsia" w:ascii="宋体" w:hAnsi="宋体" w:cs="宋体"/>
                <w:color w:val="000000" w:themeColor="text1"/>
                <w:spacing w:val="2"/>
                <w:w w:val="99"/>
                <w:kern w:val="2"/>
                <w:sz w:val="21"/>
                <w:szCs w:val="21"/>
                <w:highlight w:val="none"/>
                <w14:textFill>
                  <w14:solidFill>
                    <w14:schemeClr w14:val="tx1"/>
                  </w14:solidFill>
                </w14:textFill>
              </w:rPr>
              <w:t>热</w:t>
            </w:r>
            <w:r>
              <w:rPr>
                <w:rFonts w:hint="eastAsia" w:ascii="宋体" w:hAnsi="宋体" w:cs="宋体"/>
                <w:color w:val="000000" w:themeColor="text1"/>
                <w:w w:val="99"/>
                <w:kern w:val="2"/>
                <w:sz w:val="21"/>
                <w:szCs w:val="21"/>
                <w:highlight w:val="none"/>
                <w14:textFill>
                  <w14:solidFill>
                    <w14:schemeClr w14:val="tx1"/>
                  </w14:solidFill>
                </w14:textFill>
              </w:rPr>
              <w:t>水系统</w:t>
            </w:r>
          </w:p>
        </w:tc>
        <w:tc>
          <w:tcPr>
            <w:tcW w:w="3566" w:type="dxa"/>
            <w:tcBorders>
              <w:top w:val="single" w:color="000000" w:sz="4" w:space="0"/>
              <w:left w:val="single" w:color="000000" w:sz="4" w:space="0"/>
              <w:bottom w:val="single" w:color="000000" w:sz="4" w:space="0"/>
              <w:right w:val="single" w:color="000000" w:sz="4" w:space="0"/>
            </w:tcBorders>
          </w:tcPr>
          <w:p w14:paraId="0A7D083B">
            <w:pPr>
              <w:pStyle w:val="58"/>
              <w:spacing w:before="52"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《家用太阳能热水系统</w:t>
            </w:r>
            <w:r>
              <w:rPr>
                <w:rFonts w:hint="eastAsia" w:ascii="宋体" w:hAnsi="宋体" w:cs="宋体"/>
                <w:color w:val="000000" w:themeColor="text1"/>
                <w:spacing w:val="9"/>
                <w:w w:val="99"/>
                <w:kern w:val="2"/>
                <w:sz w:val="21"/>
                <w:szCs w:val="21"/>
                <w:highlight w:val="none"/>
                <w:lang w:eastAsia="zh-CN"/>
                <w14:textFill>
                  <w14:solidFill>
                    <w14:schemeClr w14:val="tx1"/>
                  </w14:solidFill>
                </w14:textFill>
              </w:rPr>
              <w:t>能</w:t>
            </w: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效限</w:t>
            </w:r>
            <w:r>
              <w:rPr>
                <w:rFonts w:hint="eastAsia" w:ascii="宋体" w:hAnsi="宋体" w:cs="宋体"/>
                <w:color w:val="000000" w:themeColor="text1"/>
                <w:w w:val="99"/>
                <w:kern w:val="2"/>
                <w:sz w:val="21"/>
                <w:szCs w:val="21"/>
                <w:highlight w:val="none"/>
                <w:lang w:eastAsia="zh-CN"/>
                <w14:textFill>
                  <w14:solidFill>
                    <w14:schemeClr w14:val="tx1"/>
                  </w14:solidFill>
                </w14:textFill>
              </w:rPr>
              <w:t>定值及能</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效</w:t>
            </w:r>
            <w:r>
              <w:rPr>
                <w:rFonts w:hint="eastAsia" w:ascii="宋体" w:hAnsi="宋体" w:cs="宋体"/>
                <w:color w:val="000000" w:themeColor="text1"/>
                <w:w w:val="99"/>
                <w:kern w:val="2"/>
                <w:sz w:val="21"/>
                <w:szCs w:val="21"/>
                <w:highlight w:val="none"/>
                <w:lang w:eastAsia="zh-CN"/>
                <w14:textFill>
                  <w14:solidFill>
                    <w14:schemeClr w14:val="tx1"/>
                  </w14:solidFill>
                </w14:textFill>
              </w:rPr>
              <w:t>等级</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26</w:t>
            </w:r>
            <w:r>
              <w:rPr>
                <w:rFonts w:hint="eastAsia" w:ascii="宋体" w:hAnsi="宋体" w:cs="宋体"/>
                <w:color w:val="000000" w:themeColor="text1"/>
                <w:w w:val="99"/>
                <w:kern w:val="2"/>
                <w:sz w:val="21"/>
                <w:szCs w:val="21"/>
                <w:highlight w:val="none"/>
                <w:lang w:eastAsia="zh-CN"/>
                <w14:textFill>
                  <w14:solidFill>
                    <w14:schemeClr w14:val="tx1"/>
                  </w14:solidFill>
                </w14:textFill>
              </w:rPr>
              <w:t>96</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9</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1BA4F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25D49A5D">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spacing w:val="1"/>
                <w:w w:val="99"/>
                <w:kern w:val="2"/>
                <w:sz w:val="21"/>
                <w:szCs w:val="21"/>
                <w:highlight w:val="none"/>
                <w14:textFill>
                  <w14:solidFill>
                    <w14:schemeClr w14:val="tx1"/>
                  </w14:solidFill>
                </w14:textFill>
              </w:rPr>
              <w:t>1</w:t>
            </w:r>
            <w:r>
              <w:rPr>
                <w:rFonts w:hint="eastAsia" w:ascii="宋体" w:hAnsi="宋体"/>
                <w:color w:val="000000" w:themeColor="text1"/>
                <w:w w:val="99"/>
                <w:kern w:val="2"/>
                <w:sz w:val="21"/>
                <w:szCs w:val="21"/>
                <w:highlight w:val="none"/>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6832ADD6">
            <w:pPr>
              <w:pStyle w:val="58"/>
              <w:spacing w:before="15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spacing w:val="1"/>
                <w:w w:val="99"/>
                <w:kern w:val="2"/>
                <w:sz w:val="21"/>
                <w:szCs w:val="21"/>
                <w:highlight w:val="none"/>
                <w14:textFill>
                  <w14:solidFill>
                    <w14:schemeClr w14:val="tx1"/>
                  </w14:solidFill>
                </w14:textFill>
              </w:rPr>
              <w:t>A02</w:t>
            </w:r>
            <w:r>
              <w:rPr>
                <w:rFonts w:hint="eastAsia" w:ascii="宋体" w:hAnsi="宋体" w:cs="宋体"/>
                <w:color w:val="000000" w:themeColor="text1"/>
                <w:w w:val="99"/>
                <w:kern w:val="2"/>
                <w:sz w:val="21"/>
                <w:szCs w:val="21"/>
                <w:highlight w:val="none"/>
                <w14:textFill>
                  <w14:solidFill>
                    <w14:schemeClr w14:val="tx1"/>
                  </w14:solidFill>
                </w14:textFill>
              </w:rPr>
              <w:t>06</w:t>
            </w:r>
            <w:r>
              <w:rPr>
                <w:rFonts w:hint="eastAsia" w:ascii="宋体" w:hAnsi="宋体" w:cs="宋体"/>
                <w:color w:val="000000" w:themeColor="text1"/>
                <w:spacing w:val="1"/>
                <w:w w:val="99"/>
                <w:kern w:val="2"/>
                <w:sz w:val="21"/>
                <w:szCs w:val="21"/>
                <w:highlight w:val="none"/>
                <w14:textFill>
                  <w14:solidFill>
                    <w14:schemeClr w14:val="tx1"/>
                  </w14:solidFill>
                </w14:textFill>
              </w:rPr>
              <w:t>1</w:t>
            </w:r>
            <w:r>
              <w:rPr>
                <w:rFonts w:hint="eastAsia" w:ascii="宋体" w:hAnsi="宋体" w:cs="宋体"/>
                <w:color w:val="000000" w:themeColor="text1"/>
                <w:w w:val="99"/>
                <w:kern w:val="2"/>
                <w:sz w:val="21"/>
                <w:szCs w:val="21"/>
                <w:highlight w:val="none"/>
                <w14:textFill>
                  <w14:solidFill>
                    <w14:schemeClr w14:val="tx1"/>
                  </w14:solidFill>
                </w14:textFill>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7B43D297">
            <w:pPr>
              <w:pStyle w:val="58"/>
              <w:spacing w:before="133" w:line="276" w:lineRule="auto"/>
              <w:ind w:left="7" w:right="7"/>
              <w:jc w:val="center"/>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★通照明用端荧光灯</w:t>
            </w:r>
          </w:p>
        </w:tc>
        <w:tc>
          <w:tcPr>
            <w:tcW w:w="1367" w:type="dxa"/>
            <w:tcBorders>
              <w:top w:val="single" w:color="000000" w:sz="4" w:space="0"/>
              <w:left w:val="single" w:color="000000" w:sz="4" w:space="0"/>
              <w:bottom w:val="single" w:color="000000" w:sz="4" w:space="0"/>
              <w:right w:val="single" w:color="000000" w:sz="4" w:space="0"/>
            </w:tcBorders>
            <w:vAlign w:val="center"/>
          </w:tcPr>
          <w:p w14:paraId="73F2E19D">
            <w:pPr>
              <w:jc w:val="center"/>
              <w:rPr>
                <w:rFonts w:ascii="宋体" w:hAnsi="宋体"/>
                <w:color w:val="000000" w:themeColor="text1"/>
                <w:szCs w:val="21"/>
                <w:highlight w:val="none"/>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47C6407E">
            <w:pPr>
              <w:pStyle w:val="58"/>
              <w:spacing w:before="133"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《普通照明用双端荧光</w:t>
            </w:r>
            <w:r>
              <w:rPr>
                <w:rFonts w:hint="eastAsia" w:ascii="宋体" w:hAnsi="宋体" w:cs="宋体"/>
                <w:color w:val="000000" w:themeColor="text1"/>
                <w:spacing w:val="9"/>
                <w:w w:val="99"/>
                <w:kern w:val="2"/>
                <w:sz w:val="21"/>
                <w:szCs w:val="21"/>
                <w:highlight w:val="none"/>
                <w:lang w:eastAsia="zh-CN"/>
                <w14:textFill>
                  <w14:solidFill>
                    <w14:schemeClr w14:val="tx1"/>
                  </w14:solidFill>
                </w14:textFill>
              </w:rPr>
              <w:t>灯</w:t>
            </w: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能效</w:t>
            </w:r>
            <w:r>
              <w:rPr>
                <w:rFonts w:hint="eastAsia" w:ascii="宋体" w:hAnsi="宋体" w:cs="宋体"/>
                <w:color w:val="000000" w:themeColor="text1"/>
                <w:w w:val="99"/>
                <w:kern w:val="2"/>
                <w:sz w:val="21"/>
                <w:szCs w:val="21"/>
                <w:highlight w:val="none"/>
                <w:lang w:eastAsia="zh-CN"/>
                <w14:textFill>
                  <w14:solidFill>
                    <w14:schemeClr w14:val="tx1"/>
                  </w14:solidFill>
                </w14:textFill>
              </w:rPr>
              <w:t>限定值及</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能</w:t>
            </w:r>
            <w:r>
              <w:rPr>
                <w:rFonts w:hint="eastAsia" w:ascii="宋体" w:hAnsi="宋体" w:cs="宋体"/>
                <w:color w:val="000000" w:themeColor="text1"/>
                <w:w w:val="99"/>
                <w:kern w:val="2"/>
                <w:sz w:val="21"/>
                <w:szCs w:val="21"/>
                <w:highlight w:val="none"/>
                <w:lang w:eastAsia="zh-CN"/>
                <w14:textFill>
                  <w14:solidFill>
                    <w14:schemeClr w14:val="tx1"/>
                  </w14:solidFill>
                </w14:textFill>
              </w:rPr>
              <w:t>效等</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级</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19</w:t>
            </w:r>
            <w:r>
              <w:rPr>
                <w:rFonts w:hint="eastAsia" w:ascii="宋体" w:hAnsi="宋体" w:cs="宋体"/>
                <w:color w:val="000000" w:themeColor="text1"/>
                <w:w w:val="99"/>
                <w:kern w:val="2"/>
                <w:sz w:val="21"/>
                <w:szCs w:val="21"/>
                <w:highlight w:val="none"/>
                <w:lang w:eastAsia="zh-CN"/>
                <w14:textFill>
                  <w14:solidFill>
                    <w14:schemeClr w14:val="tx1"/>
                  </w14:solidFill>
                </w14:textFill>
              </w:rPr>
              <w:t>04</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3</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21C7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1A65B1C">
            <w:pPr>
              <w:widowControl/>
              <w:jc w:val="left"/>
              <w:rPr>
                <w:rFonts w:ascii="宋体" w:hAnsi="宋体" w:cs="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601F88C">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4A8CF41">
            <w:pPr>
              <w:pStyle w:val="58"/>
              <w:spacing w:before="92" w:line="276" w:lineRule="auto"/>
              <w:ind w:left="7" w:right="2"/>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spacing w:val="1"/>
                <w:w w:val="99"/>
                <w:kern w:val="2"/>
                <w:sz w:val="21"/>
                <w:szCs w:val="21"/>
                <w:highlight w:val="none"/>
                <w14:textFill>
                  <w14:solidFill>
                    <w14:schemeClr w14:val="tx1"/>
                  </w14:solidFill>
                </w14:textFill>
              </w:rPr>
              <w:t>LE</w:t>
            </w:r>
            <w:r>
              <w:rPr>
                <w:rFonts w:hint="eastAsia" w:ascii="宋体" w:hAnsi="宋体" w:cs="宋体"/>
                <w:color w:val="000000" w:themeColor="text1"/>
                <w:w w:val="99"/>
                <w:kern w:val="2"/>
                <w:sz w:val="21"/>
                <w:szCs w:val="21"/>
                <w:highlight w:val="none"/>
                <w14:textFill>
                  <w14:solidFill>
                    <w14:schemeClr w14:val="tx1"/>
                  </w14:solidFill>
                </w14:textFill>
              </w:rPr>
              <w:t>D</w:t>
            </w:r>
            <w:r>
              <w:rPr>
                <w:rFonts w:hint="eastAsia" w:ascii="宋体" w:hAnsi="宋体" w:cs="宋体"/>
                <w:color w:val="000000" w:themeColor="text1"/>
                <w:spacing w:val="12"/>
                <w:w w:val="99"/>
                <w:kern w:val="2"/>
                <w:sz w:val="21"/>
                <w:szCs w:val="21"/>
                <w:highlight w:val="none"/>
                <w14:textFill>
                  <w14:solidFill>
                    <w14:schemeClr w14:val="tx1"/>
                  </w14:solidFill>
                </w14:textFill>
              </w:rPr>
              <w:t>道</w:t>
            </w:r>
            <w:r>
              <w:rPr>
                <w:rFonts w:hint="eastAsia" w:ascii="宋体" w:hAnsi="宋体" w:cs="宋体"/>
                <w:color w:val="000000" w:themeColor="text1"/>
                <w:spacing w:val="9"/>
                <w:w w:val="99"/>
                <w:kern w:val="2"/>
                <w:sz w:val="21"/>
                <w:szCs w:val="21"/>
                <w:highlight w:val="none"/>
                <w14:textFill>
                  <w14:solidFill>
                    <w14:schemeClr w14:val="tx1"/>
                  </w14:solidFill>
                </w14:textFill>
              </w:rPr>
              <w:t>路</w:t>
            </w:r>
            <w:r>
              <w:rPr>
                <w:rFonts w:hint="eastAsia" w:ascii="宋体" w:hAnsi="宋体" w:cs="宋体"/>
                <w:color w:val="000000" w:themeColor="text1"/>
                <w:spacing w:val="13"/>
                <w:w w:val="99"/>
                <w:kern w:val="2"/>
                <w:sz w:val="21"/>
                <w:szCs w:val="21"/>
                <w:highlight w:val="none"/>
                <w14:textFill>
                  <w14:solidFill>
                    <w14:schemeClr w14:val="tx1"/>
                  </w14:solidFill>
                </w14:textFill>
              </w:rPr>
              <w:t>/</w:t>
            </w:r>
            <w:r>
              <w:rPr>
                <w:rFonts w:hint="eastAsia" w:ascii="宋体" w:hAnsi="宋体" w:cs="宋体"/>
                <w:color w:val="000000" w:themeColor="text1"/>
                <w:spacing w:val="12"/>
                <w:w w:val="99"/>
                <w:kern w:val="2"/>
                <w:sz w:val="21"/>
                <w:szCs w:val="21"/>
                <w:highlight w:val="none"/>
                <w14:textFill>
                  <w14:solidFill>
                    <w14:schemeClr w14:val="tx1"/>
                  </w14:solidFill>
                </w14:textFill>
              </w:rPr>
              <w:t>隧道照</w:t>
            </w:r>
            <w:r>
              <w:rPr>
                <w:rFonts w:hint="eastAsia" w:ascii="宋体" w:hAnsi="宋体" w:cs="宋体"/>
                <w:color w:val="000000" w:themeColor="text1"/>
                <w:w w:val="99"/>
                <w:kern w:val="2"/>
                <w:sz w:val="21"/>
                <w:szCs w:val="21"/>
                <w:highlight w:val="none"/>
                <w14:textFill>
                  <w14:solidFill>
                    <w14:schemeClr w14:val="tx1"/>
                  </w14:solidFill>
                </w14:textFill>
              </w:rPr>
              <w:t>明产品</w:t>
            </w:r>
          </w:p>
        </w:tc>
        <w:tc>
          <w:tcPr>
            <w:tcW w:w="1367" w:type="dxa"/>
            <w:tcBorders>
              <w:top w:val="single" w:color="000000" w:sz="4" w:space="0"/>
              <w:left w:val="single" w:color="000000" w:sz="4" w:space="0"/>
              <w:bottom w:val="single" w:color="000000" w:sz="4" w:space="0"/>
              <w:right w:val="single" w:color="000000" w:sz="4" w:space="0"/>
            </w:tcBorders>
            <w:vAlign w:val="center"/>
          </w:tcPr>
          <w:p w14:paraId="2B23B387">
            <w:pPr>
              <w:jc w:val="center"/>
              <w:rPr>
                <w:rFonts w:ascii="宋体" w:hAnsi="宋体"/>
                <w:color w:val="000000" w:themeColor="text1"/>
                <w:szCs w:val="21"/>
                <w:highlight w:val="none"/>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13AAFD64">
            <w:pPr>
              <w:pStyle w:val="58"/>
              <w:spacing w:before="92" w:line="276" w:lineRule="auto"/>
              <w:ind w:left="7" w:right="7"/>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4"/>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道</w:t>
            </w:r>
            <w:r>
              <w:rPr>
                <w:rFonts w:hint="eastAsia" w:ascii="宋体" w:hAnsi="宋体" w:cs="宋体"/>
                <w:color w:val="000000" w:themeColor="text1"/>
                <w:spacing w:val="4"/>
                <w:w w:val="99"/>
                <w:kern w:val="2"/>
                <w:sz w:val="21"/>
                <w:szCs w:val="21"/>
                <w:highlight w:val="none"/>
                <w:lang w:eastAsia="zh-CN"/>
                <w14:textFill>
                  <w14:solidFill>
                    <w14:schemeClr w14:val="tx1"/>
                  </w14:solidFill>
                </w14:textFill>
              </w:rPr>
              <w:t>路和隧道照</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明</w:t>
            </w:r>
            <w:r>
              <w:rPr>
                <w:rFonts w:hint="eastAsia" w:ascii="宋体" w:hAnsi="宋体" w:cs="宋体"/>
                <w:color w:val="000000" w:themeColor="text1"/>
                <w:w w:val="99"/>
                <w:kern w:val="2"/>
                <w:sz w:val="21"/>
                <w:szCs w:val="21"/>
                <w:highlight w:val="none"/>
                <w:lang w:eastAsia="zh-CN"/>
                <w14:textFill>
                  <w14:solidFill>
                    <w14:schemeClr w14:val="tx1"/>
                  </w14:solidFill>
                </w14:textFill>
              </w:rPr>
              <w:t>用</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LE</w:t>
            </w:r>
            <w:r>
              <w:rPr>
                <w:rFonts w:hint="eastAsia" w:ascii="宋体" w:hAnsi="宋体" w:cs="宋体"/>
                <w:color w:val="000000" w:themeColor="text1"/>
                <w:w w:val="99"/>
                <w:kern w:val="2"/>
                <w:sz w:val="21"/>
                <w:szCs w:val="21"/>
                <w:highlight w:val="none"/>
                <w:lang w:eastAsia="zh-CN"/>
                <w14:textFill>
                  <w14:solidFill>
                    <w14:schemeClr w14:val="tx1"/>
                  </w14:solidFill>
                </w14:textFill>
              </w:rPr>
              <w:t>D</w:t>
            </w:r>
            <w:r>
              <w:rPr>
                <w:rFonts w:hint="eastAsia" w:ascii="宋体" w:hAnsi="宋体" w:cs="宋体"/>
                <w:color w:val="000000" w:themeColor="text1"/>
                <w:spacing w:val="4"/>
                <w:w w:val="99"/>
                <w:kern w:val="2"/>
                <w:sz w:val="21"/>
                <w:szCs w:val="21"/>
                <w:highlight w:val="none"/>
                <w:lang w:eastAsia="zh-CN"/>
                <w14:textFill>
                  <w14:solidFill>
                    <w14:schemeClr w14:val="tx1"/>
                  </w14:solidFill>
                </w14:textFill>
              </w:rPr>
              <w:t>灯</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具</w:t>
            </w:r>
            <w:r>
              <w:rPr>
                <w:rFonts w:hint="eastAsia" w:ascii="宋体" w:hAnsi="宋体" w:cs="宋体"/>
                <w:color w:val="000000" w:themeColor="text1"/>
                <w:w w:val="99"/>
                <w:kern w:val="2"/>
                <w:sz w:val="21"/>
                <w:szCs w:val="21"/>
                <w:highlight w:val="none"/>
                <w:lang w:eastAsia="zh-CN"/>
                <w14:textFill>
                  <w14:solidFill>
                    <w14:schemeClr w14:val="tx1"/>
                  </w14:solidFill>
                </w14:textFill>
              </w:rPr>
              <w:t>能效限定</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值</w:t>
            </w:r>
            <w:r>
              <w:rPr>
                <w:rFonts w:hint="eastAsia" w:ascii="宋体" w:hAnsi="宋体" w:cs="宋体"/>
                <w:color w:val="000000" w:themeColor="text1"/>
                <w:w w:val="99"/>
                <w:kern w:val="2"/>
                <w:sz w:val="21"/>
                <w:szCs w:val="21"/>
                <w:highlight w:val="none"/>
                <w:lang w:eastAsia="zh-CN"/>
                <w14:textFill>
                  <w14:solidFill>
                    <w14:schemeClr w14:val="tx1"/>
                  </w14:solidFill>
                </w14:textFill>
              </w:rPr>
              <w:t>及能</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效</w:t>
            </w:r>
            <w:r>
              <w:rPr>
                <w:rFonts w:hint="eastAsia" w:ascii="宋体" w:hAnsi="宋体" w:cs="宋体"/>
                <w:color w:val="000000" w:themeColor="text1"/>
                <w:w w:val="99"/>
                <w:kern w:val="2"/>
                <w:sz w:val="21"/>
                <w:szCs w:val="21"/>
                <w:highlight w:val="none"/>
                <w:lang w:eastAsia="zh-CN"/>
                <w14:textFill>
                  <w14:solidFill>
                    <w14:schemeClr w14:val="tx1"/>
                  </w14:solidFill>
                </w14:textFill>
              </w:rPr>
              <w:t>等级</w:t>
            </w:r>
            <w:r>
              <w:rPr>
                <w:rFonts w:hint="eastAsia" w:ascii="宋体" w:hAnsi="宋体" w:cs="宋体"/>
                <w:color w:val="000000" w:themeColor="text1"/>
                <w:spacing w:val="-106"/>
                <w:w w:val="99"/>
                <w:kern w:val="2"/>
                <w:sz w:val="21"/>
                <w:szCs w:val="21"/>
                <w:highlight w:val="none"/>
                <w:lang w:eastAsia="zh-CN"/>
                <w14:textFill>
                  <w14:solidFill>
                    <w14:schemeClr w14:val="tx1"/>
                  </w14:solidFill>
                </w14:textFill>
              </w:rPr>
              <w:t>》</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3747</w:t>
            </w:r>
            <w:r>
              <w:rPr>
                <w:rFonts w:hint="eastAsia" w:ascii="宋体" w:hAnsi="宋体" w:cs="宋体"/>
                <w:color w:val="000000" w:themeColor="text1"/>
                <w:w w:val="99"/>
                <w:kern w:val="2"/>
                <w:sz w:val="21"/>
                <w:szCs w:val="21"/>
                <w:highlight w:val="none"/>
                <w:lang w:eastAsia="zh-CN"/>
                <w14:textFill>
                  <w14:solidFill>
                    <w14:schemeClr w14:val="tx1"/>
                  </w14:solidFill>
                </w14:textFill>
              </w:rPr>
              <w:t>8</w:t>
            </w:r>
          </w:p>
        </w:tc>
      </w:tr>
      <w:tr w14:paraId="79BD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06EF1D3">
            <w:pPr>
              <w:widowControl/>
              <w:jc w:val="left"/>
              <w:rPr>
                <w:rFonts w:ascii="宋体" w:hAnsi="宋体" w:cs="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3B3FD47D">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AC79907">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spacing w:val="1"/>
                <w:w w:val="99"/>
                <w:kern w:val="2"/>
                <w:sz w:val="21"/>
                <w:szCs w:val="21"/>
                <w:highlight w:val="none"/>
                <w14:textFill>
                  <w14:solidFill>
                    <w14:schemeClr w14:val="tx1"/>
                  </w14:solidFill>
                </w14:textFill>
              </w:rPr>
              <w:t>LE</w:t>
            </w:r>
            <w:r>
              <w:rPr>
                <w:rFonts w:hint="eastAsia" w:ascii="宋体" w:hAnsi="宋体" w:cs="宋体"/>
                <w:color w:val="000000" w:themeColor="text1"/>
                <w:w w:val="99"/>
                <w:kern w:val="2"/>
                <w:sz w:val="21"/>
                <w:szCs w:val="21"/>
                <w:highlight w:val="none"/>
                <w14:textFill>
                  <w14:solidFill>
                    <w14:schemeClr w14:val="tx1"/>
                  </w14:solidFill>
                </w14:textFill>
              </w:rPr>
              <w:t>D筒灯</w:t>
            </w:r>
          </w:p>
        </w:tc>
        <w:tc>
          <w:tcPr>
            <w:tcW w:w="1367" w:type="dxa"/>
            <w:tcBorders>
              <w:top w:val="single" w:color="000000" w:sz="4" w:space="0"/>
              <w:left w:val="single" w:color="000000" w:sz="4" w:space="0"/>
              <w:bottom w:val="single" w:color="000000" w:sz="4" w:space="0"/>
              <w:right w:val="single" w:color="000000" w:sz="4" w:space="0"/>
            </w:tcBorders>
            <w:vAlign w:val="center"/>
          </w:tcPr>
          <w:p w14:paraId="764669C5">
            <w:pPr>
              <w:jc w:val="center"/>
              <w:rPr>
                <w:rFonts w:ascii="宋体" w:hAnsi="宋体"/>
                <w:color w:val="000000" w:themeColor="text1"/>
                <w:szCs w:val="21"/>
                <w:highlight w:val="none"/>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0654AEAB">
            <w:pPr>
              <w:pStyle w:val="58"/>
              <w:spacing w:before="83" w:line="276" w:lineRule="auto"/>
              <w:ind w:left="7" w:right="7"/>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4"/>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室</w:t>
            </w:r>
            <w:r>
              <w:rPr>
                <w:rFonts w:hint="eastAsia" w:ascii="宋体" w:hAnsi="宋体" w:cs="宋体"/>
                <w:color w:val="000000" w:themeColor="text1"/>
                <w:spacing w:val="4"/>
                <w:w w:val="99"/>
                <w:kern w:val="2"/>
                <w:sz w:val="21"/>
                <w:szCs w:val="21"/>
                <w:highlight w:val="none"/>
                <w:lang w:eastAsia="zh-CN"/>
                <w14:textFill>
                  <w14:solidFill>
                    <w14:schemeClr w14:val="tx1"/>
                  </w14:solidFill>
                </w14:textFill>
              </w:rPr>
              <w:t>内照明</w:t>
            </w:r>
            <w:r>
              <w:rPr>
                <w:rFonts w:hint="eastAsia" w:ascii="宋体" w:hAnsi="宋体" w:cs="宋体"/>
                <w:color w:val="000000" w:themeColor="text1"/>
                <w:w w:val="99"/>
                <w:kern w:val="2"/>
                <w:sz w:val="21"/>
                <w:szCs w:val="21"/>
                <w:highlight w:val="none"/>
                <w:lang w:eastAsia="zh-CN"/>
                <w14:textFill>
                  <w14:solidFill>
                    <w14:schemeClr w14:val="tx1"/>
                  </w14:solidFill>
                </w14:textFill>
              </w:rPr>
              <w:t>用</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LE</w:t>
            </w:r>
            <w:r>
              <w:rPr>
                <w:rFonts w:hint="eastAsia" w:ascii="宋体" w:hAnsi="宋体" w:cs="宋体"/>
                <w:color w:val="000000" w:themeColor="text1"/>
                <w:w w:val="99"/>
                <w:kern w:val="2"/>
                <w:sz w:val="21"/>
                <w:szCs w:val="21"/>
                <w:highlight w:val="none"/>
                <w:lang w:eastAsia="zh-CN"/>
                <w14:textFill>
                  <w14:solidFill>
                    <w14:schemeClr w14:val="tx1"/>
                  </w14:solidFill>
                </w14:textFill>
              </w:rPr>
              <w:t>D</w:t>
            </w:r>
            <w:r>
              <w:rPr>
                <w:rFonts w:hint="eastAsia" w:ascii="宋体" w:hAnsi="宋体" w:cs="宋体"/>
                <w:color w:val="000000" w:themeColor="text1"/>
                <w:spacing w:val="4"/>
                <w:w w:val="99"/>
                <w:kern w:val="2"/>
                <w:sz w:val="21"/>
                <w:szCs w:val="21"/>
                <w:highlight w:val="none"/>
                <w:lang w:eastAsia="zh-CN"/>
                <w14:textFill>
                  <w14:solidFill>
                    <w14:schemeClr w14:val="tx1"/>
                  </w14:solidFill>
                </w14:textFill>
              </w:rPr>
              <w:t>产</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品</w:t>
            </w:r>
            <w:r>
              <w:rPr>
                <w:rFonts w:hint="eastAsia" w:ascii="宋体" w:hAnsi="宋体" w:cs="宋体"/>
                <w:color w:val="000000" w:themeColor="text1"/>
                <w:spacing w:val="4"/>
                <w:w w:val="99"/>
                <w:kern w:val="2"/>
                <w:sz w:val="21"/>
                <w:szCs w:val="21"/>
                <w:highlight w:val="none"/>
                <w:lang w:eastAsia="zh-CN"/>
                <w14:textFill>
                  <w14:solidFill>
                    <w14:schemeClr w14:val="tx1"/>
                  </w14:solidFill>
                </w14:textFill>
              </w:rPr>
              <w:t>能效</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限</w:t>
            </w:r>
            <w:r>
              <w:rPr>
                <w:rFonts w:hint="eastAsia" w:ascii="宋体" w:hAnsi="宋体" w:cs="宋体"/>
                <w:color w:val="000000" w:themeColor="text1"/>
                <w:w w:val="99"/>
                <w:kern w:val="2"/>
                <w:sz w:val="21"/>
                <w:szCs w:val="21"/>
                <w:highlight w:val="none"/>
                <w:lang w:eastAsia="zh-CN"/>
                <w14:textFill>
                  <w14:solidFill>
                    <w14:schemeClr w14:val="tx1"/>
                  </w14:solidFill>
                </w14:textFill>
              </w:rPr>
              <w:t>定值及能</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效</w:t>
            </w:r>
            <w:r>
              <w:rPr>
                <w:rFonts w:hint="eastAsia" w:ascii="宋体" w:hAnsi="宋体" w:cs="宋体"/>
                <w:color w:val="000000" w:themeColor="text1"/>
                <w:w w:val="99"/>
                <w:kern w:val="2"/>
                <w:sz w:val="21"/>
                <w:szCs w:val="21"/>
                <w:highlight w:val="none"/>
                <w:lang w:eastAsia="zh-CN"/>
                <w14:textFill>
                  <w14:solidFill>
                    <w14:schemeClr w14:val="tx1"/>
                  </w14:solidFill>
                </w14:textFill>
              </w:rPr>
              <w:t>等级</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30</w:t>
            </w:r>
            <w:r>
              <w:rPr>
                <w:rFonts w:hint="eastAsia" w:ascii="宋体" w:hAnsi="宋体" w:cs="宋体"/>
                <w:color w:val="000000" w:themeColor="text1"/>
                <w:w w:val="99"/>
                <w:kern w:val="2"/>
                <w:sz w:val="21"/>
                <w:szCs w:val="21"/>
                <w:highlight w:val="none"/>
                <w:lang w:eastAsia="zh-CN"/>
                <w14:textFill>
                  <w14:solidFill>
                    <w14:schemeClr w14:val="tx1"/>
                  </w14:solidFill>
                </w14:textFill>
              </w:rPr>
              <w:t>25</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5</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44C5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8AD74BB">
            <w:pPr>
              <w:widowControl/>
              <w:jc w:val="left"/>
              <w:rPr>
                <w:rFonts w:ascii="宋体" w:hAnsi="宋体" w:cs="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31642E09">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B46CBBC">
            <w:pPr>
              <w:pStyle w:val="58"/>
              <w:spacing w:line="276" w:lineRule="auto"/>
              <w:ind w:right="7"/>
              <w:jc w:val="center"/>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普</w:t>
            </w:r>
            <w:r>
              <w:rPr>
                <w:rFonts w:hint="eastAsia" w:ascii="宋体" w:hAnsi="宋体" w:cs="宋体"/>
                <w:color w:val="000000" w:themeColor="text1"/>
                <w:spacing w:val="24"/>
                <w:w w:val="99"/>
                <w:kern w:val="2"/>
                <w:sz w:val="21"/>
                <w:szCs w:val="21"/>
                <w:highlight w:val="none"/>
                <w:lang w:eastAsia="zh-CN"/>
                <w14:textFill>
                  <w14:solidFill>
                    <w14:schemeClr w14:val="tx1"/>
                  </w14:solidFill>
                </w14:textFill>
              </w:rPr>
              <w:t>通</w:t>
            </w:r>
            <w:r>
              <w:rPr>
                <w:rFonts w:hint="eastAsia" w:ascii="宋体" w:hAnsi="宋体" w:cs="宋体"/>
                <w:color w:val="000000" w:themeColor="text1"/>
                <w:w w:val="99"/>
                <w:kern w:val="2"/>
                <w:sz w:val="21"/>
                <w:szCs w:val="21"/>
                <w:highlight w:val="none"/>
                <w:lang w:eastAsia="zh-CN"/>
                <w14:textFill>
                  <w14:solidFill>
                    <w14:schemeClr w14:val="tx1"/>
                  </w14:solidFill>
                </w14:textFill>
              </w:rPr>
              <w:t>照明用非</w:t>
            </w:r>
            <w:r>
              <w:rPr>
                <w:rFonts w:hint="eastAsia" w:ascii="宋体" w:hAnsi="宋体" w:cs="宋体"/>
                <w:color w:val="000000" w:themeColor="text1"/>
                <w:spacing w:val="24"/>
                <w:w w:val="99"/>
                <w:kern w:val="2"/>
                <w:sz w:val="21"/>
                <w:szCs w:val="21"/>
                <w:highlight w:val="none"/>
                <w:lang w:eastAsia="zh-CN"/>
                <w14:textFill>
                  <w14:solidFill>
                    <w14:schemeClr w14:val="tx1"/>
                  </w14:solidFill>
                </w14:textFill>
              </w:rPr>
              <w:t>定</w:t>
            </w:r>
            <w:r>
              <w:rPr>
                <w:rFonts w:hint="eastAsia" w:ascii="宋体" w:hAnsi="宋体" w:cs="宋体"/>
                <w:color w:val="000000" w:themeColor="text1"/>
                <w:w w:val="99"/>
                <w:kern w:val="2"/>
                <w:sz w:val="21"/>
                <w:szCs w:val="21"/>
                <w:highlight w:val="none"/>
                <w:lang w:eastAsia="zh-CN"/>
                <w14:textFill>
                  <w14:solidFill>
                    <w14:schemeClr w14:val="tx1"/>
                  </w14:solidFill>
                </w14:textFill>
              </w:rPr>
              <w:t>向自镇流</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LE</w:t>
            </w:r>
            <w:r>
              <w:rPr>
                <w:rFonts w:hint="eastAsia" w:ascii="宋体" w:hAnsi="宋体" w:cs="宋体"/>
                <w:color w:val="000000" w:themeColor="text1"/>
                <w:w w:val="99"/>
                <w:kern w:val="2"/>
                <w:sz w:val="21"/>
                <w:szCs w:val="21"/>
                <w:highlight w:val="none"/>
                <w:lang w:eastAsia="zh-CN"/>
                <w14:textFill>
                  <w14:solidFill>
                    <w14:schemeClr w14:val="tx1"/>
                  </w14:solidFill>
                </w14:textFill>
              </w:rPr>
              <w:t>D灯</w:t>
            </w:r>
          </w:p>
        </w:tc>
        <w:tc>
          <w:tcPr>
            <w:tcW w:w="1367" w:type="dxa"/>
            <w:tcBorders>
              <w:top w:val="single" w:color="000000" w:sz="4" w:space="0"/>
              <w:left w:val="single" w:color="000000" w:sz="4" w:space="0"/>
              <w:bottom w:val="single" w:color="000000" w:sz="4" w:space="0"/>
              <w:right w:val="single" w:color="000000" w:sz="4" w:space="0"/>
            </w:tcBorders>
            <w:vAlign w:val="center"/>
          </w:tcPr>
          <w:p w14:paraId="1602DB8B">
            <w:pPr>
              <w:jc w:val="center"/>
              <w:rPr>
                <w:rFonts w:ascii="宋体" w:hAnsi="宋体"/>
                <w:color w:val="000000" w:themeColor="text1"/>
                <w:szCs w:val="21"/>
                <w:highlight w:val="none"/>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06AD1ADF">
            <w:pPr>
              <w:pStyle w:val="58"/>
              <w:spacing w:before="5"/>
              <w:rPr>
                <w:rFonts w:ascii="宋体" w:hAnsi="宋体" w:cs="宋体"/>
                <w:color w:val="000000" w:themeColor="text1"/>
                <w:kern w:val="2"/>
                <w:sz w:val="21"/>
                <w:szCs w:val="21"/>
                <w:highlight w:val="none"/>
                <w:lang w:eastAsia="zh-CN"/>
                <w14:textFill>
                  <w14:solidFill>
                    <w14:schemeClr w14:val="tx1"/>
                  </w14:solidFill>
                </w14:textFill>
              </w:rPr>
            </w:pPr>
          </w:p>
          <w:p w14:paraId="39EC9968">
            <w:pPr>
              <w:pStyle w:val="58"/>
              <w:spacing w:line="276" w:lineRule="auto"/>
              <w:ind w:left="7" w:right="7"/>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4"/>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室</w:t>
            </w:r>
            <w:r>
              <w:rPr>
                <w:rFonts w:hint="eastAsia" w:ascii="宋体" w:hAnsi="宋体" w:cs="宋体"/>
                <w:color w:val="000000" w:themeColor="text1"/>
                <w:spacing w:val="4"/>
                <w:w w:val="99"/>
                <w:kern w:val="2"/>
                <w:sz w:val="21"/>
                <w:szCs w:val="21"/>
                <w:highlight w:val="none"/>
                <w:lang w:eastAsia="zh-CN"/>
                <w14:textFill>
                  <w14:solidFill>
                    <w14:schemeClr w14:val="tx1"/>
                  </w14:solidFill>
                </w14:textFill>
              </w:rPr>
              <w:t>内照明</w:t>
            </w:r>
            <w:r>
              <w:rPr>
                <w:rFonts w:hint="eastAsia" w:ascii="宋体" w:hAnsi="宋体" w:cs="宋体"/>
                <w:color w:val="000000" w:themeColor="text1"/>
                <w:w w:val="99"/>
                <w:kern w:val="2"/>
                <w:sz w:val="21"/>
                <w:szCs w:val="21"/>
                <w:highlight w:val="none"/>
                <w:lang w:eastAsia="zh-CN"/>
                <w14:textFill>
                  <w14:solidFill>
                    <w14:schemeClr w14:val="tx1"/>
                  </w14:solidFill>
                </w14:textFill>
              </w:rPr>
              <w:t>用</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LE</w:t>
            </w:r>
            <w:r>
              <w:rPr>
                <w:rFonts w:hint="eastAsia" w:ascii="宋体" w:hAnsi="宋体" w:cs="宋体"/>
                <w:color w:val="000000" w:themeColor="text1"/>
                <w:w w:val="99"/>
                <w:kern w:val="2"/>
                <w:sz w:val="21"/>
                <w:szCs w:val="21"/>
                <w:highlight w:val="none"/>
                <w:lang w:eastAsia="zh-CN"/>
                <w14:textFill>
                  <w14:solidFill>
                    <w14:schemeClr w14:val="tx1"/>
                  </w14:solidFill>
                </w14:textFill>
              </w:rPr>
              <w:t>D</w:t>
            </w:r>
            <w:r>
              <w:rPr>
                <w:rFonts w:hint="eastAsia" w:ascii="宋体" w:hAnsi="宋体" w:cs="宋体"/>
                <w:color w:val="000000" w:themeColor="text1"/>
                <w:spacing w:val="4"/>
                <w:w w:val="99"/>
                <w:kern w:val="2"/>
                <w:sz w:val="21"/>
                <w:szCs w:val="21"/>
                <w:highlight w:val="none"/>
                <w:lang w:eastAsia="zh-CN"/>
                <w14:textFill>
                  <w14:solidFill>
                    <w14:schemeClr w14:val="tx1"/>
                  </w14:solidFill>
                </w14:textFill>
              </w:rPr>
              <w:t>产</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品</w:t>
            </w:r>
            <w:r>
              <w:rPr>
                <w:rFonts w:hint="eastAsia" w:ascii="宋体" w:hAnsi="宋体" w:cs="宋体"/>
                <w:color w:val="000000" w:themeColor="text1"/>
                <w:spacing w:val="4"/>
                <w:w w:val="99"/>
                <w:kern w:val="2"/>
                <w:sz w:val="21"/>
                <w:szCs w:val="21"/>
                <w:highlight w:val="none"/>
                <w:lang w:eastAsia="zh-CN"/>
                <w14:textFill>
                  <w14:solidFill>
                    <w14:schemeClr w14:val="tx1"/>
                  </w14:solidFill>
                </w14:textFill>
              </w:rPr>
              <w:t>能效</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限</w:t>
            </w:r>
            <w:r>
              <w:rPr>
                <w:rFonts w:hint="eastAsia" w:ascii="宋体" w:hAnsi="宋体" w:cs="宋体"/>
                <w:color w:val="000000" w:themeColor="text1"/>
                <w:w w:val="99"/>
                <w:kern w:val="2"/>
                <w:sz w:val="21"/>
                <w:szCs w:val="21"/>
                <w:highlight w:val="none"/>
                <w:lang w:eastAsia="zh-CN"/>
                <w14:textFill>
                  <w14:solidFill>
                    <w14:schemeClr w14:val="tx1"/>
                  </w14:solidFill>
                </w14:textFill>
              </w:rPr>
              <w:t>定值及能</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效</w:t>
            </w:r>
            <w:r>
              <w:rPr>
                <w:rFonts w:hint="eastAsia" w:ascii="宋体" w:hAnsi="宋体" w:cs="宋体"/>
                <w:color w:val="000000" w:themeColor="text1"/>
                <w:w w:val="99"/>
                <w:kern w:val="2"/>
                <w:sz w:val="21"/>
                <w:szCs w:val="21"/>
                <w:highlight w:val="none"/>
                <w:lang w:eastAsia="zh-CN"/>
                <w14:textFill>
                  <w14:solidFill>
                    <w14:schemeClr w14:val="tx1"/>
                  </w14:solidFill>
                </w14:textFill>
              </w:rPr>
              <w:t>等级</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30</w:t>
            </w:r>
            <w:r>
              <w:rPr>
                <w:rFonts w:hint="eastAsia" w:ascii="宋体" w:hAnsi="宋体" w:cs="宋体"/>
                <w:color w:val="000000" w:themeColor="text1"/>
                <w:w w:val="99"/>
                <w:kern w:val="2"/>
                <w:sz w:val="21"/>
                <w:szCs w:val="21"/>
                <w:highlight w:val="none"/>
                <w:lang w:eastAsia="zh-CN"/>
                <w14:textFill>
                  <w14:solidFill>
                    <w14:schemeClr w14:val="tx1"/>
                  </w14:solidFill>
                </w14:textFill>
              </w:rPr>
              <w:t>25</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5</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46044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783C8101">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spacing w:val="1"/>
                <w:w w:val="99"/>
                <w:kern w:val="2"/>
                <w:sz w:val="21"/>
                <w:szCs w:val="21"/>
                <w:highlight w:val="none"/>
                <w14:textFill>
                  <w14:solidFill>
                    <w14:schemeClr w14:val="tx1"/>
                  </w14:solidFill>
                </w14:textFill>
              </w:rPr>
              <w:t>1</w:t>
            </w:r>
            <w:r>
              <w:rPr>
                <w:rFonts w:hint="eastAsia" w:ascii="宋体" w:hAnsi="宋体"/>
                <w:color w:val="000000" w:themeColor="text1"/>
                <w:w w:val="99"/>
                <w:kern w:val="2"/>
                <w:sz w:val="21"/>
                <w:szCs w:val="21"/>
                <w:highlight w:val="none"/>
                <w14:textFill>
                  <w14:solidFill>
                    <w14:schemeClr w14:val="tx1"/>
                  </w14:solidFill>
                </w14:textFill>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442DFE2C">
            <w:pPr>
              <w:pStyle w:val="58"/>
              <w:spacing w:before="81"/>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w:t>
            </w:r>
            <w:r>
              <w:rPr>
                <w:rFonts w:hint="eastAsia" w:ascii="宋体" w:hAnsi="宋体" w:cs="宋体"/>
                <w:color w:val="000000" w:themeColor="text1"/>
                <w:spacing w:val="1"/>
                <w:w w:val="99"/>
                <w:kern w:val="2"/>
                <w:sz w:val="21"/>
                <w:szCs w:val="21"/>
                <w:highlight w:val="none"/>
                <w14:textFill>
                  <w14:solidFill>
                    <w14:schemeClr w14:val="tx1"/>
                  </w14:solidFill>
                </w14:textFill>
              </w:rPr>
              <w:t>A020</w:t>
            </w:r>
            <w:r>
              <w:rPr>
                <w:rFonts w:hint="eastAsia" w:ascii="宋体" w:hAnsi="宋体" w:cs="宋体"/>
                <w:color w:val="000000" w:themeColor="text1"/>
                <w:w w:val="99"/>
                <w:kern w:val="2"/>
                <w:sz w:val="21"/>
                <w:szCs w:val="21"/>
                <w:highlight w:val="none"/>
                <w14:textFill>
                  <w14:solidFill>
                    <w14:schemeClr w14:val="tx1"/>
                  </w14:solidFill>
                </w14:textFill>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337CACBC">
            <w:pPr>
              <w:pStyle w:val="58"/>
              <w:spacing w:before="81" w:line="276" w:lineRule="auto"/>
              <w:ind w:left="7" w:right="5"/>
              <w:jc w:val="center"/>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A02</w:t>
            </w:r>
            <w:r>
              <w:rPr>
                <w:rFonts w:hint="eastAsia" w:ascii="宋体" w:hAnsi="宋体" w:cs="宋体"/>
                <w:color w:val="000000" w:themeColor="text1"/>
                <w:w w:val="99"/>
                <w:kern w:val="2"/>
                <w:sz w:val="21"/>
                <w:szCs w:val="21"/>
                <w:highlight w:val="none"/>
                <w:lang w:eastAsia="zh-CN"/>
                <w14:textFill>
                  <w14:solidFill>
                    <w14:schemeClr w14:val="tx1"/>
                  </w14:solidFill>
                </w14:textFill>
              </w:rPr>
              <w:t>09</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1</w:t>
            </w:r>
            <w:r>
              <w:rPr>
                <w:rFonts w:hint="eastAsia" w:ascii="宋体" w:hAnsi="宋体" w:cs="宋体"/>
                <w:color w:val="000000" w:themeColor="text1"/>
                <w:w w:val="99"/>
                <w:kern w:val="2"/>
                <w:sz w:val="21"/>
                <w:szCs w:val="21"/>
                <w:highlight w:val="none"/>
                <w:lang w:eastAsia="zh-CN"/>
                <w14:textFill>
                  <w14:solidFill>
                    <w14:schemeClr w14:val="tx1"/>
                  </w14:solidFill>
                </w14:textFill>
              </w:rPr>
              <w:t>001普通电视设备（</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电</w:t>
            </w:r>
            <w:r>
              <w:rPr>
                <w:rFonts w:hint="eastAsia" w:ascii="宋体" w:hAnsi="宋体" w:cs="宋体"/>
                <w:color w:val="000000" w:themeColor="text1"/>
                <w:w w:val="99"/>
                <w:kern w:val="2"/>
                <w:sz w:val="21"/>
                <w:szCs w:val="21"/>
                <w:highlight w:val="none"/>
                <w:lang w:eastAsia="zh-CN"/>
                <w14:textFill>
                  <w14:solidFill>
                    <w14:schemeClr w14:val="tx1"/>
                  </w14:solidFill>
                </w14:textFill>
              </w:rPr>
              <w:t>视机）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50FB7E77">
            <w:pPr>
              <w:jc w:val="center"/>
              <w:rPr>
                <w:rFonts w:ascii="宋体" w:hAnsi="宋体"/>
                <w:color w:val="000000" w:themeColor="text1"/>
                <w:szCs w:val="21"/>
                <w:highlight w:val="none"/>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5B2F70B9">
            <w:pPr>
              <w:pStyle w:val="58"/>
              <w:spacing w:before="81"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《平板电视与机顶盒能效限定值及能效等级</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248</w:t>
            </w:r>
            <w:r>
              <w:rPr>
                <w:rFonts w:hint="eastAsia" w:ascii="宋体" w:hAnsi="宋体" w:cs="宋体"/>
                <w:color w:val="000000" w:themeColor="text1"/>
                <w:w w:val="99"/>
                <w:kern w:val="2"/>
                <w:sz w:val="21"/>
                <w:szCs w:val="21"/>
                <w:highlight w:val="none"/>
                <w:lang w:eastAsia="zh-CN"/>
                <w14:textFill>
                  <w14:solidFill>
                    <w14:schemeClr w14:val="tx1"/>
                  </w14:solidFill>
                </w14:textFill>
              </w:rPr>
              <w:t>50）</w:t>
            </w:r>
          </w:p>
        </w:tc>
      </w:tr>
      <w:tr w14:paraId="63682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2DFFC459">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spacing w:val="1"/>
                <w:w w:val="99"/>
                <w:kern w:val="2"/>
                <w:sz w:val="21"/>
                <w:szCs w:val="21"/>
                <w:highlight w:val="none"/>
                <w14:textFill>
                  <w14:solidFill>
                    <w14:schemeClr w14:val="tx1"/>
                  </w14:solidFill>
                </w14:textFill>
              </w:rPr>
              <w:t>1</w:t>
            </w:r>
            <w:r>
              <w:rPr>
                <w:rFonts w:hint="eastAsia" w:ascii="宋体" w:hAnsi="宋体"/>
                <w:color w:val="000000" w:themeColor="text1"/>
                <w:w w:val="99"/>
                <w:kern w:val="2"/>
                <w:sz w:val="21"/>
                <w:szCs w:val="21"/>
                <w:highlight w:val="none"/>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481C6931">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w:t>
            </w:r>
            <w:r>
              <w:rPr>
                <w:rFonts w:hint="eastAsia" w:ascii="宋体" w:hAnsi="宋体" w:cs="宋体"/>
                <w:color w:val="000000" w:themeColor="text1"/>
                <w:spacing w:val="1"/>
                <w:w w:val="99"/>
                <w:kern w:val="2"/>
                <w:sz w:val="21"/>
                <w:szCs w:val="21"/>
                <w:highlight w:val="none"/>
                <w14:textFill>
                  <w14:solidFill>
                    <w14:schemeClr w14:val="tx1"/>
                  </w14:solidFill>
                </w14:textFill>
              </w:rPr>
              <w:t>A020</w:t>
            </w:r>
            <w:r>
              <w:rPr>
                <w:rFonts w:hint="eastAsia" w:ascii="宋体" w:hAnsi="宋体" w:cs="宋体"/>
                <w:color w:val="000000" w:themeColor="text1"/>
                <w:w w:val="99"/>
                <w:kern w:val="2"/>
                <w:sz w:val="21"/>
                <w:szCs w:val="21"/>
                <w:highlight w:val="none"/>
                <w14:textFill>
                  <w14:solidFill>
                    <w14:schemeClr w14:val="tx1"/>
                  </w14:solidFill>
                </w14:textFill>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04FC54FF">
            <w:pPr>
              <w:pStyle w:val="58"/>
              <w:spacing w:line="276" w:lineRule="auto"/>
              <w:ind w:right="5"/>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spacing w:val="1"/>
                <w:w w:val="99"/>
                <w:kern w:val="2"/>
                <w:sz w:val="21"/>
                <w:szCs w:val="21"/>
                <w:highlight w:val="none"/>
                <w14:textFill>
                  <w14:solidFill>
                    <w14:schemeClr w14:val="tx1"/>
                  </w14:solidFill>
                </w14:textFill>
              </w:rPr>
              <w:t>A02</w:t>
            </w:r>
            <w:r>
              <w:rPr>
                <w:rFonts w:hint="eastAsia" w:ascii="宋体" w:hAnsi="宋体" w:cs="宋体"/>
                <w:color w:val="000000" w:themeColor="text1"/>
                <w:w w:val="99"/>
                <w:kern w:val="2"/>
                <w:sz w:val="21"/>
                <w:szCs w:val="21"/>
                <w:highlight w:val="none"/>
                <w14:textFill>
                  <w14:solidFill>
                    <w14:schemeClr w14:val="tx1"/>
                  </w14:solidFill>
                </w14:textFill>
              </w:rPr>
              <w:t>09</w:t>
            </w:r>
            <w:r>
              <w:rPr>
                <w:rFonts w:hint="eastAsia" w:ascii="宋体" w:hAnsi="宋体" w:cs="宋体"/>
                <w:color w:val="000000" w:themeColor="text1"/>
                <w:spacing w:val="1"/>
                <w:w w:val="99"/>
                <w:kern w:val="2"/>
                <w:sz w:val="21"/>
                <w:szCs w:val="21"/>
                <w:highlight w:val="none"/>
                <w14:textFill>
                  <w14:solidFill>
                    <w14:schemeClr w14:val="tx1"/>
                  </w14:solidFill>
                </w14:textFill>
              </w:rPr>
              <w:t>1</w:t>
            </w:r>
            <w:r>
              <w:rPr>
                <w:rFonts w:hint="eastAsia" w:ascii="宋体" w:hAnsi="宋体" w:cs="宋体"/>
                <w:color w:val="000000" w:themeColor="text1"/>
                <w:w w:val="99"/>
                <w:kern w:val="2"/>
                <w:sz w:val="21"/>
                <w:szCs w:val="21"/>
                <w:highlight w:val="none"/>
                <w14:textFill>
                  <w14:solidFill>
                    <w14:schemeClr w14:val="tx1"/>
                  </w14:solidFill>
                </w14:textFill>
              </w:rPr>
              <w:t>107视频监控设备</w:t>
            </w:r>
          </w:p>
        </w:tc>
        <w:tc>
          <w:tcPr>
            <w:tcW w:w="1367" w:type="dxa"/>
            <w:tcBorders>
              <w:top w:val="single" w:color="000000" w:sz="4" w:space="0"/>
              <w:left w:val="single" w:color="000000" w:sz="4" w:space="0"/>
              <w:bottom w:val="single" w:color="000000" w:sz="4" w:space="0"/>
              <w:right w:val="single" w:color="000000" w:sz="4" w:space="0"/>
            </w:tcBorders>
            <w:vAlign w:val="center"/>
          </w:tcPr>
          <w:p w14:paraId="5F556618">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监视器</w:t>
            </w:r>
          </w:p>
        </w:tc>
        <w:tc>
          <w:tcPr>
            <w:tcW w:w="3566" w:type="dxa"/>
            <w:tcBorders>
              <w:top w:val="single" w:color="000000" w:sz="4" w:space="0"/>
              <w:left w:val="single" w:color="000000" w:sz="4" w:space="0"/>
              <w:bottom w:val="single" w:color="000000" w:sz="4" w:space="0"/>
              <w:right w:val="single" w:color="000000" w:sz="4" w:space="0"/>
            </w:tcBorders>
          </w:tcPr>
          <w:p w14:paraId="6A3A8E0B">
            <w:pPr>
              <w:pStyle w:val="58"/>
              <w:spacing w:before="28" w:line="276" w:lineRule="auto"/>
              <w:ind w:left="7" w:right="5"/>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以射频信号为主要信号</w:t>
            </w:r>
            <w:r>
              <w:rPr>
                <w:rFonts w:hint="eastAsia" w:ascii="宋体" w:hAnsi="宋体" w:cs="宋体"/>
                <w:color w:val="000000" w:themeColor="text1"/>
                <w:spacing w:val="9"/>
                <w:w w:val="99"/>
                <w:kern w:val="2"/>
                <w:sz w:val="21"/>
                <w:szCs w:val="21"/>
                <w:highlight w:val="none"/>
                <w:lang w:eastAsia="zh-CN"/>
                <w14:textFill>
                  <w14:solidFill>
                    <w14:schemeClr w14:val="tx1"/>
                  </w14:solidFill>
                </w14:textFill>
              </w:rPr>
              <w:t>输</w:t>
            </w: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入的</w:t>
            </w:r>
            <w:r>
              <w:rPr>
                <w:rFonts w:hint="eastAsia" w:ascii="宋体" w:hAnsi="宋体" w:cs="宋体"/>
                <w:color w:val="000000" w:themeColor="text1"/>
                <w:w w:val="99"/>
                <w:kern w:val="2"/>
                <w:sz w:val="21"/>
                <w:szCs w:val="21"/>
                <w:highlight w:val="none"/>
                <w:lang w:eastAsia="zh-CN"/>
                <w14:textFill>
                  <w14:solidFill>
                    <w14:schemeClr w14:val="tx1"/>
                  </w14:solidFill>
                </w14:textFill>
              </w:rPr>
              <w:t>监视器应</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符</w:t>
            </w:r>
            <w:r>
              <w:rPr>
                <w:rFonts w:hint="eastAsia" w:ascii="宋体" w:hAnsi="宋体" w:cs="宋体"/>
                <w:color w:val="000000" w:themeColor="text1"/>
                <w:spacing w:val="-58"/>
                <w:w w:val="99"/>
                <w:kern w:val="2"/>
                <w:sz w:val="21"/>
                <w:szCs w:val="21"/>
                <w:highlight w:val="none"/>
                <w:lang w:eastAsia="zh-CN"/>
                <w14:textFill>
                  <w14:solidFill>
                    <w14:schemeClr w14:val="tx1"/>
                  </w14:solidFill>
                </w14:textFill>
              </w:rPr>
              <w:t>合</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w:t>
            </w:r>
            <w:r>
              <w:rPr>
                <w:rFonts w:hint="eastAsia" w:ascii="宋体" w:hAnsi="宋体" w:cs="宋体"/>
                <w:color w:val="000000" w:themeColor="text1"/>
                <w:w w:val="99"/>
                <w:kern w:val="2"/>
                <w:sz w:val="21"/>
                <w:szCs w:val="21"/>
                <w:highlight w:val="none"/>
                <w:lang w:eastAsia="zh-CN"/>
                <w14:textFill>
                  <w14:solidFill>
                    <w14:schemeClr w14:val="tx1"/>
                  </w14:solidFill>
                </w14:textFill>
              </w:rPr>
              <w:t>平板电视与机顶盒能效限定值及能效等级》（</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24850</w:t>
            </w:r>
            <w:r>
              <w:rPr>
                <w:rFonts w:hint="eastAsia" w:ascii="宋体" w:hAnsi="宋体" w:cs="宋体"/>
                <w:color w:val="000000" w:themeColor="text1"/>
                <w:spacing w:val="-3"/>
                <w:w w:val="99"/>
                <w:kern w:val="2"/>
                <w:sz w:val="21"/>
                <w:szCs w:val="21"/>
                <w:highlight w:val="none"/>
                <w:lang w:eastAsia="zh-CN"/>
                <w14:textFill>
                  <w14:solidFill>
                    <w14:schemeClr w14:val="tx1"/>
                  </w14:solidFill>
                </w14:textFill>
              </w:rPr>
              <w:t>）</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以数字信号为主要信号</w:t>
            </w:r>
            <w:r>
              <w:rPr>
                <w:rFonts w:hint="eastAsia" w:ascii="宋体" w:hAnsi="宋体" w:cs="宋体"/>
                <w:color w:val="000000" w:themeColor="text1"/>
                <w:spacing w:val="9"/>
                <w:w w:val="99"/>
                <w:kern w:val="2"/>
                <w:sz w:val="21"/>
                <w:szCs w:val="21"/>
                <w:highlight w:val="none"/>
                <w:lang w:eastAsia="zh-CN"/>
                <w14:textFill>
                  <w14:solidFill>
                    <w14:schemeClr w14:val="tx1"/>
                  </w14:solidFill>
                </w14:textFill>
              </w:rPr>
              <w:t>输</w:t>
            </w: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入的</w:t>
            </w:r>
            <w:r>
              <w:rPr>
                <w:rFonts w:hint="eastAsia" w:ascii="宋体" w:hAnsi="宋体" w:cs="宋体"/>
                <w:color w:val="000000" w:themeColor="text1"/>
                <w:w w:val="99"/>
                <w:kern w:val="2"/>
                <w:sz w:val="21"/>
                <w:szCs w:val="21"/>
                <w:highlight w:val="none"/>
                <w:lang w:eastAsia="zh-CN"/>
                <w14:textFill>
                  <w14:solidFill>
                    <w14:schemeClr w14:val="tx1"/>
                  </w14:solidFill>
                </w14:textFill>
              </w:rPr>
              <w:t>监视器应</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符</w:t>
            </w:r>
            <w:r>
              <w:rPr>
                <w:rFonts w:hint="eastAsia" w:ascii="宋体" w:hAnsi="宋体" w:cs="宋体"/>
                <w:color w:val="000000" w:themeColor="text1"/>
                <w:spacing w:val="-58"/>
                <w:w w:val="99"/>
                <w:kern w:val="2"/>
                <w:sz w:val="21"/>
                <w:szCs w:val="21"/>
                <w:highlight w:val="none"/>
                <w:lang w:eastAsia="zh-CN"/>
                <w14:textFill>
                  <w14:solidFill>
                    <w14:schemeClr w14:val="tx1"/>
                  </w14:solidFill>
                </w14:textFill>
              </w:rPr>
              <w:t>合</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w:t>
            </w:r>
            <w:r>
              <w:rPr>
                <w:rFonts w:hint="eastAsia" w:ascii="宋体" w:hAnsi="宋体" w:cs="宋体"/>
                <w:color w:val="000000" w:themeColor="text1"/>
                <w:w w:val="99"/>
                <w:kern w:val="2"/>
                <w:sz w:val="21"/>
                <w:szCs w:val="21"/>
                <w:highlight w:val="none"/>
                <w:lang w:eastAsia="zh-CN"/>
                <w14:textFill>
                  <w14:solidFill>
                    <w14:schemeClr w14:val="tx1"/>
                  </w14:solidFill>
                </w14:textFill>
              </w:rPr>
              <w:t>计算</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机</w:t>
            </w:r>
            <w:r>
              <w:rPr>
                <w:rFonts w:hint="eastAsia" w:ascii="宋体" w:hAnsi="宋体" w:cs="宋体"/>
                <w:color w:val="000000" w:themeColor="text1"/>
                <w:w w:val="99"/>
                <w:kern w:val="2"/>
                <w:sz w:val="21"/>
                <w:szCs w:val="21"/>
                <w:highlight w:val="none"/>
                <w:lang w:eastAsia="zh-CN"/>
                <w14:textFill>
                  <w14:solidFill>
                    <w14:schemeClr w14:val="tx1"/>
                  </w14:solidFill>
                </w14:textFill>
              </w:rPr>
              <w:t>显示</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器</w:t>
            </w:r>
            <w:r>
              <w:rPr>
                <w:rFonts w:hint="eastAsia" w:ascii="宋体" w:hAnsi="宋体" w:cs="宋体"/>
                <w:color w:val="000000" w:themeColor="text1"/>
                <w:w w:val="99"/>
                <w:kern w:val="2"/>
                <w:sz w:val="21"/>
                <w:szCs w:val="21"/>
                <w:highlight w:val="none"/>
                <w:lang w:eastAsia="zh-CN"/>
                <w14:textFill>
                  <w14:solidFill>
                    <w14:schemeClr w14:val="tx1"/>
                  </w14:solidFill>
                </w14:textFill>
              </w:rPr>
              <w:t>能效限定值及</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能</w:t>
            </w:r>
            <w:r>
              <w:rPr>
                <w:rFonts w:hint="eastAsia" w:ascii="宋体" w:hAnsi="宋体" w:cs="宋体"/>
                <w:color w:val="000000" w:themeColor="text1"/>
                <w:w w:val="99"/>
                <w:kern w:val="2"/>
                <w:sz w:val="21"/>
                <w:szCs w:val="21"/>
                <w:highlight w:val="none"/>
                <w:lang w:eastAsia="zh-CN"/>
                <w14:textFill>
                  <w14:solidFill>
                    <w14:schemeClr w14:val="tx1"/>
                  </w14:solidFill>
                </w14:textFill>
              </w:rPr>
              <w:t>效等</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级</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21</w:t>
            </w:r>
            <w:r>
              <w:rPr>
                <w:rFonts w:hint="eastAsia" w:ascii="宋体" w:hAnsi="宋体" w:cs="宋体"/>
                <w:color w:val="000000" w:themeColor="text1"/>
                <w:w w:val="99"/>
                <w:kern w:val="2"/>
                <w:sz w:val="21"/>
                <w:szCs w:val="21"/>
                <w:highlight w:val="none"/>
                <w:lang w:eastAsia="zh-CN"/>
                <w14:textFill>
                  <w14:solidFill>
                    <w14:schemeClr w14:val="tx1"/>
                  </w14:solidFill>
                </w14:textFill>
              </w:rPr>
              <w:t>52</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0</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13EE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2DE08479">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spacing w:val="1"/>
                <w:w w:val="99"/>
                <w:kern w:val="2"/>
                <w:sz w:val="21"/>
                <w:szCs w:val="21"/>
                <w:highlight w:val="none"/>
                <w14:textFill>
                  <w14:solidFill>
                    <w14:schemeClr w14:val="tx1"/>
                  </w14:solidFill>
                </w14:textFill>
              </w:rPr>
              <w:t>1</w:t>
            </w:r>
            <w:r>
              <w:rPr>
                <w:rFonts w:hint="eastAsia" w:ascii="宋体" w:hAnsi="宋体"/>
                <w:color w:val="000000" w:themeColor="text1"/>
                <w:w w:val="99"/>
                <w:kern w:val="2"/>
                <w:sz w:val="21"/>
                <w:szCs w:val="21"/>
                <w:highlight w:val="none"/>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1946DAE5">
            <w:pPr>
              <w:pStyle w:val="58"/>
              <w:spacing w:before="76"/>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A02241000</w:t>
            </w:r>
            <w:r>
              <w:rPr>
                <w:rFonts w:hint="eastAsia" w:ascii="宋体" w:hAnsi="宋体" w:cs="宋体"/>
                <w:color w:val="000000" w:themeColor="text1"/>
                <w:w w:val="99"/>
                <w:kern w:val="2"/>
                <w:sz w:val="21"/>
                <w:szCs w:val="21"/>
                <w:highlight w:val="none"/>
                <w14:textFill>
                  <w14:solidFill>
                    <w14:schemeClr w14:val="tx1"/>
                  </w14:solidFill>
                </w14:textFill>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4E483ADD">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商用燃</w:t>
            </w:r>
            <w:r>
              <w:rPr>
                <w:rFonts w:hint="eastAsia" w:ascii="宋体" w:hAnsi="宋体" w:cs="宋体"/>
                <w:color w:val="000000" w:themeColor="text1"/>
                <w:spacing w:val="2"/>
                <w:w w:val="99"/>
                <w:kern w:val="2"/>
                <w:sz w:val="21"/>
                <w:szCs w:val="21"/>
                <w:highlight w:val="none"/>
                <w14:textFill>
                  <w14:solidFill>
                    <w14:schemeClr w14:val="tx1"/>
                  </w14:solidFill>
                </w14:textFill>
              </w:rPr>
              <w:t>气</w:t>
            </w:r>
            <w:r>
              <w:rPr>
                <w:rFonts w:hint="eastAsia" w:ascii="宋体" w:hAnsi="宋体" w:cs="宋体"/>
                <w:color w:val="000000" w:themeColor="text1"/>
                <w:w w:val="99"/>
                <w:kern w:val="2"/>
                <w:sz w:val="21"/>
                <w:szCs w:val="21"/>
                <w:highlight w:val="none"/>
                <w14:textFill>
                  <w14:solidFill>
                    <w14:schemeClr w14:val="tx1"/>
                  </w14:solidFill>
                </w14:textFill>
              </w:rPr>
              <w:t>灶具</w:t>
            </w:r>
          </w:p>
        </w:tc>
        <w:tc>
          <w:tcPr>
            <w:tcW w:w="1367" w:type="dxa"/>
            <w:tcBorders>
              <w:top w:val="single" w:color="000000" w:sz="4" w:space="0"/>
              <w:left w:val="single" w:color="000000" w:sz="4" w:space="0"/>
              <w:bottom w:val="single" w:color="000000" w:sz="4" w:space="0"/>
              <w:right w:val="single" w:color="000000" w:sz="4" w:space="0"/>
            </w:tcBorders>
            <w:vAlign w:val="center"/>
          </w:tcPr>
          <w:p w14:paraId="4407088D">
            <w:pPr>
              <w:jc w:val="center"/>
              <w:rPr>
                <w:rFonts w:ascii="宋体" w:hAnsi="宋体"/>
                <w:color w:val="000000" w:themeColor="text1"/>
                <w:szCs w:val="21"/>
                <w:highlight w:val="none"/>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5CDFE203">
            <w:pPr>
              <w:pStyle w:val="58"/>
              <w:spacing w:before="76"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《商用燃气灶具能效限</w:t>
            </w:r>
            <w:r>
              <w:rPr>
                <w:rFonts w:hint="eastAsia" w:ascii="宋体" w:hAnsi="宋体" w:cs="宋体"/>
                <w:color w:val="000000" w:themeColor="text1"/>
                <w:spacing w:val="9"/>
                <w:w w:val="99"/>
                <w:kern w:val="2"/>
                <w:sz w:val="21"/>
                <w:szCs w:val="21"/>
                <w:highlight w:val="none"/>
                <w:lang w:eastAsia="zh-CN"/>
                <w14:textFill>
                  <w14:solidFill>
                    <w14:schemeClr w14:val="tx1"/>
                  </w14:solidFill>
                </w14:textFill>
              </w:rPr>
              <w:t>定</w:t>
            </w: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值及</w:t>
            </w:r>
            <w:r>
              <w:rPr>
                <w:rFonts w:hint="eastAsia" w:ascii="宋体" w:hAnsi="宋体" w:cs="宋体"/>
                <w:color w:val="000000" w:themeColor="text1"/>
                <w:w w:val="99"/>
                <w:kern w:val="2"/>
                <w:sz w:val="21"/>
                <w:szCs w:val="21"/>
                <w:highlight w:val="none"/>
                <w:lang w:eastAsia="zh-CN"/>
                <w14:textFill>
                  <w14:solidFill>
                    <w14:schemeClr w14:val="tx1"/>
                  </w14:solidFill>
                </w14:textFill>
              </w:rPr>
              <w:t>能效等级</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30</w:t>
            </w:r>
            <w:r>
              <w:rPr>
                <w:rFonts w:hint="eastAsia" w:ascii="宋体" w:hAnsi="宋体" w:cs="宋体"/>
                <w:color w:val="000000" w:themeColor="text1"/>
                <w:w w:val="99"/>
                <w:kern w:val="2"/>
                <w:sz w:val="21"/>
                <w:szCs w:val="21"/>
                <w:highlight w:val="none"/>
                <w:lang w:eastAsia="zh-CN"/>
                <w14:textFill>
                  <w14:solidFill>
                    <w14:schemeClr w14:val="tx1"/>
                  </w14:solidFill>
                </w14:textFill>
              </w:rPr>
              <w:t>53</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1</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49E9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D56D9F8">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7F4C813">
            <w:pPr>
              <w:pStyle w:val="58"/>
              <w:jc w:val="center"/>
              <w:rPr>
                <w:rFonts w:ascii="宋体" w:hAnsi="宋体" w:cs="宋体"/>
                <w:color w:val="000000" w:themeColor="text1"/>
                <w:w w:val="99"/>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w:t>
            </w:r>
            <w:r>
              <w:rPr>
                <w:rFonts w:hint="eastAsia" w:ascii="宋体" w:hAnsi="宋体" w:cs="仿宋_GB2312"/>
                <w:color w:val="000000" w:themeColor="text1"/>
                <w:kern w:val="2"/>
                <w:sz w:val="21"/>
                <w:szCs w:val="21"/>
                <w:highlight w:val="none"/>
                <w14:textFill>
                  <w14:solidFill>
                    <w14:schemeClr w14:val="tx1"/>
                  </w14:solidFill>
                </w14:textFill>
              </w:rPr>
              <w:t>A05020105</w:t>
            </w:r>
            <w:r>
              <w:rPr>
                <w:rFonts w:hint="eastAsia" w:ascii="宋体" w:hAnsi="宋体" w:cs="宋体"/>
                <w:color w:val="000000" w:themeColor="text1"/>
                <w:w w:val="99"/>
                <w:kern w:val="2"/>
                <w:sz w:val="21"/>
                <w:szCs w:val="21"/>
                <w:highlight w:val="none"/>
                <w14:textFill>
                  <w14:solidFill>
                    <w14:schemeClr w14:val="tx1"/>
                  </w14:solidFill>
                </w14:textFill>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4AC5799">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坐便器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32A94221">
            <w:pPr>
              <w:jc w:val="center"/>
              <w:rPr>
                <w:rFonts w:ascii="宋体" w:hAnsi="宋体"/>
                <w:color w:val="000000" w:themeColor="text1"/>
                <w:szCs w:val="21"/>
                <w:highlight w:val="none"/>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225AB2A6">
            <w:pPr>
              <w:pStyle w:val="58"/>
              <w:spacing w:before="124"/>
              <w:ind w:left="7"/>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w w:val="99"/>
                <w:kern w:val="2"/>
                <w:sz w:val="21"/>
                <w:szCs w:val="21"/>
                <w:highlight w:val="none"/>
                <w:lang w:eastAsia="zh-CN"/>
                <w14:textFill>
                  <w14:solidFill>
                    <w14:schemeClr w14:val="tx1"/>
                  </w14:solidFill>
                </w14:textFill>
              </w:rPr>
              <w:t>《坐便</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器</w:t>
            </w:r>
            <w:r>
              <w:rPr>
                <w:rFonts w:hint="eastAsia" w:ascii="宋体" w:hAnsi="宋体" w:cs="宋体"/>
                <w:color w:val="000000" w:themeColor="text1"/>
                <w:w w:val="99"/>
                <w:kern w:val="2"/>
                <w:sz w:val="21"/>
                <w:szCs w:val="21"/>
                <w:highlight w:val="none"/>
                <w:lang w:eastAsia="zh-CN"/>
                <w14:textFill>
                  <w14:solidFill>
                    <w14:schemeClr w14:val="tx1"/>
                  </w14:solidFill>
                </w14:textFill>
              </w:rPr>
              <w:t>水效</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限</w:t>
            </w:r>
            <w:r>
              <w:rPr>
                <w:rFonts w:hint="eastAsia" w:ascii="宋体" w:hAnsi="宋体" w:cs="宋体"/>
                <w:color w:val="000000" w:themeColor="text1"/>
                <w:w w:val="99"/>
                <w:kern w:val="2"/>
                <w:sz w:val="21"/>
                <w:szCs w:val="21"/>
                <w:highlight w:val="none"/>
                <w:lang w:eastAsia="zh-CN"/>
                <w14:textFill>
                  <w14:solidFill>
                    <w14:schemeClr w14:val="tx1"/>
                  </w14:solidFill>
                </w14:textFill>
              </w:rPr>
              <w:t>定值</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及</w:t>
            </w:r>
            <w:r>
              <w:rPr>
                <w:rFonts w:hint="eastAsia" w:ascii="宋体" w:hAnsi="宋体" w:cs="宋体"/>
                <w:color w:val="000000" w:themeColor="text1"/>
                <w:w w:val="99"/>
                <w:kern w:val="2"/>
                <w:sz w:val="21"/>
                <w:szCs w:val="21"/>
                <w:highlight w:val="none"/>
                <w:lang w:eastAsia="zh-CN"/>
                <w14:textFill>
                  <w14:solidFill>
                    <w14:schemeClr w14:val="tx1"/>
                  </w14:solidFill>
                </w14:textFill>
              </w:rPr>
              <w:t>水</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效</w:t>
            </w:r>
            <w:r>
              <w:rPr>
                <w:rFonts w:hint="eastAsia" w:ascii="宋体" w:hAnsi="宋体" w:cs="宋体"/>
                <w:color w:val="000000" w:themeColor="text1"/>
                <w:w w:val="99"/>
                <w:kern w:val="2"/>
                <w:sz w:val="21"/>
                <w:szCs w:val="21"/>
                <w:highlight w:val="none"/>
                <w:lang w:eastAsia="zh-CN"/>
                <w14:textFill>
                  <w14:solidFill>
                    <w14:schemeClr w14:val="tx1"/>
                  </w14:solidFill>
                </w14:textFill>
              </w:rPr>
              <w:t>等级》</w:t>
            </w:r>
          </w:p>
          <w:p w14:paraId="0C8448CC">
            <w:pPr>
              <w:pStyle w:val="58"/>
              <w:spacing w:before="50"/>
              <w:ind w:left="7"/>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w:t>
            </w:r>
            <w:r>
              <w:rPr>
                <w:rFonts w:hint="eastAsia" w:ascii="宋体" w:hAnsi="宋体" w:cs="宋体"/>
                <w:color w:val="000000" w:themeColor="text1"/>
                <w:spacing w:val="1"/>
                <w:w w:val="99"/>
                <w:kern w:val="2"/>
                <w:sz w:val="21"/>
                <w:szCs w:val="21"/>
                <w:highlight w:val="none"/>
                <w14:textFill>
                  <w14:solidFill>
                    <w14:schemeClr w14:val="tx1"/>
                  </w14:solidFill>
                </w14:textFill>
              </w:rPr>
              <w:t>G</w:t>
            </w:r>
            <w:r>
              <w:rPr>
                <w:rFonts w:hint="eastAsia" w:ascii="宋体" w:hAnsi="宋体" w:cs="宋体"/>
                <w:color w:val="000000" w:themeColor="text1"/>
                <w:w w:val="99"/>
                <w:kern w:val="2"/>
                <w:sz w:val="21"/>
                <w:szCs w:val="21"/>
                <w:highlight w:val="none"/>
                <w14:textFill>
                  <w14:solidFill>
                    <w14:schemeClr w14:val="tx1"/>
                  </w14:solidFill>
                </w14:textFill>
              </w:rPr>
              <w:t>B</w:t>
            </w:r>
            <w:r>
              <w:rPr>
                <w:rFonts w:hint="eastAsia" w:ascii="宋体" w:hAnsi="宋体" w:cs="宋体"/>
                <w:color w:val="000000" w:themeColor="text1"/>
                <w:spacing w:val="1"/>
                <w:w w:val="99"/>
                <w:kern w:val="2"/>
                <w:sz w:val="21"/>
                <w:szCs w:val="21"/>
                <w:highlight w:val="none"/>
                <w14:textFill>
                  <w14:solidFill>
                    <w14:schemeClr w14:val="tx1"/>
                  </w14:solidFill>
                </w14:textFill>
              </w:rPr>
              <w:t>2</w:t>
            </w:r>
            <w:r>
              <w:rPr>
                <w:rFonts w:hint="eastAsia" w:ascii="宋体" w:hAnsi="宋体" w:cs="宋体"/>
                <w:color w:val="000000" w:themeColor="text1"/>
                <w:w w:val="99"/>
                <w:kern w:val="2"/>
                <w:sz w:val="21"/>
                <w:szCs w:val="21"/>
                <w:highlight w:val="none"/>
                <w14:textFill>
                  <w14:solidFill>
                    <w14:schemeClr w14:val="tx1"/>
                  </w14:solidFill>
                </w14:textFill>
              </w:rPr>
              <w:t>55</w:t>
            </w:r>
            <w:r>
              <w:rPr>
                <w:rFonts w:hint="eastAsia" w:ascii="宋体" w:hAnsi="宋体" w:cs="宋体"/>
                <w:color w:val="000000" w:themeColor="text1"/>
                <w:spacing w:val="1"/>
                <w:w w:val="99"/>
                <w:kern w:val="2"/>
                <w:sz w:val="21"/>
                <w:szCs w:val="21"/>
                <w:highlight w:val="none"/>
                <w14:textFill>
                  <w14:solidFill>
                    <w14:schemeClr w14:val="tx1"/>
                  </w14:solidFill>
                </w14:textFill>
              </w:rPr>
              <w:t>02</w:t>
            </w:r>
            <w:r>
              <w:rPr>
                <w:rFonts w:hint="eastAsia" w:ascii="宋体" w:hAnsi="宋体" w:cs="宋体"/>
                <w:color w:val="000000" w:themeColor="text1"/>
                <w:w w:val="99"/>
                <w:kern w:val="2"/>
                <w:sz w:val="21"/>
                <w:szCs w:val="21"/>
                <w:highlight w:val="none"/>
                <w14:textFill>
                  <w14:solidFill>
                    <w14:schemeClr w14:val="tx1"/>
                  </w14:solidFill>
                </w14:textFill>
              </w:rPr>
              <w:t>）</w:t>
            </w:r>
          </w:p>
        </w:tc>
      </w:tr>
      <w:tr w14:paraId="35DA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DEC84D6">
            <w:pPr>
              <w:widowControl/>
              <w:jc w:val="left"/>
              <w:rPr>
                <w:rFonts w:ascii="宋体" w:hAnsi="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5B0BE51">
            <w:pPr>
              <w:widowControl/>
              <w:jc w:val="left"/>
              <w:rPr>
                <w:rFonts w:ascii="宋体" w:hAnsi="宋体" w:cs="宋体"/>
                <w:color w:val="000000" w:themeColor="text1"/>
                <w:w w:val="99"/>
                <w:szCs w:val="21"/>
                <w:highlight w:val="none"/>
                <w:lang w:eastAsia="en-US"/>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881E239">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蹲便器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69D07268">
            <w:pPr>
              <w:jc w:val="center"/>
              <w:rPr>
                <w:rFonts w:ascii="宋体" w:hAnsi="宋体"/>
                <w:color w:val="000000" w:themeColor="text1"/>
                <w:szCs w:val="21"/>
                <w:highlight w:val="none"/>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7CC1E77B">
            <w:pPr>
              <w:pStyle w:val="58"/>
              <w:spacing w:before="124"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《蹲便器用水效率限定</w:t>
            </w:r>
            <w:r>
              <w:rPr>
                <w:rFonts w:hint="eastAsia" w:ascii="宋体" w:hAnsi="宋体" w:cs="宋体"/>
                <w:color w:val="000000" w:themeColor="text1"/>
                <w:spacing w:val="9"/>
                <w:w w:val="99"/>
                <w:kern w:val="2"/>
                <w:sz w:val="21"/>
                <w:szCs w:val="21"/>
                <w:highlight w:val="none"/>
                <w:lang w:eastAsia="zh-CN"/>
                <w14:textFill>
                  <w14:solidFill>
                    <w14:schemeClr w14:val="tx1"/>
                  </w14:solidFill>
                </w14:textFill>
              </w:rPr>
              <w:t>值</w:t>
            </w: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及用</w:t>
            </w:r>
            <w:r>
              <w:rPr>
                <w:rFonts w:hint="eastAsia" w:ascii="宋体" w:hAnsi="宋体" w:cs="宋体"/>
                <w:color w:val="000000" w:themeColor="text1"/>
                <w:w w:val="99"/>
                <w:kern w:val="2"/>
                <w:sz w:val="21"/>
                <w:szCs w:val="21"/>
                <w:highlight w:val="none"/>
                <w:lang w:eastAsia="zh-CN"/>
                <w14:textFill>
                  <w14:solidFill>
                    <w14:schemeClr w14:val="tx1"/>
                  </w14:solidFill>
                </w14:textFill>
              </w:rPr>
              <w:t>水效率等</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级</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307</w:t>
            </w:r>
            <w:r>
              <w:rPr>
                <w:rFonts w:hint="eastAsia" w:ascii="宋体" w:hAnsi="宋体" w:cs="宋体"/>
                <w:color w:val="000000" w:themeColor="text1"/>
                <w:w w:val="99"/>
                <w:kern w:val="2"/>
                <w:sz w:val="21"/>
                <w:szCs w:val="21"/>
                <w:highlight w:val="none"/>
                <w:lang w:eastAsia="zh-CN"/>
                <w14:textFill>
                  <w14:solidFill>
                    <w14:schemeClr w14:val="tx1"/>
                  </w14:solidFill>
                </w14:textFill>
              </w:rPr>
              <w:t>1</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7</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237FB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1365391">
            <w:pPr>
              <w:widowControl/>
              <w:jc w:val="left"/>
              <w:rPr>
                <w:rFonts w:ascii="宋体" w:hAnsi="宋体"/>
                <w:color w:val="000000" w:themeColor="text1"/>
                <w:szCs w:val="21"/>
                <w:highlight w:val="none"/>
                <w14:textFill>
                  <w14:solidFill>
                    <w14:schemeClr w14:val="tx1"/>
                  </w14:solidFill>
                </w14:textFill>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C308916">
            <w:pPr>
              <w:widowControl/>
              <w:jc w:val="left"/>
              <w:rPr>
                <w:rFonts w:ascii="宋体" w:hAnsi="宋体" w:cs="宋体"/>
                <w:color w:val="000000" w:themeColor="text1"/>
                <w:w w:val="99"/>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D07FFAA">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w w:val="99"/>
                <w:kern w:val="2"/>
                <w:sz w:val="21"/>
                <w:szCs w:val="21"/>
                <w:highlight w:val="none"/>
                <w14:textFill>
                  <w14:solidFill>
                    <w14:schemeClr w14:val="tx1"/>
                  </w14:solidFill>
                </w14:textFill>
              </w:rPr>
              <w:t>小便器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56E7DB2C">
            <w:pPr>
              <w:jc w:val="center"/>
              <w:rPr>
                <w:rFonts w:ascii="宋体" w:hAnsi="宋体"/>
                <w:color w:val="000000" w:themeColor="text1"/>
                <w:szCs w:val="21"/>
                <w:highlight w:val="none"/>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17D00C97">
            <w:pPr>
              <w:pStyle w:val="58"/>
              <w:spacing w:before="124"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《小便器用水效率限定</w:t>
            </w:r>
            <w:r>
              <w:rPr>
                <w:rFonts w:hint="eastAsia" w:ascii="宋体" w:hAnsi="宋体" w:cs="宋体"/>
                <w:color w:val="000000" w:themeColor="text1"/>
                <w:spacing w:val="9"/>
                <w:w w:val="99"/>
                <w:kern w:val="2"/>
                <w:sz w:val="21"/>
                <w:szCs w:val="21"/>
                <w:highlight w:val="none"/>
                <w:lang w:eastAsia="zh-CN"/>
                <w14:textFill>
                  <w14:solidFill>
                    <w14:schemeClr w14:val="tx1"/>
                  </w14:solidFill>
                </w14:textFill>
              </w:rPr>
              <w:t>值</w:t>
            </w:r>
            <w:r>
              <w:rPr>
                <w:rFonts w:hint="eastAsia" w:ascii="宋体" w:hAnsi="宋体" w:cs="宋体"/>
                <w:color w:val="000000" w:themeColor="text1"/>
                <w:spacing w:val="12"/>
                <w:w w:val="99"/>
                <w:kern w:val="2"/>
                <w:sz w:val="21"/>
                <w:szCs w:val="21"/>
                <w:highlight w:val="none"/>
                <w:lang w:eastAsia="zh-CN"/>
                <w14:textFill>
                  <w14:solidFill>
                    <w14:schemeClr w14:val="tx1"/>
                  </w14:solidFill>
                </w14:textFill>
              </w:rPr>
              <w:t>及用</w:t>
            </w:r>
            <w:r>
              <w:rPr>
                <w:rFonts w:hint="eastAsia" w:ascii="宋体" w:hAnsi="宋体" w:cs="宋体"/>
                <w:color w:val="000000" w:themeColor="text1"/>
                <w:w w:val="99"/>
                <w:kern w:val="2"/>
                <w:sz w:val="21"/>
                <w:szCs w:val="21"/>
                <w:highlight w:val="none"/>
                <w:lang w:eastAsia="zh-CN"/>
                <w14:textFill>
                  <w14:solidFill>
                    <w14:schemeClr w14:val="tx1"/>
                  </w14:solidFill>
                </w14:textFill>
              </w:rPr>
              <w:t>水效率等</w:t>
            </w:r>
            <w:r>
              <w:rPr>
                <w:rFonts w:hint="eastAsia" w:ascii="宋体" w:hAnsi="宋体" w:cs="宋体"/>
                <w:color w:val="000000" w:themeColor="text1"/>
                <w:spacing w:val="2"/>
                <w:w w:val="99"/>
                <w:kern w:val="2"/>
                <w:sz w:val="21"/>
                <w:szCs w:val="21"/>
                <w:highlight w:val="none"/>
                <w:lang w:eastAsia="zh-CN"/>
                <w14:textFill>
                  <w14:solidFill>
                    <w14:schemeClr w14:val="tx1"/>
                  </w14:solidFill>
                </w14:textFill>
              </w:rPr>
              <w:t>级</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G</w:t>
            </w:r>
            <w:r>
              <w:rPr>
                <w:rFonts w:hint="eastAsia" w:ascii="宋体" w:hAnsi="宋体" w:cs="宋体"/>
                <w:color w:val="000000" w:themeColor="text1"/>
                <w:w w:val="99"/>
                <w:kern w:val="2"/>
                <w:sz w:val="21"/>
                <w:szCs w:val="21"/>
                <w:highlight w:val="none"/>
                <w:lang w:eastAsia="zh-CN"/>
                <w14:textFill>
                  <w14:solidFill>
                    <w14:schemeClr w14:val="tx1"/>
                  </w14:solidFill>
                </w14:textFill>
              </w:rPr>
              <w:t>B</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283</w:t>
            </w:r>
            <w:r>
              <w:rPr>
                <w:rFonts w:hint="eastAsia" w:ascii="宋体" w:hAnsi="宋体" w:cs="宋体"/>
                <w:color w:val="000000" w:themeColor="text1"/>
                <w:w w:val="99"/>
                <w:kern w:val="2"/>
                <w:sz w:val="21"/>
                <w:szCs w:val="21"/>
                <w:highlight w:val="none"/>
                <w:lang w:eastAsia="zh-CN"/>
                <w14:textFill>
                  <w14:solidFill>
                    <w14:schemeClr w14:val="tx1"/>
                  </w14:solidFill>
                </w14:textFill>
              </w:rPr>
              <w:t>7</w:t>
            </w:r>
            <w:r>
              <w:rPr>
                <w:rFonts w:hint="eastAsia" w:ascii="宋体" w:hAnsi="宋体" w:cs="宋体"/>
                <w:color w:val="000000" w:themeColor="text1"/>
                <w:spacing w:val="-1"/>
                <w:w w:val="99"/>
                <w:kern w:val="2"/>
                <w:sz w:val="21"/>
                <w:szCs w:val="21"/>
                <w:highlight w:val="none"/>
                <w:lang w:eastAsia="zh-CN"/>
                <w14:textFill>
                  <w14:solidFill>
                    <w14:schemeClr w14:val="tx1"/>
                  </w14:solidFill>
                </w14:textFill>
              </w:rPr>
              <w:t>7</w:t>
            </w:r>
            <w:r>
              <w:rPr>
                <w:rFonts w:hint="eastAsia" w:ascii="宋体" w:hAnsi="宋体" w:cs="宋体"/>
                <w:color w:val="000000" w:themeColor="text1"/>
                <w:w w:val="99"/>
                <w:kern w:val="2"/>
                <w:sz w:val="21"/>
                <w:szCs w:val="21"/>
                <w:highlight w:val="none"/>
                <w:lang w:eastAsia="zh-CN"/>
                <w14:textFill>
                  <w14:solidFill>
                    <w14:schemeClr w14:val="tx1"/>
                  </w14:solidFill>
                </w14:textFill>
              </w:rPr>
              <w:t>）</w:t>
            </w:r>
          </w:p>
        </w:tc>
      </w:tr>
      <w:tr w14:paraId="3EAAB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765CEA5F">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6598478E">
            <w:pPr>
              <w:pStyle w:val="58"/>
              <w:spacing w:before="153"/>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kern w:val="2"/>
                <w:sz w:val="21"/>
                <w:szCs w:val="21"/>
                <w:highlight w:val="none"/>
                <w14:textFill>
                  <w14:solidFill>
                    <w14:schemeClr w14:val="tx1"/>
                  </w14:solidFill>
                </w14:textFill>
              </w:rPr>
              <w:t>★</w:t>
            </w:r>
            <w:r>
              <w:rPr>
                <w:rFonts w:hint="eastAsia" w:ascii="宋体" w:hAnsi="宋体" w:cs="仿宋_GB2312"/>
                <w:color w:val="000000" w:themeColor="text1"/>
                <w:kern w:val="2"/>
                <w:sz w:val="21"/>
                <w:szCs w:val="21"/>
                <w:highlight w:val="none"/>
                <w14:textFill>
                  <w14:solidFill>
                    <w14:schemeClr w14:val="tx1"/>
                  </w14:solidFill>
                </w14:textFill>
              </w:rPr>
              <w:t>A05020106</w:t>
            </w:r>
            <w:r>
              <w:rPr>
                <w:rFonts w:hint="eastAsia" w:ascii="宋体" w:hAnsi="宋体" w:cs="宋体"/>
                <w:color w:val="000000" w:themeColor="text1"/>
                <w:kern w:val="2"/>
                <w:sz w:val="21"/>
                <w:szCs w:val="21"/>
                <w:highlight w:val="none"/>
                <w14:textFill>
                  <w14:solidFill>
                    <w14:schemeClr w14:val="tx1"/>
                  </w14:solidFill>
                </w14:textFill>
              </w:rPr>
              <w:t>水</w:t>
            </w:r>
            <w:r>
              <w:rPr>
                <w:rFonts w:hint="eastAsia" w:ascii="宋体" w:hAnsi="宋体" w:cs="宋体"/>
                <w:color w:val="000000" w:themeColor="text1"/>
                <w:w w:val="99"/>
                <w:kern w:val="2"/>
                <w:sz w:val="21"/>
                <w:szCs w:val="21"/>
                <w:highlight w:val="none"/>
                <w14:textFill>
                  <w14:solidFill>
                    <w14:schemeClr w14:val="tx1"/>
                  </w14:solidFill>
                </w14:textFill>
              </w:rPr>
              <w:t>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1DFDF4F8">
            <w:pPr>
              <w:jc w:val="center"/>
              <w:rPr>
                <w:rFonts w:ascii="宋体" w:hAnsi="宋体"/>
                <w:color w:val="000000" w:themeColor="text1"/>
                <w:szCs w:val="21"/>
                <w:highlight w:val="none"/>
                <w:lang w:eastAsia="en-US"/>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32AB9487">
            <w:pPr>
              <w:jc w:val="center"/>
              <w:rPr>
                <w:rFonts w:ascii="宋体" w:hAnsi="宋体"/>
                <w:color w:val="000000" w:themeColor="text1"/>
                <w:szCs w:val="21"/>
                <w:highlight w:val="none"/>
                <w:lang w:eastAsia="en-US"/>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7B6DCEFD">
            <w:pPr>
              <w:pStyle w:val="58"/>
              <w:spacing w:before="153"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《水嘴用水效率限定值及用水效</w:t>
            </w:r>
            <w:r>
              <w:rPr>
                <w:rFonts w:hint="eastAsia" w:ascii="宋体" w:hAnsi="宋体" w:cs="宋体"/>
                <w:color w:val="000000" w:themeColor="text1"/>
                <w:kern w:val="2"/>
                <w:sz w:val="21"/>
                <w:szCs w:val="21"/>
                <w:highlight w:val="none"/>
                <w:lang w:eastAsia="zh-CN"/>
                <w14:textFill>
                  <w14:solidFill>
                    <w14:schemeClr w14:val="tx1"/>
                  </w14:solidFill>
                </w14:textFill>
              </w:rPr>
              <w:t>率等级》（GB 25501）</w:t>
            </w:r>
          </w:p>
        </w:tc>
      </w:tr>
      <w:tr w14:paraId="5F981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368216E7">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37B56CFE">
            <w:pPr>
              <w:pStyle w:val="58"/>
              <w:spacing w:before="112"/>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A05020107</w:t>
            </w:r>
            <w:r>
              <w:rPr>
                <w:rFonts w:hint="eastAsia" w:ascii="宋体" w:hAnsi="宋体" w:cs="宋体"/>
                <w:color w:val="000000" w:themeColor="text1"/>
                <w:kern w:val="2"/>
                <w:sz w:val="21"/>
                <w:szCs w:val="21"/>
                <w:highlight w:val="none"/>
                <w14:textFill>
                  <w14:solidFill>
                    <w14:schemeClr w14:val="tx1"/>
                  </w14:solidFill>
                </w14:textFill>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46231448">
            <w:pPr>
              <w:jc w:val="center"/>
              <w:rPr>
                <w:rFonts w:ascii="宋体" w:hAnsi="宋体"/>
                <w:color w:val="000000" w:themeColor="text1"/>
                <w:szCs w:val="21"/>
                <w:highlight w:val="none"/>
                <w:lang w:eastAsia="en-US"/>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4ACDD6FC">
            <w:pPr>
              <w:jc w:val="center"/>
              <w:rPr>
                <w:rFonts w:ascii="宋体" w:hAnsi="宋体"/>
                <w:color w:val="000000" w:themeColor="text1"/>
                <w:szCs w:val="21"/>
                <w:highlight w:val="none"/>
                <w:lang w:eastAsia="en-US"/>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55BD70AA">
            <w:pPr>
              <w:pStyle w:val="58"/>
              <w:spacing w:before="112"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《便器冲洗阀用水效率限定值及</w:t>
            </w:r>
            <w:r>
              <w:rPr>
                <w:rFonts w:hint="eastAsia" w:ascii="宋体" w:hAnsi="宋体" w:cs="宋体"/>
                <w:color w:val="000000" w:themeColor="text1"/>
                <w:kern w:val="2"/>
                <w:sz w:val="21"/>
                <w:szCs w:val="21"/>
                <w:highlight w:val="none"/>
                <w:lang w:eastAsia="zh-CN"/>
                <w14:textFill>
                  <w14:solidFill>
                    <w14:schemeClr w14:val="tx1"/>
                  </w14:solidFill>
                </w14:textFill>
              </w:rPr>
              <w:t>用水效率等级》（GB28379）</w:t>
            </w:r>
          </w:p>
        </w:tc>
      </w:tr>
      <w:tr w14:paraId="23900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vAlign w:val="center"/>
          </w:tcPr>
          <w:p w14:paraId="67F3DD8D">
            <w:pPr>
              <w:pStyle w:val="58"/>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olor w:val="000000" w:themeColor="text1"/>
                <w:kern w:val="2"/>
                <w:sz w:val="21"/>
                <w:szCs w:val="21"/>
                <w:highlight w:val="none"/>
                <w14:textFill>
                  <w14:solidFill>
                    <w14:schemeClr w14:val="tx1"/>
                  </w14:solidFill>
                </w14:textFill>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1187561F">
            <w:pPr>
              <w:pStyle w:val="58"/>
              <w:spacing w:before="131"/>
              <w:ind w:left="7"/>
              <w:jc w:val="center"/>
              <w:rPr>
                <w:rFonts w:ascii="宋体" w:hAnsi="宋体" w:cs="宋体"/>
                <w:color w:val="000000" w:themeColor="text1"/>
                <w:kern w:val="2"/>
                <w:sz w:val="21"/>
                <w:szCs w:val="21"/>
                <w:highlight w:val="none"/>
                <w14:textFill>
                  <w14:solidFill>
                    <w14:schemeClr w14:val="tx1"/>
                  </w14:solidFill>
                </w14:textFill>
              </w:rPr>
            </w:pPr>
            <w:r>
              <w:rPr>
                <w:rFonts w:hint="eastAsia" w:ascii="宋体" w:hAnsi="宋体" w:cs="仿宋_GB2312"/>
                <w:color w:val="000000" w:themeColor="text1"/>
                <w:kern w:val="2"/>
                <w:sz w:val="21"/>
                <w:szCs w:val="21"/>
                <w:highlight w:val="none"/>
                <w14:textFill>
                  <w14:solidFill>
                    <w14:schemeClr w14:val="tx1"/>
                  </w14:solidFill>
                </w14:textFill>
              </w:rPr>
              <w:t>A05020110</w:t>
            </w:r>
            <w:r>
              <w:rPr>
                <w:rFonts w:hint="eastAsia" w:ascii="宋体" w:hAnsi="宋体" w:cs="宋体"/>
                <w:color w:val="000000" w:themeColor="text1"/>
                <w:kern w:val="2"/>
                <w:sz w:val="21"/>
                <w:szCs w:val="21"/>
                <w:highlight w:val="none"/>
                <w14:textFill>
                  <w14:solidFill>
                    <w14:schemeClr w14:val="tx1"/>
                  </w14:solidFill>
                </w14:textFill>
              </w:rPr>
              <w:t>淋浴</w:t>
            </w:r>
            <w:r>
              <w:rPr>
                <w:rFonts w:hint="eastAsia" w:ascii="宋体" w:hAnsi="宋体" w:cs="宋体"/>
                <w:color w:val="000000" w:themeColor="text1"/>
                <w:w w:val="99"/>
                <w:kern w:val="2"/>
                <w:sz w:val="21"/>
                <w:szCs w:val="21"/>
                <w:highlight w:val="none"/>
                <w14:textFill>
                  <w14:solidFill>
                    <w14:schemeClr w14:val="tx1"/>
                  </w14:solidFill>
                </w14:textFill>
              </w:rPr>
              <w:t>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0FFFAC52">
            <w:pPr>
              <w:jc w:val="center"/>
              <w:rPr>
                <w:rFonts w:ascii="宋体" w:hAnsi="宋体"/>
                <w:color w:val="000000" w:themeColor="text1"/>
                <w:szCs w:val="21"/>
                <w:highlight w:val="none"/>
                <w:lang w:eastAsia="en-US"/>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5E827D16">
            <w:pPr>
              <w:jc w:val="center"/>
              <w:rPr>
                <w:rFonts w:ascii="宋体" w:hAnsi="宋体"/>
                <w:color w:val="000000" w:themeColor="text1"/>
                <w:szCs w:val="21"/>
                <w:highlight w:val="none"/>
                <w:lang w:eastAsia="en-US"/>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4F0590C7">
            <w:pPr>
              <w:pStyle w:val="58"/>
              <w:spacing w:before="131" w:line="276" w:lineRule="auto"/>
              <w:ind w:left="7" w:right="4"/>
              <w:rPr>
                <w:rFonts w:ascii="宋体" w:hAnsi="宋体" w:cs="宋体"/>
                <w:color w:val="000000" w:themeColor="text1"/>
                <w:kern w:val="2"/>
                <w:sz w:val="21"/>
                <w:szCs w:val="21"/>
                <w:highlight w:val="none"/>
                <w:lang w:eastAsia="zh-CN"/>
                <w14:textFill>
                  <w14:solidFill>
                    <w14:schemeClr w14:val="tx1"/>
                  </w14:solidFill>
                </w14:textFill>
              </w:rPr>
            </w:pPr>
            <w:r>
              <w:rPr>
                <w:rFonts w:hint="eastAsia" w:ascii="宋体" w:hAnsi="宋体" w:cs="宋体"/>
                <w:color w:val="000000" w:themeColor="text1"/>
                <w:spacing w:val="10"/>
                <w:kern w:val="2"/>
                <w:sz w:val="21"/>
                <w:szCs w:val="21"/>
                <w:highlight w:val="none"/>
                <w:lang w:eastAsia="zh-CN"/>
                <w14:textFill>
                  <w14:solidFill>
                    <w14:schemeClr w14:val="tx1"/>
                  </w14:solidFill>
                </w14:textFill>
              </w:rPr>
              <w:t>《淋浴器用水效率限定值及用水</w:t>
            </w:r>
            <w:r>
              <w:rPr>
                <w:rFonts w:hint="eastAsia" w:ascii="宋体" w:hAnsi="宋体" w:cs="宋体"/>
                <w:color w:val="000000" w:themeColor="text1"/>
                <w:kern w:val="2"/>
                <w:sz w:val="21"/>
                <w:szCs w:val="21"/>
                <w:highlight w:val="none"/>
                <w:lang w:eastAsia="zh-CN"/>
                <w14:textFill>
                  <w14:solidFill>
                    <w14:schemeClr w14:val="tx1"/>
                  </w14:solidFill>
                </w14:textFill>
              </w:rPr>
              <w:t>效率等级》（GB28378）</w:t>
            </w:r>
          </w:p>
        </w:tc>
      </w:tr>
    </w:tbl>
    <w:p w14:paraId="68B6B444">
      <w:pPr>
        <w:pStyle w:val="12"/>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pacing w:val="-3"/>
          <w:szCs w:val="21"/>
          <w:highlight w:val="none"/>
          <w14:textFill>
            <w14:solidFill>
              <w14:schemeClr w14:val="tx1"/>
            </w14:solidFill>
          </w14:textFill>
        </w:rPr>
        <w:t>注：1.节能产品认证应依据相关国家标准的最新版本，依据国家标准中二级能效（水效）</w:t>
      </w:r>
      <w:r>
        <w:rPr>
          <w:rFonts w:hint="eastAsia" w:ascii="宋体" w:hAnsi="宋体"/>
          <w:color w:val="000000" w:themeColor="text1"/>
          <w:szCs w:val="21"/>
          <w:highlight w:val="none"/>
          <w14:textFill>
            <w14:solidFill>
              <w14:schemeClr w14:val="tx1"/>
            </w14:solidFill>
          </w14:textFill>
        </w:rPr>
        <w:t>指标。</w:t>
      </w:r>
    </w:p>
    <w:p w14:paraId="442E9308">
      <w:pPr>
        <w:pStyle w:val="12"/>
        <w:spacing w:line="360" w:lineRule="auto"/>
        <w:ind w:firstLine="46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2.以“★”标注的为政府强制采购产品。</w:t>
      </w:r>
    </w:p>
    <w:p w14:paraId="49CB7D30">
      <w:pPr>
        <w:pStyle w:val="12"/>
        <w:spacing w:line="360" w:lineRule="auto"/>
        <w:ind w:firstLine="46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3.本表格原为《关于印发节能产品政府采购品目清单的通知》（财库〔2019〕19号）规定的表格附件，其中名称及编码已根据《财政部关于印发〈政府采购品目分类目录〉的通知》（财库〔2022〕31号）修改。</w:t>
      </w:r>
    </w:p>
    <w:p w14:paraId="1E8E67C4">
      <w:pPr>
        <w:widowControl/>
        <w:jc w:val="left"/>
        <w:rPr>
          <w:rFonts w:ascii="黑体" w:hAnsi="黑体" w:eastAsia="黑体" w:cs="黑体"/>
          <w:color w:val="000000" w:themeColor="text1"/>
          <w:sz w:val="32"/>
          <w:szCs w:val="32"/>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br w:type="page"/>
      </w:r>
      <w:r>
        <w:rPr>
          <w:rFonts w:hint="eastAsia" w:ascii="黑体" w:hAnsi="黑体" w:eastAsia="黑体" w:cs="黑体"/>
          <w:color w:val="000000" w:themeColor="text1"/>
          <w:sz w:val="32"/>
          <w:szCs w:val="32"/>
          <w:highlight w:val="none"/>
          <w14:textFill>
            <w14:solidFill>
              <w14:schemeClr w14:val="tx1"/>
            </w14:solidFill>
          </w14:textFill>
        </w:rPr>
        <w:t>附件2：</w:t>
      </w:r>
    </w:p>
    <w:p w14:paraId="1FAA7085">
      <w:pPr>
        <w:pStyle w:val="15"/>
        <w:jc w:val="center"/>
        <w:rPr>
          <w:rFonts w:hint="eastAsia" w:hAnsi="宋体" w:cs="宋体"/>
          <w:b/>
          <w:bCs/>
          <w:sz w:val="30"/>
          <w:szCs w:val="30"/>
          <w:highlight w:val="none"/>
        </w:rPr>
      </w:pPr>
      <w:r>
        <w:rPr>
          <w:rFonts w:hint="eastAsia" w:hAnsi="宋体" w:cs="宋体"/>
          <w:b/>
          <w:bCs/>
          <w:sz w:val="30"/>
          <w:szCs w:val="30"/>
          <w:highlight w:val="none"/>
        </w:rPr>
        <w:t>中小微企业划型标准</w:t>
      </w:r>
    </w:p>
    <w:tbl>
      <w:tblPr>
        <w:tblStyle w:val="28"/>
        <w:tblW w:w="5326" w:type="pct"/>
        <w:jc w:val="center"/>
        <w:tblLayout w:type="autofit"/>
        <w:tblCellMar>
          <w:top w:w="0" w:type="dxa"/>
          <w:left w:w="108" w:type="dxa"/>
          <w:bottom w:w="0" w:type="dxa"/>
          <w:right w:w="108" w:type="dxa"/>
        </w:tblCellMar>
      </w:tblPr>
      <w:tblGrid>
        <w:gridCol w:w="2222"/>
        <w:gridCol w:w="1514"/>
        <w:gridCol w:w="1171"/>
        <w:gridCol w:w="1831"/>
        <w:gridCol w:w="1621"/>
        <w:gridCol w:w="1170"/>
      </w:tblGrid>
      <w:tr w14:paraId="7A58B7B1">
        <w:tblPrEx>
          <w:tblCellMar>
            <w:top w:w="0" w:type="dxa"/>
            <w:left w:w="108" w:type="dxa"/>
            <w:bottom w:w="0" w:type="dxa"/>
            <w:right w:w="108" w:type="dxa"/>
          </w:tblCellMar>
        </w:tblPrEx>
        <w:trPr>
          <w:trHeight w:val="689" w:hRule="atLeast"/>
          <w:jc w:val="center"/>
        </w:trPr>
        <w:tc>
          <w:tcPr>
            <w:tcW w:w="1165" w:type="pct"/>
            <w:tcBorders>
              <w:top w:val="single" w:color="auto" w:sz="4" w:space="0"/>
              <w:left w:val="single" w:color="auto" w:sz="4" w:space="0"/>
              <w:bottom w:val="single" w:color="auto" w:sz="4" w:space="0"/>
              <w:right w:val="single" w:color="auto" w:sz="4" w:space="0"/>
            </w:tcBorders>
            <w:noWrap w:val="0"/>
            <w:vAlign w:val="center"/>
          </w:tcPr>
          <w:p w14:paraId="02F73150">
            <w:pPr>
              <w:widowControl/>
              <w:jc w:val="left"/>
              <w:rPr>
                <w:rFonts w:hint="eastAsia" w:ascii="宋体" w:hAnsi="宋体" w:cs="宋体"/>
                <w:b/>
                <w:kern w:val="0"/>
                <w:szCs w:val="21"/>
                <w:highlight w:val="none"/>
              </w:rPr>
            </w:pPr>
            <w:r>
              <w:rPr>
                <w:rFonts w:hint="eastAsia" w:ascii="宋体" w:hAnsi="宋体" w:cs="宋体"/>
                <w:b/>
                <w:kern w:val="0"/>
                <w:szCs w:val="21"/>
                <w:highlight w:val="none"/>
              </w:rPr>
              <w:t>行业名称</w:t>
            </w:r>
          </w:p>
        </w:tc>
        <w:tc>
          <w:tcPr>
            <w:tcW w:w="794" w:type="pct"/>
            <w:tcBorders>
              <w:top w:val="single" w:color="auto" w:sz="4" w:space="0"/>
              <w:left w:val="nil"/>
              <w:bottom w:val="single" w:color="auto" w:sz="4" w:space="0"/>
              <w:right w:val="single" w:color="auto" w:sz="4" w:space="0"/>
            </w:tcBorders>
            <w:noWrap w:val="0"/>
            <w:vAlign w:val="center"/>
          </w:tcPr>
          <w:p w14:paraId="43D1FA2E">
            <w:pPr>
              <w:widowControl/>
              <w:jc w:val="left"/>
              <w:rPr>
                <w:rFonts w:hint="eastAsia" w:ascii="宋体" w:hAnsi="宋体" w:cs="宋体"/>
                <w:b/>
                <w:kern w:val="0"/>
                <w:szCs w:val="21"/>
                <w:highlight w:val="none"/>
              </w:rPr>
            </w:pPr>
            <w:r>
              <w:rPr>
                <w:rFonts w:hint="eastAsia" w:ascii="宋体" w:hAnsi="宋体" w:cs="宋体"/>
                <w:b/>
                <w:kern w:val="0"/>
                <w:szCs w:val="21"/>
                <w:highlight w:val="none"/>
              </w:rPr>
              <w:t>指标名称</w:t>
            </w:r>
          </w:p>
        </w:tc>
        <w:tc>
          <w:tcPr>
            <w:tcW w:w="614" w:type="pct"/>
            <w:tcBorders>
              <w:top w:val="single" w:color="auto" w:sz="4" w:space="0"/>
              <w:left w:val="nil"/>
              <w:bottom w:val="single" w:color="auto" w:sz="4" w:space="0"/>
              <w:right w:val="single" w:color="auto" w:sz="4" w:space="0"/>
            </w:tcBorders>
            <w:noWrap w:val="0"/>
            <w:vAlign w:val="center"/>
          </w:tcPr>
          <w:p w14:paraId="1227E1B8">
            <w:pPr>
              <w:widowControl/>
              <w:jc w:val="left"/>
              <w:rPr>
                <w:rFonts w:hint="eastAsia" w:ascii="宋体" w:hAnsi="宋体" w:cs="宋体"/>
                <w:b/>
                <w:kern w:val="0"/>
                <w:szCs w:val="21"/>
                <w:highlight w:val="none"/>
              </w:rPr>
            </w:pPr>
            <w:r>
              <w:rPr>
                <w:rFonts w:hint="eastAsia" w:ascii="宋体" w:hAnsi="宋体" w:cs="宋体"/>
                <w:b/>
                <w:kern w:val="0"/>
                <w:szCs w:val="21"/>
                <w:highlight w:val="none"/>
              </w:rPr>
              <w:t>计量单位</w:t>
            </w:r>
          </w:p>
        </w:tc>
        <w:tc>
          <w:tcPr>
            <w:tcW w:w="960" w:type="pct"/>
            <w:tcBorders>
              <w:top w:val="single" w:color="auto" w:sz="4" w:space="0"/>
              <w:left w:val="nil"/>
              <w:bottom w:val="single" w:color="auto" w:sz="4" w:space="0"/>
              <w:right w:val="single" w:color="auto" w:sz="4" w:space="0"/>
            </w:tcBorders>
            <w:noWrap w:val="0"/>
            <w:vAlign w:val="center"/>
          </w:tcPr>
          <w:p w14:paraId="1D60AFC9">
            <w:pPr>
              <w:widowControl/>
              <w:jc w:val="left"/>
              <w:rPr>
                <w:rFonts w:hint="eastAsia" w:ascii="宋体" w:hAnsi="宋体" w:cs="宋体"/>
                <w:b/>
                <w:kern w:val="0"/>
                <w:szCs w:val="21"/>
                <w:highlight w:val="none"/>
              </w:rPr>
            </w:pPr>
            <w:r>
              <w:rPr>
                <w:rFonts w:hint="eastAsia" w:ascii="宋体" w:hAnsi="宋体" w:cs="宋体"/>
                <w:b/>
                <w:kern w:val="0"/>
                <w:szCs w:val="21"/>
                <w:highlight w:val="none"/>
              </w:rPr>
              <w:t>中型</w:t>
            </w:r>
          </w:p>
        </w:tc>
        <w:tc>
          <w:tcPr>
            <w:tcW w:w="850" w:type="pct"/>
            <w:tcBorders>
              <w:top w:val="single" w:color="auto" w:sz="4" w:space="0"/>
              <w:left w:val="nil"/>
              <w:bottom w:val="single" w:color="auto" w:sz="4" w:space="0"/>
              <w:right w:val="single" w:color="auto" w:sz="4" w:space="0"/>
            </w:tcBorders>
            <w:noWrap w:val="0"/>
            <w:vAlign w:val="center"/>
          </w:tcPr>
          <w:p w14:paraId="79E8A64A">
            <w:pPr>
              <w:widowControl/>
              <w:jc w:val="left"/>
              <w:rPr>
                <w:rFonts w:hint="eastAsia" w:ascii="宋体" w:hAnsi="宋体" w:cs="宋体"/>
                <w:b/>
                <w:kern w:val="0"/>
                <w:szCs w:val="21"/>
                <w:highlight w:val="none"/>
              </w:rPr>
            </w:pPr>
            <w:r>
              <w:rPr>
                <w:rFonts w:hint="eastAsia" w:ascii="宋体" w:hAnsi="宋体" w:cs="宋体"/>
                <w:b/>
                <w:kern w:val="0"/>
                <w:szCs w:val="21"/>
                <w:highlight w:val="none"/>
              </w:rPr>
              <w:t>小型</w:t>
            </w:r>
          </w:p>
        </w:tc>
        <w:tc>
          <w:tcPr>
            <w:tcW w:w="613" w:type="pct"/>
            <w:tcBorders>
              <w:top w:val="single" w:color="auto" w:sz="4" w:space="0"/>
              <w:left w:val="nil"/>
              <w:bottom w:val="single" w:color="auto" w:sz="4" w:space="0"/>
              <w:right w:val="single" w:color="auto" w:sz="4" w:space="0"/>
            </w:tcBorders>
            <w:noWrap w:val="0"/>
            <w:vAlign w:val="center"/>
          </w:tcPr>
          <w:p w14:paraId="218B951B">
            <w:pPr>
              <w:widowControl/>
              <w:jc w:val="left"/>
              <w:rPr>
                <w:rFonts w:hint="eastAsia" w:ascii="宋体" w:hAnsi="宋体" w:cs="宋体"/>
                <w:b/>
                <w:kern w:val="0"/>
                <w:szCs w:val="21"/>
                <w:highlight w:val="none"/>
              </w:rPr>
            </w:pPr>
            <w:r>
              <w:rPr>
                <w:rFonts w:hint="eastAsia" w:ascii="宋体" w:hAnsi="宋体" w:cs="宋体"/>
                <w:b/>
                <w:kern w:val="0"/>
                <w:szCs w:val="21"/>
                <w:highlight w:val="none"/>
              </w:rPr>
              <w:t>微型</w:t>
            </w:r>
          </w:p>
        </w:tc>
      </w:tr>
      <w:tr w14:paraId="7F33F026">
        <w:tblPrEx>
          <w:tblCellMar>
            <w:top w:w="0" w:type="dxa"/>
            <w:left w:w="108" w:type="dxa"/>
            <w:bottom w:w="0" w:type="dxa"/>
            <w:right w:w="108" w:type="dxa"/>
          </w:tblCellMar>
        </w:tblPrEx>
        <w:trPr>
          <w:trHeight w:val="355" w:hRule="atLeast"/>
          <w:jc w:val="center"/>
        </w:trPr>
        <w:tc>
          <w:tcPr>
            <w:tcW w:w="1165" w:type="pct"/>
            <w:tcBorders>
              <w:top w:val="nil"/>
              <w:left w:val="single" w:color="auto" w:sz="4" w:space="0"/>
              <w:bottom w:val="single" w:color="auto" w:sz="4" w:space="0"/>
              <w:right w:val="single" w:color="auto" w:sz="4" w:space="0"/>
            </w:tcBorders>
            <w:noWrap w:val="0"/>
            <w:vAlign w:val="bottom"/>
          </w:tcPr>
          <w:p w14:paraId="19761FDD">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农、林、牧、渔</w:t>
            </w:r>
          </w:p>
        </w:tc>
        <w:tc>
          <w:tcPr>
            <w:tcW w:w="794" w:type="pct"/>
            <w:tcBorders>
              <w:top w:val="nil"/>
              <w:left w:val="nil"/>
              <w:bottom w:val="single" w:color="auto" w:sz="4" w:space="0"/>
              <w:right w:val="single" w:color="auto" w:sz="4" w:space="0"/>
            </w:tcBorders>
            <w:noWrap w:val="0"/>
            <w:vAlign w:val="center"/>
          </w:tcPr>
          <w:p w14:paraId="582D9825">
            <w:pPr>
              <w:widowControl/>
              <w:jc w:val="left"/>
              <w:rPr>
                <w:rFonts w:hint="eastAsia" w:ascii="宋体" w:hAnsi="宋体" w:cs="宋体"/>
                <w:kern w:val="0"/>
                <w:szCs w:val="21"/>
                <w:highlight w:val="none"/>
              </w:rPr>
            </w:pPr>
            <w:r>
              <w:rPr>
                <w:rFonts w:hint="eastAsia" w:ascii="宋体" w:hAnsi="宋体" w:cs="宋体"/>
                <w:kern w:val="0"/>
                <w:szCs w:val="21"/>
                <w:highlight w:val="none"/>
              </w:rPr>
              <w:t>营业收入（Y）</w:t>
            </w:r>
          </w:p>
        </w:tc>
        <w:tc>
          <w:tcPr>
            <w:tcW w:w="614" w:type="pct"/>
            <w:tcBorders>
              <w:top w:val="nil"/>
              <w:left w:val="nil"/>
              <w:bottom w:val="single" w:color="auto" w:sz="4" w:space="0"/>
              <w:right w:val="single" w:color="auto" w:sz="4" w:space="0"/>
            </w:tcBorders>
            <w:noWrap w:val="0"/>
            <w:vAlign w:val="center"/>
          </w:tcPr>
          <w:p w14:paraId="6FF5B481">
            <w:pPr>
              <w:widowControl/>
              <w:jc w:val="left"/>
              <w:rPr>
                <w:rFonts w:hint="eastAsia" w:ascii="宋体" w:hAnsi="宋体" w:cs="宋体"/>
                <w:kern w:val="0"/>
                <w:szCs w:val="21"/>
                <w:highlight w:val="none"/>
              </w:rPr>
            </w:pPr>
            <w:r>
              <w:rPr>
                <w:rFonts w:hint="eastAsia" w:ascii="宋体" w:hAnsi="宋体" w:cs="宋体"/>
                <w:kern w:val="0"/>
                <w:szCs w:val="21"/>
                <w:highlight w:val="none"/>
              </w:rPr>
              <w:t>万元</w:t>
            </w:r>
          </w:p>
        </w:tc>
        <w:tc>
          <w:tcPr>
            <w:tcW w:w="960" w:type="pct"/>
            <w:tcBorders>
              <w:top w:val="nil"/>
              <w:left w:val="nil"/>
              <w:bottom w:val="single" w:color="auto" w:sz="4" w:space="0"/>
              <w:right w:val="single" w:color="auto" w:sz="4" w:space="0"/>
            </w:tcBorders>
            <w:noWrap w:val="0"/>
            <w:vAlign w:val="center"/>
          </w:tcPr>
          <w:p w14:paraId="782C5208">
            <w:pPr>
              <w:widowControl/>
              <w:jc w:val="left"/>
              <w:rPr>
                <w:rFonts w:hint="eastAsia" w:ascii="宋体" w:hAnsi="宋体" w:cs="宋体"/>
                <w:kern w:val="0"/>
                <w:szCs w:val="21"/>
                <w:highlight w:val="none"/>
              </w:rPr>
            </w:pPr>
            <w:r>
              <w:rPr>
                <w:rFonts w:hint="eastAsia" w:ascii="宋体" w:hAnsi="宋体" w:cs="宋体"/>
                <w:kern w:val="0"/>
                <w:szCs w:val="21"/>
                <w:highlight w:val="none"/>
              </w:rPr>
              <w:t>500≤Y＜20000</w:t>
            </w:r>
          </w:p>
        </w:tc>
        <w:tc>
          <w:tcPr>
            <w:tcW w:w="850" w:type="pct"/>
            <w:tcBorders>
              <w:top w:val="nil"/>
              <w:left w:val="nil"/>
              <w:bottom w:val="single" w:color="auto" w:sz="4" w:space="0"/>
              <w:right w:val="single" w:color="auto" w:sz="4" w:space="0"/>
            </w:tcBorders>
            <w:noWrap w:val="0"/>
            <w:vAlign w:val="center"/>
          </w:tcPr>
          <w:p w14:paraId="5A67801B">
            <w:pPr>
              <w:widowControl/>
              <w:jc w:val="left"/>
              <w:rPr>
                <w:rFonts w:hint="eastAsia" w:ascii="宋体" w:hAnsi="宋体" w:cs="宋体"/>
                <w:kern w:val="0"/>
                <w:szCs w:val="21"/>
                <w:highlight w:val="none"/>
              </w:rPr>
            </w:pPr>
            <w:r>
              <w:rPr>
                <w:rFonts w:hint="eastAsia" w:ascii="宋体" w:hAnsi="宋体" w:cs="宋体"/>
                <w:kern w:val="0"/>
                <w:szCs w:val="21"/>
                <w:highlight w:val="none"/>
              </w:rPr>
              <w:t>50≤Y＜500</w:t>
            </w:r>
          </w:p>
        </w:tc>
        <w:tc>
          <w:tcPr>
            <w:tcW w:w="613" w:type="pct"/>
            <w:tcBorders>
              <w:top w:val="nil"/>
              <w:left w:val="nil"/>
              <w:bottom w:val="single" w:color="auto" w:sz="4" w:space="0"/>
              <w:right w:val="single" w:color="auto" w:sz="4" w:space="0"/>
            </w:tcBorders>
            <w:noWrap w:val="0"/>
            <w:vAlign w:val="center"/>
          </w:tcPr>
          <w:p w14:paraId="60022FE1">
            <w:pPr>
              <w:widowControl/>
              <w:jc w:val="left"/>
              <w:rPr>
                <w:rFonts w:hint="eastAsia" w:ascii="宋体" w:hAnsi="宋体" w:cs="宋体"/>
                <w:kern w:val="0"/>
                <w:szCs w:val="21"/>
                <w:highlight w:val="none"/>
              </w:rPr>
            </w:pPr>
            <w:r>
              <w:rPr>
                <w:rFonts w:hint="eastAsia" w:ascii="宋体" w:hAnsi="宋体" w:cs="宋体"/>
                <w:kern w:val="0"/>
                <w:szCs w:val="21"/>
                <w:highlight w:val="none"/>
              </w:rPr>
              <w:t>Y＜50</w:t>
            </w:r>
          </w:p>
        </w:tc>
      </w:tr>
      <w:tr w14:paraId="24A82D19">
        <w:tblPrEx>
          <w:tblCellMar>
            <w:top w:w="0" w:type="dxa"/>
            <w:left w:w="108" w:type="dxa"/>
            <w:bottom w:w="0" w:type="dxa"/>
            <w:right w:w="108" w:type="dxa"/>
          </w:tblCellMar>
        </w:tblPrEx>
        <w:trPr>
          <w:trHeight w:val="355" w:hRule="atLeast"/>
          <w:jc w:val="center"/>
        </w:trPr>
        <w:tc>
          <w:tcPr>
            <w:tcW w:w="1165" w:type="pct"/>
            <w:vMerge w:val="restart"/>
            <w:tcBorders>
              <w:top w:val="nil"/>
              <w:left w:val="single" w:color="auto" w:sz="4" w:space="0"/>
              <w:bottom w:val="single" w:color="auto" w:sz="4" w:space="0"/>
              <w:right w:val="single" w:color="auto" w:sz="4" w:space="0"/>
            </w:tcBorders>
            <w:noWrap w:val="0"/>
            <w:vAlign w:val="bottom"/>
          </w:tcPr>
          <w:p w14:paraId="1C6870A0">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工业</w:t>
            </w:r>
          </w:p>
        </w:tc>
        <w:tc>
          <w:tcPr>
            <w:tcW w:w="794" w:type="pct"/>
            <w:tcBorders>
              <w:top w:val="nil"/>
              <w:left w:val="nil"/>
              <w:bottom w:val="single" w:color="auto" w:sz="4" w:space="0"/>
              <w:right w:val="single" w:color="auto" w:sz="4" w:space="0"/>
            </w:tcBorders>
            <w:noWrap w:val="0"/>
            <w:vAlign w:val="center"/>
          </w:tcPr>
          <w:p w14:paraId="6A267402">
            <w:pPr>
              <w:widowControl/>
              <w:jc w:val="left"/>
              <w:rPr>
                <w:rFonts w:hint="eastAsia" w:ascii="宋体" w:hAnsi="宋体" w:cs="宋体"/>
                <w:kern w:val="0"/>
                <w:szCs w:val="21"/>
                <w:highlight w:val="none"/>
              </w:rPr>
            </w:pPr>
            <w:r>
              <w:rPr>
                <w:rFonts w:hint="eastAsia" w:ascii="宋体" w:hAnsi="宋体" w:cs="宋体"/>
                <w:kern w:val="0"/>
                <w:szCs w:val="21"/>
                <w:highlight w:val="none"/>
              </w:rPr>
              <w:t>从业人员（X）</w:t>
            </w:r>
          </w:p>
        </w:tc>
        <w:tc>
          <w:tcPr>
            <w:tcW w:w="614" w:type="pct"/>
            <w:tcBorders>
              <w:top w:val="nil"/>
              <w:left w:val="nil"/>
              <w:bottom w:val="single" w:color="auto" w:sz="4" w:space="0"/>
              <w:right w:val="single" w:color="auto" w:sz="4" w:space="0"/>
            </w:tcBorders>
            <w:noWrap w:val="0"/>
            <w:vAlign w:val="center"/>
          </w:tcPr>
          <w:p w14:paraId="6BD6F536">
            <w:pPr>
              <w:widowControl/>
              <w:jc w:val="left"/>
              <w:rPr>
                <w:rFonts w:hint="eastAsia" w:ascii="宋体" w:hAnsi="宋体" w:cs="宋体"/>
                <w:kern w:val="0"/>
                <w:szCs w:val="21"/>
                <w:highlight w:val="none"/>
              </w:rPr>
            </w:pPr>
            <w:r>
              <w:rPr>
                <w:rFonts w:hint="eastAsia" w:ascii="宋体" w:hAnsi="宋体" w:cs="宋体"/>
                <w:kern w:val="0"/>
                <w:szCs w:val="21"/>
                <w:highlight w:val="none"/>
              </w:rPr>
              <w:t>人</w:t>
            </w:r>
          </w:p>
        </w:tc>
        <w:tc>
          <w:tcPr>
            <w:tcW w:w="960" w:type="pct"/>
            <w:tcBorders>
              <w:top w:val="nil"/>
              <w:left w:val="nil"/>
              <w:bottom w:val="single" w:color="auto" w:sz="4" w:space="0"/>
              <w:right w:val="single" w:color="auto" w:sz="4" w:space="0"/>
            </w:tcBorders>
            <w:noWrap w:val="0"/>
            <w:vAlign w:val="center"/>
          </w:tcPr>
          <w:p w14:paraId="13D96515">
            <w:pPr>
              <w:widowControl/>
              <w:jc w:val="left"/>
              <w:rPr>
                <w:rFonts w:hint="eastAsia" w:ascii="宋体" w:hAnsi="宋体" w:cs="宋体"/>
                <w:kern w:val="0"/>
                <w:szCs w:val="21"/>
                <w:highlight w:val="none"/>
              </w:rPr>
            </w:pPr>
            <w:r>
              <w:rPr>
                <w:rFonts w:hint="eastAsia" w:ascii="宋体" w:hAnsi="宋体" w:cs="宋体"/>
                <w:kern w:val="0"/>
                <w:szCs w:val="21"/>
                <w:highlight w:val="none"/>
              </w:rPr>
              <w:t>300≤X＜1000</w:t>
            </w:r>
          </w:p>
        </w:tc>
        <w:tc>
          <w:tcPr>
            <w:tcW w:w="850" w:type="pct"/>
            <w:tcBorders>
              <w:top w:val="nil"/>
              <w:left w:val="nil"/>
              <w:bottom w:val="single" w:color="auto" w:sz="4" w:space="0"/>
              <w:right w:val="single" w:color="auto" w:sz="4" w:space="0"/>
            </w:tcBorders>
            <w:noWrap w:val="0"/>
            <w:vAlign w:val="center"/>
          </w:tcPr>
          <w:p w14:paraId="40034460">
            <w:pPr>
              <w:widowControl/>
              <w:jc w:val="left"/>
              <w:rPr>
                <w:rFonts w:hint="eastAsia" w:ascii="宋体" w:hAnsi="宋体" w:cs="宋体"/>
                <w:kern w:val="0"/>
                <w:szCs w:val="21"/>
                <w:highlight w:val="none"/>
              </w:rPr>
            </w:pPr>
            <w:r>
              <w:rPr>
                <w:rFonts w:hint="eastAsia" w:ascii="宋体" w:hAnsi="宋体" w:cs="宋体"/>
                <w:kern w:val="0"/>
                <w:szCs w:val="21"/>
                <w:highlight w:val="none"/>
              </w:rPr>
              <w:t>20≤X＜300</w:t>
            </w:r>
          </w:p>
        </w:tc>
        <w:tc>
          <w:tcPr>
            <w:tcW w:w="613" w:type="pct"/>
            <w:tcBorders>
              <w:top w:val="nil"/>
              <w:left w:val="nil"/>
              <w:bottom w:val="single" w:color="auto" w:sz="4" w:space="0"/>
              <w:right w:val="single" w:color="auto" w:sz="4" w:space="0"/>
            </w:tcBorders>
            <w:noWrap w:val="0"/>
            <w:vAlign w:val="center"/>
          </w:tcPr>
          <w:p w14:paraId="58E5AEFC">
            <w:pPr>
              <w:widowControl/>
              <w:jc w:val="left"/>
              <w:rPr>
                <w:rFonts w:hint="eastAsia" w:ascii="宋体" w:hAnsi="宋体" w:cs="宋体"/>
                <w:kern w:val="0"/>
                <w:szCs w:val="21"/>
                <w:highlight w:val="none"/>
              </w:rPr>
            </w:pPr>
            <w:r>
              <w:rPr>
                <w:rFonts w:hint="eastAsia" w:ascii="宋体" w:hAnsi="宋体" w:cs="宋体"/>
                <w:kern w:val="0"/>
                <w:szCs w:val="21"/>
                <w:highlight w:val="none"/>
              </w:rPr>
              <w:t>X＜20</w:t>
            </w:r>
          </w:p>
        </w:tc>
      </w:tr>
      <w:tr w14:paraId="771AC883">
        <w:tblPrEx>
          <w:tblCellMar>
            <w:top w:w="0" w:type="dxa"/>
            <w:left w:w="108" w:type="dxa"/>
            <w:bottom w:w="0" w:type="dxa"/>
            <w:right w:w="108" w:type="dxa"/>
          </w:tblCellMar>
        </w:tblPrEx>
        <w:trPr>
          <w:trHeight w:val="355" w:hRule="atLeast"/>
          <w:jc w:val="center"/>
        </w:trPr>
        <w:tc>
          <w:tcPr>
            <w:tcW w:w="1165" w:type="pct"/>
            <w:vMerge w:val="continue"/>
            <w:tcBorders>
              <w:top w:val="nil"/>
              <w:left w:val="single" w:color="auto" w:sz="4" w:space="0"/>
              <w:bottom w:val="single" w:color="auto" w:sz="4" w:space="0"/>
              <w:right w:val="single" w:color="auto" w:sz="4" w:space="0"/>
            </w:tcBorders>
            <w:noWrap w:val="0"/>
            <w:vAlign w:val="center"/>
          </w:tcPr>
          <w:p w14:paraId="5AED2870">
            <w:pPr>
              <w:widowControl/>
              <w:jc w:val="left"/>
              <w:rPr>
                <w:rFonts w:hint="eastAsia" w:ascii="宋体" w:hAnsi="宋体" w:cs="宋体"/>
                <w:b/>
                <w:bCs/>
                <w:kern w:val="0"/>
                <w:szCs w:val="21"/>
                <w:highlight w:val="none"/>
              </w:rPr>
            </w:pPr>
          </w:p>
        </w:tc>
        <w:tc>
          <w:tcPr>
            <w:tcW w:w="794" w:type="pct"/>
            <w:tcBorders>
              <w:top w:val="nil"/>
              <w:left w:val="nil"/>
              <w:bottom w:val="single" w:color="auto" w:sz="4" w:space="0"/>
              <w:right w:val="single" w:color="auto" w:sz="4" w:space="0"/>
            </w:tcBorders>
            <w:noWrap w:val="0"/>
            <w:vAlign w:val="center"/>
          </w:tcPr>
          <w:p w14:paraId="06BE4068">
            <w:pPr>
              <w:widowControl/>
              <w:jc w:val="left"/>
              <w:rPr>
                <w:rFonts w:hint="eastAsia" w:ascii="宋体" w:hAnsi="宋体" w:cs="宋体"/>
                <w:kern w:val="0"/>
                <w:szCs w:val="21"/>
                <w:highlight w:val="none"/>
              </w:rPr>
            </w:pPr>
            <w:r>
              <w:rPr>
                <w:rFonts w:hint="eastAsia" w:ascii="宋体" w:hAnsi="宋体" w:cs="宋体"/>
                <w:kern w:val="0"/>
                <w:szCs w:val="21"/>
                <w:highlight w:val="none"/>
              </w:rPr>
              <w:t>营业收入（Y）</w:t>
            </w:r>
          </w:p>
        </w:tc>
        <w:tc>
          <w:tcPr>
            <w:tcW w:w="614" w:type="pct"/>
            <w:tcBorders>
              <w:top w:val="nil"/>
              <w:left w:val="nil"/>
              <w:bottom w:val="single" w:color="auto" w:sz="4" w:space="0"/>
              <w:right w:val="single" w:color="auto" w:sz="4" w:space="0"/>
            </w:tcBorders>
            <w:noWrap w:val="0"/>
            <w:vAlign w:val="center"/>
          </w:tcPr>
          <w:p w14:paraId="0D336968">
            <w:pPr>
              <w:widowControl/>
              <w:jc w:val="left"/>
              <w:rPr>
                <w:rFonts w:hint="eastAsia" w:ascii="宋体" w:hAnsi="宋体" w:cs="宋体"/>
                <w:kern w:val="0"/>
                <w:szCs w:val="21"/>
                <w:highlight w:val="none"/>
              </w:rPr>
            </w:pPr>
            <w:r>
              <w:rPr>
                <w:rFonts w:hint="eastAsia" w:ascii="宋体" w:hAnsi="宋体" w:cs="宋体"/>
                <w:kern w:val="0"/>
                <w:szCs w:val="21"/>
                <w:highlight w:val="none"/>
              </w:rPr>
              <w:t>万元</w:t>
            </w:r>
          </w:p>
        </w:tc>
        <w:tc>
          <w:tcPr>
            <w:tcW w:w="960" w:type="pct"/>
            <w:tcBorders>
              <w:top w:val="nil"/>
              <w:left w:val="nil"/>
              <w:bottom w:val="single" w:color="auto" w:sz="4" w:space="0"/>
              <w:right w:val="single" w:color="auto" w:sz="4" w:space="0"/>
            </w:tcBorders>
            <w:noWrap w:val="0"/>
            <w:vAlign w:val="center"/>
          </w:tcPr>
          <w:p w14:paraId="0DCB8052">
            <w:pPr>
              <w:widowControl/>
              <w:jc w:val="left"/>
              <w:rPr>
                <w:rFonts w:hint="eastAsia" w:ascii="宋体" w:hAnsi="宋体" w:cs="宋体"/>
                <w:kern w:val="0"/>
                <w:szCs w:val="21"/>
                <w:highlight w:val="none"/>
              </w:rPr>
            </w:pPr>
            <w:r>
              <w:rPr>
                <w:rFonts w:hint="eastAsia" w:ascii="宋体" w:hAnsi="宋体" w:cs="宋体"/>
                <w:kern w:val="0"/>
                <w:szCs w:val="21"/>
                <w:highlight w:val="none"/>
              </w:rPr>
              <w:t>2000≤Y＜40000</w:t>
            </w:r>
          </w:p>
        </w:tc>
        <w:tc>
          <w:tcPr>
            <w:tcW w:w="850" w:type="pct"/>
            <w:tcBorders>
              <w:top w:val="nil"/>
              <w:left w:val="nil"/>
              <w:bottom w:val="single" w:color="auto" w:sz="4" w:space="0"/>
              <w:right w:val="single" w:color="auto" w:sz="4" w:space="0"/>
            </w:tcBorders>
            <w:noWrap w:val="0"/>
            <w:vAlign w:val="center"/>
          </w:tcPr>
          <w:p w14:paraId="177299C9">
            <w:pPr>
              <w:widowControl/>
              <w:jc w:val="left"/>
              <w:rPr>
                <w:rFonts w:hint="eastAsia" w:ascii="宋体" w:hAnsi="宋体" w:cs="宋体"/>
                <w:kern w:val="0"/>
                <w:szCs w:val="21"/>
                <w:highlight w:val="none"/>
              </w:rPr>
            </w:pPr>
            <w:r>
              <w:rPr>
                <w:rFonts w:hint="eastAsia" w:ascii="宋体" w:hAnsi="宋体" w:cs="宋体"/>
                <w:kern w:val="0"/>
                <w:szCs w:val="21"/>
                <w:highlight w:val="none"/>
              </w:rPr>
              <w:t>300≤Y＜2000</w:t>
            </w:r>
          </w:p>
        </w:tc>
        <w:tc>
          <w:tcPr>
            <w:tcW w:w="613" w:type="pct"/>
            <w:tcBorders>
              <w:top w:val="nil"/>
              <w:left w:val="nil"/>
              <w:bottom w:val="single" w:color="auto" w:sz="4" w:space="0"/>
              <w:right w:val="single" w:color="auto" w:sz="4" w:space="0"/>
            </w:tcBorders>
            <w:noWrap w:val="0"/>
            <w:vAlign w:val="center"/>
          </w:tcPr>
          <w:p w14:paraId="53E12A03">
            <w:pPr>
              <w:widowControl/>
              <w:jc w:val="left"/>
              <w:rPr>
                <w:rFonts w:hint="eastAsia" w:ascii="宋体" w:hAnsi="宋体" w:cs="宋体"/>
                <w:kern w:val="0"/>
                <w:szCs w:val="21"/>
                <w:highlight w:val="none"/>
              </w:rPr>
            </w:pPr>
            <w:r>
              <w:rPr>
                <w:rFonts w:hint="eastAsia" w:ascii="宋体" w:hAnsi="宋体" w:cs="宋体"/>
                <w:kern w:val="0"/>
                <w:szCs w:val="21"/>
                <w:highlight w:val="none"/>
              </w:rPr>
              <w:t>Y＜300</w:t>
            </w:r>
          </w:p>
        </w:tc>
      </w:tr>
      <w:tr w14:paraId="49C5AE49">
        <w:tblPrEx>
          <w:tblCellMar>
            <w:top w:w="0" w:type="dxa"/>
            <w:left w:w="108" w:type="dxa"/>
            <w:bottom w:w="0" w:type="dxa"/>
            <w:right w:w="108" w:type="dxa"/>
          </w:tblCellMar>
        </w:tblPrEx>
        <w:trPr>
          <w:trHeight w:val="355" w:hRule="atLeast"/>
          <w:jc w:val="center"/>
        </w:trPr>
        <w:tc>
          <w:tcPr>
            <w:tcW w:w="1165" w:type="pct"/>
            <w:vMerge w:val="restart"/>
            <w:tcBorders>
              <w:top w:val="nil"/>
              <w:left w:val="single" w:color="auto" w:sz="4" w:space="0"/>
              <w:bottom w:val="single" w:color="auto" w:sz="4" w:space="0"/>
              <w:right w:val="single" w:color="auto" w:sz="4" w:space="0"/>
            </w:tcBorders>
            <w:noWrap w:val="0"/>
            <w:vAlign w:val="bottom"/>
          </w:tcPr>
          <w:p w14:paraId="758C366C">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建筑业</w:t>
            </w:r>
          </w:p>
        </w:tc>
        <w:tc>
          <w:tcPr>
            <w:tcW w:w="794" w:type="pct"/>
            <w:tcBorders>
              <w:top w:val="nil"/>
              <w:left w:val="nil"/>
              <w:bottom w:val="single" w:color="auto" w:sz="4" w:space="0"/>
              <w:right w:val="single" w:color="auto" w:sz="4" w:space="0"/>
            </w:tcBorders>
            <w:noWrap w:val="0"/>
            <w:vAlign w:val="center"/>
          </w:tcPr>
          <w:p w14:paraId="71076A68">
            <w:pPr>
              <w:widowControl/>
              <w:jc w:val="left"/>
              <w:rPr>
                <w:rFonts w:hint="eastAsia" w:ascii="宋体" w:hAnsi="宋体" w:cs="宋体"/>
                <w:kern w:val="0"/>
                <w:szCs w:val="21"/>
                <w:highlight w:val="none"/>
              </w:rPr>
            </w:pPr>
            <w:r>
              <w:rPr>
                <w:rFonts w:hint="eastAsia" w:ascii="宋体" w:hAnsi="宋体" w:cs="宋体"/>
                <w:kern w:val="0"/>
                <w:szCs w:val="21"/>
                <w:highlight w:val="none"/>
              </w:rPr>
              <w:t>营业收入（Y）</w:t>
            </w:r>
          </w:p>
        </w:tc>
        <w:tc>
          <w:tcPr>
            <w:tcW w:w="614" w:type="pct"/>
            <w:tcBorders>
              <w:top w:val="nil"/>
              <w:left w:val="nil"/>
              <w:bottom w:val="single" w:color="auto" w:sz="4" w:space="0"/>
              <w:right w:val="single" w:color="auto" w:sz="4" w:space="0"/>
            </w:tcBorders>
            <w:noWrap w:val="0"/>
            <w:vAlign w:val="center"/>
          </w:tcPr>
          <w:p w14:paraId="558CEF82">
            <w:pPr>
              <w:widowControl/>
              <w:jc w:val="left"/>
              <w:rPr>
                <w:rFonts w:hint="eastAsia" w:ascii="宋体" w:hAnsi="宋体" w:cs="宋体"/>
                <w:kern w:val="0"/>
                <w:szCs w:val="21"/>
                <w:highlight w:val="none"/>
              </w:rPr>
            </w:pPr>
            <w:r>
              <w:rPr>
                <w:rFonts w:hint="eastAsia" w:ascii="宋体" w:hAnsi="宋体" w:cs="宋体"/>
                <w:kern w:val="0"/>
                <w:szCs w:val="21"/>
                <w:highlight w:val="none"/>
              </w:rPr>
              <w:t>万元</w:t>
            </w:r>
          </w:p>
        </w:tc>
        <w:tc>
          <w:tcPr>
            <w:tcW w:w="960" w:type="pct"/>
            <w:tcBorders>
              <w:top w:val="nil"/>
              <w:left w:val="nil"/>
              <w:bottom w:val="single" w:color="auto" w:sz="4" w:space="0"/>
              <w:right w:val="single" w:color="auto" w:sz="4" w:space="0"/>
            </w:tcBorders>
            <w:noWrap w:val="0"/>
            <w:vAlign w:val="center"/>
          </w:tcPr>
          <w:p w14:paraId="5BD98F97">
            <w:pPr>
              <w:widowControl/>
              <w:jc w:val="left"/>
              <w:rPr>
                <w:rFonts w:hint="eastAsia" w:ascii="宋体" w:hAnsi="宋体" w:cs="宋体"/>
                <w:kern w:val="0"/>
                <w:szCs w:val="21"/>
                <w:highlight w:val="none"/>
              </w:rPr>
            </w:pPr>
            <w:r>
              <w:rPr>
                <w:rFonts w:hint="eastAsia" w:ascii="宋体" w:hAnsi="宋体" w:cs="宋体"/>
                <w:kern w:val="0"/>
                <w:szCs w:val="21"/>
                <w:highlight w:val="none"/>
              </w:rPr>
              <w:t>6000≤Y＜80000</w:t>
            </w:r>
          </w:p>
        </w:tc>
        <w:tc>
          <w:tcPr>
            <w:tcW w:w="850" w:type="pct"/>
            <w:tcBorders>
              <w:top w:val="nil"/>
              <w:left w:val="nil"/>
              <w:bottom w:val="single" w:color="auto" w:sz="4" w:space="0"/>
              <w:right w:val="single" w:color="auto" w:sz="4" w:space="0"/>
            </w:tcBorders>
            <w:noWrap w:val="0"/>
            <w:vAlign w:val="center"/>
          </w:tcPr>
          <w:p w14:paraId="54F28E88">
            <w:pPr>
              <w:widowControl/>
              <w:jc w:val="left"/>
              <w:rPr>
                <w:rFonts w:hint="eastAsia" w:ascii="宋体" w:hAnsi="宋体" w:cs="宋体"/>
                <w:kern w:val="0"/>
                <w:szCs w:val="21"/>
                <w:highlight w:val="none"/>
              </w:rPr>
            </w:pPr>
            <w:r>
              <w:rPr>
                <w:rFonts w:hint="eastAsia" w:ascii="宋体" w:hAnsi="宋体" w:cs="宋体"/>
                <w:kern w:val="0"/>
                <w:szCs w:val="21"/>
                <w:highlight w:val="none"/>
              </w:rPr>
              <w:t>300≤Y＜6000</w:t>
            </w:r>
          </w:p>
        </w:tc>
        <w:tc>
          <w:tcPr>
            <w:tcW w:w="613" w:type="pct"/>
            <w:tcBorders>
              <w:top w:val="nil"/>
              <w:left w:val="nil"/>
              <w:bottom w:val="single" w:color="auto" w:sz="4" w:space="0"/>
              <w:right w:val="single" w:color="auto" w:sz="4" w:space="0"/>
            </w:tcBorders>
            <w:noWrap w:val="0"/>
            <w:vAlign w:val="center"/>
          </w:tcPr>
          <w:p w14:paraId="5FEC68F9">
            <w:pPr>
              <w:widowControl/>
              <w:jc w:val="left"/>
              <w:rPr>
                <w:rFonts w:hint="eastAsia" w:ascii="宋体" w:hAnsi="宋体" w:cs="宋体"/>
                <w:kern w:val="0"/>
                <w:szCs w:val="21"/>
                <w:highlight w:val="none"/>
              </w:rPr>
            </w:pPr>
            <w:r>
              <w:rPr>
                <w:rFonts w:hint="eastAsia" w:ascii="宋体" w:hAnsi="宋体" w:cs="宋体"/>
                <w:kern w:val="0"/>
                <w:szCs w:val="21"/>
                <w:highlight w:val="none"/>
              </w:rPr>
              <w:t>Y＜300</w:t>
            </w:r>
          </w:p>
        </w:tc>
      </w:tr>
      <w:tr w14:paraId="733ADC96">
        <w:tblPrEx>
          <w:tblCellMar>
            <w:top w:w="0" w:type="dxa"/>
            <w:left w:w="108" w:type="dxa"/>
            <w:bottom w:w="0" w:type="dxa"/>
            <w:right w:w="108" w:type="dxa"/>
          </w:tblCellMar>
        </w:tblPrEx>
        <w:trPr>
          <w:trHeight w:val="355" w:hRule="atLeast"/>
          <w:jc w:val="center"/>
        </w:trPr>
        <w:tc>
          <w:tcPr>
            <w:tcW w:w="1165" w:type="pct"/>
            <w:vMerge w:val="continue"/>
            <w:tcBorders>
              <w:top w:val="nil"/>
              <w:left w:val="single" w:color="auto" w:sz="4" w:space="0"/>
              <w:bottom w:val="single" w:color="auto" w:sz="4" w:space="0"/>
              <w:right w:val="single" w:color="auto" w:sz="4" w:space="0"/>
            </w:tcBorders>
            <w:noWrap w:val="0"/>
            <w:vAlign w:val="center"/>
          </w:tcPr>
          <w:p w14:paraId="7BCC55ED">
            <w:pPr>
              <w:widowControl/>
              <w:jc w:val="left"/>
              <w:rPr>
                <w:rFonts w:hint="eastAsia" w:ascii="宋体" w:hAnsi="宋体" w:cs="宋体"/>
                <w:b/>
                <w:bCs/>
                <w:kern w:val="0"/>
                <w:szCs w:val="21"/>
                <w:highlight w:val="none"/>
              </w:rPr>
            </w:pPr>
          </w:p>
        </w:tc>
        <w:tc>
          <w:tcPr>
            <w:tcW w:w="794" w:type="pct"/>
            <w:tcBorders>
              <w:top w:val="nil"/>
              <w:left w:val="nil"/>
              <w:bottom w:val="single" w:color="auto" w:sz="4" w:space="0"/>
              <w:right w:val="single" w:color="auto" w:sz="4" w:space="0"/>
            </w:tcBorders>
            <w:noWrap w:val="0"/>
            <w:vAlign w:val="center"/>
          </w:tcPr>
          <w:p w14:paraId="15F76234">
            <w:pPr>
              <w:widowControl/>
              <w:jc w:val="left"/>
              <w:rPr>
                <w:rFonts w:hint="eastAsia" w:ascii="宋体" w:hAnsi="宋体" w:cs="宋体"/>
                <w:kern w:val="0"/>
                <w:szCs w:val="21"/>
                <w:highlight w:val="none"/>
              </w:rPr>
            </w:pPr>
            <w:r>
              <w:rPr>
                <w:rFonts w:hint="eastAsia" w:ascii="宋体" w:hAnsi="宋体" w:cs="宋体"/>
                <w:kern w:val="0"/>
                <w:szCs w:val="21"/>
                <w:highlight w:val="none"/>
              </w:rPr>
              <w:t>资产总额（Z）</w:t>
            </w:r>
          </w:p>
        </w:tc>
        <w:tc>
          <w:tcPr>
            <w:tcW w:w="614" w:type="pct"/>
            <w:tcBorders>
              <w:top w:val="nil"/>
              <w:left w:val="nil"/>
              <w:bottom w:val="single" w:color="auto" w:sz="4" w:space="0"/>
              <w:right w:val="single" w:color="auto" w:sz="4" w:space="0"/>
            </w:tcBorders>
            <w:noWrap w:val="0"/>
            <w:vAlign w:val="center"/>
          </w:tcPr>
          <w:p w14:paraId="627253E4">
            <w:pPr>
              <w:widowControl/>
              <w:jc w:val="left"/>
              <w:rPr>
                <w:rFonts w:hint="eastAsia" w:ascii="宋体" w:hAnsi="宋体" w:cs="宋体"/>
                <w:kern w:val="0"/>
                <w:szCs w:val="21"/>
                <w:highlight w:val="none"/>
              </w:rPr>
            </w:pPr>
            <w:r>
              <w:rPr>
                <w:rFonts w:hint="eastAsia" w:ascii="宋体" w:hAnsi="宋体" w:cs="宋体"/>
                <w:kern w:val="0"/>
                <w:szCs w:val="21"/>
                <w:highlight w:val="none"/>
              </w:rPr>
              <w:t>万元</w:t>
            </w:r>
          </w:p>
        </w:tc>
        <w:tc>
          <w:tcPr>
            <w:tcW w:w="960" w:type="pct"/>
            <w:tcBorders>
              <w:top w:val="nil"/>
              <w:left w:val="nil"/>
              <w:bottom w:val="single" w:color="auto" w:sz="4" w:space="0"/>
              <w:right w:val="single" w:color="auto" w:sz="4" w:space="0"/>
            </w:tcBorders>
            <w:noWrap w:val="0"/>
            <w:vAlign w:val="center"/>
          </w:tcPr>
          <w:p w14:paraId="44CCBEA1">
            <w:pPr>
              <w:widowControl/>
              <w:jc w:val="left"/>
              <w:rPr>
                <w:rFonts w:hint="eastAsia" w:ascii="宋体" w:hAnsi="宋体" w:cs="宋体"/>
                <w:kern w:val="0"/>
                <w:szCs w:val="21"/>
                <w:highlight w:val="none"/>
              </w:rPr>
            </w:pPr>
            <w:r>
              <w:rPr>
                <w:rFonts w:hint="eastAsia" w:ascii="宋体" w:hAnsi="宋体" w:cs="宋体"/>
                <w:kern w:val="0"/>
                <w:szCs w:val="21"/>
                <w:highlight w:val="none"/>
              </w:rPr>
              <w:t>5000≤Z＜80000</w:t>
            </w:r>
          </w:p>
        </w:tc>
        <w:tc>
          <w:tcPr>
            <w:tcW w:w="850" w:type="pct"/>
            <w:tcBorders>
              <w:top w:val="nil"/>
              <w:left w:val="nil"/>
              <w:bottom w:val="single" w:color="auto" w:sz="4" w:space="0"/>
              <w:right w:val="single" w:color="auto" w:sz="4" w:space="0"/>
            </w:tcBorders>
            <w:noWrap w:val="0"/>
            <w:vAlign w:val="center"/>
          </w:tcPr>
          <w:p w14:paraId="680156B7">
            <w:pPr>
              <w:widowControl/>
              <w:jc w:val="left"/>
              <w:rPr>
                <w:rFonts w:hint="eastAsia" w:ascii="宋体" w:hAnsi="宋体" w:cs="宋体"/>
                <w:kern w:val="0"/>
                <w:szCs w:val="21"/>
                <w:highlight w:val="none"/>
              </w:rPr>
            </w:pPr>
            <w:r>
              <w:rPr>
                <w:rFonts w:hint="eastAsia" w:ascii="宋体" w:hAnsi="宋体" w:cs="宋体"/>
                <w:kern w:val="0"/>
                <w:szCs w:val="21"/>
                <w:highlight w:val="none"/>
              </w:rPr>
              <w:t>300≤Z＜5000</w:t>
            </w:r>
          </w:p>
        </w:tc>
        <w:tc>
          <w:tcPr>
            <w:tcW w:w="613" w:type="pct"/>
            <w:tcBorders>
              <w:top w:val="nil"/>
              <w:left w:val="nil"/>
              <w:bottom w:val="single" w:color="auto" w:sz="4" w:space="0"/>
              <w:right w:val="single" w:color="auto" w:sz="4" w:space="0"/>
            </w:tcBorders>
            <w:noWrap w:val="0"/>
            <w:vAlign w:val="center"/>
          </w:tcPr>
          <w:p w14:paraId="2E62B64D">
            <w:pPr>
              <w:widowControl/>
              <w:jc w:val="left"/>
              <w:rPr>
                <w:rFonts w:hint="eastAsia" w:ascii="宋体" w:hAnsi="宋体" w:cs="宋体"/>
                <w:kern w:val="0"/>
                <w:szCs w:val="21"/>
                <w:highlight w:val="none"/>
              </w:rPr>
            </w:pPr>
            <w:r>
              <w:rPr>
                <w:rFonts w:hint="eastAsia" w:ascii="宋体" w:hAnsi="宋体" w:cs="宋体"/>
                <w:kern w:val="0"/>
                <w:szCs w:val="21"/>
                <w:highlight w:val="none"/>
              </w:rPr>
              <w:t>Z＜300</w:t>
            </w:r>
          </w:p>
        </w:tc>
      </w:tr>
      <w:tr w14:paraId="6CC43C15">
        <w:tblPrEx>
          <w:tblCellMar>
            <w:top w:w="0" w:type="dxa"/>
            <w:left w:w="108" w:type="dxa"/>
            <w:bottom w:w="0" w:type="dxa"/>
            <w:right w:w="108" w:type="dxa"/>
          </w:tblCellMar>
        </w:tblPrEx>
        <w:trPr>
          <w:trHeight w:val="355" w:hRule="atLeast"/>
          <w:jc w:val="center"/>
        </w:trPr>
        <w:tc>
          <w:tcPr>
            <w:tcW w:w="1165" w:type="pct"/>
            <w:vMerge w:val="restart"/>
            <w:tcBorders>
              <w:top w:val="nil"/>
              <w:left w:val="single" w:color="auto" w:sz="4" w:space="0"/>
              <w:bottom w:val="single" w:color="auto" w:sz="4" w:space="0"/>
              <w:right w:val="single" w:color="auto" w:sz="4" w:space="0"/>
            </w:tcBorders>
            <w:noWrap w:val="0"/>
            <w:vAlign w:val="bottom"/>
          </w:tcPr>
          <w:p w14:paraId="66D29A87">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批发业</w:t>
            </w:r>
          </w:p>
        </w:tc>
        <w:tc>
          <w:tcPr>
            <w:tcW w:w="794" w:type="pct"/>
            <w:tcBorders>
              <w:top w:val="nil"/>
              <w:left w:val="nil"/>
              <w:bottom w:val="single" w:color="auto" w:sz="4" w:space="0"/>
              <w:right w:val="single" w:color="auto" w:sz="4" w:space="0"/>
            </w:tcBorders>
            <w:noWrap w:val="0"/>
            <w:vAlign w:val="center"/>
          </w:tcPr>
          <w:p w14:paraId="201927D4">
            <w:pPr>
              <w:widowControl/>
              <w:jc w:val="left"/>
              <w:rPr>
                <w:rFonts w:hint="eastAsia" w:ascii="宋体" w:hAnsi="宋体" w:cs="宋体"/>
                <w:kern w:val="0"/>
                <w:szCs w:val="21"/>
                <w:highlight w:val="none"/>
              </w:rPr>
            </w:pPr>
            <w:r>
              <w:rPr>
                <w:rFonts w:hint="eastAsia" w:ascii="宋体" w:hAnsi="宋体" w:cs="宋体"/>
                <w:kern w:val="0"/>
                <w:szCs w:val="21"/>
                <w:highlight w:val="none"/>
              </w:rPr>
              <w:t>从业人员（X）</w:t>
            </w:r>
          </w:p>
        </w:tc>
        <w:tc>
          <w:tcPr>
            <w:tcW w:w="614" w:type="pct"/>
            <w:tcBorders>
              <w:top w:val="nil"/>
              <w:left w:val="nil"/>
              <w:bottom w:val="single" w:color="auto" w:sz="4" w:space="0"/>
              <w:right w:val="single" w:color="auto" w:sz="4" w:space="0"/>
            </w:tcBorders>
            <w:noWrap w:val="0"/>
            <w:vAlign w:val="center"/>
          </w:tcPr>
          <w:p w14:paraId="7B354504">
            <w:pPr>
              <w:widowControl/>
              <w:jc w:val="left"/>
              <w:rPr>
                <w:rFonts w:hint="eastAsia" w:ascii="宋体" w:hAnsi="宋体" w:cs="宋体"/>
                <w:kern w:val="0"/>
                <w:szCs w:val="21"/>
                <w:highlight w:val="none"/>
              </w:rPr>
            </w:pPr>
            <w:r>
              <w:rPr>
                <w:rFonts w:hint="eastAsia" w:ascii="宋体" w:hAnsi="宋体" w:cs="宋体"/>
                <w:kern w:val="0"/>
                <w:szCs w:val="21"/>
                <w:highlight w:val="none"/>
              </w:rPr>
              <w:t>人</w:t>
            </w:r>
          </w:p>
        </w:tc>
        <w:tc>
          <w:tcPr>
            <w:tcW w:w="960" w:type="pct"/>
            <w:tcBorders>
              <w:top w:val="nil"/>
              <w:left w:val="nil"/>
              <w:bottom w:val="single" w:color="auto" w:sz="4" w:space="0"/>
              <w:right w:val="single" w:color="auto" w:sz="4" w:space="0"/>
            </w:tcBorders>
            <w:noWrap w:val="0"/>
            <w:vAlign w:val="center"/>
          </w:tcPr>
          <w:p w14:paraId="6B9B867A">
            <w:pPr>
              <w:widowControl/>
              <w:jc w:val="left"/>
              <w:rPr>
                <w:rFonts w:hint="eastAsia" w:ascii="宋体" w:hAnsi="宋体" w:cs="宋体"/>
                <w:kern w:val="0"/>
                <w:szCs w:val="21"/>
                <w:highlight w:val="none"/>
              </w:rPr>
            </w:pPr>
            <w:r>
              <w:rPr>
                <w:rFonts w:hint="eastAsia" w:ascii="宋体" w:hAnsi="宋体" w:cs="宋体"/>
                <w:kern w:val="0"/>
                <w:szCs w:val="21"/>
                <w:highlight w:val="none"/>
              </w:rPr>
              <w:t>20≤X＜200</w:t>
            </w:r>
          </w:p>
        </w:tc>
        <w:tc>
          <w:tcPr>
            <w:tcW w:w="850" w:type="pct"/>
            <w:tcBorders>
              <w:top w:val="nil"/>
              <w:left w:val="nil"/>
              <w:bottom w:val="single" w:color="auto" w:sz="4" w:space="0"/>
              <w:right w:val="single" w:color="auto" w:sz="4" w:space="0"/>
            </w:tcBorders>
            <w:noWrap w:val="0"/>
            <w:vAlign w:val="center"/>
          </w:tcPr>
          <w:p w14:paraId="40420BD5">
            <w:pPr>
              <w:widowControl/>
              <w:jc w:val="left"/>
              <w:rPr>
                <w:rFonts w:hint="eastAsia" w:ascii="宋体" w:hAnsi="宋体" w:cs="宋体"/>
                <w:kern w:val="0"/>
                <w:szCs w:val="21"/>
                <w:highlight w:val="none"/>
              </w:rPr>
            </w:pPr>
            <w:r>
              <w:rPr>
                <w:rFonts w:hint="eastAsia" w:ascii="宋体" w:hAnsi="宋体" w:cs="宋体"/>
                <w:kern w:val="0"/>
                <w:szCs w:val="21"/>
                <w:highlight w:val="none"/>
              </w:rPr>
              <w:t>5≤X＜20</w:t>
            </w:r>
          </w:p>
        </w:tc>
        <w:tc>
          <w:tcPr>
            <w:tcW w:w="613" w:type="pct"/>
            <w:tcBorders>
              <w:top w:val="nil"/>
              <w:left w:val="nil"/>
              <w:bottom w:val="single" w:color="auto" w:sz="4" w:space="0"/>
              <w:right w:val="single" w:color="auto" w:sz="4" w:space="0"/>
            </w:tcBorders>
            <w:noWrap w:val="0"/>
            <w:vAlign w:val="center"/>
          </w:tcPr>
          <w:p w14:paraId="3FAD1682">
            <w:pPr>
              <w:widowControl/>
              <w:jc w:val="left"/>
              <w:rPr>
                <w:rFonts w:hint="eastAsia" w:ascii="宋体" w:hAnsi="宋体" w:cs="宋体"/>
                <w:kern w:val="0"/>
                <w:szCs w:val="21"/>
                <w:highlight w:val="none"/>
              </w:rPr>
            </w:pPr>
            <w:r>
              <w:rPr>
                <w:rFonts w:hint="eastAsia" w:ascii="宋体" w:hAnsi="宋体" w:cs="宋体"/>
                <w:kern w:val="0"/>
                <w:szCs w:val="21"/>
                <w:highlight w:val="none"/>
              </w:rPr>
              <w:t>X＜5</w:t>
            </w:r>
          </w:p>
        </w:tc>
      </w:tr>
      <w:tr w14:paraId="3DAC0783">
        <w:tblPrEx>
          <w:tblCellMar>
            <w:top w:w="0" w:type="dxa"/>
            <w:left w:w="108" w:type="dxa"/>
            <w:bottom w:w="0" w:type="dxa"/>
            <w:right w:w="108" w:type="dxa"/>
          </w:tblCellMar>
        </w:tblPrEx>
        <w:trPr>
          <w:trHeight w:val="355" w:hRule="atLeast"/>
          <w:jc w:val="center"/>
        </w:trPr>
        <w:tc>
          <w:tcPr>
            <w:tcW w:w="1165" w:type="pct"/>
            <w:vMerge w:val="continue"/>
            <w:tcBorders>
              <w:top w:val="nil"/>
              <w:left w:val="single" w:color="auto" w:sz="4" w:space="0"/>
              <w:bottom w:val="single" w:color="auto" w:sz="4" w:space="0"/>
              <w:right w:val="single" w:color="auto" w:sz="4" w:space="0"/>
            </w:tcBorders>
            <w:noWrap w:val="0"/>
            <w:vAlign w:val="center"/>
          </w:tcPr>
          <w:p w14:paraId="54FE0310">
            <w:pPr>
              <w:widowControl/>
              <w:jc w:val="left"/>
              <w:rPr>
                <w:rFonts w:hint="eastAsia" w:ascii="宋体" w:hAnsi="宋体" w:cs="宋体"/>
                <w:b/>
                <w:bCs/>
                <w:kern w:val="0"/>
                <w:szCs w:val="21"/>
                <w:highlight w:val="none"/>
              </w:rPr>
            </w:pPr>
          </w:p>
        </w:tc>
        <w:tc>
          <w:tcPr>
            <w:tcW w:w="794" w:type="pct"/>
            <w:tcBorders>
              <w:top w:val="nil"/>
              <w:left w:val="nil"/>
              <w:bottom w:val="single" w:color="auto" w:sz="4" w:space="0"/>
              <w:right w:val="single" w:color="auto" w:sz="4" w:space="0"/>
            </w:tcBorders>
            <w:noWrap w:val="0"/>
            <w:vAlign w:val="center"/>
          </w:tcPr>
          <w:p w14:paraId="3B685F83">
            <w:pPr>
              <w:widowControl/>
              <w:jc w:val="left"/>
              <w:rPr>
                <w:rFonts w:hint="eastAsia" w:ascii="宋体" w:hAnsi="宋体" w:cs="宋体"/>
                <w:kern w:val="0"/>
                <w:szCs w:val="21"/>
                <w:highlight w:val="none"/>
              </w:rPr>
            </w:pPr>
            <w:r>
              <w:rPr>
                <w:rFonts w:hint="eastAsia" w:ascii="宋体" w:hAnsi="宋体" w:cs="宋体"/>
                <w:kern w:val="0"/>
                <w:szCs w:val="21"/>
                <w:highlight w:val="none"/>
              </w:rPr>
              <w:t>营业收入（Y）</w:t>
            </w:r>
          </w:p>
        </w:tc>
        <w:tc>
          <w:tcPr>
            <w:tcW w:w="614" w:type="pct"/>
            <w:tcBorders>
              <w:top w:val="nil"/>
              <w:left w:val="nil"/>
              <w:bottom w:val="single" w:color="auto" w:sz="4" w:space="0"/>
              <w:right w:val="single" w:color="auto" w:sz="4" w:space="0"/>
            </w:tcBorders>
            <w:noWrap w:val="0"/>
            <w:vAlign w:val="center"/>
          </w:tcPr>
          <w:p w14:paraId="4798F037">
            <w:pPr>
              <w:widowControl/>
              <w:jc w:val="left"/>
              <w:rPr>
                <w:rFonts w:hint="eastAsia" w:ascii="宋体" w:hAnsi="宋体" w:cs="宋体"/>
                <w:kern w:val="0"/>
                <w:szCs w:val="21"/>
                <w:highlight w:val="none"/>
              </w:rPr>
            </w:pPr>
            <w:r>
              <w:rPr>
                <w:rFonts w:hint="eastAsia" w:ascii="宋体" w:hAnsi="宋体" w:cs="宋体"/>
                <w:kern w:val="0"/>
                <w:szCs w:val="21"/>
                <w:highlight w:val="none"/>
              </w:rPr>
              <w:t>万元</w:t>
            </w:r>
          </w:p>
        </w:tc>
        <w:tc>
          <w:tcPr>
            <w:tcW w:w="960" w:type="pct"/>
            <w:tcBorders>
              <w:top w:val="nil"/>
              <w:left w:val="nil"/>
              <w:bottom w:val="single" w:color="auto" w:sz="4" w:space="0"/>
              <w:right w:val="single" w:color="auto" w:sz="4" w:space="0"/>
            </w:tcBorders>
            <w:noWrap w:val="0"/>
            <w:vAlign w:val="center"/>
          </w:tcPr>
          <w:p w14:paraId="653D0900">
            <w:pPr>
              <w:widowControl/>
              <w:jc w:val="left"/>
              <w:rPr>
                <w:rFonts w:hint="eastAsia" w:ascii="宋体" w:hAnsi="宋体" w:cs="宋体"/>
                <w:kern w:val="0"/>
                <w:szCs w:val="21"/>
                <w:highlight w:val="none"/>
              </w:rPr>
            </w:pPr>
            <w:r>
              <w:rPr>
                <w:rFonts w:hint="eastAsia" w:ascii="宋体" w:hAnsi="宋体" w:cs="宋体"/>
                <w:kern w:val="0"/>
                <w:szCs w:val="21"/>
                <w:highlight w:val="none"/>
              </w:rPr>
              <w:t>5000≤Y＜40000</w:t>
            </w:r>
          </w:p>
        </w:tc>
        <w:tc>
          <w:tcPr>
            <w:tcW w:w="850" w:type="pct"/>
            <w:tcBorders>
              <w:top w:val="nil"/>
              <w:left w:val="nil"/>
              <w:bottom w:val="single" w:color="auto" w:sz="4" w:space="0"/>
              <w:right w:val="single" w:color="auto" w:sz="4" w:space="0"/>
            </w:tcBorders>
            <w:noWrap w:val="0"/>
            <w:vAlign w:val="center"/>
          </w:tcPr>
          <w:p w14:paraId="21318CBC">
            <w:pPr>
              <w:widowControl/>
              <w:jc w:val="left"/>
              <w:rPr>
                <w:rFonts w:hint="eastAsia" w:ascii="宋体" w:hAnsi="宋体" w:cs="宋体"/>
                <w:kern w:val="0"/>
                <w:szCs w:val="21"/>
                <w:highlight w:val="none"/>
              </w:rPr>
            </w:pPr>
            <w:r>
              <w:rPr>
                <w:rFonts w:hint="eastAsia" w:ascii="宋体" w:hAnsi="宋体" w:cs="宋体"/>
                <w:kern w:val="0"/>
                <w:szCs w:val="21"/>
                <w:highlight w:val="none"/>
              </w:rPr>
              <w:t>1000≤Y＜5000</w:t>
            </w:r>
          </w:p>
        </w:tc>
        <w:tc>
          <w:tcPr>
            <w:tcW w:w="613" w:type="pct"/>
            <w:tcBorders>
              <w:top w:val="nil"/>
              <w:left w:val="nil"/>
              <w:bottom w:val="single" w:color="auto" w:sz="4" w:space="0"/>
              <w:right w:val="single" w:color="auto" w:sz="4" w:space="0"/>
            </w:tcBorders>
            <w:noWrap w:val="0"/>
            <w:vAlign w:val="center"/>
          </w:tcPr>
          <w:p w14:paraId="2FF36D89">
            <w:pPr>
              <w:widowControl/>
              <w:jc w:val="left"/>
              <w:rPr>
                <w:rFonts w:hint="eastAsia" w:ascii="宋体" w:hAnsi="宋体" w:cs="宋体"/>
                <w:kern w:val="0"/>
                <w:szCs w:val="21"/>
                <w:highlight w:val="none"/>
              </w:rPr>
            </w:pPr>
            <w:r>
              <w:rPr>
                <w:rFonts w:hint="eastAsia" w:ascii="宋体" w:hAnsi="宋体" w:cs="宋体"/>
                <w:kern w:val="0"/>
                <w:szCs w:val="21"/>
                <w:highlight w:val="none"/>
              </w:rPr>
              <w:t>Y＜1000</w:t>
            </w:r>
          </w:p>
        </w:tc>
      </w:tr>
      <w:tr w14:paraId="46A603C5">
        <w:tblPrEx>
          <w:tblCellMar>
            <w:top w:w="0" w:type="dxa"/>
            <w:left w:w="108" w:type="dxa"/>
            <w:bottom w:w="0" w:type="dxa"/>
            <w:right w:w="108" w:type="dxa"/>
          </w:tblCellMar>
        </w:tblPrEx>
        <w:trPr>
          <w:trHeight w:val="355" w:hRule="atLeast"/>
          <w:jc w:val="center"/>
        </w:trPr>
        <w:tc>
          <w:tcPr>
            <w:tcW w:w="1165" w:type="pct"/>
            <w:vMerge w:val="restart"/>
            <w:tcBorders>
              <w:top w:val="nil"/>
              <w:left w:val="single" w:color="auto" w:sz="4" w:space="0"/>
              <w:bottom w:val="single" w:color="auto" w:sz="4" w:space="0"/>
              <w:right w:val="single" w:color="auto" w:sz="4" w:space="0"/>
            </w:tcBorders>
            <w:noWrap w:val="0"/>
            <w:vAlign w:val="bottom"/>
          </w:tcPr>
          <w:p w14:paraId="1F351E51">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零售业</w:t>
            </w:r>
          </w:p>
        </w:tc>
        <w:tc>
          <w:tcPr>
            <w:tcW w:w="794" w:type="pct"/>
            <w:tcBorders>
              <w:top w:val="nil"/>
              <w:left w:val="nil"/>
              <w:bottom w:val="single" w:color="auto" w:sz="4" w:space="0"/>
              <w:right w:val="single" w:color="auto" w:sz="4" w:space="0"/>
            </w:tcBorders>
            <w:noWrap w:val="0"/>
            <w:vAlign w:val="center"/>
          </w:tcPr>
          <w:p w14:paraId="4D06EB3E">
            <w:pPr>
              <w:widowControl/>
              <w:jc w:val="left"/>
              <w:rPr>
                <w:rFonts w:hint="eastAsia" w:ascii="宋体" w:hAnsi="宋体" w:cs="宋体"/>
                <w:kern w:val="0"/>
                <w:szCs w:val="21"/>
                <w:highlight w:val="none"/>
              </w:rPr>
            </w:pPr>
            <w:r>
              <w:rPr>
                <w:rFonts w:hint="eastAsia" w:ascii="宋体" w:hAnsi="宋体" w:cs="宋体"/>
                <w:kern w:val="0"/>
                <w:szCs w:val="21"/>
                <w:highlight w:val="none"/>
              </w:rPr>
              <w:t>从业人员（X）</w:t>
            </w:r>
          </w:p>
        </w:tc>
        <w:tc>
          <w:tcPr>
            <w:tcW w:w="614" w:type="pct"/>
            <w:tcBorders>
              <w:top w:val="nil"/>
              <w:left w:val="nil"/>
              <w:bottom w:val="single" w:color="auto" w:sz="4" w:space="0"/>
              <w:right w:val="single" w:color="auto" w:sz="4" w:space="0"/>
            </w:tcBorders>
            <w:noWrap w:val="0"/>
            <w:vAlign w:val="center"/>
          </w:tcPr>
          <w:p w14:paraId="43C48304">
            <w:pPr>
              <w:widowControl/>
              <w:jc w:val="left"/>
              <w:rPr>
                <w:rFonts w:hint="eastAsia" w:ascii="宋体" w:hAnsi="宋体" w:cs="宋体"/>
                <w:kern w:val="0"/>
                <w:szCs w:val="21"/>
                <w:highlight w:val="none"/>
              </w:rPr>
            </w:pPr>
            <w:r>
              <w:rPr>
                <w:rFonts w:hint="eastAsia" w:ascii="宋体" w:hAnsi="宋体" w:cs="宋体"/>
                <w:kern w:val="0"/>
                <w:szCs w:val="21"/>
                <w:highlight w:val="none"/>
              </w:rPr>
              <w:t>人</w:t>
            </w:r>
          </w:p>
        </w:tc>
        <w:tc>
          <w:tcPr>
            <w:tcW w:w="960" w:type="pct"/>
            <w:tcBorders>
              <w:top w:val="nil"/>
              <w:left w:val="nil"/>
              <w:bottom w:val="single" w:color="auto" w:sz="4" w:space="0"/>
              <w:right w:val="single" w:color="auto" w:sz="4" w:space="0"/>
            </w:tcBorders>
            <w:noWrap w:val="0"/>
            <w:vAlign w:val="center"/>
          </w:tcPr>
          <w:p w14:paraId="2A692EA4">
            <w:pPr>
              <w:widowControl/>
              <w:jc w:val="left"/>
              <w:rPr>
                <w:rFonts w:hint="eastAsia" w:ascii="宋体" w:hAnsi="宋体" w:cs="宋体"/>
                <w:kern w:val="0"/>
                <w:szCs w:val="21"/>
                <w:highlight w:val="none"/>
              </w:rPr>
            </w:pPr>
            <w:r>
              <w:rPr>
                <w:rFonts w:hint="eastAsia" w:ascii="宋体" w:hAnsi="宋体" w:cs="宋体"/>
                <w:kern w:val="0"/>
                <w:szCs w:val="21"/>
                <w:highlight w:val="none"/>
              </w:rPr>
              <w:t>50≤X＜300</w:t>
            </w:r>
          </w:p>
        </w:tc>
        <w:tc>
          <w:tcPr>
            <w:tcW w:w="850" w:type="pct"/>
            <w:tcBorders>
              <w:top w:val="nil"/>
              <w:left w:val="nil"/>
              <w:bottom w:val="single" w:color="auto" w:sz="4" w:space="0"/>
              <w:right w:val="single" w:color="auto" w:sz="4" w:space="0"/>
            </w:tcBorders>
            <w:noWrap w:val="0"/>
            <w:vAlign w:val="center"/>
          </w:tcPr>
          <w:p w14:paraId="440F14EE">
            <w:pPr>
              <w:widowControl/>
              <w:jc w:val="left"/>
              <w:rPr>
                <w:rFonts w:hint="eastAsia" w:ascii="宋体" w:hAnsi="宋体" w:cs="宋体"/>
                <w:kern w:val="0"/>
                <w:szCs w:val="21"/>
                <w:highlight w:val="none"/>
              </w:rPr>
            </w:pPr>
            <w:r>
              <w:rPr>
                <w:rFonts w:hint="eastAsia" w:ascii="宋体" w:hAnsi="宋体" w:cs="宋体"/>
                <w:kern w:val="0"/>
                <w:szCs w:val="21"/>
                <w:highlight w:val="none"/>
              </w:rPr>
              <w:t>10≤X＜50</w:t>
            </w:r>
          </w:p>
        </w:tc>
        <w:tc>
          <w:tcPr>
            <w:tcW w:w="613" w:type="pct"/>
            <w:tcBorders>
              <w:top w:val="nil"/>
              <w:left w:val="nil"/>
              <w:bottom w:val="single" w:color="auto" w:sz="4" w:space="0"/>
              <w:right w:val="single" w:color="auto" w:sz="4" w:space="0"/>
            </w:tcBorders>
            <w:noWrap w:val="0"/>
            <w:vAlign w:val="center"/>
          </w:tcPr>
          <w:p w14:paraId="4B970697">
            <w:pPr>
              <w:widowControl/>
              <w:jc w:val="left"/>
              <w:rPr>
                <w:rFonts w:hint="eastAsia" w:ascii="宋体" w:hAnsi="宋体" w:cs="宋体"/>
                <w:kern w:val="0"/>
                <w:szCs w:val="21"/>
                <w:highlight w:val="none"/>
              </w:rPr>
            </w:pPr>
            <w:r>
              <w:rPr>
                <w:rFonts w:hint="eastAsia" w:ascii="宋体" w:hAnsi="宋体" w:cs="宋体"/>
                <w:kern w:val="0"/>
                <w:szCs w:val="21"/>
                <w:highlight w:val="none"/>
              </w:rPr>
              <w:t>X＜10</w:t>
            </w:r>
          </w:p>
        </w:tc>
      </w:tr>
      <w:tr w14:paraId="375F2362">
        <w:tblPrEx>
          <w:tblCellMar>
            <w:top w:w="0" w:type="dxa"/>
            <w:left w:w="108" w:type="dxa"/>
            <w:bottom w:w="0" w:type="dxa"/>
            <w:right w:w="108" w:type="dxa"/>
          </w:tblCellMar>
        </w:tblPrEx>
        <w:trPr>
          <w:trHeight w:val="355" w:hRule="atLeast"/>
          <w:jc w:val="center"/>
        </w:trPr>
        <w:tc>
          <w:tcPr>
            <w:tcW w:w="1165" w:type="pct"/>
            <w:vMerge w:val="continue"/>
            <w:tcBorders>
              <w:top w:val="nil"/>
              <w:left w:val="single" w:color="auto" w:sz="4" w:space="0"/>
              <w:bottom w:val="single" w:color="auto" w:sz="4" w:space="0"/>
              <w:right w:val="single" w:color="auto" w:sz="4" w:space="0"/>
            </w:tcBorders>
            <w:noWrap w:val="0"/>
            <w:vAlign w:val="center"/>
          </w:tcPr>
          <w:p w14:paraId="166FE3C2">
            <w:pPr>
              <w:widowControl/>
              <w:jc w:val="left"/>
              <w:rPr>
                <w:rFonts w:hint="eastAsia" w:ascii="宋体" w:hAnsi="宋体" w:cs="宋体"/>
                <w:b/>
                <w:bCs/>
                <w:kern w:val="0"/>
                <w:szCs w:val="21"/>
                <w:highlight w:val="none"/>
              </w:rPr>
            </w:pPr>
          </w:p>
        </w:tc>
        <w:tc>
          <w:tcPr>
            <w:tcW w:w="794" w:type="pct"/>
            <w:tcBorders>
              <w:top w:val="nil"/>
              <w:left w:val="nil"/>
              <w:bottom w:val="single" w:color="auto" w:sz="4" w:space="0"/>
              <w:right w:val="single" w:color="auto" w:sz="4" w:space="0"/>
            </w:tcBorders>
            <w:noWrap w:val="0"/>
            <w:vAlign w:val="center"/>
          </w:tcPr>
          <w:p w14:paraId="75546766">
            <w:pPr>
              <w:widowControl/>
              <w:jc w:val="left"/>
              <w:rPr>
                <w:rFonts w:hint="eastAsia" w:ascii="宋体" w:hAnsi="宋体" w:cs="宋体"/>
                <w:kern w:val="0"/>
                <w:szCs w:val="21"/>
                <w:highlight w:val="none"/>
              </w:rPr>
            </w:pPr>
            <w:r>
              <w:rPr>
                <w:rFonts w:hint="eastAsia" w:ascii="宋体" w:hAnsi="宋体" w:cs="宋体"/>
                <w:kern w:val="0"/>
                <w:szCs w:val="21"/>
                <w:highlight w:val="none"/>
              </w:rPr>
              <w:t>营业收入（Y）</w:t>
            </w:r>
          </w:p>
        </w:tc>
        <w:tc>
          <w:tcPr>
            <w:tcW w:w="614" w:type="pct"/>
            <w:tcBorders>
              <w:top w:val="nil"/>
              <w:left w:val="nil"/>
              <w:bottom w:val="single" w:color="auto" w:sz="4" w:space="0"/>
              <w:right w:val="single" w:color="auto" w:sz="4" w:space="0"/>
            </w:tcBorders>
            <w:noWrap w:val="0"/>
            <w:vAlign w:val="center"/>
          </w:tcPr>
          <w:p w14:paraId="77877BB5">
            <w:pPr>
              <w:widowControl/>
              <w:jc w:val="left"/>
              <w:rPr>
                <w:rFonts w:hint="eastAsia" w:ascii="宋体" w:hAnsi="宋体" w:cs="宋体"/>
                <w:kern w:val="0"/>
                <w:szCs w:val="21"/>
                <w:highlight w:val="none"/>
              </w:rPr>
            </w:pPr>
            <w:r>
              <w:rPr>
                <w:rFonts w:hint="eastAsia" w:ascii="宋体" w:hAnsi="宋体" w:cs="宋体"/>
                <w:kern w:val="0"/>
                <w:szCs w:val="21"/>
                <w:highlight w:val="none"/>
              </w:rPr>
              <w:t>万元</w:t>
            </w:r>
          </w:p>
        </w:tc>
        <w:tc>
          <w:tcPr>
            <w:tcW w:w="960" w:type="pct"/>
            <w:tcBorders>
              <w:top w:val="nil"/>
              <w:left w:val="nil"/>
              <w:bottom w:val="single" w:color="auto" w:sz="4" w:space="0"/>
              <w:right w:val="single" w:color="auto" w:sz="4" w:space="0"/>
            </w:tcBorders>
            <w:noWrap w:val="0"/>
            <w:vAlign w:val="center"/>
          </w:tcPr>
          <w:p w14:paraId="26CA4799">
            <w:pPr>
              <w:widowControl/>
              <w:jc w:val="left"/>
              <w:rPr>
                <w:rFonts w:hint="eastAsia" w:ascii="宋体" w:hAnsi="宋体" w:cs="宋体"/>
                <w:kern w:val="0"/>
                <w:szCs w:val="21"/>
                <w:highlight w:val="none"/>
              </w:rPr>
            </w:pPr>
            <w:r>
              <w:rPr>
                <w:rFonts w:hint="eastAsia" w:ascii="宋体" w:hAnsi="宋体" w:cs="宋体"/>
                <w:kern w:val="0"/>
                <w:szCs w:val="21"/>
                <w:highlight w:val="none"/>
              </w:rPr>
              <w:t>500≤Y＜20000</w:t>
            </w:r>
          </w:p>
        </w:tc>
        <w:tc>
          <w:tcPr>
            <w:tcW w:w="850" w:type="pct"/>
            <w:tcBorders>
              <w:top w:val="nil"/>
              <w:left w:val="nil"/>
              <w:bottom w:val="single" w:color="auto" w:sz="4" w:space="0"/>
              <w:right w:val="single" w:color="auto" w:sz="4" w:space="0"/>
            </w:tcBorders>
            <w:noWrap w:val="0"/>
            <w:vAlign w:val="center"/>
          </w:tcPr>
          <w:p w14:paraId="2E32B12B">
            <w:pPr>
              <w:widowControl/>
              <w:jc w:val="left"/>
              <w:rPr>
                <w:rFonts w:hint="eastAsia" w:ascii="宋体" w:hAnsi="宋体" w:cs="宋体"/>
                <w:kern w:val="0"/>
                <w:szCs w:val="21"/>
                <w:highlight w:val="none"/>
              </w:rPr>
            </w:pPr>
            <w:r>
              <w:rPr>
                <w:rFonts w:hint="eastAsia" w:ascii="宋体" w:hAnsi="宋体" w:cs="宋体"/>
                <w:kern w:val="0"/>
                <w:szCs w:val="21"/>
                <w:highlight w:val="none"/>
              </w:rPr>
              <w:t>100≤Y＜500</w:t>
            </w:r>
          </w:p>
        </w:tc>
        <w:tc>
          <w:tcPr>
            <w:tcW w:w="613" w:type="pct"/>
            <w:tcBorders>
              <w:top w:val="nil"/>
              <w:left w:val="nil"/>
              <w:bottom w:val="single" w:color="auto" w:sz="4" w:space="0"/>
              <w:right w:val="single" w:color="auto" w:sz="4" w:space="0"/>
            </w:tcBorders>
            <w:noWrap w:val="0"/>
            <w:vAlign w:val="center"/>
          </w:tcPr>
          <w:p w14:paraId="3C300AED">
            <w:pPr>
              <w:widowControl/>
              <w:jc w:val="left"/>
              <w:rPr>
                <w:rFonts w:hint="eastAsia" w:ascii="宋体" w:hAnsi="宋体" w:cs="宋体"/>
                <w:kern w:val="0"/>
                <w:szCs w:val="21"/>
                <w:highlight w:val="none"/>
              </w:rPr>
            </w:pPr>
            <w:r>
              <w:rPr>
                <w:rFonts w:hint="eastAsia" w:ascii="宋体" w:hAnsi="宋体" w:cs="宋体"/>
                <w:kern w:val="0"/>
                <w:szCs w:val="21"/>
                <w:highlight w:val="none"/>
              </w:rPr>
              <w:t>Y＜100</w:t>
            </w:r>
          </w:p>
        </w:tc>
      </w:tr>
      <w:tr w14:paraId="1498570E">
        <w:tblPrEx>
          <w:tblCellMar>
            <w:top w:w="0" w:type="dxa"/>
            <w:left w:w="108" w:type="dxa"/>
            <w:bottom w:w="0" w:type="dxa"/>
            <w:right w:w="108" w:type="dxa"/>
          </w:tblCellMar>
        </w:tblPrEx>
        <w:trPr>
          <w:trHeight w:val="355" w:hRule="atLeast"/>
          <w:jc w:val="center"/>
        </w:trPr>
        <w:tc>
          <w:tcPr>
            <w:tcW w:w="1165" w:type="pct"/>
            <w:vMerge w:val="restart"/>
            <w:tcBorders>
              <w:top w:val="nil"/>
              <w:left w:val="single" w:color="auto" w:sz="4" w:space="0"/>
              <w:bottom w:val="single" w:color="auto" w:sz="4" w:space="0"/>
              <w:right w:val="single" w:color="auto" w:sz="4" w:space="0"/>
            </w:tcBorders>
            <w:noWrap w:val="0"/>
            <w:vAlign w:val="bottom"/>
          </w:tcPr>
          <w:p w14:paraId="6005ECDC">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交通运输业</w:t>
            </w:r>
          </w:p>
        </w:tc>
        <w:tc>
          <w:tcPr>
            <w:tcW w:w="794" w:type="pct"/>
            <w:tcBorders>
              <w:top w:val="nil"/>
              <w:left w:val="nil"/>
              <w:bottom w:val="single" w:color="auto" w:sz="4" w:space="0"/>
              <w:right w:val="single" w:color="auto" w:sz="4" w:space="0"/>
            </w:tcBorders>
            <w:noWrap w:val="0"/>
            <w:vAlign w:val="center"/>
          </w:tcPr>
          <w:p w14:paraId="1BA2CB04">
            <w:pPr>
              <w:widowControl/>
              <w:jc w:val="left"/>
              <w:rPr>
                <w:rFonts w:hint="eastAsia" w:ascii="宋体" w:hAnsi="宋体" w:cs="宋体"/>
                <w:kern w:val="0"/>
                <w:szCs w:val="21"/>
                <w:highlight w:val="none"/>
              </w:rPr>
            </w:pPr>
            <w:r>
              <w:rPr>
                <w:rFonts w:hint="eastAsia" w:ascii="宋体" w:hAnsi="宋体" w:cs="宋体"/>
                <w:kern w:val="0"/>
                <w:szCs w:val="21"/>
                <w:highlight w:val="none"/>
              </w:rPr>
              <w:t>从业人员（X）</w:t>
            </w:r>
          </w:p>
        </w:tc>
        <w:tc>
          <w:tcPr>
            <w:tcW w:w="614" w:type="pct"/>
            <w:tcBorders>
              <w:top w:val="nil"/>
              <w:left w:val="nil"/>
              <w:bottom w:val="single" w:color="auto" w:sz="4" w:space="0"/>
              <w:right w:val="single" w:color="auto" w:sz="4" w:space="0"/>
            </w:tcBorders>
            <w:noWrap w:val="0"/>
            <w:vAlign w:val="center"/>
          </w:tcPr>
          <w:p w14:paraId="2BB02818">
            <w:pPr>
              <w:widowControl/>
              <w:jc w:val="left"/>
              <w:rPr>
                <w:rFonts w:hint="eastAsia" w:ascii="宋体" w:hAnsi="宋体" w:cs="宋体"/>
                <w:kern w:val="0"/>
                <w:szCs w:val="21"/>
                <w:highlight w:val="none"/>
              </w:rPr>
            </w:pPr>
            <w:r>
              <w:rPr>
                <w:rFonts w:hint="eastAsia" w:ascii="宋体" w:hAnsi="宋体" w:cs="宋体"/>
                <w:kern w:val="0"/>
                <w:szCs w:val="21"/>
                <w:highlight w:val="none"/>
              </w:rPr>
              <w:t>人</w:t>
            </w:r>
          </w:p>
        </w:tc>
        <w:tc>
          <w:tcPr>
            <w:tcW w:w="960" w:type="pct"/>
            <w:tcBorders>
              <w:top w:val="nil"/>
              <w:left w:val="nil"/>
              <w:bottom w:val="single" w:color="auto" w:sz="4" w:space="0"/>
              <w:right w:val="single" w:color="auto" w:sz="4" w:space="0"/>
            </w:tcBorders>
            <w:noWrap w:val="0"/>
            <w:vAlign w:val="center"/>
          </w:tcPr>
          <w:p w14:paraId="0E90AC84">
            <w:pPr>
              <w:widowControl/>
              <w:jc w:val="left"/>
              <w:rPr>
                <w:rFonts w:hint="eastAsia" w:ascii="宋体" w:hAnsi="宋体" w:cs="宋体"/>
                <w:kern w:val="0"/>
                <w:szCs w:val="21"/>
                <w:highlight w:val="none"/>
              </w:rPr>
            </w:pPr>
            <w:r>
              <w:rPr>
                <w:rFonts w:hint="eastAsia" w:ascii="宋体" w:hAnsi="宋体" w:cs="宋体"/>
                <w:kern w:val="0"/>
                <w:szCs w:val="21"/>
                <w:highlight w:val="none"/>
              </w:rPr>
              <w:t>300≤X＜1000</w:t>
            </w:r>
          </w:p>
        </w:tc>
        <w:tc>
          <w:tcPr>
            <w:tcW w:w="850" w:type="pct"/>
            <w:tcBorders>
              <w:top w:val="nil"/>
              <w:left w:val="nil"/>
              <w:bottom w:val="single" w:color="auto" w:sz="4" w:space="0"/>
              <w:right w:val="single" w:color="auto" w:sz="4" w:space="0"/>
            </w:tcBorders>
            <w:noWrap w:val="0"/>
            <w:vAlign w:val="center"/>
          </w:tcPr>
          <w:p w14:paraId="62348E3E">
            <w:pPr>
              <w:widowControl/>
              <w:jc w:val="left"/>
              <w:rPr>
                <w:rFonts w:hint="eastAsia" w:ascii="宋体" w:hAnsi="宋体" w:cs="宋体"/>
                <w:kern w:val="0"/>
                <w:szCs w:val="21"/>
                <w:highlight w:val="none"/>
              </w:rPr>
            </w:pPr>
            <w:r>
              <w:rPr>
                <w:rFonts w:hint="eastAsia" w:ascii="宋体" w:hAnsi="宋体" w:cs="宋体"/>
                <w:kern w:val="0"/>
                <w:szCs w:val="21"/>
                <w:highlight w:val="none"/>
              </w:rPr>
              <w:t>20≤X＜300</w:t>
            </w:r>
          </w:p>
        </w:tc>
        <w:tc>
          <w:tcPr>
            <w:tcW w:w="613" w:type="pct"/>
            <w:tcBorders>
              <w:top w:val="nil"/>
              <w:left w:val="nil"/>
              <w:bottom w:val="single" w:color="auto" w:sz="4" w:space="0"/>
              <w:right w:val="single" w:color="auto" w:sz="4" w:space="0"/>
            </w:tcBorders>
            <w:noWrap w:val="0"/>
            <w:vAlign w:val="center"/>
          </w:tcPr>
          <w:p w14:paraId="161B37E9">
            <w:pPr>
              <w:widowControl/>
              <w:jc w:val="left"/>
              <w:rPr>
                <w:rFonts w:hint="eastAsia" w:ascii="宋体" w:hAnsi="宋体" w:cs="宋体"/>
                <w:kern w:val="0"/>
                <w:szCs w:val="21"/>
                <w:highlight w:val="none"/>
              </w:rPr>
            </w:pPr>
            <w:r>
              <w:rPr>
                <w:rFonts w:hint="eastAsia" w:ascii="宋体" w:hAnsi="宋体" w:cs="宋体"/>
                <w:kern w:val="0"/>
                <w:szCs w:val="21"/>
                <w:highlight w:val="none"/>
              </w:rPr>
              <w:t>X＜20</w:t>
            </w:r>
          </w:p>
        </w:tc>
      </w:tr>
      <w:tr w14:paraId="00EC9CB5">
        <w:tblPrEx>
          <w:tblCellMar>
            <w:top w:w="0" w:type="dxa"/>
            <w:left w:w="108" w:type="dxa"/>
            <w:bottom w:w="0" w:type="dxa"/>
            <w:right w:w="108" w:type="dxa"/>
          </w:tblCellMar>
        </w:tblPrEx>
        <w:trPr>
          <w:trHeight w:val="355" w:hRule="atLeast"/>
          <w:jc w:val="center"/>
        </w:trPr>
        <w:tc>
          <w:tcPr>
            <w:tcW w:w="1165" w:type="pct"/>
            <w:vMerge w:val="continue"/>
            <w:tcBorders>
              <w:top w:val="nil"/>
              <w:left w:val="single" w:color="auto" w:sz="4" w:space="0"/>
              <w:bottom w:val="single" w:color="auto" w:sz="4" w:space="0"/>
              <w:right w:val="single" w:color="auto" w:sz="4" w:space="0"/>
            </w:tcBorders>
            <w:noWrap w:val="0"/>
            <w:vAlign w:val="center"/>
          </w:tcPr>
          <w:p w14:paraId="1CF01DCB">
            <w:pPr>
              <w:widowControl/>
              <w:jc w:val="left"/>
              <w:rPr>
                <w:rFonts w:hint="eastAsia" w:ascii="宋体" w:hAnsi="宋体" w:cs="宋体"/>
                <w:b/>
                <w:bCs/>
                <w:kern w:val="0"/>
                <w:szCs w:val="21"/>
                <w:highlight w:val="none"/>
              </w:rPr>
            </w:pPr>
          </w:p>
        </w:tc>
        <w:tc>
          <w:tcPr>
            <w:tcW w:w="794" w:type="pct"/>
            <w:tcBorders>
              <w:top w:val="nil"/>
              <w:left w:val="nil"/>
              <w:bottom w:val="single" w:color="auto" w:sz="4" w:space="0"/>
              <w:right w:val="single" w:color="auto" w:sz="4" w:space="0"/>
            </w:tcBorders>
            <w:noWrap w:val="0"/>
            <w:vAlign w:val="center"/>
          </w:tcPr>
          <w:p w14:paraId="3311DC8F">
            <w:pPr>
              <w:widowControl/>
              <w:jc w:val="left"/>
              <w:rPr>
                <w:rFonts w:hint="eastAsia" w:ascii="宋体" w:hAnsi="宋体" w:cs="宋体"/>
                <w:kern w:val="0"/>
                <w:szCs w:val="21"/>
                <w:highlight w:val="none"/>
              </w:rPr>
            </w:pPr>
            <w:r>
              <w:rPr>
                <w:rFonts w:hint="eastAsia" w:ascii="宋体" w:hAnsi="宋体" w:cs="宋体"/>
                <w:kern w:val="0"/>
                <w:szCs w:val="21"/>
                <w:highlight w:val="none"/>
              </w:rPr>
              <w:t>营业收入（Y）</w:t>
            </w:r>
          </w:p>
        </w:tc>
        <w:tc>
          <w:tcPr>
            <w:tcW w:w="614" w:type="pct"/>
            <w:tcBorders>
              <w:top w:val="nil"/>
              <w:left w:val="nil"/>
              <w:bottom w:val="single" w:color="auto" w:sz="4" w:space="0"/>
              <w:right w:val="single" w:color="auto" w:sz="4" w:space="0"/>
            </w:tcBorders>
            <w:noWrap w:val="0"/>
            <w:vAlign w:val="center"/>
          </w:tcPr>
          <w:p w14:paraId="13D515D8">
            <w:pPr>
              <w:widowControl/>
              <w:jc w:val="left"/>
              <w:rPr>
                <w:rFonts w:hint="eastAsia" w:ascii="宋体" w:hAnsi="宋体" w:cs="宋体"/>
                <w:kern w:val="0"/>
                <w:szCs w:val="21"/>
                <w:highlight w:val="none"/>
              </w:rPr>
            </w:pPr>
            <w:r>
              <w:rPr>
                <w:rFonts w:hint="eastAsia" w:ascii="宋体" w:hAnsi="宋体" w:cs="宋体"/>
                <w:kern w:val="0"/>
                <w:szCs w:val="21"/>
                <w:highlight w:val="none"/>
              </w:rPr>
              <w:t>万元</w:t>
            </w:r>
          </w:p>
        </w:tc>
        <w:tc>
          <w:tcPr>
            <w:tcW w:w="960" w:type="pct"/>
            <w:tcBorders>
              <w:top w:val="nil"/>
              <w:left w:val="nil"/>
              <w:bottom w:val="single" w:color="auto" w:sz="4" w:space="0"/>
              <w:right w:val="single" w:color="auto" w:sz="4" w:space="0"/>
            </w:tcBorders>
            <w:noWrap w:val="0"/>
            <w:vAlign w:val="center"/>
          </w:tcPr>
          <w:p w14:paraId="17A3CBD2">
            <w:pPr>
              <w:widowControl/>
              <w:jc w:val="left"/>
              <w:rPr>
                <w:rFonts w:hint="eastAsia" w:ascii="宋体" w:hAnsi="宋体" w:cs="宋体"/>
                <w:kern w:val="0"/>
                <w:szCs w:val="21"/>
                <w:highlight w:val="none"/>
              </w:rPr>
            </w:pPr>
            <w:r>
              <w:rPr>
                <w:rFonts w:hint="eastAsia" w:ascii="宋体" w:hAnsi="宋体" w:cs="宋体"/>
                <w:kern w:val="0"/>
                <w:szCs w:val="21"/>
                <w:highlight w:val="none"/>
              </w:rPr>
              <w:t>3000≤Y＜30000</w:t>
            </w:r>
          </w:p>
        </w:tc>
        <w:tc>
          <w:tcPr>
            <w:tcW w:w="850" w:type="pct"/>
            <w:tcBorders>
              <w:top w:val="nil"/>
              <w:left w:val="nil"/>
              <w:bottom w:val="single" w:color="auto" w:sz="4" w:space="0"/>
              <w:right w:val="single" w:color="auto" w:sz="4" w:space="0"/>
            </w:tcBorders>
            <w:noWrap w:val="0"/>
            <w:vAlign w:val="center"/>
          </w:tcPr>
          <w:p w14:paraId="7521666A">
            <w:pPr>
              <w:widowControl/>
              <w:jc w:val="left"/>
              <w:rPr>
                <w:rFonts w:hint="eastAsia" w:ascii="宋体" w:hAnsi="宋体" w:cs="宋体"/>
                <w:kern w:val="0"/>
                <w:szCs w:val="21"/>
                <w:highlight w:val="none"/>
              </w:rPr>
            </w:pPr>
            <w:r>
              <w:rPr>
                <w:rFonts w:hint="eastAsia" w:ascii="宋体" w:hAnsi="宋体" w:cs="宋体"/>
                <w:kern w:val="0"/>
                <w:szCs w:val="21"/>
                <w:highlight w:val="none"/>
              </w:rPr>
              <w:t>200≤Y＜3000</w:t>
            </w:r>
          </w:p>
        </w:tc>
        <w:tc>
          <w:tcPr>
            <w:tcW w:w="613" w:type="pct"/>
            <w:tcBorders>
              <w:top w:val="nil"/>
              <w:left w:val="nil"/>
              <w:bottom w:val="single" w:color="auto" w:sz="4" w:space="0"/>
              <w:right w:val="single" w:color="auto" w:sz="4" w:space="0"/>
            </w:tcBorders>
            <w:noWrap w:val="0"/>
            <w:vAlign w:val="center"/>
          </w:tcPr>
          <w:p w14:paraId="7C4E0E51">
            <w:pPr>
              <w:widowControl/>
              <w:jc w:val="left"/>
              <w:rPr>
                <w:rFonts w:hint="eastAsia" w:ascii="宋体" w:hAnsi="宋体" w:cs="宋体"/>
                <w:kern w:val="0"/>
                <w:szCs w:val="21"/>
                <w:highlight w:val="none"/>
              </w:rPr>
            </w:pPr>
            <w:r>
              <w:rPr>
                <w:rFonts w:hint="eastAsia" w:ascii="宋体" w:hAnsi="宋体" w:cs="宋体"/>
                <w:kern w:val="0"/>
                <w:szCs w:val="21"/>
                <w:highlight w:val="none"/>
              </w:rPr>
              <w:t>Y＜200</w:t>
            </w:r>
          </w:p>
        </w:tc>
      </w:tr>
      <w:tr w14:paraId="4EEAEB7C">
        <w:tblPrEx>
          <w:tblCellMar>
            <w:top w:w="0" w:type="dxa"/>
            <w:left w:w="108" w:type="dxa"/>
            <w:bottom w:w="0" w:type="dxa"/>
            <w:right w:w="108" w:type="dxa"/>
          </w:tblCellMar>
        </w:tblPrEx>
        <w:trPr>
          <w:trHeight w:val="355" w:hRule="atLeast"/>
          <w:jc w:val="center"/>
        </w:trPr>
        <w:tc>
          <w:tcPr>
            <w:tcW w:w="1165" w:type="pct"/>
            <w:vMerge w:val="restart"/>
            <w:tcBorders>
              <w:top w:val="nil"/>
              <w:left w:val="single" w:color="auto" w:sz="4" w:space="0"/>
              <w:bottom w:val="single" w:color="auto" w:sz="4" w:space="0"/>
              <w:right w:val="single" w:color="auto" w:sz="4" w:space="0"/>
            </w:tcBorders>
            <w:noWrap w:val="0"/>
            <w:vAlign w:val="bottom"/>
          </w:tcPr>
          <w:p w14:paraId="7C5CE618">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仓储业</w:t>
            </w:r>
          </w:p>
        </w:tc>
        <w:tc>
          <w:tcPr>
            <w:tcW w:w="794" w:type="pct"/>
            <w:tcBorders>
              <w:top w:val="nil"/>
              <w:left w:val="nil"/>
              <w:bottom w:val="single" w:color="auto" w:sz="4" w:space="0"/>
              <w:right w:val="single" w:color="auto" w:sz="4" w:space="0"/>
            </w:tcBorders>
            <w:noWrap w:val="0"/>
            <w:vAlign w:val="center"/>
          </w:tcPr>
          <w:p w14:paraId="29DE93A0">
            <w:pPr>
              <w:widowControl/>
              <w:jc w:val="left"/>
              <w:rPr>
                <w:rFonts w:hint="eastAsia" w:ascii="宋体" w:hAnsi="宋体" w:cs="宋体"/>
                <w:kern w:val="0"/>
                <w:szCs w:val="21"/>
                <w:highlight w:val="none"/>
              </w:rPr>
            </w:pPr>
            <w:r>
              <w:rPr>
                <w:rFonts w:hint="eastAsia" w:ascii="宋体" w:hAnsi="宋体" w:cs="宋体"/>
                <w:kern w:val="0"/>
                <w:szCs w:val="21"/>
                <w:highlight w:val="none"/>
              </w:rPr>
              <w:t>从业人员（X）</w:t>
            </w:r>
          </w:p>
        </w:tc>
        <w:tc>
          <w:tcPr>
            <w:tcW w:w="614" w:type="pct"/>
            <w:tcBorders>
              <w:top w:val="nil"/>
              <w:left w:val="nil"/>
              <w:bottom w:val="single" w:color="auto" w:sz="4" w:space="0"/>
              <w:right w:val="single" w:color="auto" w:sz="4" w:space="0"/>
            </w:tcBorders>
            <w:noWrap w:val="0"/>
            <w:vAlign w:val="center"/>
          </w:tcPr>
          <w:p w14:paraId="41C79C0A">
            <w:pPr>
              <w:widowControl/>
              <w:jc w:val="left"/>
              <w:rPr>
                <w:rFonts w:hint="eastAsia" w:ascii="宋体" w:hAnsi="宋体" w:cs="宋体"/>
                <w:kern w:val="0"/>
                <w:szCs w:val="21"/>
                <w:highlight w:val="none"/>
              </w:rPr>
            </w:pPr>
            <w:r>
              <w:rPr>
                <w:rFonts w:hint="eastAsia" w:ascii="宋体" w:hAnsi="宋体" w:cs="宋体"/>
                <w:kern w:val="0"/>
                <w:szCs w:val="21"/>
                <w:highlight w:val="none"/>
              </w:rPr>
              <w:t>人</w:t>
            </w:r>
          </w:p>
        </w:tc>
        <w:tc>
          <w:tcPr>
            <w:tcW w:w="960" w:type="pct"/>
            <w:tcBorders>
              <w:top w:val="nil"/>
              <w:left w:val="nil"/>
              <w:bottom w:val="single" w:color="auto" w:sz="4" w:space="0"/>
              <w:right w:val="single" w:color="auto" w:sz="4" w:space="0"/>
            </w:tcBorders>
            <w:noWrap w:val="0"/>
            <w:vAlign w:val="center"/>
          </w:tcPr>
          <w:p w14:paraId="4B8C4367">
            <w:pPr>
              <w:widowControl/>
              <w:jc w:val="left"/>
              <w:rPr>
                <w:rFonts w:hint="eastAsia" w:ascii="宋体" w:hAnsi="宋体" w:cs="宋体"/>
                <w:kern w:val="0"/>
                <w:szCs w:val="21"/>
                <w:highlight w:val="none"/>
              </w:rPr>
            </w:pPr>
            <w:r>
              <w:rPr>
                <w:rFonts w:hint="eastAsia" w:ascii="宋体" w:hAnsi="宋体" w:cs="宋体"/>
                <w:kern w:val="0"/>
                <w:szCs w:val="21"/>
                <w:highlight w:val="none"/>
              </w:rPr>
              <w:t>100≤X＜200</w:t>
            </w:r>
          </w:p>
        </w:tc>
        <w:tc>
          <w:tcPr>
            <w:tcW w:w="850" w:type="pct"/>
            <w:tcBorders>
              <w:top w:val="nil"/>
              <w:left w:val="nil"/>
              <w:bottom w:val="single" w:color="auto" w:sz="4" w:space="0"/>
              <w:right w:val="single" w:color="auto" w:sz="4" w:space="0"/>
            </w:tcBorders>
            <w:noWrap w:val="0"/>
            <w:vAlign w:val="center"/>
          </w:tcPr>
          <w:p w14:paraId="1787D6BB">
            <w:pPr>
              <w:widowControl/>
              <w:jc w:val="left"/>
              <w:rPr>
                <w:rFonts w:hint="eastAsia" w:ascii="宋体" w:hAnsi="宋体" w:cs="宋体"/>
                <w:kern w:val="0"/>
                <w:szCs w:val="21"/>
                <w:highlight w:val="none"/>
              </w:rPr>
            </w:pPr>
            <w:r>
              <w:rPr>
                <w:rFonts w:hint="eastAsia" w:ascii="宋体" w:hAnsi="宋体" w:cs="宋体"/>
                <w:kern w:val="0"/>
                <w:szCs w:val="21"/>
                <w:highlight w:val="none"/>
              </w:rPr>
              <w:t>20≤X＜100</w:t>
            </w:r>
          </w:p>
        </w:tc>
        <w:tc>
          <w:tcPr>
            <w:tcW w:w="613" w:type="pct"/>
            <w:tcBorders>
              <w:top w:val="nil"/>
              <w:left w:val="nil"/>
              <w:bottom w:val="single" w:color="auto" w:sz="4" w:space="0"/>
              <w:right w:val="single" w:color="auto" w:sz="4" w:space="0"/>
            </w:tcBorders>
            <w:noWrap w:val="0"/>
            <w:vAlign w:val="center"/>
          </w:tcPr>
          <w:p w14:paraId="3020367A">
            <w:pPr>
              <w:widowControl/>
              <w:jc w:val="left"/>
              <w:rPr>
                <w:rFonts w:hint="eastAsia" w:ascii="宋体" w:hAnsi="宋体" w:cs="宋体"/>
                <w:kern w:val="0"/>
                <w:szCs w:val="21"/>
                <w:highlight w:val="none"/>
              </w:rPr>
            </w:pPr>
            <w:r>
              <w:rPr>
                <w:rFonts w:hint="eastAsia" w:ascii="宋体" w:hAnsi="宋体" w:cs="宋体"/>
                <w:kern w:val="0"/>
                <w:szCs w:val="21"/>
                <w:highlight w:val="none"/>
              </w:rPr>
              <w:t>X＜20</w:t>
            </w:r>
          </w:p>
        </w:tc>
      </w:tr>
      <w:tr w14:paraId="327AA1E9">
        <w:tblPrEx>
          <w:tblCellMar>
            <w:top w:w="0" w:type="dxa"/>
            <w:left w:w="108" w:type="dxa"/>
            <w:bottom w:w="0" w:type="dxa"/>
            <w:right w:w="108" w:type="dxa"/>
          </w:tblCellMar>
        </w:tblPrEx>
        <w:trPr>
          <w:trHeight w:val="355" w:hRule="atLeast"/>
          <w:jc w:val="center"/>
        </w:trPr>
        <w:tc>
          <w:tcPr>
            <w:tcW w:w="1165" w:type="pct"/>
            <w:vMerge w:val="continue"/>
            <w:tcBorders>
              <w:top w:val="nil"/>
              <w:left w:val="single" w:color="auto" w:sz="4" w:space="0"/>
              <w:bottom w:val="single" w:color="auto" w:sz="4" w:space="0"/>
              <w:right w:val="single" w:color="auto" w:sz="4" w:space="0"/>
            </w:tcBorders>
            <w:noWrap w:val="0"/>
            <w:vAlign w:val="center"/>
          </w:tcPr>
          <w:p w14:paraId="537077BF">
            <w:pPr>
              <w:widowControl/>
              <w:jc w:val="left"/>
              <w:rPr>
                <w:rFonts w:hint="eastAsia" w:ascii="宋体" w:hAnsi="宋体" w:cs="宋体"/>
                <w:b/>
                <w:bCs/>
                <w:kern w:val="0"/>
                <w:szCs w:val="21"/>
                <w:highlight w:val="none"/>
              </w:rPr>
            </w:pPr>
          </w:p>
        </w:tc>
        <w:tc>
          <w:tcPr>
            <w:tcW w:w="794" w:type="pct"/>
            <w:tcBorders>
              <w:top w:val="nil"/>
              <w:left w:val="nil"/>
              <w:bottom w:val="single" w:color="auto" w:sz="4" w:space="0"/>
              <w:right w:val="single" w:color="auto" w:sz="4" w:space="0"/>
            </w:tcBorders>
            <w:noWrap w:val="0"/>
            <w:vAlign w:val="center"/>
          </w:tcPr>
          <w:p w14:paraId="368DC2E6">
            <w:pPr>
              <w:widowControl/>
              <w:jc w:val="left"/>
              <w:rPr>
                <w:rFonts w:hint="eastAsia" w:ascii="宋体" w:hAnsi="宋体" w:cs="宋体"/>
                <w:kern w:val="0"/>
                <w:szCs w:val="21"/>
                <w:highlight w:val="none"/>
              </w:rPr>
            </w:pPr>
            <w:r>
              <w:rPr>
                <w:rFonts w:hint="eastAsia" w:ascii="宋体" w:hAnsi="宋体" w:cs="宋体"/>
                <w:kern w:val="0"/>
                <w:szCs w:val="21"/>
                <w:highlight w:val="none"/>
              </w:rPr>
              <w:t>营业收入（Y）</w:t>
            </w:r>
          </w:p>
        </w:tc>
        <w:tc>
          <w:tcPr>
            <w:tcW w:w="614" w:type="pct"/>
            <w:tcBorders>
              <w:top w:val="nil"/>
              <w:left w:val="nil"/>
              <w:bottom w:val="single" w:color="auto" w:sz="4" w:space="0"/>
              <w:right w:val="single" w:color="auto" w:sz="4" w:space="0"/>
            </w:tcBorders>
            <w:noWrap w:val="0"/>
            <w:vAlign w:val="center"/>
          </w:tcPr>
          <w:p w14:paraId="674AEF17">
            <w:pPr>
              <w:widowControl/>
              <w:jc w:val="left"/>
              <w:rPr>
                <w:rFonts w:hint="eastAsia" w:ascii="宋体" w:hAnsi="宋体" w:cs="宋体"/>
                <w:kern w:val="0"/>
                <w:szCs w:val="21"/>
                <w:highlight w:val="none"/>
              </w:rPr>
            </w:pPr>
            <w:r>
              <w:rPr>
                <w:rFonts w:hint="eastAsia" w:ascii="宋体" w:hAnsi="宋体" w:cs="宋体"/>
                <w:kern w:val="0"/>
                <w:szCs w:val="21"/>
                <w:highlight w:val="none"/>
              </w:rPr>
              <w:t>万元</w:t>
            </w:r>
          </w:p>
        </w:tc>
        <w:tc>
          <w:tcPr>
            <w:tcW w:w="960" w:type="pct"/>
            <w:tcBorders>
              <w:top w:val="nil"/>
              <w:left w:val="nil"/>
              <w:bottom w:val="single" w:color="auto" w:sz="4" w:space="0"/>
              <w:right w:val="single" w:color="auto" w:sz="4" w:space="0"/>
            </w:tcBorders>
            <w:noWrap w:val="0"/>
            <w:vAlign w:val="center"/>
          </w:tcPr>
          <w:p w14:paraId="4B7D3942">
            <w:pPr>
              <w:widowControl/>
              <w:jc w:val="left"/>
              <w:rPr>
                <w:rFonts w:hint="eastAsia" w:ascii="宋体" w:hAnsi="宋体" w:cs="宋体"/>
                <w:kern w:val="0"/>
                <w:szCs w:val="21"/>
                <w:highlight w:val="none"/>
              </w:rPr>
            </w:pPr>
            <w:r>
              <w:rPr>
                <w:rFonts w:hint="eastAsia" w:ascii="宋体" w:hAnsi="宋体" w:cs="宋体"/>
                <w:kern w:val="0"/>
                <w:szCs w:val="21"/>
                <w:highlight w:val="none"/>
              </w:rPr>
              <w:t>1000≤Y＜30000</w:t>
            </w:r>
          </w:p>
        </w:tc>
        <w:tc>
          <w:tcPr>
            <w:tcW w:w="850" w:type="pct"/>
            <w:tcBorders>
              <w:top w:val="nil"/>
              <w:left w:val="nil"/>
              <w:bottom w:val="single" w:color="auto" w:sz="4" w:space="0"/>
              <w:right w:val="single" w:color="auto" w:sz="4" w:space="0"/>
            </w:tcBorders>
            <w:noWrap w:val="0"/>
            <w:vAlign w:val="center"/>
          </w:tcPr>
          <w:p w14:paraId="7C77BA9B">
            <w:pPr>
              <w:widowControl/>
              <w:jc w:val="left"/>
              <w:rPr>
                <w:rFonts w:hint="eastAsia" w:ascii="宋体" w:hAnsi="宋体" w:cs="宋体"/>
                <w:kern w:val="0"/>
                <w:szCs w:val="21"/>
                <w:highlight w:val="none"/>
              </w:rPr>
            </w:pPr>
            <w:r>
              <w:rPr>
                <w:rFonts w:hint="eastAsia" w:ascii="宋体" w:hAnsi="宋体" w:cs="宋体"/>
                <w:kern w:val="0"/>
                <w:szCs w:val="21"/>
                <w:highlight w:val="none"/>
              </w:rPr>
              <w:t>100≤Y＜1000</w:t>
            </w:r>
          </w:p>
        </w:tc>
        <w:tc>
          <w:tcPr>
            <w:tcW w:w="613" w:type="pct"/>
            <w:tcBorders>
              <w:top w:val="nil"/>
              <w:left w:val="nil"/>
              <w:bottom w:val="single" w:color="auto" w:sz="4" w:space="0"/>
              <w:right w:val="single" w:color="auto" w:sz="4" w:space="0"/>
            </w:tcBorders>
            <w:noWrap w:val="0"/>
            <w:vAlign w:val="center"/>
          </w:tcPr>
          <w:p w14:paraId="6B4858B3">
            <w:pPr>
              <w:widowControl/>
              <w:jc w:val="left"/>
              <w:rPr>
                <w:rFonts w:hint="eastAsia" w:ascii="宋体" w:hAnsi="宋体" w:cs="宋体"/>
                <w:kern w:val="0"/>
                <w:szCs w:val="21"/>
                <w:highlight w:val="none"/>
              </w:rPr>
            </w:pPr>
            <w:r>
              <w:rPr>
                <w:rFonts w:hint="eastAsia" w:ascii="宋体" w:hAnsi="宋体" w:cs="宋体"/>
                <w:kern w:val="0"/>
                <w:szCs w:val="21"/>
                <w:highlight w:val="none"/>
              </w:rPr>
              <w:t>Y＜100</w:t>
            </w:r>
          </w:p>
        </w:tc>
      </w:tr>
      <w:tr w14:paraId="3CDB3D66">
        <w:tblPrEx>
          <w:tblCellMar>
            <w:top w:w="0" w:type="dxa"/>
            <w:left w:w="108" w:type="dxa"/>
            <w:bottom w:w="0" w:type="dxa"/>
            <w:right w:w="108" w:type="dxa"/>
          </w:tblCellMar>
        </w:tblPrEx>
        <w:trPr>
          <w:trHeight w:val="355" w:hRule="atLeast"/>
          <w:jc w:val="center"/>
        </w:trPr>
        <w:tc>
          <w:tcPr>
            <w:tcW w:w="1165" w:type="pct"/>
            <w:vMerge w:val="restart"/>
            <w:tcBorders>
              <w:top w:val="nil"/>
              <w:left w:val="single" w:color="auto" w:sz="4" w:space="0"/>
              <w:bottom w:val="single" w:color="auto" w:sz="4" w:space="0"/>
              <w:right w:val="single" w:color="auto" w:sz="4" w:space="0"/>
            </w:tcBorders>
            <w:noWrap w:val="0"/>
            <w:vAlign w:val="bottom"/>
          </w:tcPr>
          <w:p w14:paraId="527EA24B">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邮政业</w:t>
            </w:r>
          </w:p>
        </w:tc>
        <w:tc>
          <w:tcPr>
            <w:tcW w:w="794" w:type="pct"/>
            <w:tcBorders>
              <w:top w:val="nil"/>
              <w:left w:val="nil"/>
              <w:bottom w:val="single" w:color="auto" w:sz="4" w:space="0"/>
              <w:right w:val="single" w:color="auto" w:sz="4" w:space="0"/>
            </w:tcBorders>
            <w:noWrap w:val="0"/>
            <w:vAlign w:val="center"/>
          </w:tcPr>
          <w:p w14:paraId="1BE46BF3">
            <w:pPr>
              <w:widowControl/>
              <w:jc w:val="left"/>
              <w:rPr>
                <w:rFonts w:hint="eastAsia" w:ascii="宋体" w:hAnsi="宋体" w:cs="宋体"/>
                <w:kern w:val="0"/>
                <w:szCs w:val="21"/>
                <w:highlight w:val="none"/>
              </w:rPr>
            </w:pPr>
            <w:r>
              <w:rPr>
                <w:rFonts w:hint="eastAsia" w:ascii="宋体" w:hAnsi="宋体" w:cs="宋体"/>
                <w:kern w:val="0"/>
                <w:szCs w:val="21"/>
                <w:highlight w:val="none"/>
              </w:rPr>
              <w:t>从业人员（X）</w:t>
            </w:r>
          </w:p>
        </w:tc>
        <w:tc>
          <w:tcPr>
            <w:tcW w:w="614" w:type="pct"/>
            <w:tcBorders>
              <w:top w:val="nil"/>
              <w:left w:val="nil"/>
              <w:bottom w:val="single" w:color="auto" w:sz="4" w:space="0"/>
              <w:right w:val="single" w:color="auto" w:sz="4" w:space="0"/>
            </w:tcBorders>
            <w:noWrap w:val="0"/>
            <w:vAlign w:val="center"/>
          </w:tcPr>
          <w:p w14:paraId="1AB9B4E3">
            <w:pPr>
              <w:widowControl/>
              <w:jc w:val="left"/>
              <w:rPr>
                <w:rFonts w:hint="eastAsia" w:ascii="宋体" w:hAnsi="宋体" w:cs="宋体"/>
                <w:kern w:val="0"/>
                <w:szCs w:val="21"/>
                <w:highlight w:val="none"/>
              </w:rPr>
            </w:pPr>
            <w:r>
              <w:rPr>
                <w:rFonts w:hint="eastAsia" w:ascii="宋体" w:hAnsi="宋体" w:cs="宋体"/>
                <w:kern w:val="0"/>
                <w:szCs w:val="21"/>
                <w:highlight w:val="none"/>
              </w:rPr>
              <w:t>人</w:t>
            </w:r>
          </w:p>
        </w:tc>
        <w:tc>
          <w:tcPr>
            <w:tcW w:w="960" w:type="pct"/>
            <w:tcBorders>
              <w:top w:val="nil"/>
              <w:left w:val="nil"/>
              <w:bottom w:val="single" w:color="auto" w:sz="4" w:space="0"/>
              <w:right w:val="single" w:color="auto" w:sz="4" w:space="0"/>
            </w:tcBorders>
            <w:noWrap w:val="0"/>
            <w:vAlign w:val="center"/>
          </w:tcPr>
          <w:p w14:paraId="0881EA27">
            <w:pPr>
              <w:widowControl/>
              <w:jc w:val="left"/>
              <w:rPr>
                <w:rFonts w:hint="eastAsia" w:ascii="宋体" w:hAnsi="宋体" w:cs="宋体"/>
                <w:kern w:val="0"/>
                <w:szCs w:val="21"/>
                <w:highlight w:val="none"/>
              </w:rPr>
            </w:pPr>
            <w:r>
              <w:rPr>
                <w:rFonts w:hint="eastAsia" w:ascii="宋体" w:hAnsi="宋体" w:cs="宋体"/>
                <w:kern w:val="0"/>
                <w:szCs w:val="21"/>
                <w:highlight w:val="none"/>
              </w:rPr>
              <w:t>300≤X＜1000</w:t>
            </w:r>
          </w:p>
        </w:tc>
        <w:tc>
          <w:tcPr>
            <w:tcW w:w="850" w:type="pct"/>
            <w:tcBorders>
              <w:top w:val="nil"/>
              <w:left w:val="nil"/>
              <w:bottom w:val="single" w:color="auto" w:sz="4" w:space="0"/>
              <w:right w:val="single" w:color="auto" w:sz="4" w:space="0"/>
            </w:tcBorders>
            <w:noWrap w:val="0"/>
            <w:vAlign w:val="center"/>
          </w:tcPr>
          <w:p w14:paraId="1D70CA00">
            <w:pPr>
              <w:widowControl/>
              <w:jc w:val="left"/>
              <w:rPr>
                <w:rFonts w:hint="eastAsia" w:ascii="宋体" w:hAnsi="宋体" w:cs="宋体"/>
                <w:kern w:val="0"/>
                <w:szCs w:val="21"/>
                <w:highlight w:val="none"/>
              </w:rPr>
            </w:pPr>
            <w:r>
              <w:rPr>
                <w:rFonts w:hint="eastAsia" w:ascii="宋体" w:hAnsi="宋体" w:cs="宋体"/>
                <w:kern w:val="0"/>
                <w:szCs w:val="21"/>
                <w:highlight w:val="none"/>
              </w:rPr>
              <w:t>20≤X＜300</w:t>
            </w:r>
          </w:p>
        </w:tc>
        <w:tc>
          <w:tcPr>
            <w:tcW w:w="613" w:type="pct"/>
            <w:tcBorders>
              <w:top w:val="nil"/>
              <w:left w:val="nil"/>
              <w:bottom w:val="single" w:color="auto" w:sz="4" w:space="0"/>
              <w:right w:val="single" w:color="auto" w:sz="4" w:space="0"/>
            </w:tcBorders>
            <w:noWrap w:val="0"/>
            <w:vAlign w:val="center"/>
          </w:tcPr>
          <w:p w14:paraId="46106D20">
            <w:pPr>
              <w:widowControl/>
              <w:jc w:val="left"/>
              <w:rPr>
                <w:rFonts w:hint="eastAsia" w:ascii="宋体" w:hAnsi="宋体" w:cs="宋体"/>
                <w:kern w:val="0"/>
                <w:szCs w:val="21"/>
                <w:highlight w:val="none"/>
              </w:rPr>
            </w:pPr>
            <w:r>
              <w:rPr>
                <w:rFonts w:hint="eastAsia" w:ascii="宋体" w:hAnsi="宋体" w:cs="宋体"/>
                <w:kern w:val="0"/>
                <w:szCs w:val="21"/>
                <w:highlight w:val="none"/>
              </w:rPr>
              <w:t>X＜20</w:t>
            </w:r>
          </w:p>
        </w:tc>
      </w:tr>
      <w:tr w14:paraId="62A92817">
        <w:tblPrEx>
          <w:tblCellMar>
            <w:top w:w="0" w:type="dxa"/>
            <w:left w:w="108" w:type="dxa"/>
            <w:bottom w:w="0" w:type="dxa"/>
            <w:right w:w="108" w:type="dxa"/>
          </w:tblCellMar>
        </w:tblPrEx>
        <w:trPr>
          <w:trHeight w:val="355" w:hRule="atLeast"/>
          <w:jc w:val="center"/>
        </w:trPr>
        <w:tc>
          <w:tcPr>
            <w:tcW w:w="1165" w:type="pct"/>
            <w:vMerge w:val="continue"/>
            <w:tcBorders>
              <w:top w:val="nil"/>
              <w:left w:val="single" w:color="auto" w:sz="4" w:space="0"/>
              <w:bottom w:val="single" w:color="auto" w:sz="4" w:space="0"/>
              <w:right w:val="single" w:color="auto" w:sz="4" w:space="0"/>
            </w:tcBorders>
            <w:noWrap w:val="0"/>
            <w:vAlign w:val="center"/>
          </w:tcPr>
          <w:p w14:paraId="7D7134A6">
            <w:pPr>
              <w:widowControl/>
              <w:jc w:val="left"/>
              <w:rPr>
                <w:rFonts w:hint="eastAsia" w:ascii="宋体" w:hAnsi="宋体" w:cs="宋体"/>
                <w:b/>
                <w:bCs/>
                <w:kern w:val="0"/>
                <w:szCs w:val="21"/>
                <w:highlight w:val="none"/>
              </w:rPr>
            </w:pPr>
          </w:p>
        </w:tc>
        <w:tc>
          <w:tcPr>
            <w:tcW w:w="794" w:type="pct"/>
            <w:tcBorders>
              <w:top w:val="nil"/>
              <w:left w:val="nil"/>
              <w:bottom w:val="single" w:color="auto" w:sz="4" w:space="0"/>
              <w:right w:val="single" w:color="auto" w:sz="4" w:space="0"/>
            </w:tcBorders>
            <w:noWrap w:val="0"/>
            <w:vAlign w:val="center"/>
          </w:tcPr>
          <w:p w14:paraId="188A8CE5">
            <w:pPr>
              <w:widowControl/>
              <w:jc w:val="left"/>
              <w:rPr>
                <w:rFonts w:hint="eastAsia" w:ascii="宋体" w:hAnsi="宋体" w:cs="宋体"/>
                <w:kern w:val="0"/>
                <w:szCs w:val="21"/>
                <w:highlight w:val="none"/>
              </w:rPr>
            </w:pPr>
            <w:r>
              <w:rPr>
                <w:rFonts w:hint="eastAsia" w:ascii="宋体" w:hAnsi="宋体" w:cs="宋体"/>
                <w:kern w:val="0"/>
                <w:szCs w:val="21"/>
                <w:highlight w:val="none"/>
              </w:rPr>
              <w:t>营业收入（Y）</w:t>
            </w:r>
          </w:p>
        </w:tc>
        <w:tc>
          <w:tcPr>
            <w:tcW w:w="614" w:type="pct"/>
            <w:tcBorders>
              <w:top w:val="nil"/>
              <w:left w:val="nil"/>
              <w:bottom w:val="single" w:color="auto" w:sz="4" w:space="0"/>
              <w:right w:val="single" w:color="auto" w:sz="4" w:space="0"/>
            </w:tcBorders>
            <w:noWrap w:val="0"/>
            <w:vAlign w:val="center"/>
          </w:tcPr>
          <w:p w14:paraId="19BDABD9">
            <w:pPr>
              <w:widowControl/>
              <w:jc w:val="left"/>
              <w:rPr>
                <w:rFonts w:hint="eastAsia" w:ascii="宋体" w:hAnsi="宋体" w:cs="宋体"/>
                <w:kern w:val="0"/>
                <w:szCs w:val="21"/>
                <w:highlight w:val="none"/>
              </w:rPr>
            </w:pPr>
            <w:r>
              <w:rPr>
                <w:rFonts w:hint="eastAsia" w:ascii="宋体" w:hAnsi="宋体" w:cs="宋体"/>
                <w:kern w:val="0"/>
                <w:szCs w:val="21"/>
                <w:highlight w:val="none"/>
              </w:rPr>
              <w:t>万元</w:t>
            </w:r>
          </w:p>
        </w:tc>
        <w:tc>
          <w:tcPr>
            <w:tcW w:w="960" w:type="pct"/>
            <w:tcBorders>
              <w:top w:val="nil"/>
              <w:left w:val="nil"/>
              <w:bottom w:val="single" w:color="auto" w:sz="4" w:space="0"/>
              <w:right w:val="single" w:color="auto" w:sz="4" w:space="0"/>
            </w:tcBorders>
            <w:noWrap w:val="0"/>
            <w:vAlign w:val="center"/>
          </w:tcPr>
          <w:p w14:paraId="098E15F0">
            <w:pPr>
              <w:widowControl/>
              <w:jc w:val="left"/>
              <w:rPr>
                <w:rFonts w:hint="eastAsia" w:ascii="宋体" w:hAnsi="宋体" w:cs="宋体"/>
                <w:kern w:val="0"/>
                <w:szCs w:val="21"/>
                <w:highlight w:val="none"/>
              </w:rPr>
            </w:pPr>
            <w:r>
              <w:rPr>
                <w:rFonts w:hint="eastAsia" w:ascii="宋体" w:hAnsi="宋体" w:cs="宋体"/>
                <w:kern w:val="0"/>
                <w:szCs w:val="21"/>
                <w:highlight w:val="none"/>
              </w:rPr>
              <w:t>2000≤Y＜30000</w:t>
            </w:r>
          </w:p>
        </w:tc>
        <w:tc>
          <w:tcPr>
            <w:tcW w:w="850" w:type="pct"/>
            <w:tcBorders>
              <w:top w:val="nil"/>
              <w:left w:val="nil"/>
              <w:bottom w:val="single" w:color="auto" w:sz="4" w:space="0"/>
              <w:right w:val="single" w:color="auto" w:sz="4" w:space="0"/>
            </w:tcBorders>
            <w:noWrap w:val="0"/>
            <w:vAlign w:val="center"/>
          </w:tcPr>
          <w:p w14:paraId="51B43079">
            <w:pPr>
              <w:widowControl/>
              <w:jc w:val="left"/>
              <w:rPr>
                <w:rFonts w:hint="eastAsia" w:ascii="宋体" w:hAnsi="宋体" w:cs="宋体"/>
                <w:kern w:val="0"/>
                <w:szCs w:val="21"/>
                <w:highlight w:val="none"/>
              </w:rPr>
            </w:pPr>
            <w:r>
              <w:rPr>
                <w:rFonts w:hint="eastAsia" w:ascii="宋体" w:hAnsi="宋体" w:cs="宋体"/>
                <w:kern w:val="0"/>
                <w:szCs w:val="21"/>
                <w:highlight w:val="none"/>
              </w:rPr>
              <w:t>100≤Y＜2000</w:t>
            </w:r>
          </w:p>
        </w:tc>
        <w:tc>
          <w:tcPr>
            <w:tcW w:w="613" w:type="pct"/>
            <w:tcBorders>
              <w:top w:val="nil"/>
              <w:left w:val="nil"/>
              <w:bottom w:val="single" w:color="auto" w:sz="4" w:space="0"/>
              <w:right w:val="single" w:color="auto" w:sz="4" w:space="0"/>
            </w:tcBorders>
            <w:noWrap w:val="0"/>
            <w:vAlign w:val="center"/>
          </w:tcPr>
          <w:p w14:paraId="72A535C8">
            <w:pPr>
              <w:widowControl/>
              <w:jc w:val="left"/>
              <w:rPr>
                <w:rFonts w:hint="eastAsia" w:ascii="宋体" w:hAnsi="宋体" w:cs="宋体"/>
                <w:kern w:val="0"/>
                <w:szCs w:val="21"/>
                <w:highlight w:val="none"/>
              </w:rPr>
            </w:pPr>
            <w:r>
              <w:rPr>
                <w:rFonts w:hint="eastAsia" w:ascii="宋体" w:hAnsi="宋体" w:cs="宋体"/>
                <w:kern w:val="0"/>
                <w:szCs w:val="21"/>
                <w:highlight w:val="none"/>
              </w:rPr>
              <w:t>Y＜100</w:t>
            </w:r>
          </w:p>
        </w:tc>
      </w:tr>
      <w:tr w14:paraId="27E6B447">
        <w:tblPrEx>
          <w:tblCellMar>
            <w:top w:w="0" w:type="dxa"/>
            <w:left w:w="108" w:type="dxa"/>
            <w:bottom w:w="0" w:type="dxa"/>
            <w:right w:w="108" w:type="dxa"/>
          </w:tblCellMar>
        </w:tblPrEx>
        <w:trPr>
          <w:trHeight w:val="355" w:hRule="atLeast"/>
          <w:jc w:val="center"/>
        </w:trPr>
        <w:tc>
          <w:tcPr>
            <w:tcW w:w="1165" w:type="pct"/>
            <w:vMerge w:val="restart"/>
            <w:tcBorders>
              <w:top w:val="nil"/>
              <w:left w:val="single" w:color="auto" w:sz="4" w:space="0"/>
              <w:bottom w:val="single" w:color="auto" w:sz="4" w:space="0"/>
              <w:right w:val="single" w:color="auto" w:sz="4" w:space="0"/>
            </w:tcBorders>
            <w:noWrap w:val="0"/>
            <w:vAlign w:val="bottom"/>
          </w:tcPr>
          <w:p w14:paraId="6A9B2102">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住宿业</w:t>
            </w:r>
          </w:p>
        </w:tc>
        <w:tc>
          <w:tcPr>
            <w:tcW w:w="794" w:type="pct"/>
            <w:tcBorders>
              <w:top w:val="nil"/>
              <w:left w:val="nil"/>
              <w:bottom w:val="single" w:color="auto" w:sz="4" w:space="0"/>
              <w:right w:val="single" w:color="auto" w:sz="4" w:space="0"/>
            </w:tcBorders>
            <w:noWrap w:val="0"/>
            <w:vAlign w:val="center"/>
          </w:tcPr>
          <w:p w14:paraId="4D6DAB49">
            <w:pPr>
              <w:widowControl/>
              <w:jc w:val="left"/>
              <w:rPr>
                <w:rFonts w:hint="eastAsia" w:ascii="宋体" w:hAnsi="宋体" w:cs="宋体"/>
                <w:kern w:val="0"/>
                <w:szCs w:val="21"/>
                <w:highlight w:val="none"/>
              </w:rPr>
            </w:pPr>
            <w:r>
              <w:rPr>
                <w:rFonts w:hint="eastAsia" w:ascii="宋体" w:hAnsi="宋体" w:cs="宋体"/>
                <w:kern w:val="0"/>
                <w:szCs w:val="21"/>
                <w:highlight w:val="none"/>
              </w:rPr>
              <w:t>从业人员（X）</w:t>
            </w:r>
          </w:p>
        </w:tc>
        <w:tc>
          <w:tcPr>
            <w:tcW w:w="614" w:type="pct"/>
            <w:tcBorders>
              <w:top w:val="nil"/>
              <w:left w:val="nil"/>
              <w:bottom w:val="single" w:color="auto" w:sz="4" w:space="0"/>
              <w:right w:val="single" w:color="auto" w:sz="4" w:space="0"/>
            </w:tcBorders>
            <w:noWrap w:val="0"/>
            <w:vAlign w:val="center"/>
          </w:tcPr>
          <w:p w14:paraId="1967BBDB">
            <w:pPr>
              <w:widowControl/>
              <w:jc w:val="left"/>
              <w:rPr>
                <w:rFonts w:hint="eastAsia" w:ascii="宋体" w:hAnsi="宋体" w:cs="宋体"/>
                <w:kern w:val="0"/>
                <w:szCs w:val="21"/>
                <w:highlight w:val="none"/>
              </w:rPr>
            </w:pPr>
            <w:r>
              <w:rPr>
                <w:rFonts w:hint="eastAsia" w:ascii="宋体" w:hAnsi="宋体" w:cs="宋体"/>
                <w:kern w:val="0"/>
                <w:szCs w:val="21"/>
                <w:highlight w:val="none"/>
              </w:rPr>
              <w:t>人</w:t>
            </w:r>
          </w:p>
        </w:tc>
        <w:tc>
          <w:tcPr>
            <w:tcW w:w="960" w:type="pct"/>
            <w:tcBorders>
              <w:top w:val="nil"/>
              <w:left w:val="nil"/>
              <w:bottom w:val="single" w:color="auto" w:sz="4" w:space="0"/>
              <w:right w:val="single" w:color="auto" w:sz="4" w:space="0"/>
            </w:tcBorders>
            <w:noWrap w:val="0"/>
            <w:vAlign w:val="center"/>
          </w:tcPr>
          <w:p w14:paraId="4A096D73">
            <w:pPr>
              <w:widowControl/>
              <w:jc w:val="left"/>
              <w:rPr>
                <w:rFonts w:hint="eastAsia" w:ascii="宋体" w:hAnsi="宋体" w:cs="宋体"/>
                <w:kern w:val="0"/>
                <w:szCs w:val="21"/>
                <w:highlight w:val="none"/>
              </w:rPr>
            </w:pPr>
            <w:r>
              <w:rPr>
                <w:rFonts w:hint="eastAsia" w:ascii="宋体" w:hAnsi="宋体" w:cs="宋体"/>
                <w:kern w:val="0"/>
                <w:szCs w:val="21"/>
                <w:highlight w:val="none"/>
              </w:rPr>
              <w:t>100≤X＜300</w:t>
            </w:r>
          </w:p>
        </w:tc>
        <w:tc>
          <w:tcPr>
            <w:tcW w:w="850" w:type="pct"/>
            <w:tcBorders>
              <w:top w:val="nil"/>
              <w:left w:val="nil"/>
              <w:bottom w:val="single" w:color="auto" w:sz="4" w:space="0"/>
              <w:right w:val="single" w:color="auto" w:sz="4" w:space="0"/>
            </w:tcBorders>
            <w:noWrap w:val="0"/>
            <w:vAlign w:val="center"/>
          </w:tcPr>
          <w:p w14:paraId="1F9A0E9E">
            <w:pPr>
              <w:widowControl/>
              <w:jc w:val="left"/>
              <w:rPr>
                <w:rFonts w:hint="eastAsia" w:ascii="宋体" w:hAnsi="宋体" w:cs="宋体"/>
                <w:kern w:val="0"/>
                <w:szCs w:val="21"/>
                <w:highlight w:val="none"/>
              </w:rPr>
            </w:pPr>
            <w:r>
              <w:rPr>
                <w:rFonts w:hint="eastAsia" w:ascii="宋体" w:hAnsi="宋体" w:cs="宋体"/>
                <w:kern w:val="0"/>
                <w:szCs w:val="21"/>
                <w:highlight w:val="none"/>
              </w:rPr>
              <w:t>10≤X＜100</w:t>
            </w:r>
          </w:p>
        </w:tc>
        <w:tc>
          <w:tcPr>
            <w:tcW w:w="613" w:type="pct"/>
            <w:tcBorders>
              <w:top w:val="nil"/>
              <w:left w:val="nil"/>
              <w:bottom w:val="single" w:color="auto" w:sz="4" w:space="0"/>
              <w:right w:val="single" w:color="auto" w:sz="4" w:space="0"/>
            </w:tcBorders>
            <w:noWrap w:val="0"/>
            <w:vAlign w:val="center"/>
          </w:tcPr>
          <w:p w14:paraId="2583BB47">
            <w:pPr>
              <w:widowControl/>
              <w:jc w:val="left"/>
              <w:rPr>
                <w:rFonts w:hint="eastAsia" w:ascii="宋体" w:hAnsi="宋体" w:cs="宋体"/>
                <w:kern w:val="0"/>
                <w:szCs w:val="21"/>
                <w:highlight w:val="none"/>
              </w:rPr>
            </w:pPr>
            <w:r>
              <w:rPr>
                <w:rFonts w:hint="eastAsia" w:ascii="宋体" w:hAnsi="宋体" w:cs="宋体"/>
                <w:kern w:val="0"/>
                <w:szCs w:val="21"/>
                <w:highlight w:val="none"/>
              </w:rPr>
              <w:t>X＜10</w:t>
            </w:r>
          </w:p>
        </w:tc>
      </w:tr>
      <w:tr w14:paraId="60BD7134">
        <w:tblPrEx>
          <w:tblCellMar>
            <w:top w:w="0" w:type="dxa"/>
            <w:left w:w="108" w:type="dxa"/>
            <w:bottom w:w="0" w:type="dxa"/>
            <w:right w:w="108" w:type="dxa"/>
          </w:tblCellMar>
        </w:tblPrEx>
        <w:trPr>
          <w:trHeight w:val="355" w:hRule="atLeast"/>
          <w:jc w:val="center"/>
        </w:trPr>
        <w:tc>
          <w:tcPr>
            <w:tcW w:w="1165" w:type="pct"/>
            <w:vMerge w:val="continue"/>
            <w:tcBorders>
              <w:top w:val="nil"/>
              <w:left w:val="single" w:color="auto" w:sz="4" w:space="0"/>
              <w:bottom w:val="single" w:color="auto" w:sz="4" w:space="0"/>
              <w:right w:val="single" w:color="auto" w:sz="4" w:space="0"/>
            </w:tcBorders>
            <w:noWrap w:val="0"/>
            <w:vAlign w:val="center"/>
          </w:tcPr>
          <w:p w14:paraId="51B6CCB0">
            <w:pPr>
              <w:widowControl/>
              <w:jc w:val="left"/>
              <w:rPr>
                <w:rFonts w:hint="eastAsia" w:ascii="宋体" w:hAnsi="宋体" w:cs="宋体"/>
                <w:b/>
                <w:bCs/>
                <w:kern w:val="0"/>
                <w:szCs w:val="21"/>
                <w:highlight w:val="none"/>
              </w:rPr>
            </w:pPr>
          </w:p>
        </w:tc>
        <w:tc>
          <w:tcPr>
            <w:tcW w:w="794" w:type="pct"/>
            <w:tcBorders>
              <w:top w:val="nil"/>
              <w:left w:val="nil"/>
              <w:bottom w:val="single" w:color="auto" w:sz="4" w:space="0"/>
              <w:right w:val="single" w:color="auto" w:sz="4" w:space="0"/>
            </w:tcBorders>
            <w:noWrap w:val="0"/>
            <w:vAlign w:val="center"/>
          </w:tcPr>
          <w:p w14:paraId="0210B4ED">
            <w:pPr>
              <w:widowControl/>
              <w:jc w:val="left"/>
              <w:rPr>
                <w:rFonts w:hint="eastAsia" w:ascii="宋体" w:hAnsi="宋体" w:cs="宋体"/>
                <w:kern w:val="0"/>
                <w:szCs w:val="21"/>
                <w:highlight w:val="none"/>
              </w:rPr>
            </w:pPr>
            <w:r>
              <w:rPr>
                <w:rFonts w:hint="eastAsia" w:ascii="宋体" w:hAnsi="宋体" w:cs="宋体"/>
                <w:kern w:val="0"/>
                <w:szCs w:val="21"/>
                <w:highlight w:val="none"/>
              </w:rPr>
              <w:t>营业收入（Y）</w:t>
            </w:r>
          </w:p>
        </w:tc>
        <w:tc>
          <w:tcPr>
            <w:tcW w:w="614" w:type="pct"/>
            <w:tcBorders>
              <w:top w:val="nil"/>
              <w:left w:val="nil"/>
              <w:bottom w:val="single" w:color="auto" w:sz="4" w:space="0"/>
              <w:right w:val="single" w:color="auto" w:sz="4" w:space="0"/>
            </w:tcBorders>
            <w:noWrap w:val="0"/>
            <w:vAlign w:val="center"/>
          </w:tcPr>
          <w:p w14:paraId="31E4715E">
            <w:pPr>
              <w:widowControl/>
              <w:jc w:val="left"/>
              <w:rPr>
                <w:rFonts w:hint="eastAsia" w:ascii="宋体" w:hAnsi="宋体" w:cs="宋体"/>
                <w:kern w:val="0"/>
                <w:szCs w:val="21"/>
                <w:highlight w:val="none"/>
              </w:rPr>
            </w:pPr>
            <w:r>
              <w:rPr>
                <w:rFonts w:hint="eastAsia" w:ascii="宋体" w:hAnsi="宋体" w:cs="宋体"/>
                <w:kern w:val="0"/>
                <w:szCs w:val="21"/>
                <w:highlight w:val="none"/>
              </w:rPr>
              <w:t>万元</w:t>
            </w:r>
          </w:p>
        </w:tc>
        <w:tc>
          <w:tcPr>
            <w:tcW w:w="960" w:type="pct"/>
            <w:tcBorders>
              <w:top w:val="nil"/>
              <w:left w:val="nil"/>
              <w:bottom w:val="single" w:color="auto" w:sz="4" w:space="0"/>
              <w:right w:val="single" w:color="auto" w:sz="4" w:space="0"/>
            </w:tcBorders>
            <w:noWrap w:val="0"/>
            <w:vAlign w:val="center"/>
          </w:tcPr>
          <w:p w14:paraId="1958F03E">
            <w:pPr>
              <w:widowControl/>
              <w:jc w:val="left"/>
              <w:rPr>
                <w:rFonts w:hint="eastAsia" w:ascii="宋体" w:hAnsi="宋体" w:cs="宋体"/>
                <w:kern w:val="0"/>
                <w:szCs w:val="21"/>
                <w:highlight w:val="none"/>
              </w:rPr>
            </w:pPr>
            <w:r>
              <w:rPr>
                <w:rFonts w:hint="eastAsia" w:ascii="宋体" w:hAnsi="宋体" w:cs="宋体"/>
                <w:kern w:val="0"/>
                <w:szCs w:val="21"/>
                <w:highlight w:val="none"/>
              </w:rPr>
              <w:t>2000≤Y＜10000</w:t>
            </w:r>
          </w:p>
        </w:tc>
        <w:tc>
          <w:tcPr>
            <w:tcW w:w="850" w:type="pct"/>
            <w:tcBorders>
              <w:top w:val="nil"/>
              <w:left w:val="nil"/>
              <w:bottom w:val="single" w:color="auto" w:sz="4" w:space="0"/>
              <w:right w:val="single" w:color="auto" w:sz="4" w:space="0"/>
            </w:tcBorders>
            <w:noWrap w:val="0"/>
            <w:vAlign w:val="center"/>
          </w:tcPr>
          <w:p w14:paraId="54CE4340">
            <w:pPr>
              <w:widowControl/>
              <w:jc w:val="left"/>
              <w:rPr>
                <w:rFonts w:hint="eastAsia" w:ascii="宋体" w:hAnsi="宋体" w:cs="宋体"/>
                <w:kern w:val="0"/>
                <w:szCs w:val="21"/>
                <w:highlight w:val="none"/>
              </w:rPr>
            </w:pPr>
            <w:r>
              <w:rPr>
                <w:rFonts w:hint="eastAsia" w:ascii="宋体" w:hAnsi="宋体" w:cs="宋体"/>
                <w:kern w:val="0"/>
                <w:szCs w:val="21"/>
                <w:highlight w:val="none"/>
              </w:rPr>
              <w:t>100≤Y＜2000</w:t>
            </w:r>
          </w:p>
        </w:tc>
        <w:tc>
          <w:tcPr>
            <w:tcW w:w="613" w:type="pct"/>
            <w:tcBorders>
              <w:top w:val="nil"/>
              <w:left w:val="nil"/>
              <w:bottom w:val="single" w:color="auto" w:sz="4" w:space="0"/>
              <w:right w:val="single" w:color="auto" w:sz="4" w:space="0"/>
            </w:tcBorders>
            <w:noWrap w:val="0"/>
            <w:vAlign w:val="center"/>
          </w:tcPr>
          <w:p w14:paraId="7556ACC2">
            <w:pPr>
              <w:widowControl/>
              <w:jc w:val="left"/>
              <w:rPr>
                <w:rFonts w:hint="eastAsia" w:ascii="宋体" w:hAnsi="宋体" w:cs="宋体"/>
                <w:kern w:val="0"/>
                <w:szCs w:val="21"/>
                <w:highlight w:val="none"/>
              </w:rPr>
            </w:pPr>
            <w:r>
              <w:rPr>
                <w:rFonts w:hint="eastAsia" w:ascii="宋体" w:hAnsi="宋体" w:cs="宋体"/>
                <w:kern w:val="0"/>
                <w:szCs w:val="21"/>
                <w:highlight w:val="none"/>
              </w:rPr>
              <w:t>Y＜100</w:t>
            </w:r>
          </w:p>
        </w:tc>
      </w:tr>
      <w:tr w14:paraId="09F59F63">
        <w:tblPrEx>
          <w:tblCellMar>
            <w:top w:w="0" w:type="dxa"/>
            <w:left w:w="108" w:type="dxa"/>
            <w:bottom w:w="0" w:type="dxa"/>
            <w:right w:w="108" w:type="dxa"/>
          </w:tblCellMar>
        </w:tblPrEx>
        <w:trPr>
          <w:trHeight w:val="355" w:hRule="atLeast"/>
          <w:jc w:val="center"/>
        </w:trPr>
        <w:tc>
          <w:tcPr>
            <w:tcW w:w="1165" w:type="pct"/>
            <w:vMerge w:val="restart"/>
            <w:tcBorders>
              <w:top w:val="nil"/>
              <w:left w:val="single" w:color="auto" w:sz="4" w:space="0"/>
              <w:bottom w:val="single" w:color="auto" w:sz="4" w:space="0"/>
              <w:right w:val="single" w:color="auto" w:sz="4" w:space="0"/>
            </w:tcBorders>
            <w:noWrap w:val="0"/>
            <w:vAlign w:val="bottom"/>
          </w:tcPr>
          <w:p w14:paraId="3E94D6EB">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餐饮业</w:t>
            </w:r>
          </w:p>
        </w:tc>
        <w:tc>
          <w:tcPr>
            <w:tcW w:w="794" w:type="pct"/>
            <w:tcBorders>
              <w:top w:val="nil"/>
              <w:left w:val="nil"/>
              <w:bottom w:val="single" w:color="auto" w:sz="4" w:space="0"/>
              <w:right w:val="single" w:color="auto" w:sz="4" w:space="0"/>
            </w:tcBorders>
            <w:noWrap w:val="0"/>
            <w:vAlign w:val="center"/>
          </w:tcPr>
          <w:p w14:paraId="1D5E7567">
            <w:pPr>
              <w:widowControl/>
              <w:jc w:val="left"/>
              <w:rPr>
                <w:rFonts w:hint="eastAsia" w:ascii="宋体" w:hAnsi="宋体" w:cs="宋体"/>
                <w:kern w:val="0"/>
                <w:szCs w:val="21"/>
                <w:highlight w:val="none"/>
              </w:rPr>
            </w:pPr>
            <w:r>
              <w:rPr>
                <w:rFonts w:hint="eastAsia" w:ascii="宋体" w:hAnsi="宋体" w:cs="宋体"/>
                <w:kern w:val="0"/>
                <w:szCs w:val="21"/>
                <w:highlight w:val="none"/>
              </w:rPr>
              <w:t>从业人员（X）</w:t>
            </w:r>
          </w:p>
        </w:tc>
        <w:tc>
          <w:tcPr>
            <w:tcW w:w="614" w:type="pct"/>
            <w:tcBorders>
              <w:top w:val="nil"/>
              <w:left w:val="nil"/>
              <w:bottom w:val="single" w:color="auto" w:sz="4" w:space="0"/>
              <w:right w:val="single" w:color="auto" w:sz="4" w:space="0"/>
            </w:tcBorders>
            <w:noWrap w:val="0"/>
            <w:vAlign w:val="center"/>
          </w:tcPr>
          <w:p w14:paraId="70F46DF4">
            <w:pPr>
              <w:widowControl/>
              <w:jc w:val="left"/>
              <w:rPr>
                <w:rFonts w:hint="eastAsia" w:ascii="宋体" w:hAnsi="宋体" w:cs="宋体"/>
                <w:kern w:val="0"/>
                <w:szCs w:val="21"/>
                <w:highlight w:val="none"/>
              </w:rPr>
            </w:pPr>
            <w:r>
              <w:rPr>
                <w:rFonts w:hint="eastAsia" w:ascii="宋体" w:hAnsi="宋体" w:cs="宋体"/>
                <w:kern w:val="0"/>
                <w:szCs w:val="21"/>
                <w:highlight w:val="none"/>
              </w:rPr>
              <w:t>人</w:t>
            </w:r>
          </w:p>
        </w:tc>
        <w:tc>
          <w:tcPr>
            <w:tcW w:w="960" w:type="pct"/>
            <w:tcBorders>
              <w:top w:val="nil"/>
              <w:left w:val="nil"/>
              <w:bottom w:val="single" w:color="auto" w:sz="4" w:space="0"/>
              <w:right w:val="single" w:color="auto" w:sz="4" w:space="0"/>
            </w:tcBorders>
            <w:noWrap w:val="0"/>
            <w:vAlign w:val="center"/>
          </w:tcPr>
          <w:p w14:paraId="272B987F">
            <w:pPr>
              <w:widowControl/>
              <w:jc w:val="left"/>
              <w:rPr>
                <w:rFonts w:hint="eastAsia" w:ascii="宋体" w:hAnsi="宋体" w:cs="宋体"/>
                <w:kern w:val="0"/>
                <w:szCs w:val="21"/>
                <w:highlight w:val="none"/>
              </w:rPr>
            </w:pPr>
            <w:r>
              <w:rPr>
                <w:rFonts w:hint="eastAsia" w:ascii="宋体" w:hAnsi="宋体" w:cs="宋体"/>
                <w:kern w:val="0"/>
                <w:szCs w:val="21"/>
                <w:highlight w:val="none"/>
              </w:rPr>
              <w:t>100≤X＜300</w:t>
            </w:r>
          </w:p>
        </w:tc>
        <w:tc>
          <w:tcPr>
            <w:tcW w:w="850" w:type="pct"/>
            <w:tcBorders>
              <w:top w:val="nil"/>
              <w:left w:val="nil"/>
              <w:bottom w:val="single" w:color="auto" w:sz="4" w:space="0"/>
              <w:right w:val="single" w:color="auto" w:sz="4" w:space="0"/>
            </w:tcBorders>
            <w:noWrap w:val="0"/>
            <w:vAlign w:val="center"/>
          </w:tcPr>
          <w:p w14:paraId="640E91D2">
            <w:pPr>
              <w:widowControl/>
              <w:jc w:val="left"/>
              <w:rPr>
                <w:rFonts w:hint="eastAsia" w:ascii="宋体" w:hAnsi="宋体" w:cs="宋体"/>
                <w:kern w:val="0"/>
                <w:szCs w:val="21"/>
                <w:highlight w:val="none"/>
              </w:rPr>
            </w:pPr>
            <w:r>
              <w:rPr>
                <w:rFonts w:hint="eastAsia" w:ascii="宋体" w:hAnsi="宋体" w:cs="宋体"/>
                <w:kern w:val="0"/>
                <w:szCs w:val="21"/>
                <w:highlight w:val="none"/>
              </w:rPr>
              <w:t>10≤X＜100</w:t>
            </w:r>
          </w:p>
        </w:tc>
        <w:tc>
          <w:tcPr>
            <w:tcW w:w="613" w:type="pct"/>
            <w:tcBorders>
              <w:top w:val="nil"/>
              <w:left w:val="nil"/>
              <w:bottom w:val="single" w:color="auto" w:sz="4" w:space="0"/>
              <w:right w:val="single" w:color="auto" w:sz="4" w:space="0"/>
            </w:tcBorders>
            <w:noWrap w:val="0"/>
            <w:vAlign w:val="center"/>
          </w:tcPr>
          <w:p w14:paraId="1202338B">
            <w:pPr>
              <w:widowControl/>
              <w:jc w:val="left"/>
              <w:rPr>
                <w:rFonts w:hint="eastAsia" w:ascii="宋体" w:hAnsi="宋体" w:cs="宋体"/>
                <w:kern w:val="0"/>
                <w:szCs w:val="21"/>
                <w:highlight w:val="none"/>
              </w:rPr>
            </w:pPr>
            <w:r>
              <w:rPr>
                <w:rFonts w:hint="eastAsia" w:ascii="宋体" w:hAnsi="宋体" w:cs="宋体"/>
                <w:kern w:val="0"/>
                <w:szCs w:val="21"/>
                <w:highlight w:val="none"/>
              </w:rPr>
              <w:t>X＜10</w:t>
            </w:r>
          </w:p>
        </w:tc>
      </w:tr>
      <w:tr w14:paraId="46ADE763">
        <w:tblPrEx>
          <w:tblCellMar>
            <w:top w:w="0" w:type="dxa"/>
            <w:left w:w="108" w:type="dxa"/>
            <w:bottom w:w="0" w:type="dxa"/>
            <w:right w:w="108" w:type="dxa"/>
          </w:tblCellMar>
        </w:tblPrEx>
        <w:trPr>
          <w:trHeight w:val="355" w:hRule="atLeast"/>
          <w:jc w:val="center"/>
        </w:trPr>
        <w:tc>
          <w:tcPr>
            <w:tcW w:w="1165" w:type="pct"/>
            <w:vMerge w:val="continue"/>
            <w:tcBorders>
              <w:top w:val="nil"/>
              <w:left w:val="single" w:color="auto" w:sz="4" w:space="0"/>
              <w:bottom w:val="single" w:color="auto" w:sz="4" w:space="0"/>
              <w:right w:val="single" w:color="auto" w:sz="4" w:space="0"/>
            </w:tcBorders>
            <w:noWrap w:val="0"/>
            <w:vAlign w:val="center"/>
          </w:tcPr>
          <w:p w14:paraId="7339A079">
            <w:pPr>
              <w:widowControl/>
              <w:jc w:val="left"/>
              <w:rPr>
                <w:rFonts w:hint="eastAsia" w:ascii="宋体" w:hAnsi="宋体" w:cs="宋体"/>
                <w:b/>
                <w:bCs/>
                <w:kern w:val="0"/>
                <w:szCs w:val="21"/>
                <w:highlight w:val="none"/>
              </w:rPr>
            </w:pPr>
          </w:p>
        </w:tc>
        <w:tc>
          <w:tcPr>
            <w:tcW w:w="794" w:type="pct"/>
            <w:tcBorders>
              <w:top w:val="nil"/>
              <w:left w:val="nil"/>
              <w:bottom w:val="single" w:color="auto" w:sz="4" w:space="0"/>
              <w:right w:val="single" w:color="auto" w:sz="4" w:space="0"/>
            </w:tcBorders>
            <w:noWrap w:val="0"/>
            <w:vAlign w:val="center"/>
          </w:tcPr>
          <w:p w14:paraId="734AE9B8">
            <w:pPr>
              <w:widowControl/>
              <w:jc w:val="left"/>
              <w:rPr>
                <w:rFonts w:hint="eastAsia" w:ascii="宋体" w:hAnsi="宋体" w:cs="宋体"/>
                <w:kern w:val="0"/>
                <w:szCs w:val="21"/>
                <w:highlight w:val="none"/>
              </w:rPr>
            </w:pPr>
            <w:r>
              <w:rPr>
                <w:rFonts w:hint="eastAsia" w:ascii="宋体" w:hAnsi="宋体" w:cs="宋体"/>
                <w:kern w:val="0"/>
                <w:szCs w:val="21"/>
                <w:highlight w:val="none"/>
              </w:rPr>
              <w:t>营业收入（Y）</w:t>
            </w:r>
          </w:p>
        </w:tc>
        <w:tc>
          <w:tcPr>
            <w:tcW w:w="614" w:type="pct"/>
            <w:tcBorders>
              <w:top w:val="nil"/>
              <w:left w:val="nil"/>
              <w:bottom w:val="single" w:color="auto" w:sz="4" w:space="0"/>
              <w:right w:val="single" w:color="auto" w:sz="4" w:space="0"/>
            </w:tcBorders>
            <w:noWrap w:val="0"/>
            <w:vAlign w:val="center"/>
          </w:tcPr>
          <w:p w14:paraId="4B4871A6">
            <w:pPr>
              <w:widowControl/>
              <w:jc w:val="left"/>
              <w:rPr>
                <w:rFonts w:hint="eastAsia" w:ascii="宋体" w:hAnsi="宋体" w:cs="宋体"/>
                <w:kern w:val="0"/>
                <w:szCs w:val="21"/>
                <w:highlight w:val="none"/>
              </w:rPr>
            </w:pPr>
            <w:r>
              <w:rPr>
                <w:rFonts w:hint="eastAsia" w:ascii="宋体" w:hAnsi="宋体" w:cs="宋体"/>
                <w:kern w:val="0"/>
                <w:szCs w:val="21"/>
                <w:highlight w:val="none"/>
              </w:rPr>
              <w:t>万元</w:t>
            </w:r>
          </w:p>
        </w:tc>
        <w:tc>
          <w:tcPr>
            <w:tcW w:w="960" w:type="pct"/>
            <w:tcBorders>
              <w:top w:val="nil"/>
              <w:left w:val="nil"/>
              <w:bottom w:val="single" w:color="auto" w:sz="4" w:space="0"/>
              <w:right w:val="single" w:color="auto" w:sz="4" w:space="0"/>
            </w:tcBorders>
            <w:noWrap w:val="0"/>
            <w:vAlign w:val="center"/>
          </w:tcPr>
          <w:p w14:paraId="001F51C8">
            <w:pPr>
              <w:widowControl/>
              <w:jc w:val="left"/>
              <w:rPr>
                <w:rFonts w:hint="eastAsia" w:ascii="宋体" w:hAnsi="宋体" w:cs="宋体"/>
                <w:kern w:val="0"/>
                <w:szCs w:val="21"/>
                <w:highlight w:val="none"/>
              </w:rPr>
            </w:pPr>
            <w:r>
              <w:rPr>
                <w:rFonts w:hint="eastAsia" w:ascii="宋体" w:hAnsi="宋体" w:cs="宋体"/>
                <w:kern w:val="0"/>
                <w:szCs w:val="21"/>
                <w:highlight w:val="none"/>
              </w:rPr>
              <w:t>2000≤Y＜10000</w:t>
            </w:r>
          </w:p>
        </w:tc>
        <w:tc>
          <w:tcPr>
            <w:tcW w:w="850" w:type="pct"/>
            <w:tcBorders>
              <w:top w:val="nil"/>
              <w:left w:val="nil"/>
              <w:bottom w:val="single" w:color="auto" w:sz="4" w:space="0"/>
              <w:right w:val="single" w:color="auto" w:sz="4" w:space="0"/>
            </w:tcBorders>
            <w:noWrap w:val="0"/>
            <w:vAlign w:val="center"/>
          </w:tcPr>
          <w:p w14:paraId="124996ED">
            <w:pPr>
              <w:widowControl/>
              <w:jc w:val="left"/>
              <w:rPr>
                <w:rFonts w:hint="eastAsia" w:ascii="宋体" w:hAnsi="宋体" w:cs="宋体"/>
                <w:kern w:val="0"/>
                <w:szCs w:val="21"/>
                <w:highlight w:val="none"/>
              </w:rPr>
            </w:pPr>
            <w:r>
              <w:rPr>
                <w:rFonts w:hint="eastAsia" w:ascii="宋体" w:hAnsi="宋体" w:cs="宋体"/>
                <w:kern w:val="0"/>
                <w:szCs w:val="21"/>
                <w:highlight w:val="none"/>
              </w:rPr>
              <w:t>100≤Y＜2000</w:t>
            </w:r>
          </w:p>
        </w:tc>
        <w:tc>
          <w:tcPr>
            <w:tcW w:w="613" w:type="pct"/>
            <w:tcBorders>
              <w:top w:val="nil"/>
              <w:left w:val="nil"/>
              <w:bottom w:val="single" w:color="auto" w:sz="4" w:space="0"/>
              <w:right w:val="single" w:color="auto" w:sz="4" w:space="0"/>
            </w:tcBorders>
            <w:noWrap w:val="0"/>
            <w:vAlign w:val="center"/>
          </w:tcPr>
          <w:p w14:paraId="520B5C1D">
            <w:pPr>
              <w:widowControl/>
              <w:jc w:val="left"/>
              <w:rPr>
                <w:rFonts w:hint="eastAsia" w:ascii="宋体" w:hAnsi="宋体" w:cs="宋体"/>
                <w:kern w:val="0"/>
                <w:szCs w:val="21"/>
                <w:highlight w:val="none"/>
              </w:rPr>
            </w:pPr>
            <w:r>
              <w:rPr>
                <w:rFonts w:hint="eastAsia" w:ascii="宋体" w:hAnsi="宋体" w:cs="宋体"/>
                <w:kern w:val="0"/>
                <w:szCs w:val="21"/>
                <w:highlight w:val="none"/>
              </w:rPr>
              <w:t>Y＜100</w:t>
            </w:r>
          </w:p>
        </w:tc>
      </w:tr>
      <w:tr w14:paraId="1E26BC46">
        <w:tblPrEx>
          <w:tblCellMar>
            <w:top w:w="0" w:type="dxa"/>
            <w:left w:w="108" w:type="dxa"/>
            <w:bottom w:w="0" w:type="dxa"/>
            <w:right w:w="108" w:type="dxa"/>
          </w:tblCellMar>
        </w:tblPrEx>
        <w:trPr>
          <w:trHeight w:val="355" w:hRule="atLeast"/>
          <w:jc w:val="center"/>
        </w:trPr>
        <w:tc>
          <w:tcPr>
            <w:tcW w:w="1165" w:type="pct"/>
            <w:vMerge w:val="restart"/>
            <w:tcBorders>
              <w:top w:val="nil"/>
              <w:left w:val="single" w:color="auto" w:sz="4" w:space="0"/>
              <w:bottom w:val="single" w:color="auto" w:sz="4" w:space="0"/>
              <w:right w:val="single" w:color="auto" w:sz="4" w:space="0"/>
            </w:tcBorders>
            <w:noWrap w:val="0"/>
            <w:vAlign w:val="bottom"/>
          </w:tcPr>
          <w:p w14:paraId="16243AA1">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信息传输业</w:t>
            </w:r>
          </w:p>
        </w:tc>
        <w:tc>
          <w:tcPr>
            <w:tcW w:w="794" w:type="pct"/>
            <w:tcBorders>
              <w:top w:val="nil"/>
              <w:left w:val="nil"/>
              <w:bottom w:val="single" w:color="auto" w:sz="4" w:space="0"/>
              <w:right w:val="single" w:color="auto" w:sz="4" w:space="0"/>
            </w:tcBorders>
            <w:noWrap w:val="0"/>
            <w:vAlign w:val="center"/>
          </w:tcPr>
          <w:p w14:paraId="22FE6251">
            <w:pPr>
              <w:widowControl/>
              <w:jc w:val="left"/>
              <w:rPr>
                <w:rFonts w:hint="eastAsia" w:ascii="宋体" w:hAnsi="宋体" w:cs="宋体"/>
                <w:kern w:val="0"/>
                <w:szCs w:val="21"/>
                <w:highlight w:val="none"/>
              </w:rPr>
            </w:pPr>
            <w:r>
              <w:rPr>
                <w:rFonts w:hint="eastAsia" w:ascii="宋体" w:hAnsi="宋体" w:cs="宋体"/>
                <w:kern w:val="0"/>
                <w:szCs w:val="21"/>
                <w:highlight w:val="none"/>
              </w:rPr>
              <w:t>从业人员（X）</w:t>
            </w:r>
          </w:p>
        </w:tc>
        <w:tc>
          <w:tcPr>
            <w:tcW w:w="614" w:type="pct"/>
            <w:tcBorders>
              <w:top w:val="nil"/>
              <w:left w:val="nil"/>
              <w:bottom w:val="single" w:color="auto" w:sz="4" w:space="0"/>
              <w:right w:val="single" w:color="auto" w:sz="4" w:space="0"/>
            </w:tcBorders>
            <w:noWrap w:val="0"/>
            <w:vAlign w:val="center"/>
          </w:tcPr>
          <w:p w14:paraId="7B5381C3">
            <w:pPr>
              <w:widowControl/>
              <w:jc w:val="left"/>
              <w:rPr>
                <w:rFonts w:hint="eastAsia" w:ascii="宋体" w:hAnsi="宋体" w:cs="宋体"/>
                <w:kern w:val="0"/>
                <w:szCs w:val="21"/>
                <w:highlight w:val="none"/>
              </w:rPr>
            </w:pPr>
            <w:r>
              <w:rPr>
                <w:rFonts w:hint="eastAsia" w:ascii="宋体" w:hAnsi="宋体" w:cs="宋体"/>
                <w:kern w:val="0"/>
                <w:szCs w:val="21"/>
                <w:highlight w:val="none"/>
              </w:rPr>
              <w:t>人</w:t>
            </w:r>
          </w:p>
        </w:tc>
        <w:tc>
          <w:tcPr>
            <w:tcW w:w="960" w:type="pct"/>
            <w:tcBorders>
              <w:top w:val="nil"/>
              <w:left w:val="nil"/>
              <w:bottom w:val="single" w:color="auto" w:sz="4" w:space="0"/>
              <w:right w:val="single" w:color="auto" w:sz="4" w:space="0"/>
            </w:tcBorders>
            <w:noWrap w:val="0"/>
            <w:vAlign w:val="center"/>
          </w:tcPr>
          <w:p w14:paraId="43BF4AAA">
            <w:pPr>
              <w:widowControl/>
              <w:jc w:val="left"/>
              <w:rPr>
                <w:rFonts w:hint="eastAsia" w:ascii="宋体" w:hAnsi="宋体" w:cs="宋体"/>
                <w:kern w:val="0"/>
                <w:szCs w:val="21"/>
                <w:highlight w:val="none"/>
              </w:rPr>
            </w:pPr>
            <w:r>
              <w:rPr>
                <w:rFonts w:hint="eastAsia" w:ascii="宋体" w:hAnsi="宋体" w:cs="宋体"/>
                <w:kern w:val="0"/>
                <w:szCs w:val="21"/>
                <w:highlight w:val="none"/>
              </w:rPr>
              <w:t>100≤X＜2000</w:t>
            </w:r>
          </w:p>
        </w:tc>
        <w:tc>
          <w:tcPr>
            <w:tcW w:w="850" w:type="pct"/>
            <w:tcBorders>
              <w:top w:val="nil"/>
              <w:left w:val="nil"/>
              <w:bottom w:val="single" w:color="auto" w:sz="4" w:space="0"/>
              <w:right w:val="single" w:color="auto" w:sz="4" w:space="0"/>
            </w:tcBorders>
            <w:noWrap w:val="0"/>
            <w:vAlign w:val="center"/>
          </w:tcPr>
          <w:p w14:paraId="22279A21">
            <w:pPr>
              <w:widowControl/>
              <w:jc w:val="left"/>
              <w:rPr>
                <w:rFonts w:hint="eastAsia" w:ascii="宋体" w:hAnsi="宋体" w:cs="宋体"/>
                <w:kern w:val="0"/>
                <w:szCs w:val="21"/>
                <w:highlight w:val="none"/>
              </w:rPr>
            </w:pPr>
            <w:r>
              <w:rPr>
                <w:rFonts w:hint="eastAsia" w:ascii="宋体" w:hAnsi="宋体" w:cs="宋体"/>
                <w:kern w:val="0"/>
                <w:szCs w:val="21"/>
                <w:highlight w:val="none"/>
              </w:rPr>
              <w:t>10≤X＜100</w:t>
            </w:r>
          </w:p>
        </w:tc>
        <w:tc>
          <w:tcPr>
            <w:tcW w:w="613" w:type="pct"/>
            <w:tcBorders>
              <w:top w:val="nil"/>
              <w:left w:val="nil"/>
              <w:bottom w:val="single" w:color="auto" w:sz="4" w:space="0"/>
              <w:right w:val="single" w:color="auto" w:sz="4" w:space="0"/>
            </w:tcBorders>
            <w:noWrap w:val="0"/>
            <w:vAlign w:val="center"/>
          </w:tcPr>
          <w:p w14:paraId="01922594">
            <w:pPr>
              <w:widowControl/>
              <w:jc w:val="left"/>
              <w:rPr>
                <w:rFonts w:hint="eastAsia" w:ascii="宋体" w:hAnsi="宋体" w:cs="宋体"/>
                <w:kern w:val="0"/>
                <w:szCs w:val="21"/>
                <w:highlight w:val="none"/>
              </w:rPr>
            </w:pPr>
            <w:r>
              <w:rPr>
                <w:rFonts w:hint="eastAsia" w:ascii="宋体" w:hAnsi="宋体" w:cs="宋体"/>
                <w:kern w:val="0"/>
                <w:szCs w:val="21"/>
                <w:highlight w:val="none"/>
              </w:rPr>
              <w:t>X＜10</w:t>
            </w:r>
          </w:p>
        </w:tc>
      </w:tr>
      <w:tr w14:paraId="0760C8C0">
        <w:tblPrEx>
          <w:tblCellMar>
            <w:top w:w="0" w:type="dxa"/>
            <w:left w:w="108" w:type="dxa"/>
            <w:bottom w:w="0" w:type="dxa"/>
            <w:right w:w="108" w:type="dxa"/>
          </w:tblCellMar>
        </w:tblPrEx>
        <w:trPr>
          <w:trHeight w:val="355" w:hRule="atLeast"/>
          <w:jc w:val="center"/>
        </w:trPr>
        <w:tc>
          <w:tcPr>
            <w:tcW w:w="1165" w:type="pct"/>
            <w:vMerge w:val="continue"/>
            <w:tcBorders>
              <w:top w:val="nil"/>
              <w:left w:val="single" w:color="auto" w:sz="4" w:space="0"/>
              <w:bottom w:val="single" w:color="auto" w:sz="4" w:space="0"/>
              <w:right w:val="single" w:color="auto" w:sz="4" w:space="0"/>
            </w:tcBorders>
            <w:noWrap w:val="0"/>
            <w:vAlign w:val="center"/>
          </w:tcPr>
          <w:p w14:paraId="4816ECB8">
            <w:pPr>
              <w:widowControl/>
              <w:jc w:val="left"/>
              <w:rPr>
                <w:rFonts w:hint="eastAsia" w:ascii="宋体" w:hAnsi="宋体" w:cs="宋体"/>
                <w:b/>
                <w:bCs/>
                <w:kern w:val="0"/>
                <w:szCs w:val="21"/>
                <w:highlight w:val="none"/>
              </w:rPr>
            </w:pPr>
          </w:p>
        </w:tc>
        <w:tc>
          <w:tcPr>
            <w:tcW w:w="794" w:type="pct"/>
            <w:tcBorders>
              <w:top w:val="nil"/>
              <w:left w:val="nil"/>
              <w:bottom w:val="single" w:color="auto" w:sz="4" w:space="0"/>
              <w:right w:val="single" w:color="auto" w:sz="4" w:space="0"/>
            </w:tcBorders>
            <w:noWrap w:val="0"/>
            <w:vAlign w:val="center"/>
          </w:tcPr>
          <w:p w14:paraId="73E22953">
            <w:pPr>
              <w:widowControl/>
              <w:jc w:val="left"/>
              <w:rPr>
                <w:rFonts w:hint="eastAsia" w:ascii="宋体" w:hAnsi="宋体" w:cs="宋体"/>
                <w:kern w:val="0"/>
                <w:szCs w:val="21"/>
                <w:highlight w:val="none"/>
              </w:rPr>
            </w:pPr>
            <w:r>
              <w:rPr>
                <w:rFonts w:hint="eastAsia" w:ascii="宋体" w:hAnsi="宋体" w:cs="宋体"/>
                <w:kern w:val="0"/>
                <w:szCs w:val="21"/>
                <w:highlight w:val="none"/>
              </w:rPr>
              <w:t>营业收入（Y）</w:t>
            </w:r>
          </w:p>
        </w:tc>
        <w:tc>
          <w:tcPr>
            <w:tcW w:w="614" w:type="pct"/>
            <w:tcBorders>
              <w:top w:val="nil"/>
              <w:left w:val="nil"/>
              <w:bottom w:val="single" w:color="auto" w:sz="4" w:space="0"/>
              <w:right w:val="single" w:color="auto" w:sz="4" w:space="0"/>
            </w:tcBorders>
            <w:noWrap w:val="0"/>
            <w:vAlign w:val="center"/>
          </w:tcPr>
          <w:p w14:paraId="302B5F39">
            <w:pPr>
              <w:widowControl/>
              <w:jc w:val="left"/>
              <w:rPr>
                <w:rFonts w:hint="eastAsia" w:ascii="宋体" w:hAnsi="宋体" w:cs="宋体"/>
                <w:kern w:val="0"/>
                <w:szCs w:val="21"/>
                <w:highlight w:val="none"/>
              </w:rPr>
            </w:pPr>
            <w:r>
              <w:rPr>
                <w:rFonts w:hint="eastAsia" w:ascii="宋体" w:hAnsi="宋体" w:cs="宋体"/>
                <w:kern w:val="0"/>
                <w:szCs w:val="21"/>
                <w:highlight w:val="none"/>
              </w:rPr>
              <w:t>万元</w:t>
            </w:r>
          </w:p>
        </w:tc>
        <w:tc>
          <w:tcPr>
            <w:tcW w:w="960" w:type="pct"/>
            <w:tcBorders>
              <w:top w:val="nil"/>
              <w:left w:val="nil"/>
              <w:bottom w:val="single" w:color="auto" w:sz="4" w:space="0"/>
              <w:right w:val="single" w:color="auto" w:sz="4" w:space="0"/>
            </w:tcBorders>
            <w:noWrap w:val="0"/>
            <w:vAlign w:val="center"/>
          </w:tcPr>
          <w:p w14:paraId="4F3C97C6">
            <w:pPr>
              <w:widowControl/>
              <w:jc w:val="left"/>
              <w:rPr>
                <w:rFonts w:hint="eastAsia" w:ascii="宋体" w:hAnsi="宋体" w:cs="宋体"/>
                <w:kern w:val="0"/>
                <w:szCs w:val="21"/>
                <w:highlight w:val="none"/>
              </w:rPr>
            </w:pPr>
            <w:r>
              <w:rPr>
                <w:rFonts w:hint="eastAsia" w:ascii="宋体" w:hAnsi="宋体" w:cs="宋体"/>
                <w:kern w:val="0"/>
                <w:szCs w:val="21"/>
                <w:highlight w:val="none"/>
              </w:rPr>
              <w:t>1000≤Y＜100000</w:t>
            </w:r>
          </w:p>
        </w:tc>
        <w:tc>
          <w:tcPr>
            <w:tcW w:w="850" w:type="pct"/>
            <w:tcBorders>
              <w:top w:val="nil"/>
              <w:left w:val="nil"/>
              <w:bottom w:val="single" w:color="auto" w:sz="4" w:space="0"/>
              <w:right w:val="single" w:color="auto" w:sz="4" w:space="0"/>
            </w:tcBorders>
            <w:noWrap w:val="0"/>
            <w:vAlign w:val="center"/>
          </w:tcPr>
          <w:p w14:paraId="29820B36">
            <w:pPr>
              <w:widowControl/>
              <w:jc w:val="left"/>
              <w:rPr>
                <w:rFonts w:hint="eastAsia" w:ascii="宋体" w:hAnsi="宋体" w:cs="宋体"/>
                <w:kern w:val="0"/>
                <w:szCs w:val="21"/>
                <w:highlight w:val="none"/>
              </w:rPr>
            </w:pPr>
            <w:r>
              <w:rPr>
                <w:rFonts w:hint="eastAsia" w:ascii="宋体" w:hAnsi="宋体" w:cs="宋体"/>
                <w:kern w:val="0"/>
                <w:szCs w:val="21"/>
                <w:highlight w:val="none"/>
              </w:rPr>
              <w:t>100≤Y＜1000</w:t>
            </w:r>
          </w:p>
        </w:tc>
        <w:tc>
          <w:tcPr>
            <w:tcW w:w="613" w:type="pct"/>
            <w:tcBorders>
              <w:top w:val="nil"/>
              <w:left w:val="nil"/>
              <w:bottom w:val="single" w:color="auto" w:sz="4" w:space="0"/>
              <w:right w:val="single" w:color="auto" w:sz="4" w:space="0"/>
            </w:tcBorders>
            <w:noWrap w:val="0"/>
            <w:vAlign w:val="center"/>
          </w:tcPr>
          <w:p w14:paraId="5C7E3865">
            <w:pPr>
              <w:widowControl/>
              <w:jc w:val="left"/>
              <w:rPr>
                <w:rFonts w:hint="eastAsia" w:ascii="宋体" w:hAnsi="宋体" w:cs="宋体"/>
                <w:kern w:val="0"/>
                <w:szCs w:val="21"/>
                <w:highlight w:val="none"/>
              </w:rPr>
            </w:pPr>
            <w:r>
              <w:rPr>
                <w:rFonts w:hint="eastAsia" w:ascii="宋体" w:hAnsi="宋体" w:cs="宋体"/>
                <w:kern w:val="0"/>
                <w:szCs w:val="21"/>
                <w:highlight w:val="none"/>
              </w:rPr>
              <w:t>Y＜100</w:t>
            </w:r>
          </w:p>
        </w:tc>
      </w:tr>
      <w:tr w14:paraId="761C3535">
        <w:tblPrEx>
          <w:tblCellMar>
            <w:top w:w="0" w:type="dxa"/>
            <w:left w:w="108" w:type="dxa"/>
            <w:bottom w:w="0" w:type="dxa"/>
            <w:right w:w="108" w:type="dxa"/>
          </w:tblCellMar>
        </w:tblPrEx>
        <w:trPr>
          <w:trHeight w:val="355" w:hRule="atLeast"/>
          <w:jc w:val="center"/>
        </w:trPr>
        <w:tc>
          <w:tcPr>
            <w:tcW w:w="1165" w:type="pct"/>
            <w:vMerge w:val="restart"/>
            <w:tcBorders>
              <w:top w:val="nil"/>
              <w:left w:val="single" w:color="auto" w:sz="4" w:space="0"/>
              <w:bottom w:val="single" w:color="auto" w:sz="4" w:space="0"/>
              <w:right w:val="single" w:color="auto" w:sz="4" w:space="0"/>
            </w:tcBorders>
            <w:noWrap w:val="0"/>
            <w:vAlign w:val="bottom"/>
          </w:tcPr>
          <w:p w14:paraId="13954638">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软件和信息技术服务业</w:t>
            </w:r>
          </w:p>
        </w:tc>
        <w:tc>
          <w:tcPr>
            <w:tcW w:w="794" w:type="pct"/>
            <w:tcBorders>
              <w:top w:val="nil"/>
              <w:left w:val="nil"/>
              <w:bottom w:val="single" w:color="auto" w:sz="4" w:space="0"/>
              <w:right w:val="single" w:color="auto" w:sz="4" w:space="0"/>
            </w:tcBorders>
            <w:noWrap w:val="0"/>
            <w:vAlign w:val="center"/>
          </w:tcPr>
          <w:p w14:paraId="6170942D">
            <w:pPr>
              <w:widowControl/>
              <w:jc w:val="left"/>
              <w:rPr>
                <w:rFonts w:hint="eastAsia" w:ascii="宋体" w:hAnsi="宋体" w:cs="宋体"/>
                <w:kern w:val="0"/>
                <w:szCs w:val="21"/>
                <w:highlight w:val="none"/>
              </w:rPr>
            </w:pPr>
            <w:r>
              <w:rPr>
                <w:rFonts w:hint="eastAsia" w:ascii="宋体" w:hAnsi="宋体" w:cs="宋体"/>
                <w:kern w:val="0"/>
                <w:szCs w:val="21"/>
                <w:highlight w:val="none"/>
              </w:rPr>
              <w:t>从业人员（X）</w:t>
            </w:r>
          </w:p>
        </w:tc>
        <w:tc>
          <w:tcPr>
            <w:tcW w:w="614" w:type="pct"/>
            <w:tcBorders>
              <w:top w:val="nil"/>
              <w:left w:val="nil"/>
              <w:bottom w:val="single" w:color="auto" w:sz="4" w:space="0"/>
              <w:right w:val="single" w:color="auto" w:sz="4" w:space="0"/>
            </w:tcBorders>
            <w:noWrap w:val="0"/>
            <w:vAlign w:val="center"/>
          </w:tcPr>
          <w:p w14:paraId="4502019F">
            <w:pPr>
              <w:widowControl/>
              <w:jc w:val="left"/>
              <w:rPr>
                <w:rFonts w:hint="eastAsia" w:ascii="宋体" w:hAnsi="宋体" w:cs="宋体"/>
                <w:kern w:val="0"/>
                <w:szCs w:val="21"/>
                <w:highlight w:val="none"/>
              </w:rPr>
            </w:pPr>
            <w:r>
              <w:rPr>
                <w:rFonts w:hint="eastAsia" w:ascii="宋体" w:hAnsi="宋体" w:cs="宋体"/>
                <w:kern w:val="0"/>
                <w:szCs w:val="21"/>
                <w:highlight w:val="none"/>
              </w:rPr>
              <w:t>人</w:t>
            </w:r>
          </w:p>
        </w:tc>
        <w:tc>
          <w:tcPr>
            <w:tcW w:w="960" w:type="pct"/>
            <w:tcBorders>
              <w:top w:val="nil"/>
              <w:left w:val="nil"/>
              <w:bottom w:val="single" w:color="auto" w:sz="4" w:space="0"/>
              <w:right w:val="single" w:color="auto" w:sz="4" w:space="0"/>
            </w:tcBorders>
            <w:noWrap w:val="0"/>
            <w:vAlign w:val="center"/>
          </w:tcPr>
          <w:p w14:paraId="4E8B46B6">
            <w:pPr>
              <w:widowControl/>
              <w:jc w:val="left"/>
              <w:rPr>
                <w:rFonts w:hint="eastAsia" w:ascii="宋体" w:hAnsi="宋体" w:cs="宋体"/>
                <w:kern w:val="0"/>
                <w:szCs w:val="21"/>
                <w:highlight w:val="none"/>
              </w:rPr>
            </w:pPr>
            <w:r>
              <w:rPr>
                <w:rFonts w:hint="eastAsia" w:ascii="宋体" w:hAnsi="宋体" w:cs="宋体"/>
                <w:kern w:val="0"/>
                <w:szCs w:val="21"/>
                <w:highlight w:val="none"/>
              </w:rPr>
              <w:t>100≤X＜300</w:t>
            </w:r>
          </w:p>
        </w:tc>
        <w:tc>
          <w:tcPr>
            <w:tcW w:w="850" w:type="pct"/>
            <w:tcBorders>
              <w:top w:val="nil"/>
              <w:left w:val="nil"/>
              <w:bottom w:val="single" w:color="auto" w:sz="4" w:space="0"/>
              <w:right w:val="single" w:color="auto" w:sz="4" w:space="0"/>
            </w:tcBorders>
            <w:noWrap w:val="0"/>
            <w:vAlign w:val="center"/>
          </w:tcPr>
          <w:p w14:paraId="6C962558">
            <w:pPr>
              <w:widowControl/>
              <w:jc w:val="left"/>
              <w:rPr>
                <w:rFonts w:hint="eastAsia" w:ascii="宋体" w:hAnsi="宋体" w:cs="宋体"/>
                <w:kern w:val="0"/>
                <w:szCs w:val="21"/>
                <w:highlight w:val="none"/>
              </w:rPr>
            </w:pPr>
            <w:r>
              <w:rPr>
                <w:rFonts w:hint="eastAsia" w:ascii="宋体" w:hAnsi="宋体" w:cs="宋体"/>
                <w:kern w:val="0"/>
                <w:szCs w:val="21"/>
                <w:highlight w:val="none"/>
              </w:rPr>
              <w:t>10≤X＜100</w:t>
            </w:r>
          </w:p>
        </w:tc>
        <w:tc>
          <w:tcPr>
            <w:tcW w:w="613" w:type="pct"/>
            <w:tcBorders>
              <w:top w:val="nil"/>
              <w:left w:val="nil"/>
              <w:bottom w:val="single" w:color="auto" w:sz="4" w:space="0"/>
              <w:right w:val="single" w:color="auto" w:sz="4" w:space="0"/>
            </w:tcBorders>
            <w:noWrap w:val="0"/>
            <w:vAlign w:val="center"/>
          </w:tcPr>
          <w:p w14:paraId="415822B3">
            <w:pPr>
              <w:widowControl/>
              <w:jc w:val="left"/>
              <w:rPr>
                <w:rFonts w:hint="eastAsia" w:ascii="宋体" w:hAnsi="宋体" w:cs="宋体"/>
                <w:kern w:val="0"/>
                <w:szCs w:val="21"/>
                <w:highlight w:val="none"/>
              </w:rPr>
            </w:pPr>
            <w:r>
              <w:rPr>
                <w:rFonts w:hint="eastAsia" w:ascii="宋体" w:hAnsi="宋体" w:cs="宋体"/>
                <w:kern w:val="0"/>
                <w:szCs w:val="21"/>
                <w:highlight w:val="none"/>
              </w:rPr>
              <w:t>X＜10</w:t>
            </w:r>
          </w:p>
        </w:tc>
      </w:tr>
      <w:tr w14:paraId="34E805B5">
        <w:tblPrEx>
          <w:tblCellMar>
            <w:top w:w="0" w:type="dxa"/>
            <w:left w:w="108" w:type="dxa"/>
            <w:bottom w:w="0" w:type="dxa"/>
            <w:right w:w="108" w:type="dxa"/>
          </w:tblCellMar>
        </w:tblPrEx>
        <w:trPr>
          <w:trHeight w:val="355" w:hRule="atLeast"/>
          <w:jc w:val="center"/>
        </w:trPr>
        <w:tc>
          <w:tcPr>
            <w:tcW w:w="1165" w:type="pct"/>
            <w:vMerge w:val="continue"/>
            <w:tcBorders>
              <w:top w:val="nil"/>
              <w:left w:val="single" w:color="auto" w:sz="4" w:space="0"/>
              <w:bottom w:val="single" w:color="auto" w:sz="4" w:space="0"/>
              <w:right w:val="single" w:color="auto" w:sz="4" w:space="0"/>
            </w:tcBorders>
            <w:noWrap w:val="0"/>
            <w:vAlign w:val="center"/>
          </w:tcPr>
          <w:p w14:paraId="152C8A93">
            <w:pPr>
              <w:widowControl/>
              <w:jc w:val="left"/>
              <w:rPr>
                <w:rFonts w:hint="eastAsia" w:ascii="宋体" w:hAnsi="宋体" w:cs="宋体"/>
                <w:b/>
                <w:bCs/>
                <w:kern w:val="0"/>
                <w:szCs w:val="21"/>
                <w:highlight w:val="none"/>
              </w:rPr>
            </w:pPr>
          </w:p>
        </w:tc>
        <w:tc>
          <w:tcPr>
            <w:tcW w:w="794" w:type="pct"/>
            <w:tcBorders>
              <w:top w:val="nil"/>
              <w:left w:val="nil"/>
              <w:bottom w:val="single" w:color="auto" w:sz="4" w:space="0"/>
              <w:right w:val="single" w:color="auto" w:sz="4" w:space="0"/>
            </w:tcBorders>
            <w:noWrap w:val="0"/>
            <w:vAlign w:val="center"/>
          </w:tcPr>
          <w:p w14:paraId="580C1922">
            <w:pPr>
              <w:widowControl/>
              <w:jc w:val="left"/>
              <w:rPr>
                <w:rFonts w:hint="eastAsia" w:ascii="宋体" w:hAnsi="宋体" w:cs="宋体"/>
                <w:kern w:val="0"/>
                <w:szCs w:val="21"/>
                <w:highlight w:val="none"/>
              </w:rPr>
            </w:pPr>
            <w:r>
              <w:rPr>
                <w:rFonts w:hint="eastAsia" w:ascii="宋体" w:hAnsi="宋体" w:cs="宋体"/>
                <w:kern w:val="0"/>
                <w:szCs w:val="21"/>
                <w:highlight w:val="none"/>
              </w:rPr>
              <w:t>营业收入（Y）</w:t>
            </w:r>
          </w:p>
        </w:tc>
        <w:tc>
          <w:tcPr>
            <w:tcW w:w="614" w:type="pct"/>
            <w:tcBorders>
              <w:top w:val="nil"/>
              <w:left w:val="nil"/>
              <w:bottom w:val="single" w:color="auto" w:sz="4" w:space="0"/>
              <w:right w:val="single" w:color="auto" w:sz="4" w:space="0"/>
            </w:tcBorders>
            <w:noWrap w:val="0"/>
            <w:vAlign w:val="center"/>
          </w:tcPr>
          <w:p w14:paraId="22C56D03">
            <w:pPr>
              <w:widowControl/>
              <w:jc w:val="left"/>
              <w:rPr>
                <w:rFonts w:hint="eastAsia" w:ascii="宋体" w:hAnsi="宋体" w:cs="宋体"/>
                <w:kern w:val="0"/>
                <w:szCs w:val="21"/>
                <w:highlight w:val="none"/>
              </w:rPr>
            </w:pPr>
            <w:r>
              <w:rPr>
                <w:rFonts w:hint="eastAsia" w:ascii="宋体" w:hAnsi="宋体" w:cs="宋体"/>
                <w:kern w:val="0"/>
                <w:szCs w:val="21"/>
                <w:highlight w:val="none"/>
              </w:rPr>
              <w:t>万元</w:t>
            </w:r>
          </w:p>
        </w:tc>
        <w:tc>
          <w:tcPr>
            <w:tcW w:w="960" w:type="pct"/>
            <w:tcBorders>
              <w:top w:val="nil"/>
              <w:left w:val="nil"/>
              <w:bottom w:val="single" w:color="auto" w:sz="4" w:space="0"/>
              <w:right w:val="single" w:color="auto" w:sz="4" w:space="0"/>
            </w:tcBorders>
            <w:noWrap w:val="0"/>
            <w:vAlign w:val="center"/>
          </w:tcPr>
          <w:p w14:paraId="229AACD3">
            <w:pPr>
              <w:widowControl/>
              <w:jc w:val="left"/>
              <w:rPr>
                <w:rFonts w:hint="eastAsia" w:ascii="宋体" w:hAnsi="宋体" w:cs="宋体"/>
                <w:kern w:val="0"/>
                <w:szCs w:val="21"/>
                <w:highlight w:val="none"/>
              </w:rPr>
            </w:pPr>
            <w:r>
              <w:rPr>
                <w:rFonts w:hint="eastAsia" w:ascii="宋体" w:hAnsi="宋体" w:cs="宋体"/>
                <w:kern w:val="0"/>
                <w:szCs w:val="21"/>
                <w:highlight w:val="none"/>
              </w:rPr>
              <w:t>1000≤Y＜10000</w:t>
            </w:r>
          </w:p>
        </w:tc>
        <w:tc>
          <w:tcPr>
            <w:tcW w:w="850" w:type="pct"/>
            <w:tcBorders>
              <w:top w:val="nil"/>
              <w:left w:val="nil"/>
              <w:bottom w:val="single" w:color="auto" w:sz="4" w:space="0"/>
              <w:right w:val="single" w:color="auto" w:sz="4" w:space="0"/>
            </w:tcBorders>
            <w:noWrap w:val="0"/>
            <w:vAlign w:val="center"/>
          </w:tcPr>
          <w:p w14:paraId="54861A44">
            <w:pPr>
              <w:widowControl/>
              <w:jc w:val="left"/>
              <w:rPr>
                <w:rFonts w:hint="eastAsia" w:ascii="宋体" w:hAnsi="宋体" w:cs="宋体"/>
                <w:kern w:val="0"/>
                <w:szCs w:val="21"/>
                <w:highlight w:val="none"/>
              </w:rPr>
            </w:pPr>
            <w:r>
              <w:rPr>
                <w:rFonts w:hint="eastAsia" w:ascii="宋体" w:hAnsi="宋体" w:cs="宋体"/>
                <w:kern w:val="0"/>
                <w:szCs w:val="21"/>
                <w:highlight w:val="none"/>
              </w:rPr>
              <w:t>50≤Y＜1000</w:t>
            </w:r>
          </w:p>
        </w:tc>
        <w:tc>
          <w:tcPr>
            <w:tcW w:w="613" w:type="pct"/>
            <w:tcBorders>
              <w:top w:val="nil"/>
              <w:left w:val="nil"/>
              <w:bottom w:val="single" w:color="auto" w:sz="4" w:space="0"/>
              <w:right w:val="single" w:color="auto" w:sz="4" w:space="0"/>
            </w:tcBorders>
            <w:noWrap w:val="0"/>
            <w:vAlign w:val="center"/>
          </w:tcPr>
          <w:p w14:paraId="4AEA42DC">
            <w:pPr>
              <w:widowControl/>
              <w:jc w:val="left"/>
              <w:rPr>
                <w:rFonts w:hint="eastAsia" w:ascii="宋体" w:hAnsi="宋体" w:cs="宋体"/>
                <w:kern w:val="0"/>
                <w:szCs w:val="21"/>
                <w:highlight w:val="none"/>
              </w:rPr>
            </w:pPr>
            <w:r>
              <w:rPr>
                <w:rFonts w:hint="eastAsia" w:ascii="宋体" w:hAnsi="宋体" w:cs="宋体"/>
                <w:kern w:val="0"/>
                <w:szCs w:val="21"/>
                <w:highlight w:val="none"/>
              </w:rPr>
              <w:t>Y＜50</w:t>
            </w:r>
          </w:p>
        </w:tc>
      </w:tr>
      <w:tr w14:paraId="5713E58A">
        <w:tblPrEx>
          <w:tblCellMar>
            <w:top w:w="0" w:type="dxa"/>
            <w:left w:w="108" w:type="dxa"/>
            <w:bottom w:w="0" w:type="dxa"/>
            <w:right w:w="108" w:type="dxa"/>
          </w:tblCellMar>
        </w:tblPrEx>
        <w:trPr>
          <w:trHeight w:val="355" w:hRule="atLeast"/>
          <w:jc w:val="center"/>
        </w:trPr>
        <w:tc>
          <w:tcPr>
            <w:tcW w:w="1165" w:type="pct"/>
            <w:vMerge w:val="restart"/>
            <w:tcBorders>
              <w:top w:val="nil"/>
              <w:left w:val="single" w:color="auto" w:sz="4" w:space="0"/>
              <w:bottom w:val="single" w:color="auto" w:sz="4" w:space="0"/>
              <w:right w:val="single" w:color="auto" w:sz="4" w:space="0"/>
            </w:tcBorders>
            <w:noWrap w:val="0"/>
            <w:vAlign w:val="bottom"/>
          </w:tcPr>
          <w:p w14:paraId="59402859">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房地产开发经营</w:t>
            </w:r>
          </w:p>
        </w:tc>
        <w:tc>
          <w:tcPr>
            <w:tcW w:w="794" w:type="pct"/>
            <w:tcBorders>
              <w:top w:val="nil"/>
              <w:left w:val="nil"/>
              <w:bottom w:val="single" w:color="auto" w:sz="4" w:space="0"/>
              <w:right w:val="single" w:color="auto" w:sz="4" w:space="0"/>
            </w:tcBorders>
            <w:noWrap w:val="0"/>
            <w:vAlign w:val="center"/>
          </w:tcPr>
          <w:p w14:paraId="62055090">
            <w:pPr>
              <w:widowControl/>
              <w:jc w:val="left"/>
              <w:rPr>
                <w:rFonts w:hint="eastAsia" w:ascii="宋体" w:hAnsi="宋体" w:cs="宋体"/>
                <w:kern w:val="0"/>
                <w:szCs w:val="21"/>
                <w:highlight w:val="none"/>
              </w:rPr>
            </w:pPr>
            <w:r>
              <w:rPr>
                <w:rFonts w:hint="eastAsia" w:ascii="宋体" w:hAnsi="宋体" w:cs="宋体"/>
                <w:kern w:val="0"/>
                <w:szCs w:val="21"/>
                <w:highlight w:val="none"/>
              </w:rPr>
              <w:t>营业收入（Y）</w:t>
            </w:r>
          </w:p>
        </w:tc>
        <w:tc>
          <w:tcPr>
            <w:tcW w:w="614" w:type="pct"/>
            <w:tcBorders>
              <w:top w:val="nil"/>
              <w:left w:val="nil"/>
              <w:bottom w:val="single" w:color="auto" w:sz="4" w:space="0"/>
              <w:right w:val="single" w:color="auto" w:sz="4" w:space="0"/>
            </w:tcBorders>
            <w:noWrap w:val="0"/>
            <w:vAlign w:val="center"/>
          </w:tcPr>
          <w:p w14:paraId="0ECA92A7">
            <w:pPr>
              <w:widowControl/>
              <w:jc w:val="left"/>
              <w:rPr>
                <w:rFonts w:hint="eastAsia" w:ascii="宋体" w:hAnsi="宋体" w:cs="宋体"/>
                <w:kern w:val="0"/>
                <w:szCs w:val="21"/>
                <w:highlight w:val="none"/>
              </w:rPr>
            </w:pPr>
            <w:r>
              <w:rPr>
                <w:rFonts w:hint="eastAsia" w:ascii="宋体" w:hAnsi="宋体" w:cs="宋体"/>
                <w:kern w:val="0"/>
                <w:szCs w:val="21"/>
                <w:highlight w:val="none"/>
              </w:rPr>
              <w:t>万元</w:t>
            </w:r>
          </w:p>
        </w:tc>
        <w:tc>
          <w:tcPr>
            <w:tcW w:w="960" w:type="pct"/>
            <w:tcBorders>
              <w:top w:val="nil"/>
              <w:left w:val="nil"/>
              <w:bottom w:val="single" w:color="auto" w:sz="4" w:space="0"/>
              <w:right w:val="single" w:color="auto" w:sz="4" w:space="0"/>
            </w:tcBorders>
            <w:noWrap w:val="0"/>
            <w:vAlign w:val="center"/>
          </w:tcPr>
          <w:p w14:paraId="55613A03">
            <w:pPr>
              <w:widowControl/>
              <w:jc w:val="left"/>
              <w:rPr>
                <w:rFonts w:hint="eastAsia" w:ascii="宋体" w:hAnsi="宋体" w:cs="宋体"/>
                <w:kern w:val="0"/>
                <w:szCs w:val="21"/>
                <w:highlight w:val="none"/>
              </w:rPr>
            </w:pPr>
            <w:r>
              <w:rPr>
                <w:rFonts w:hint="eastAsia" w:ascii="宋体" w:hAnsi="宋体" w:cs="宋体"/>
                <w:kern w:val="0"/>
                <w:szCs w:val="21"/>
                <w:highlight w:val="none"/>
              </w:rPr>
              <w:t>1000≤Y＜200000</w:t>
            </w:r>
          </w:p>
        </w:tc>
        <w:tc>
          <w:tcPr>
            <w:tcW w:w="850" w:type="pct"/>
            <w:tcBorders>
              <w:top w:val="nil"/>
              <w:left w:val="nil"/>
              <w:bottom w:val="single" w:color="auto" w:sz="4" w:space="0"/>
              <w:right w:val="single" w:color="auto" w:sz="4" w:space="0"/>
            </w:tcBorders>
            <w:noWrap w:val="0"/>
            <w:vAlign w:val="center"/>
          </w:tcPr>
          <w:p w14:paraId="0B09F2E9">
            <w:pPr>
              <w:widowControl/>
              <w:jc w:val="left"/>
              <w:rPr>
                <w:rFonts w:hint="eastAsia" w:ascii="宋体" w:hAnsi="宋体" w:cs="宋体"/>
                <w:kern w:val="0"/>
                <w:szCs w:val="21"/>
                <w:highlight w:val="none"/>
              </w:rPr>
            </w:pPr>
            <w:r>
              <w:rPr>
                <w:rFonts w:hint="eastAsia" w:ascii="宋体" w:hAnsi="宋体" w:cs="宋体"/>
                <w:kern w:val="0"/>
                <w:szCs w:val="21"/>
                <w:highlight w:val="none"/>
              </w:rPr>
              <w:t>100≤X＜1000</w:t>
            </w:r>
          </w:p>
        </w:tc>
        <w:tc>
          <w:tcPr>
            <w:tcW w:w="613" w:type="pct"/>
            <w:tcBorders>
              <w:top w:val="nil"/>
              <w:left w:val="nil"/>
              <w:bottom w:val="single" w:color="auto" w:sz="4" w:space="0"/>
              <w:right w:val="single" w:color="auto" w:sz="4" w:space="0"/>
            </w:tcBorders>
            <w:noWrap w:val="0"/>
            <w:vAlign w:val="center"/>
          </w:tcPr>
          <w:p w14:paraId="7B34EC94">
            <w:pPr>
              <w:widowControl/>
              <w:jc w:val="left"/>
              <w:rPr>
                <w:rFonts w:hint="eastAsia" w:ascii="宋体" w:hAnsi="宋体" w:cs="宋体"/>
                <w:kern w:val="0"/>
                <w:szCs w:val="21"/>
                <w:highlight w:val="none"/>
              </w:rPr>
            </w:pPr>
            <w:r>
              <w:rPr>
                <w:rFonts w:hint="eastAsia" w:ascii="宋体" w:hAnsi="宋体" w:cs="宋体"/>
                <w:kern w:val="0"/>
                <w:szCs w:val="21"/>
                <w:highlight w:val="none"/>
              </w:rPr>
              <w:t>X＜100</w:t>
            </w:r>
          </w:p>
        </w:tc>
      </w:tr>
      <w:tr w14:paraId="63C71DEE">
        <w:tblPrEx>
          <w:tblCellMar>
            <w:top w:w="0" w:type="dxa"/>
            <w:left w:w="108" w:type="dxa"/>
            <w:bottom w:w="0" w:type="dxa"/>
            <w:right w:w="108" w:type="dxa"/>
          </w:tblCellMar>
        </w:tblPrEx>
        <w:trPr>
          <w:trHeight w:val="355" w:hRule="atLeast"/>
          <w:jc w:val="center"/>
        </w:trPr>
        <w:tc>
          <w:tcPr>
            <w:tcW w:w="1165" w:type="pct"/>
            <w:vMerge w:val="continue"/>
            <w:tcBorders>
              <w:top w:val="nil"/>
              <w:left w:val="single" w:color="auto" w:sz="4" w:space="0"/>
              <w:bottom w:val="single" w:color="auto" w:sz="4" w:space="0"/>
              <w:right w:val="single" w:color="auto" w:sz="4" w:space="0"/>
            </w:tcBorders>
            <w:noWrap w:val="0"/>
            <w:vAlign w:val="center"/>
          </w:tcPr>
          <w:p w14:paraId="78E15BF7">
            <w:pPr>
              <w:widowControl/>
              <w:jc w:val="left"/>
              <w:rPr>
                <w:rFonts w:hint="eastAsia" w:ascii="宋体" w:hAnsi="宋体" w:cs="宋体"/>
                <w:b/>
                <w:bCs/>
                <w:kern w:val="0"/>
                <w:szCs w:val="21"/>
                <w:highlight w:val="none"/>
              </w:rPr>
            </w:pPr>
          </w:p>
        </w:tc>
        <w:tc>
          <w:tcPr>
            <w:tcW w:w="794" w:type="pct"/>
            <w:tcBorders>
              <w:top w:val="nil"/>
              <w:left w:val="nil"/>
              <w:bottom w:val="single" w:color="auto" w:sz="4" w:space="0"/>
              <w:right w:val="single" w:color="auto" w:sz="4" w:space="0"/>
            </w:tcBorders>
            <w:noWrap w:val="0"/>
            <w:vAlign w:val="center"/>
          </w:tcPr>
          <w:p w14:paraId="571F2A8D">
            <w:pPr>
              <w:widowControl/>
              <w:jc w:val="left"/>
              <w:rPr>
                <w:rFonts w:hint="eastAsia" w:ascii="宋体" w:hAnsi="宋体" w:cs="宋体"/>
                <w:kern w:val="0"/>
                <w:szCs w:val="21"/>
                <w:highlight w:val="none"/>
              </w:rPr>
            </w:pPr>
            <w:r>
              <w:rPr>
                <w:rFonts w:hint="eastAsia" w:ascii="宋体" w:hAnsi="宋体" w:cs="宋体"/>
                <w:kern w:val="0"/>
                <w:szCs w:val="21"/>
                <w:highlight w:val="none"/>
              </w:rPr>
              <w:t>资产总额（Z）</w:t>
            </w:r>
          </w:p>
        </w:tc>
        <w:tc>
          <w:tcPr>
            <w:tcW w:w="614" w:type="pct"/>
            <w:tcBorders>
              <w:top w:val="nil"/>
              <w:left w:val="nil"/>
              <w:bottom w:val="single" w:color="auto" w:sz="4" w:space="0"/>
              <w:right w:val="single" w:color="auto" w:sz="4" w:space="0"/>
            </w:tcBorders>
            <w:noWrap w:val="0"/>
            <w:vAlign w:val="center"/>
          </w:tcPr>
          <w:p w14:paraId="65CF60D6">
            <w:pPr>
              <w:widowControl/>
              <w:jc w:val="left"/>
              <w:rPr>
                <w:rFonts w:hint="eastAsia" w:ascii="宋体" w:hAnsi="宋体" w:cs="宋体"/>
                <w:kern w:val="0"/>
                <w:szCs w:val="21"/>
                <w:highlight w:val="none"/>
              </w:rPr>
            </w:pPr>
            <w:r>
              <w:rPr>
                <w:rFonts w:hint="eastAsia" w:ascii="宋体" w:hAnsi="宋体" w:cs="宋体"/>
                <w:kern w:val="0"/>
                <w:szCs w:val="21"/>
                <w:highlight w:val="none"/>
              </w:rPr>
              <w:t>万元</w:t>
            </w:r>
          </w:p>
        </w:tc>
        <w:tc>
          <w:tcPr>
            <w:tcW w:w="960" w:type="pct"/>
            <w:tcBorders>
              <w:top w:val="nil"/>
              <w:left w:val="nil"/>
              <w:bottom w:val="single" w:color="auto" w:sz="4" w:space="0"/>
              <w:right w:val="single" w:color="auto" w:sz="4" w:space="0"/>
            </w:tcBorders>
            <w:noWrap w:val="0"/>
            <w:vAlign w:val="center"/>
          </w:tcPr>
          <w:p w14:paraId="500DC50A">
            <w:pPr>
              <w:widowControl/>
              <w:jc w:val="left"/>
              <w:rPr>
                <w:rFonts w:hint="eastAsia" w:ascii="宋体" w:hAnsi="宋体" w:cs="宋体"/>
                <w:kern w:val="0"/>
                <w:szCs w:val="21"/>
                <w:highlight w:val="none"/>
              </w:rPr>
            </w:pPr>
            <w:r>
              <w:rPr>
                <w:rFonts w:hint="eastAsia" w:ascii="宋体" w:hAnsi="宋体" w:cs="宋体"/>
                <w:kern w:val="0"/>
                <w:szCs w:val="21"/>
                <w:highlight w:val="none"/>
              </w:rPr>
              <w:t>5000≤Z＜10000</w:t>
            </w:r>
          </w:p>
        </w:tc>
        <w:tc>
          <w:tcPr>
            <w:tcW w:w="850" w:type="pct"/>
            <w:tcBorders>
              <w:top w:val="nil"/>
              <w:left w:val="nil"/>
              <w:bottom w:val="single" w:color="auto" w:sz="4" w:space="0"/>
              <w:right w:val="single" w:color="auto" w:sz="4" w:space="0"/>
            </w:tcBorders>
            <w:noWrap w:val="0"/>
            <w:vAlign w:val="center"/>
          </w:tcPr>
          <w:p w14:paraId="13F84E0A">
            <w:pPr>
              <w:widowControl/>
              <w:jc w:val="left"/>
              <w:rPr>
                <w:rFonts w:hint="eastAsia" w:ascii="宋体" w:hAnsi="宋体" w:cs="宋体"/>
                <w:kern w:val="0"/>
                <w:szCs w:val="21"/>
                <w:highlight w:val="none"/>
              </w:rPr>
            </w:pPr>
            <w:r>
              <w:rPr>
                <w:rFonts w:hint="eastAsia" w:ascii="宋体" w:hAnsi="宋体" w:cs="宋体"/>
                <w:kern w:val="0"/>
                <w:szCs w:val="21"/>
                <w:highlight w:val="none"/>
              </w:rPr>
              <w:t>2000≤Y＜5000</w:t>
            </w:r>
          </w:p>
        </w:tc>
        <w:tc>
          <w:tcPr>
            <w:tcW w:w="613" w:type="pct"/>
            <w:tcBorders>
              <w:top w:val="nil"/>
              <w:left w:val="nil"/>
              <w:bottom w:val="single" w:color="auto" w:sz="4" w:space="0"/>
              <w:right w:val="single" w:color="auto" w:sz="4" w:space="0"/>
            </w:tcBorders>
            <w:noWrap w:val="0"/>
            <w:vAlign w:val="center"/>
          </w:tcPr>
          <w:p w14:paraId="0CBBAA89">
            <w:pPr>
              <w:widowControl/>
              <w:jc w:val="left"/>
              <w:rPr>
                <w:rFonts w:hint="eastAsia" w:ascii="宋体" w:hAnsi="宋体" w:cs="宋体"/>
                <w:kern w:val="0"/>
                <w:szCs w:val="21"/>
                <w:highlight w:val="none"/>
              </w:rPr>
            </w:pPr>
            <w:r>
              <w:rPr>
                <w:rFonts w:hint="eastAsia" w:ascii="宋体" w:hAnsi="宋体" w:cs="宋体"/>
                <w:kern w:val="0"/>
                <w:szCs w:val="21"/>
                <w:highlight w:val="none"/>
              </w:rPr>
              <w:t>Y＜2000</w:t>
            </w:r>
          </w:p>
        </w:tc>
      </w:tr>
      <w:tr w14:paraId="63FC43A2">
        <w:tblPrEx>
          <w:tblCellMar>
            <w:top w:w="0" w:type="dxa"/>
            <w:left w:w="108" w:type="dxa"/>
            <w:bottom w:w="0" w:type="dxa"/>
            <w:right w:w="108" w:type="dxa"/>
          </w:tblCellMar>
        </w:tblPrEx>
        <w:trPr>
          <w:trHeight w:val="355" w:hRule="atLeast"/>
          <w:jc w:val="center"/>
        </w:trPr>
        <w:tc>
          <w:tcPr>
            <w:tcW w:w="1165" w:type="pct"/>
            <w:vMerge w:val="restart"/>
            <w:tcBorders>
              <w:top w:val="nil"/>
              <w:left w:val="single" w:color="auto" w:sz="4" w:space="0"/>
              <w:bottom w:val="single" w:color="auto" w:sz="4" w:space="0"/>
              <w:right w:val="single" w:color="auto" w:sz="4" w:space="0"/>
            </w:tcBorders>
            <w:noWrap w:val="0"/>
            <w:vAlign w:val="bottom"/>
          </w:tcPr>
          <w:p w14:paraId="60A1FF2A">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物业管理</w:t>
            </w:r>
          </w:p>
        </w:tc>
        <w:tc>
          <w:tcPr>
            <w:tcW w:w="794" w:type="pct"/>
            <w:tcBorders>
              <w:top w:val="nil"/>
              <w:left w:val="nil"/>
              <w:bottom w:val="single" w:color="auto" w:sz="4" w:space="0"/>
              <w:right w:val="single" w:color="auto" w:sz="4" w:space="0"/>
            </w:tcBorders>
            <w:noWrap w:val="0"/>
            <w:vAlign w:val="center"/>
          </w:tcPr>
          <w:p w14:paraId="1273BE36">
            <w:pPr>
              <w:widowControl/>
              <w:jc w:val="left"/>
              <w:rPr>
                <w:rFonts w:hint="eastAsia" w:ascii="宋体" w:hAnsi="宋体" w:cs="宋体"/>
                <w:kern w:val="0"/>
                <w:szCs w:val="21"/>
                <w:highlight w:val="none"/>
              </w:rPr>
            </w:pPr>
            <w:r>
              <w:rPr>
                <w:rFonts w:hint="eastAsia" w:ascii="宋体" w:hAnsi="宋体" w:cs="宋体"/>
                <w:kern w:val="0"/>
                <w:szCs w:val="21"/>
                <w:highlight w:val="none"/>
              </w:rPr>
              <w:t>从业人员（X）</w:t>
            </w:r>
          </w:p>
        </w:tc>
        <w:tc>
          <w:tcPr>
            <w:tcW w:w="614" w:type="pct"/>
            <w:tcBorders>
              <w:top w:val="nil"/>
              <w:left w:val="nil"/>
              <w:bottom w:val="single" w:color="auto" w:sz="4" w:space="0"/>
              <w:right w:val="single" w:color="auto" w:sz="4" w:space="0"/>
            </w:tcBorders>
            <w:noWrap w:val="0"/>
            <w:vAlign w:val="center"/>
          </w:tcPr>
          <w:p w14:paraId="046C01F4">
            <w:pPr>
              <w:widowControl/>
              <w:jc w:val="left"/>
              <w:rPr>
                <w:rFonts w:hint="eastAsia" w:ascii="宋体" w:hAnsi="宋体" w:cs="宋体"/>
                <w:kern w:val="0"/>
                <w:szCs w:val="21"/>
                <w:highlight w:val="none"/>
              </w:rPr>
            </w:pPr>
            <w:r>
              <w:rPr>
                <w:rFonts w:hint="eastAsia" w:ascii="宋体" w:hAnsi="宋体" w:cs="宋体"/>
                <w:kern w:val="0"/>
                <w:szCs w:val="21"/>
                <w:highlight w:val="none"/>
              </w:rPr>
              <w:t>人</w:t>
            </w:r>
          </w:p>
        </w:tc>
        <w:tc>
          <w:tcPr>
            <w:tcW w:w="960" w:type="pct"/>
            <w:tcBorders>
              <w:top w:val="nil"/>
              <w:left w:val="nil"/>
              <w:bottom w:val="single" w:color="auto" w:sz="4" w:space="0"/>
              <w:right w:val="single" w:color="auto" w:sz="4" w:space="0"/>
            </w:tcBorders>
            <w:noWrap w:val="0"/>
            <w:vAlign w:val="center"/>
          </w:tcPr>
          <w:p w14:paraId="056A64A1">
            <w:pPr>
              <w:widowControl/>
              <w:jc w:val="left"/>
              <w:rPr>
                <w:rFonts w:hint="eastAsia" w:ascii="宋体" w:hAnsi="宋体" w:cs="宋体"/>
                <w:kern w:val="0"/>
                <w:szCs w:val="21"/>
                <w:highlight w:val="none"/>
              </w:rPr>
            </w:pPr>
            <w:r>
              <w:rPr>
                <w:rFonts w:hint="eastAsia" w:ascii="宋体" w:hAnsi="宋体" w:cs="宋体"/>
                <w:kern w:val="0"/>
                <w:szCs w:val="21"/>
                <w:highlight w:val="none"/>
              </w:rPr>
              <w:t>300≤X＜1000</w:t>
            </w:r>
          </w:p>
        </w:tc>
        <w:tc>
          <w:tcPr>
            <w:tcW w:w="850" w:type="pct"/>
            <w:tcBorders>
              <w:top w:val="nil"/>
              <w:left w:val="nil"/>
              <w:bottom w:val="single" w:color="auto" w:sz="4" w:space="0"/>
              <w:right w:val="single" w:color="auto" w:sz="4" w:space="0"/>
            </w:tcBorders>
            <w:noWrap w:val="0"/>
            <w:vAlign w:val="center"/>
          </w:tcPr>
          <w:p w14:paraId="59BE3349">
            <w:pPr>
              <w:widowControl/>
              <w:jc w:val="left"/>
              <w:rPr>
                <w:rFonts w:hint="eastAsia" w:ascii="宋体" w:hAnsi="宋体" w:cs="宋体"/>
                <w:kern w:val="0"/>
                <w:szCs w:val="21"/>
                <w:highlight w:val="none"/>
              </w:rPr>
            </w:pPr>
            <w:r>
              <w:rPr>
                <w:rFonts w:hint="eastAsia" w:ascii="宋体" w:hAnsi="宋体" w:cs="宋体"/>
                <w:kern w:val="0"/>
                <w:szCs w:val="21"/>
                <w:highlight w:val="none"/>
              </w:rPr>
              <w:t>100≤X＜300</w:t>
            </w:r>
          </w:p>
        </w:tc>
        <w:tc>
          <w:tcPr>
            <w:tcW w:w="613" w:type="pct"/>
            <w:tcBorders>
              <w:top w:val="nil"/>
              <w:left w:val="nil"/>
              <w:bottom w:val="single" w:color="auto" w:sz="4" w:space="0"/>
              <w:right w:val="single" w:color="auto" w:sz="4" w:space="0"/>
            </w:tcBorders>
            <w:noWrap w:val="0"/>
            <w:vAlign w:val="center"/>
          </w:tcPr>
          <w:p w14:paraId="243A4883">
            <w:pPr>
              <w:widowControl/>
              <w:jc w:val="left"/>
              <w:rPr>
                <w:rFonts w:hint="eastAsia" w:ascii="宋体" w:hAnsi="宋体" w:cs="宋体"/>
                <w:kern w:val="0"/>
                <w:szCs w:val="21"/>
                <w:highlight w:val="none"/>
              </w:rPr>
            </w:pPr>
            <w:r>
              <w:rPr>
                <w:rFonts w:hint="eastAsia" w:ascii="宋体" w:hAnsi="宋体" w:cs="宋体"/>
                <w:kern w:val="0"/>
                <w:szCs w:val="21"/>
                <w:highlight w:val="none"/>
              </w:rPr>
              <w:t>X＜100</w:t>
            </w:r>
          </w:p>
        </w:tc>
      </w:tr>
      <w:tr w14:paraId="534775AB">
        <w:tblPrEx>
          <w:tblCellMar>
            <w:top w:w="0" w:type="dxa"/>
            <w:left w:w="108" w:type="dxa"/>
            <w:bottom w:w="0" w:type="dxa"/>
            <w:right w:w="108" w:type="dxa"/>
          </w:tblCellMar>
        </w:tblPrEx>
        <w:trPr>
          <w:trHeight w:val="355" w:hRule="atLeast"/>
          <w:jc w:val="center"/>
        </w:trPr>
        <w:tc>
          <w:tcPr>
            <w:tcW w:w="1165" w:type="pct"/>
            <w:vMerge w:val="continue"/>
            <w:tcBorders>
              <w:top w:val="nil"/>
              <w:left w:val="single" w:color="auto" w:sz="4" w:space="0"/>
              <w:bottom w:val="single" w:color="auto" w:sz="4" w:space="0"/>
              <w:right w:val="single" w:color="auto" w:sz="4" w:space="0"/>
            </w:tcBorders>
            <w:noWrap w:val="0"/>
            <w:vAlign w:val="center"/>
          </w:tcPr>
          <w:p w14:paraId="7ED9B2DB">
            <w:pPr>
              <w:widowControl/>
              <w:jc w:val="left"/>
              <w:rPr>
                <w:rFonts w:hint="eastAsia" w:ascii="宋体" w:hAnsi="宋体" w:cs="宋体"/>
                <w:b/>
                <w:bCs/>
                <w:kern w:val="0"/>
                <w:szCs w:val="21"/>
                <w:highlight w:val="none"/>
              </w:rPr>
            </w:pPr>
          </w:p>
        </w:tc>
        <w:tc>
          <w:tcPr>
            <w:tcW w:w="794" w:type="pct"/>
            <w:tcBorders>
              <w:top w:val="nil"/>
              <w:left w:val="nil"/>
              <w:bottom w:val="single" w:color="auto" w:sz="4" w:space="0"/>
              <w:right w:val="single" w:color="auto" w:sz="4" w:space="0"/>
            </w:tcBorders>
            <w:noWrap w:val="0"/>
            <w:vAlign w:val="center"/>
          </w:tcPr>
          <w:p w14:paraId="708B53E8">
            <w:pPr>
              <w:widowControl/>
              <w:jc w:val="left"/>
              <w:rPr>
                <w:rFonts w:hint="eastAsia" w:ascii="宋体" w:hAnsi="宋体" w:cs="宋体"/>
                <w:kern w:val="0"/>
                <w:szCs w:val="21"/>
                <w:highlight w:val="none"/>
              </w:rPr>
            </w:pPr>
            <w:r>
              <w:rPr>
                <w:rFonts w:hint="eastAsia" w:ascii="宋体" w:hAnsi="宋体" w:cs="宋体"/>
                <w:kern w:val="0"/>
                <w:szCs w:val="21"/>
                <w:highlight w:val="none"/>
              </w:rPr>
              <w:t>营业收入（Y）</w:t>
            </w:r>
          </w:p>
        </w:tc>
        <w:tc>
          <w:tcPr>
            <w:tcW w:w="614" w:type="pct"/>
            <w:tcBorders>
              <w:top w:val="nil"/>
              <w:left w:val="nil"/>
              <w:bottom w:val="single" w:color="auto" w:sz="4" w:space="0"/>
              <w:right w:val="single" w:color="auto" w:sz="4" w:space="0"/>
            </w:tcBorders>
            <w:noWrap w:val="0"/>
            <w:vAlign w:val="center"/>
          </w:tcPr>
          <w:p w14:paraId="7AC12511">
            <w:pPr>
              <w:widowControl/>
              <w:jc w:val="left"/>
              <w:rPr>
                <w:rFonts w:hint="eastAsia" w:ascii="宋体" w:hAnsi="宋体" w:cs="宋体"/>
                <w:kern w:val="0"/>
                <w:szCs w:val="21"/>
                <w:highlight w:val="none"/>
              </w:rPr>
            </w:pPr>
            <w:r>
              <w:rPr>
                <w:rFonts w:hint="eastAsia" w:ascii="宋体" w:hAnsi="宋体" w:cs="宋体"/>
                <w:kern w:val="0"/>
                <w:szCs w:val="21"/>
                <w:highlight w:val="none"/>
              </w:rPr>
              <w:t>万元</w:t>
            </w:r>
          </w:p>
        </w:tc>
        <w:tc>
          <w:tcPr>
            <w:tcW w:w="960" w:type="pct"/>
            <w:tcBorders>
              <w:top w:val="nil"/>
              <w:left w:val="nil"/>
              <w:bottom w:val="single" w:color="auto" w:sz="4" w:space="0"/>
              <w:right w:val="single" w:color="auto" w:sz="4" w:space="0"/>
            </w:tcBorders>
            <w:noWrap w:val="0"/>
            <w:vAlign w:val="center"/>
          </w:tcPr>
          <w:p w14:paraId="522C04FA">
            <w:pPr>
              <w:widowControl/>
              <w:jc w:val="left"/>
              <w:rPr>
                <w:rFonts w:hint="eastAsia" w:ascii="宋体" w:hAnsi="宋体" w:cs="宋体"/>
                <w:kern w:val="0"/>
                <w:szCs w:val="21"/>
                <w:highlight w:val="none"/>
              </w:rPr>
            </w:pPr>
            <w:r>
              <w:rPr>
                <w:rFonts w:hint="eastAsia" w:ascii="宋体" w:hAnsi="宋体" w:cs="宋体"/>
                <w:kern w:val="0"/>
                <w:szCs w:val="21"/>
                <w:highlight w:val="none"/>
              </w:rPr>
              <w:t>1000≤Y＜5000</w:t>
            </w:r>
          </w:p>
        </w:tc>
        <w:tc>
          <w:tcPr>
            <w:tcW w:w="850" w:type="pct"/>
            <w:tcBorders>
              <w:top w:val="nil"/>
              <w:left w:val="nil"/>
              <w:bottom w:val="single" w:color="auto" w:sz="4" w:space="0"/>
              <w:right w:val="single" w:color="auto" w:sz="4" w:space="0"/>
            </w:tcBorders>
            <w:noWrap w:val="0"/>
            <w:vAlign w:val="center"/>
          </w:tcPr>
          <w:p w14:paraId="74ED65D9">
            <w:pPr>
              <w:widowControl/>
              <w:jc w:val="left"/>
              <w:rPr>
                <w:rFonts w:hint="eastAsia" w:ascii="宋体" w:hAnsi="宋体" w:cs="宋体"/>
                <w:kern w:val="0"/>
                <w:szCs w:val="21"/>
                <w:highlight w:val="none"/>
              </w:rPr>
            </w:pPr>
            <w:r>
              <w:rPr>
                <w:rFonts w:hint="eastAsia" w:ascii="宋体" w:hAnsi="宋体" w:cs="宋体"/>
                <w:kern w:val="0"/>
                <w:szCs w:val="21"/>
                <w:highlight w:val="none"/>
              </w:rPr>
              <w:t>500≤Y＜1000</w:t>
            </w:r>
          </w:p>
        </w:tc>
        <w:tc>
          <w:tcPr>
            <w:tcW w:w="613" w:type="pct"/>
            <w:tcBorders>
              <w:top w:val="nil"/>
              <w:left w:val="nil"/>
              <w:bottom w:val="single" w:color="auto" w:sz="4" w:space="0"/>
              <w:right w:val="single" w:color="auto" w:sz="4" w:space="0"/>
            </w:tcBorders>
            <w:noWrap w:val="0"/>
            <w:vAlign w:val="center"/>
          </w:tcPr>
          <w:p w14:paraId="1B6BAE3D">
            <w:pPr>
              <w:widowControl/>
              <w:jc w:val="left"/>
              <w:rPr>
                <w:rFonts w:hint="eastAsia" w:ascii="宋体" w:hAnsi="宋体" w:cs="宋体"/>
                <w:kern w:val="0"/>
                <w:szCs w:val="21"/>
                <w:highlight w:val="none"/>
              </w:rPr>
            </w:pPr>
            <w:r>
              <w:rPr>
                <w:rFonts w:hint="eastAsia" w:ascii="宋体" w:hAnsi="宋体" w:cs="宋体"/>
                <w:kern w:val="0"/>
                <w:szCs w:val="21"/>
                <w:highlight w:val="none"/>
              </w:rPr>
              <w:t>Y＜500</w:t>
            </w:r>
          </w:p>
        </w:tc>
      </w:tr>
      <w:tr w14:paraId="1CA1E212">
        <w:tblPrEx>
          <w:tblCellMar>
            <w:top w:w="0" w:type="dxa"/>
            <w:left w:w="108" w:type="dxa"/>
            <w:bottom w:w="0" w:type="dxa"/>
            <w:right w:w="108" w:type="dxa"/>
          </w:tblCellMar>
        </w:tblPrEx>
        <w:trPr>
          <w:trHeight w:val="355" w:hRule="atLeast"/>
          <w:jc w:val="center"/>
        </w:trPr>
        <w:tc>
          <w:tcPr>
            <w:tcW w:w="1165" w:type="pct"/>
            <w:vMerge w:val="restart"/>
            <w:tcBorders>
              <w:top w:val="nil"/>
              <w:left w:val="single" w:color="auto" w:sz="4" w:space="0"/>
              <w:bottom w:val="single" w:color="auto" w:sz="4" w:space="0"/>
              <w:right w:val="single" w:color="auto" w:sz="4" w:space="0"/>
            </w:tcBorders>
            <w:noWrap w:val="0"/>
            <w:vAlign w:val="bottom"/>
          </w:tcPr>
          <w:p w14:paraId="72DDA2D0">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租赁和商务服务业</w:t>
            </w:r>
          </w:p>
        </w:tc>
        <w:tc>
          <w:tcPr>
            <w:tcW w:w="794" w:type="pct"/>
            <w:tcBorders>
              <w:top w:val="nil"/>
              <w:left w:val="nil"/>
              <w:bottom w:val="single" w:color="auto" w:sz="4" w:space="0"/>
              <w:right w:val="single" w:color="auto" w:sz="4" w:space="0"/>
            </w:tcBorders>
            <w:noWrap w:val="0"/>
            <w:vAlign w:val="center"/>
          </w:tcPr>
          <w:p w14:paraId="2BF63ADE">
            <w:pPr>
              <w:widowControl/>
              <w:jc w:val="left"/>
              <w:rPr>
                <w:rFonts w:hint="eastAsia" w:ascii="宋体" w:hAnsi="宋体" w:cs="宋体"/>
                <w:kern w:val="0"/>
                <w:szCs w:val="21"/>
                <w:highlight w:val="none"/>
              </w:rPr>
            </w:pPr>
            <w:r>
              <w:rPr>
                <w:rFonts w:hint="eastAsia" w:ascii="宋体" w:hAnsi="宋体" w:cs="宋体"/>
                <w:kern w:val="0"/>
                <w:szCs w:val="21"/>
                <w:highlight w:val="none"/>
              </w:rPr>
              <w:t>从业人员（X）</w:t>
            </w:r>
          </w:p>
        </w:tc>
        <w:tc>
          <w:tcPr>
            <w:tcW w:w="614" w:type="pct"/>
            <w:tcBorders>
              <w:top w:val="nil"/>
              <w:left w:val="nil"/>
              <w:bottom w:val="single" w:color="auto" w:sz="4" w:space="0"/>
              <w:right w:val="single" w:color="auto" w:sz="4" w:space="0"/>
            </w:tcBorders>
            <w:noWrap w:val="0"/>
            <w:vAlign w:val="center"/>
          </w:tcPr>
          <w:p w14:paraId="133D9445">
            <w:pPr>
              <w:widowControl/>
              <w:jc w:val="left"/>
              <w:rPr>
                <w:rFonts w:hint="eastAsia" w:ascii="宋体" w:hAnsi="宋体" w:cs="宋体"/>
                <w:kern w:val="0"/>
                <w:szCs w:val="21"/>
                <w:highlight w:val="none"/>
              </w:rPr>
            </w:pPr>
            <w:r>
              <w:rPr>
                <w:rFonts w:hint="eastAsia" w:ascii="宋体" w:hAnsi="宋体" w:cs="宋体"/>
                <w:kern w:val="0"/>
                <w:szCs w:val="21"/>
                <w:highlight w:val="none"/>
              </w:rPr>
              <w:t>人</w:t>
            </w:r>
          </w:p>
        </w:tc>
        <w:tc>
          <w:tcPr>
            <w:tcW w:w="960" w:type="pct"/>
            <w:tcBorders>
              <w:top w:val="nil"/>
              <w:left w:val="nil"/>
              <w:bottom w:val="single" w:color="auto" w:sz="4" w:space="0"/>
              <w:right w:val="single" w:color="auto" w:sz="4" w:space="0"/>
            </w:tcBorders>
            <w:noWrap w:val="0"/>
            <w:vAlign w:val="center"/>
          </w:tcPr>
          <w:p w14:paraId="2845DF63">
            <w:pPr>
              <w:widowControl/>
              <w:jc w:val="left"/>
              <w:rPr>
                <w:rFonts w:hint="eastAsia" w:ascii="宋体" w:hAnsi="宋体" w:cs="宋体"/>
                <w:kern w:val="0"/>
                <w:szCs w:val="21"/>
                <w:highlight w:val="none"/>
              </w:rPr>
            </w:pPr>
            <w:r>
              <w:rPr>
                <w:rFonts w:hint="eastAsia" w:ascii="宋体" w:hAnsi="宋体" w:cs="宋体"/>
                <w:kern w:val="0"/>
                <w:szCs w:val="21"/>
                <w:highlight w:val="none"/>
              </w:rPr>
              <w:t>100≤X＜300</w:t>
            </w:r>
          </w:p>
        </w:tc>
        <w:tc>
          <w:tcPr>
            <w:tcW w:w="850" w:type="pct"/>
            <w:tcBorders>
              <w:top w:val="nil"/>
              <w:left w:val="nil"/>
              <w:bottom w:val="single" w:color="auto" w:sz="4" w:space="0"/>
              <w:right w:val="single" w:color="auto" w:sz="4" w:space="0"/>
            </w:tcBorders>
            <w:noWrap w:val="0"/>
            <w:vAlign w:val="center"/>
          </w:tcPr>
          <w:p w14:paraId="277367DB">
            <w:pPr>
              <w:widowControl/>
              <w:jc w:val="left"/>
              <w:rPr>
                <w:rFonts w:hint="eastAsia" w:ascii="宋体" w:hAnsi="宋体" w:cs="宋体"/>
                <w:kern w:val="0"/>
                <w:szCs w:val="21"/>
                <w:highlight w:val="none"/>
              </w:rPr>
            </w:pPr>
            <w:r>
              <w:rPr>
                <w:rFonts w:hint="eastAsia" w:ascii="宋体" w:hAnsi="宋体" w:cs="宋体"/>
                <w:kern w:val="0"/>
                <w:szCs w:val="21"/>
                <w:highlight w:val="none"/>
              </w:rPr>
              <w:t>10≤X＜100</w:t>
            </w:r>
          </w:p>
        </w:tc>
        <w:tc>
          <w:tcPr>
            <w:tcW w:w="613" w:type="pct"/>
            <w:tcBorders>
              <w:top w:val="nil"/>
              <w:left w:val="nil"/>
              <w:bottom w:val="single" w:color="auto" w:sz="4" w:space="0"/>
              <w:right w:val="single" w:color="auto" w:sz="4" w:space="0"/>
            </w:tcBorders>
            <w:noWrap w:val="0"/>
            <w:vAlign w:val="center"/>
          </w:tcPr>
          <w:p w14:paraId="308D331D">
            <w:pPr>
              <w:widowControl/>
              <w:jc w:val="left"/>
              <w:rPr>
                <w:rFonts w:hint="eastAsia" w:ascii="宋体" w:hAnsi="宋体" w:cs="宋体"/>
                <w:kern w:val="0"/>
                <w:szCs w:val="21"/>
                <w:highlight w:val="none"/>
              </w:rPr>
            </w:pPr>
            <w:r>
              <w:rPr>
                <w:rFonts w:hint="eastAsia" w:ascii="宋体" w:hAnsi="宋体" w:cs="宋体"/>
                <w:kern w:val="0"/>
                <w:szCs w:val="21"/>
                <w:highlight w:val="none"/>
              </w:rPr>
              <w:t>X＜10</w:t>
            </w:r>
          </w:p>
        </w:tc>
      </w:tr>
      <w:tr w14:paraId="6683A196">
        <w:tblPrEx>
          <w:tblCellMar>
            <w:top w:w="0" w:type="dxa"/>
            <w:left w:w="108" w:type="dxa"/>
            <w:bottom w:w="0" w:type="dxa"/>
            <w:right w:w="108" w:type="dxa"/>
          </w:tblCellMar>
        </w:tblPrEx>
        <w:trPr>
          <w:trHeight w:val="355" w:hRule="atLeast"/>
          <w:jc w:val="center"/>
        </w:trPr>
        <w:tc>
          <w:tcPr>
            <w:tcW w:w="1165" w:type="pct"/>
            <w:vMerge w:val="continue"/>
            <w:tcBorders>
              <w:top w:val="nil"/>
              <w:left w:val="single" w:color="auto" w:sz="4" w:space="0"/>
              <w:bottom w:val="single" w:color="auto" w:sz="4" w:space="0"/>
              <w:right w:val="single" w:color="auto" w:sz="4" w:space="0"/>
            </w:tcBorders>
            <w:noWrap w:val="0"/>
            <w:vAlign w:val="center"/>
          </w:tcPr>
          <w:p w14:paraId="590F0C6D">
            <w:pPr>
              <w:widowControl/>
              <w:jc w:val="left"/>
              <w:rPr>
                <w:rFonts w:hint="eastAsia" w:ascii="宋体" w:hAnsi="宋体" w:cs="宋体"/>
                <w:b/>
                <w:bCs/>
                <w:kern w:val="0"/>
                <w:szCs w:val="21"/>
                <w:highlight w:val="none"/>
              </w:rPr>
            </w:pPr>
          </w:p>
        </w:tc>
        <w:tc>
          <w:tcPr>
            <w:tcW w:w="794" w:type="pct"/>
            <w:tcBorders>
              <w:top w:val="nil"/>
              <w:left w:val="nil"/>
              <w:bottom w:val="single" w:color="auto" w:sz="4" w:space="0"/>
              <w:right w:val="single" w:color="auto" w:sz="4" w:space="0"/>
            </w:tcBorders>
            <w:noWrap w:val="0"/>
            <w:vAlign w:val="center"/>
          </w:tcPr>
          <w:p w14:paraId="2585CFCA">
            <w:pPr>
              <w:widowControl/>
              <w:jc w:val="left"/>
              <w:rPr>
                <w:rFonts w:hint="eastAsia" w:ascii="宋体" w:hAnsi="宋体" w:cs="宋体"/>
                <w:kern w:val="0"/>
                <w:szCs w:val="21"/>
                <w:highlight w:val="none"/>
              </w:rPr>
            </w:pPr>
            <w:r>
              <w:rPr>
                <w:rFonts w:hint="eastAsia" w:ascii="宋体" w:hAnsi="宋体" w:cs="宋体"/>
                <w:kern w:val="0"/>
                <w:szCs w:val="21"/>
                <w:highlight w:val="none"/>
              </w:rPr>
              <w:t>资产总额（Z）</w:t>
            </w:r>
          </w:p>
        </w:tc>
        <w:tc>
          <w:tcPr>
            <w:tcW w:w="614" w:type="pct"/>
            <w:tcBorders>
              <w:top w:val="nil"/>
              <w:left w:val="nil"/>
              <w:bottom w:val="single" w:color="auto" w:sz="4" w:space="0"/>
              <w:right w:val="single" w:color="auto" w:sz="4" w:space="0"/>
            </w:tcBorders>
            <w:noWrap w:val="0"/>
            <w:vAlign w:val="center"/>
          </w:tcPr>
          <w:p w14:paraId="625B8B5C">
            <w:pPr>
              <w:widowControl/>
              <w:jc w:val="left"/>
              <w:rPr>
                <w:rFonts w:hint="eastAsia" w:ascii="宋体" w:hAnsi="宋体" w:cs="宋体"/>
                <w:kern w:val="0"/>
                <w:szCs w:val="21"/>
                <w:highlight w:val="none"/>
              </w:rPr>
            </w:pPr>
            <w:r>
              <w:rPr>
                <w:rFonts w:hint="eastAsia" w:ascii="宋体" w:hAnsi="宋体" w:cs="宋体"/>
                <w:kern w:val="0"/>
                <w:szCs w:val="21"/>
                <w:highlight w:val="none"/>
              </w:rPr>
              <w:t>万元</w:t>
            </w:r>
          </w:p>
        </w:tc>
        <w:tc>
          <w:tcPr>
            <w:tcW w:w="960" w:type="pct"/>
            <w:tcBorders>
              <w:top w:val="nil"/>
              <w:left w:val="nil"/>
              <w:bottom w:val="single" w:color="auto" w:sz="4" w:space="0"/>
              <w:right w:val="single" w:color="auto" w:sz="4" w:space="0"/>
            </w:tcBorders>
            <w:noWrap w:val="0"/>
            <w:vAlign w:val="center"/>
          </w:tcPr>
          <w:p w14:paraId="79F268E9">
            <w:pPr>
              <w:widowControl/>
              <w:jc w:val="left"/>
              <w:rPr>
                <w:rFonts w:hint="eastAsia" w:ascii="宋体" w:hAnsi="宋体" w:cs="宋体"/>
                <w:kern w:val="0"/>
                <w:szCs w:val="21"/>
                <w:highlight w:val="none"/>
              </w:rPr>
            </w:pPr>
            <w:r>
              <w:rPr>
                <w:rFonts w:hint="eastAsia" w:ascii="宋体" w:hAnsi="宋体" w:cs="宋体"/>
                <w:kern w:val="0"/>
                <w:szCs w:val="21"/>
                <w:highlight w:val="none"/>
              </w:rPr>
              <w:t>8000≤Z＜120000</w:t>
            </w:r>
          </w:p>
        </w:tc>
        <w:tc>
          <w:tcPr>
            <w:tcW w:w="850" w:type="pct"/>
            <w:tcBorders>
              <w:top w:val="nil"/>
              <w:left w:val="nil"/>
              <w:bottom w:val="single" w:color="auto" w:sz="4" w:space="0"/>
              <w:right w:val="single" w:color="auto" w:sz="4" w:space="0"/>
            </w:tcBorders>
            <w:noWrap w:val="0"/>
            <w:vAlign w:val="center"/>
          </w:tcPr>
          <w:p w14:paraId="61BDD881">
            <w:pPr>
              <w:widowControl/>
              <w:jc w:val="left"/>
              <w:rPr>
                <w:rFonts w:hint="eastAsia" w:ascii="宋体" w:hAnsi="宋体" w:cs="宋体"/>
                <w:kern w:val="0"/>
                <w:szCs w:val="21"/>
                <w:highlight w:val="none"/>
              </w:rPr>
            </w:pPr>
            <w:r>
              <w:rPr>
                <w:rFonts w:hint="eastAsia" w:ascii="宋体" w:hAnsi="宋体" w:cs="宋体"/>
                <w:kern w:val="0"/>
                <w:szCs w:val="21"/>
                <w:highlight w:val="none"/>
              </w:rPr>
              <w:t>100≤Z＜8000</w:t>
            </w:r>
          </w:p>
        </w:tc>
        <w:tc>
          <w:tcPr>
            <w:tcW w:w="613" w:type="pct"/>
            <w:tcBorders>
              <w:top w:val="nil"/>
              <w:left w:val="nil"/>
              <w:bottom w:val="single" w:color="auto" w:sz="4" w:space="0"/>
              <w:right w:val="single" w:color="auto" w:sz="4" w:space="0"/>
            </w:tcBorders>
            <w:noWrap w:val="0"/>
            <w:vAlign w:val="center"/>
          </w:tcPr>
          <w:p w14:paraId="2BAEDAE2">
            <w:pPr>
              <w:widowControl/>
              <w:jc w:val="left"/>
              <w:rPr>
                <w:rFonts w:hint="eastAsia" w:ascii="宋体" w:hAnsi="宋体" w:cs="宋体"/>
                <w:kern w:val="0"/>
                <w:szCs w:val="21"/>
                <w:highlight w:val="none"/>
              </w:rPr>
            </w:pPr>
            <w:r>
              <w:rPr>
                <w:rFonts w:hint="eastAsia" w:ascii="宋体" w:hAnsi="宋体" w:cs="宋体"/>
                <w:kern w:val="0"/>
                <w:szCs w:val="21"/>
                <w:highlight w:val="none"/>
              </w:rPr>
              <w:t>Y＜100</w:t>
            </w:r>
          </w:p>
        </w:tc>
      </w:tr>
      <w:tr w14:paraId="0F4F681E">
        <w:tblPrEx>
          <w:tblCellMar>
            <w:top w:w="0" w:type="dxa"/>
            <w:left w:w="108" w:type="dxa"/>
            <w:bottom w:w="0" w:type="dxa"/>
            <w:right w:w="108" w:type="dxa"/>
          </w:tblCellMar>
        </w:tblPrEx>
        <w:trPr>
          <w:trHeight w:val="378" w:hRule="atLeast"/>
          <w:jc w:val="center"/>
        </w:trPr>
        <w:tc>
          <w:tcPr>
            <w:tcW w:w="1165" w:type="pct"/>
            <w:tcBorders>
              <w:top w:val="nil"/>
              <w:left w:val="single" w:color="auto" w:sz="4" w:space="0"/>
              <w:bottom w:val="single" w:color="auto" w:sz="4" w:space="0"/>
              <w:right w:val="single" w:color="auto" w:sz="4" w:space="0"/>
            </w:tcBorders>
            <w:noWrap w:val="0"/>
            <w:vAlign w:val="bottom"/>
          </w:tcPr>
          <w:p w14:paraId="0D0424F2">
            <w:pPr>
              <w:widowControl/>
              <w:jc w:val="center"/>
              <w:rPr>
                <w:rFonts w:hint="eastAsia" w:ascii="宋体" w:hAnsi="宋体" w:cs="宋体"/>
                <w:b/>
                <w:bCs/>
                <w:kern w:val="0"/>
                <w:szCs w:val="21"/>
                <w:highlight w:val="none"/>
              </w:rPr>
            </w:pPr>
            <w:r>
              <w:rPr>
                <w:rFonts w:hint="eastAsia" w:ascii="宋体" w:hAnsi="宋体" w:cs="宋体"/>
                <w:b/>
                <w:bCs/>
                <w:kern w:val="0"/>
                <w:szCs w:val="21"/>
                <w:highlight w:val="none"/>
              </w:rPr>
              <w:t>其他未列明行业</w:t>
            </w:r>
          </w:p>
        </w:tc>
        <w:tc>
          <w:tcPr>
            <w:tcW w:w="794" w:type="pct"/>
            <w:tcBorders>
              <w:top w:val="nil"/>
              <w:left w:val="nil"/>
              <w:bottom w:val="single" w:color="auto" w:sz="4" w:space="0"/>
              <w:right w:val="single" w:color="auto" w:sz="4" w:space="0"/>
            </w:tcBorders>
            <w:noWrap w:val="0"/>
            <w:vAlign w:val="center"/>
          </w:tcPr>
          <w:p w14:paraId="1D24C38A">
            <w:pPr>
              <w:widowControl/>
              <w:jc w:val="left"/>
              <w:rPr>
                <w:rFonts w:hint="eastAsia" w:ascii="宋体" w:hAnsi="宋体" w:cs="宋体"/>
                <w:kern w:val="0"/>
                <w:szCs w:val="21"/>
                <w:highlight w:val="none"/>
              </w:rPr>
            </w:pPr>
            <w:r>
              <w:rPr>
                <w:rFonts w:hint="eastAsia" w:ascii="宋体" w:hAnsi="宋体" w:cs="宋体"/>
                <w:kern w:val="0"/>
                <w:szCs w:val="21"/>
                <w:highlight w:val="none"/>
              </w:rPr>
              <w:t>从业人员（X）</w:t>
            </w:r>
          </w:p>
        </w:tc>
        <w:tc>
          <w:tcPr>
            <w:tcW w:w="614" w:type="pct"/>
            <w:tcBorders>
              <w:top w:val="nil"/>
              <w:left w:val="nil"/>
              <w:bottom w:val="single" w:color="auto" w:sz="4" w:space="0"/>
              <w:right w:val="single" w:color="auto" w:sz="4" w:space="0"/>
            </w:tcBorders>
            <w:noWrap w:val="0"/>
            <w:vAlign w:val="center"/>
          </w:tcPr>
          <w:p w14:paraId="3715EB3F">
            <w:pPr>
              <w:widowControl/>
              <w:jc w:val="left"/>
              <w:rPr>
                <w:rFonts w:hint="eastAsia" w:ascii="宋体" w:hAnsi="宋体" w:cs="宋体"/>
                <w:kern w:val="0"/>
                <w:szCs w:val="21"/>
                <w:highlight w:val="none"/>
              </w:rPr>
            </w:pPr>
            <w:r>
              <w:rPr>
                <w:rFonts w:hint="eastAsia" w:ascii="宋体" w:hAnsi="宋体" w:cs="宋体"/>
                <w:kern w:val="0"/>
                <w:szCs w:val="21"/>
                <w:highlight w:val="none"/>
              </w:rPr>
              <w:t>人</w:t>
            </w:r>
          </w:p>
        </w:tc>
        <w:tc>
          <w:tcPr>
            <w:tcW w:w="960" w:type="pct"/>
            <w:tcBorders>
              <w:top w:val="nil"/>
              <w:left w:val="nil"/>
              <w:bottom w:val="single" w:color="auto" w:sz="4" w:space="0"/>
              <w:right w:val="single" w:color="auto" w:sz="4" w:space="0"/>
            </w:tcBorders>
            <w:noWrap w:val="0"/>
            <w:vAlign w:val="center"/>
          </w:tcPr>
          <w:p w14:paraId="0D658781">
            <w:pPr>
              <w:widowControl/>
              <w:jc w:val="left"/>
              <w:rPr>
                <w:rFonts w:hint="eastAsia" w:ascii="宋体" w:hAnsi="宋体" w:cs="宋体"/>
                <w:kern w:val="0"/>
                <w:szCs w:val="21"/>
                <w:highlight w:val="none"/>
              </w:rPr>
            </w:pPr>
            <w:r>
              <w:rPr>
                <w:rFonts w:hint="eastAsia" w:ascii="宋体" w:hAnsi="宋体" w:cs="宋体"/>
                <w:kern w:val="0"/>
                <w:szCs w:val="21"/>
                <w:highlight w:val="none"/>
              </w:rPr>
              <w:t>100≤X＜300</w:t>
            </w:r>
          </w:p>
        </w:tc>
        <w:tc>
          <w:tcPr>
            <w:tcW w:w="850" w:type="pct"/>
            <w:tcBorders>
              <w:top w:val="nil"/>
              <w:left w:val="nil"/>
              <w:bottom w:val="single" w:color="auto" w:sz="4" w:space="0"/>
              <w:right w:val="single" w:color="auto" w:sz="4" w:space="0"/>
            </w:tcBorders>
            <w:noWrap w:val="0"/>
            <w:vAlign w:val="center"/>
          </w:tcPr>
          <w:p w14:paraId="17A7DB78">
            <w:pPr>
              <w:widowControl/>
              <w:jc w:val="left"/>
              <w:rPr>
                <w:rFonts w:hint="eastAsia" w:ascii="宋体" w:hAnsi="宋体" w:cs="宋体"/>
                <w:kern w:val="0"/>
                <w:szCs w:val="21"/>
                <w:highlight w:val="none"/>
              </w:rPr>
            </w:pPr>
            <w:r>
              <w:rPr>
                <w:rFonts w:hint="eastAsia" w:ascii="宋体" w:hAnsi="宋体" w:cs="宋体"/>
                <w:kern w:val="0"/>
                <w:szCs w:val="21"/>
                <w:highlight w:val="none"/>
              </w:rPr>
              <w:t>10≤X＜100</w:t>
            </w:r>
          </w:p>
        </w:tc>
        <w:tc>
          <w:tcPr>
            <w:tcW w:w="613" w:type="pct"/>
            <w:tcBorders>
              <w:top w:val="nil"/>
              <w:left w:val="nil"/>
              <w:bottom w:val="single" w:color="auto" w:sz="4" w:space="0"/>
              <w:right w:val="single" w:color="auto" w:sz="4" w:space="0"/>
            </w:tcBorders>
            <w:noWrap w:val="0"/>
            <w:vAlign w:val="center"/>
          </w:tcPr>
          <w:p w14:paraId="0EEAFEDF">
            <w:pPr>
              <w:widowControl/>
              <w:jc w:val="left"/>
              <w:rPr>
                <w:rFonts w:hint="eastAsia" w:ascii="宋体" w:hAnsi="宋体" w:cs="宋体"/>
                <w:kern w:val="0"/>
                <w:szCs w:val="21"/>
                <w:highlight w:val="none"/>
              </w:rPr>
            </w:pPr>
            <w:r>
              <w:rPr>
                <w:rFonts w:hint="eastAsia" w:ascii="宋体" w:hAnsi="宋体" w:cs="宋体"/>
                <w:kern w:val="0"/>
                <w:szCs w:val="21"/>
                <w:highlight w:val="none"/>
              </w:rPr>
              <w:t>X＜10</w:t>
            </w:r>
          </w:p>
        </w:tc>
      </w:tr>
    </w:tbl>
    <w:p w14:paraId="51E03465">
      <w:pPr>
        <w:spacing w:line="360" w:lineRule="auto"/>
        <w:ind w:firstLine="525" w:firstLineChars="250"/>
        <w:rPr>
          <w:rFonts w:hint="eastAsia" w:ascii="宋体" w:hAnsi="宋体" w:cs="宋体"/>
          <w:szCs w:val="21"/>
          <w:highlight w:val="none"/>
        </w:rPr>
      </w:pPr>
      <w:r>
        <w:rPr>
          <w:rFonts w:hint="eastAsia" w:ascii="宋体" w:hAnsi="宋体" w:cs="宋体"/>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091F247">
      <w:pPr>
        <w:pStyle w:val="2"/>
        <w:jc w:val="center"/>
        <w:rPr>
          <w:color w:val="000000" w:themeColor="text1"/>
          <w:highlight w:val="none"/>
          <w14:textFill>
            <w14:solidFill>
              <w14:schemeClr w14:val="tx1"/>
            </w14:solidFill>
          </w14:textFill>
        </w:rPr>
      </w:pPr>
      <w:bookmarkStart w:id="74" w:name="_Toc9795"/>
      <w:r>
        <w:rPr>
          <w:rFonts w:hint="eastAsia"/>
          <w:color w:val="000000" w:themeColor="text1"/>
          <w:highlight w:val="none"/>
          <w14:textFill>
            <w14:solidFill>
              <w14:schemeClr w14:val="tx1"/>
            </w14:solidFill>
          </w14:textFill>
        </w:rPr>
        <w:t>第四章</w:t>
      </w:r>
      <w:bookmarkStart w:id="75" w:name="_Hlk68601507"/>
      <w:r>
        <w:rPr>
          <w:rFonts w:hint="eastAsia"/>
          <w:color w:val="000000" w:themeColor="text1"/>
          <w:highlight w:val="none"/>
          <w14:textFill>
            <w14:solidFill>
              <w14:schemeClr w14:val="tx1"/>
            </w14:solidFill>
          </w14:textFill>
        </w:rPr>
        <w:t>评审程序和评定成交的标准</w:t>
      </w:r>
      <w:bookmarkEnd w:id="74"/>
      <w:bookmarkEnd w:id="75"/>
    </w:p>
    <w:p w14:paraId="5A086DED">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一、评审程序</w:t>
      </w:r>
    </w:p>
    <w:p w14:paraId="106DF8AA">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1</w:t>
      </w:r>
      <w:r>
        <w:rPr>
          <w:rFonts w:hint="eastAsia" w:ascii="黑体" w:hAnsi="黑体" w:eastAsia="黑体" w:cs="宋体"/>
          <w:b/>
          <w:bCs/>
          <w:color w:val="000000" w:themeColor="text1"/>
          <w:sz w:val="24"/>
          <w:highlight w:val="none"/>
          <w14:textFill>
            <w14:solidFill>
              <w14:schemeClr w14:val="tx1"/>
            </w14:solidFill>
          </w14:textFill>
        </w:rPr>
        <w:t>.确认谈判文件</w:t>
      </w:r>
    </w:p>
    <w:p w14:paraId="65E943E2">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由谈判小组确认谈判文件。</w:t>
      </w:r>
    </w:p>
    <w:p w14:paraId="40DE22CC">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w:t>
      </w:r>
      <w:r>
        <w:rPr>
          <w:rFonts w:hint="eastAsia" w:ascii="黑体" w:hAnsi="黑体" w:eastAsia="黑体" w:cs="宋体"/>
          <w:b/>
          <w:bCs/>
          <w:color w:val="000000" w:themeColor="text1"/>
          <w:sz w:val="24"/>
          <w:highlight w:val="none"/>
          <w14:textFill>
            <w14:solidFill>
              <w14:schemeClr w14:val="tx1"/>
            </w14:solidFill>
          </w14:textFill>
        </w:rPr>
        <w:t>.资格审查</w:t>
      </w:r>
    </w:p>
    <w:p w14:paraId="24E9C2F4">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.1响应文件开启后，谈判小组依法对供应商的资格证明文件进行审查。</w:t>
      </w:r>
    </w:p>
    <w:p w14:paraId="36E8D220">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hint="eastAsia"/>
          <w:color w:val="000000" w:themeColor="text1"/>
          <w:highlight w:val="none"/>
          <w14:textFill>
            <w14:solidFill>
              <w14:schemeClr w14:val="tx1"/>
            </w14:solidFill>
          </w14:textFill>
        </w:rPr>
        <w:t>谈判小组</w:t>
      </w:r>
      <w:r>
        <w:rPr>
          <w:rFonts w:hint="eastAsia" w:ascii="宋体" w:hAnsi="宋体" w:cs="宋体"/>
          <w:color w:val="000000" w:themeColor="text1"/>
          <w:szCs w:val="21"/>
          <w:highlight w:val="none"/>
          <w14:textFill>
            <w14:solidFill>
              <w14:schemeClr w14:val="tx1"/>
            </w14:solidFill>
          </w14:textFill>
        </w:rPr>
        <w:t>在资格审查结束前，对供应商进行信用查询。</w:t>
      </w:r>
    </w:p>
    <w:p w14:paraId="1CD1D40B">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（1）查询渠道：“</w:t>
      </w:r>
      <w:r>
        <w:rPr>
          <w:rFonts w:hint="eastAsia" w:ascii="宋体" w:hAnsi="宋体"/>
          <w:color w:val="000000" w:themeColor="text1"/>
          <w:szCs w:val="21"/>
          <w:highlight w:val="none"/>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”平台“信用中国”网站(www.creditchina.gov.cn)、中国政府采购网(www.ccgp.gov.cn)链接入口。</w:t>
      </w:r>
    </w:p>
    <w:p w14:paraId="38C0693D">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（2）信用查询截止时点：资格审查结束前。</w:t>
      </w:r>
    </w:p>
    <w:p w14:paraId="48920853">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（3）查询记录和证据留存方式：在查询网站中直接查询，截图另存为电子文档作为评审资料保存。</w:t>
      </w:r>
    </w:p>
    <w:p w14:paraId="255636B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000000" w:themeColor="text1"/>
          <w:szCs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w:t>
      </w:r>
      <w:r>
        <w:rPr>
          <w:rFonts w:hint="eastAsia" w:ascii="宋体" w:hAnsi="宋体" w:cs="宋体"/>
          <w:color w:val="000000" w:themeColor="text1"/>
          <w:szCs w:val="21"/>
          <w:highlight w:val="none"/>
          <w14:textFill>
            <w14:solidFill>
              <w14:schemeClr w14:val="tx1"/>
            </w14:solidFill>
          </w14:textFill>
        </w:rPr>
        <w:t>重大税收违法失信主体</w:t>
      </w:r>
      <w:r>
        <w:rPr>
          <w:rFonts w:hint="eastAsia" w:ascii="宋体" w:hAnsi="宋体"/>
          <w:color w:val="000000" w:themeColor="text1"/>
          <w:szCs w:val="21"/>
          <w:highlight w:val="none"/>
          <w14:textFill>
            <w14:solidFill>
              <w14:schemeClr w14:val="tx1"/>
            </w14:solidFill>
          </w14:textFill>
        </w:rPr>
        <w:t>、政府采购严重违法失信行为记录名单及其他不符合《中华人民共和国政府采购法》第二十二条规定条件的供应商）的，视同联合体存在不良信用记录</w:t>
      </w:r>
      <w:r>
        <w:rPr>
          <w:rFonts w:hint="eastAsia" w:ascii="宋体" w:hAnsi="宋体" w:cs="宋体"/>
          <w:color w:val="000000" w:themeColor="text1"/>
          <w:szCs w:val="21"/>
          <w:highlight w:val="none"/>
          <w14:textFill>
            <w14:solidFill>
              <w14:schemeClr w14:val="tx1"/>
            </w14:solidFill>
          </w14:textFill>
        </w:rPr>
        <w:t>。</w:t>
      </w:r>
    </w:p>
    <w:p w14:paraId="777DC6C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.2资格审查标准为本谈判文件中载明对供应商资格要求的条件。本项目资格审查采用合格制，凡符合谈判文件规定的供应商资格要求的供应商均通过资格审查。</w:t>
      </w:r>
    </w:p>
    <w:p w14:paraId="2F40626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.3 供应商有下列情形之一的，资格审查不通过，其响应文件按无效处理：</w:t>
      </w:r>
    </w:p>
    <w:p w14:paraId="540C6256">
      <w:pPr>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）不具备谈判文件中规定的资格要求的；</w:t>
      </w:r>
    </w:p>
    <w:p w14:paraId="7A25514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（2）未按谈判文件规定的方式获取本谈判文件的供应商；</w:t>
      </w:r>
    </w:p>
    <w:p w14:paraId="04AD3C43">
      <w:pPr>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）响应文件中的资格证明文件缺少任一项“供应商须知前附表”资格证明文件规定的“必须提供”的文件资料的；</w:t>
      </w:r>
    </w:p>
    <w:p w14:paraId="04ED93DC">
      <w:pPr>
        <w:spacing w:line="360" w:lineRule="auto"/>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）响应文件中的资格证明文件出现任一项不符合“供应商须知前附表”资格证明文件规定的“必须提供”的文件资料要求或者无效的；</w:t>
      </w:r>
    </w:p>
    <w:p w14:paraId="294E174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）同一合同项下的不同供应商，单位负责人为同一人或者存在直接控股、管理关系的；为本项目提供过整体设计、规范编制或者项目管理、监理、检测等服务的供应商，再参加该采购项目的其他采购活动的。</w:t>
      </w:r>
    </w:p>
    <w:p w14:paraId="33DF7C52">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.4通过资格审查的合格供应商不足3家（本章</w:t>
      </w:r>
      <w:r>
        <w:rPr>
          <w:rFonts w:ascii="宋体" w:hAnsi="宋体" w:cs="宋体"/>
          <w:color w:val="000000" w:themeColor="text1"/>
          <w:szCs w:val="21"/>
          <w:highlight w:val="none"/>
          <w14:textFill>
            <w14:solidFill>
              <w14:schemeClr w14:val="tx1"/>
            </w14:solidFill>
          </w14:textFill>
        </w:rPr>
        <w:t>3.7</w:t>
      </w:r>
      <w:r>
        <w:rPr>
          <w:rFonts w:hint="eastAsia" w:ascii="宋体" w:hAnsi="宋体" w:cs="宋体"/>
          <w:color w:val="000000" w:themeColor="text1"/>
          <w:szCs w:val="21"/>
          <w:highlight w:val="none"/>
          <w14:textFill>
            <w14:solidFill>
              <w14:schemeClr w14:val="tx1"/>
            </w14:solidFill>
          </w14:textFill>
        </w:rPr>
        <w:t>条规定除外）的，不得进入符合性审查环节，应当重新开展采购活动。</w:t>
      </w:r>
    </w:p>
    <w:p w14:paraId="1FB12FDB">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w:t>
      </w:r>
      <w:r>
        <w:rPr>
          <w:rFonts w:hint="eastAsia" w:ascii="黑体" w:hAnsi="黑体" w:eastAsia="黑体" w:cs="宋体"/>
          <w:b/>
          <w:bCs/>
          <w:color w:val="000000" w:themeColor="text1"/>
          <w:sz w:val="24"/>
          <w:highlight w:val="none"/>
          <w14:textFill>
            <w14:solidFill>
              <w14:schemeClr w14:val="tx1"/>
            </w14:solidFill>
          </w14:textFill>
        </w:rPr>
        <w:t>.符合性审查</w:t>
      </w:r>
    </w:p>
    <w:p w14:paraId="6B85A4C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谈判小组应当对符合资格的供应商的响应文件进行竞标报价、商务、技术等实质性要求符合性审查，以确定其是否满足谈判文件的实质性要求。</w:t>
      </w:r>
    </w:p>
    <w:p w14:paraId="010F0CF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970E25B">
      <w:pPr>
        <w:spacing w:line="360" w:lineRule="auto"/>
        <w:ind w:firstLine="420" w:firstLineChars="200"/>
        <w:rPr>
          <w:rFonts w:ascii="宋体" w:hAnsi="宋体" w:cs="宋体"/>
          <w:color w:val="000000" w:themeColor="text1"/>
          <w:spacing w:val="-6"/>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3谈判小组要求供应商澄清、说明或者更正响应文件应当以电子澄清函形式作出。供应商的澄清、说明或者更正应当已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w:t>
      </w:r>
      <w:r>
        <w:rPr>
          <w:rFonts w:hint="eastAsia" w:hAnsi="宋体"/>
          <w:color w:val="000000" w:themeColor="text1"/>
          <w:highlight w:val="none"/>
          <w14:textFill>
            <w14:solidFill>
              <w14:schemeClr w14:val="tx1"/>
            </w14:solidFill>
          </w14:textFill>
        </w:rPr>
        <w:t>签章</w:t>
      </w:r>
      <w:r>
        <w:rPr>
          <w:rFonts w:hint="eastAsia" w:ascii="宋体" w:hAnsi="宋体" w:cs="宋体"/>
          <w:color w:val="000000" w:themeColor="text1"/>
          <w:spacing w:val="-6"/>
          <w:szCs w:val="21"/>
          <w:highlight w:val="none"/>
          <w14:textFill>
            <w14:solidFill>
              <w14:schemeClr w14:val="tx1"/>
            </w14:solidFill>
          </w14:textFill>
        </w:rPr>
        <w:t>。</w:t>
      </w:r>
    </w:p>
    <w:p w14:paraId="3AA87E3F">
      <w:pPr>
        <w:spacing w:line="360" w:lineRule="auto"/>
        <w:ind w:firstLine="420" w:firstLineChars="20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w:t>
      </w:r>
    </w:p>
    <w:p w14:paraId="6D001D3D">
      <w:pPr>
        <w:spacing w:line="360" w:lineRule="auto"/>
        <w:ind w:firstLine="396"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pacing w:val="-6"/>
          <w:szCs w:val="21"/>
          <w:highlight w:val="none"/>
          <w14:textFill>
            <w14:solidFill>
              <w14:schemeClr w14:val="tx1"/>
            </w14:solidFill>
          </w14:textFill>
        </w:rPr>
        <w:t>3.4</w:t>
      </w:r>
      <w:r>
        <w:rPr>
          <w:rFonts w:hint="eastAsia" w:ascii="宋体" w:hAnsi="宋体" w:cs="宋体"/>
          <w:color w:val="000000" w:themeColor="text1"/>
          <w:szCs w:val="21"/>
          <w:highlight w:val="none"/>
          <w14:textFill>
            <w14:solidFill>
              <w14:schemeClr w14:val="tx1"/>
            </w14:solidFill>
          </w14:textFill>
        </w:rPr>
        <w:t>首次响应文件报价出现前后不一致的，按照下列规定修正：</w:t>
      </w:r>
    </w:p>
    <w:p w14:paraId="386E8BA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（1）响应文件中报价表内容与响应文件中相应内容不一致的，以报价表为准；</w:t>
      </w:r>
    </w:p>
    <w:p w14:paraId="03F014B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（2）大写金额和小写金额不一致的，以大写金额为准；</w:t>
      </w:r>
    </w:p>
    <w:p w14:paraId="2C5810F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（3）单价金额小数点或者百分比有明显错位的，以报价表的总价为准，并修改单价；</w:t>
      </w:r>
    </w:p>
    <w:p w14:paraId="498FB51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（4）总价金额与按单价汇总金额不一致的，以单价金额计算结果为准。</w:t>
      </w:r>
    </w:p>
    <w:p w14:paraId="2921FEC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同时出现两种以上不一致的，按照以上（1）-（4）规定的顺序逐条进行修正。修正后的报价经供应商确认后产生约束力，供应商不确认的，其响应文件按无效响应处理。</w:t>
      </w:r>
    </w:p>
    <w:p w14:paraId="1837FB9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商务技术报价评审</w:t>
      </w:r>
    </w:p>
    <w:p w14:paraId="36BB03B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在评审时，如发现下列情形之一的，将被视为响应文件无效处理：</w:t>
      </w:r>
    </w:p>
    <w:p w14:paraId="3F8AE1C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（1）商务技术评审</w:t>
      </w:r>
    </w:p>
    <w:p w14:paraId="4E04FFD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1）响应文件未按谈判文件要求签署、盖章的；</w:t>
      </w:r>
    </w:p>
    <w:p w14:paraId="30D6AAF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2）委托代理人未能出具有效身份证或者出具的身份证与授权委托书中的信息不符的；</w:t>
      </w:r>
    </w:p>
    <w:p w14:paraId="366904B2">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3）提交的竞标保证金无效的或者未按照谈判文件的规定提交竞标保证金；</w:t>
      </w:r>
    </w:p>
    <w:p w14:paraId="75E5E10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0EF6A482">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5）商务要求允许负偏离的条款数超过“供应商须知前附表”规定项数的；</w:t>
      </w:r>
    </w:p>
    <w:p w14:paraId="2711D67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6）未对竞标有效期作出响应或者响应文件承诺的竞标有效期不满足谈判文件要求；</w:t>
      </w:r>
    </w:p>
    <w:p w14:paraId="725E22E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7）响应文件的实质性内容未使用中文表述、使用计量单位不符合谈判文件要求的；</w:t>
      </w:r>
    </w:p>
    <w:p w14:paraId="206E835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8）响应文件中的文件资料因填写不齐全或者内容虚假或者出现其他情形而导致被谈判小组认定无效的；</w:t>
      </w:r>
    </w:p>
    <w:p w14:paraId="4AB15EB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9）响应文件含有采购人不能接受的附加条件的；</w:t>
      </w:r>
    </w:p>
    <w:p w14:paraId="118BA8F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0）属于“供应商须知正文”第7.</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条的情形的；</w:t>
      </w:r>
    </w:p>
    <w:p w14:paraId="35DCCED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11）技术评审允许负偏离的条款数超过“供应商须知前附表”规定项数的；</w:t>
      </w:r>
    </w:p>
    <w:p w14:paraId="72F7C4CD">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2）虚假竞标，或者出现其他情形而导致被谈判小组认定无效的；</w:t>
      </w:r>
    </w:p>
    <w:p w14:paraId="2645DD3E">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3）</w:t>
      </w:r>
      <w:bookmarkStart w:id="76" w:name="_Hlk71704147"/>
      <w:r>
        <w:rPr>
          <w:rFonts w:hint="eastAsia" w:ascii="宋体" w:hAnsi="宋体" w:cs="宋体"/>
          <w:color w:val="000000" w:themeColor="text1"/>
          <w:szCs w:val="21"/>
          <w:highlight w:val="none"/>
          <w14:textFill>
            <w14:solidFill>
              <w14:schemeClr w14:val="tx1"/>
            </w14:solidFill>
          </w14:textFill>
        </w:rPr>
        <w:t>谈判文件未载明允许提供备选（替代）竞标方案或明确不允许提供备选（替代）竞标方案时，供应商提供了备选（替代）竞标方案的；</w:t>
      </w:r>
      <w:bookmarkEnd w:id="76"/>
    </w:p>
    <w:p w14:paraId="6145553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4）响应文件标注的项目名称或者项目编号与谈判文件标注的项目名称或者项目编号不一致的；</w:t>
      </w:r>
    </w:p>
    <w:p w14:paraId="3BE3C41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w:t>
      </w:r>
      <w:r>
        <w:rPr>
          <w:rFonts w:hint="eastAsia" w:ascii="宋体" w:hAnsi="宋体"/>
          <w:color w:val="000000" w:themeColor="text1"/>
          <w:szCs w:val="21"/>
          <w:highlight w:val="none"/>
          <w14:textFill>
            <w14:solidFill>
              <w14:schemeClr w14:val="tx1"/>
            </w14:solidFill>
          </w14:textFill>
        </w:rPr>
        <w:t>谈判文件明确不允许分包，响应文件拟分包的；</w:t>
      </w:r>
    </w:p>
    <w:p w14:paraId="2BE6E31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6）未响应谈判文件实质性要求；</w:t>
      </w:r>
    </w:p>
    <w:p w14:paraId="53A3252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17）法律、法规和谈判文件规定的其他无效情形。</w:t>
      </w:r>
    </w:p>
    <w:p w14:paraId="34D41DCF">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2）报</w:t>
      </w:r>
      <w:r>
        <w:rPr>
          <w:rFonts w:hint="eastAsia" w:ascii="宋体" w:hAnsi="宋体" w:cs="宋体"/>
          <w:color w:val="000000" w:themeColor="text1"/>
          <w:szCs w:val="21"/>
          <w:highlight w:val="none"/>
          <w14:textFill>
            <w14:solidFill>
              <w14:schemeClr w14:val="tx1"/>
            </w14:solidFill>
          </w14:textFill>
        </w:rPr>
        <w:t>价评审</w:t>
      </w:r>
    </w:p>
    <w:p w14:paraId="4888583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1）响应文件未提供“供应商须知前附表”报价文件中规定的“竞标报价表”的；</w:t>
      </w:r>
    </w:p>
    <w:p w14:paraId="31AD949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2）未采用人民币报价或者未按照谈判文件标明的币种报价的；</w:t>
      </w:r>
    </w:p>
    <w:p w14:paraId="6B2A57C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w:t>
      </w:r>
    </w:p>
    <w:p w14:paraId="5276F90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竞标报价（包含首次报价、最后报价）超过所竞标分标规定的采购预算金额或者最高限价的（如本项目公布了最高限价）；竞标报价（包含首次报价、最后报价）超过谈判文件分项采购预算金额或者最高限价的（如本项目公布了最高限价）；</w:t>
      </w:r>
    </w:p>
    <w:p w14:paraId="393BC214">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采购预算金额或者最高限价的（如本项目公布了最高限价）。</w:t>
      </w:r>
    </w:p>
    <w:p w14:paraId="449158E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响应文件响应的标的数量及单位与竞争性谈判采购文件要求实质性不一致的。</w:t>
      </w:r>
    </w:p>
    <w:p w14:paraId="170B5A8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299C95A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7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14:paraId="772612BD">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.8除本章3.7条规定的情形外，通过符合性审查的合格供应商不足3家的，不得进入谈判环节，应当重新开展采购活动。</w:t>
      </w:r>
    </w:p>
    <w:p w14:paraId="0AA9CC28">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4</w:t>
      </w:r>
      <w:r>
        <w:rPr>
          <w:rFonts w:ascii="黑体" w:hAnsi="黑体" w:eastAsia="黑体" w:cs="宋体"/>
          <w:b/>
          <w:bCs/>
          <w:color w:val="000000" w:themeColor="text1"/>
          <w:sz w:val="24"/>
          <w:highlight w:val="none"/>
          <w14:textFill>
            <w14:solidFill>
              <w14:schemeClr w14:val="tx1"/>
            </w14:solidFill>
          </w14:textFill>
        </w:rPr>
        <w:t>.</w:t>
      </w:r>
      <w:r>
        <w:rPr>
          <w:rFonts w:hint="eastAsia" w:ascii="黑体" w:hAnsi="黑体" w:eastAsia="黑体" w:cs="宋体"/>
          <w:b/>
          <w:bCs/>
          <w:color w:val="000000" w:themeColor="text1"/>
          <w:sz w:val="24"/>
          <w:highlight w:val="none"/>
          <w14:textFill>
            <w14:solidFill>
              <w14:schemeClr w14:val="tx1"/>
            </w14:solidFill>
          </w14:textFill>
        </w:rPr>
        <w:t>谈判程序</w:t>
      </w:r>
    </w:p>
    <w:p w14:paraId="2F09D8CC">
      <w:pPr>
        <w:spacing w:line="360" w:lineRule="auto"/>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w:t>
      </w:r>
      <w:r>
        <w:rPr>
          <w:rFonts w:ascii="宋体" w:hAnsi="宋体" w:cs="宋体"/>
          <w:color w:val="000000" w:themeColor="text1"/>
          <w:kern w:val="0"/>
          <w:szCs w:val="21"/>
          <w:highlight w:val="none"/>
          <w14:textFill>
            <w14:solidFill>
              <w14:schemeClr w14:val="tx1"/>
            </w14:solidFill>
          </w14:textFill>
        </w:rPr>
        <w:t>.1</w:t>
      </w:r>
      <w:r>
        <w:rPr>
          <w:rFonts w:hint="eastAsia" w:ascii="宋体" w:hAnsi="宋体" w:cs="宋体"/>
          <w:color w:val="000000" w:themeColor="text1"/>
          <w:kern w:val="0"/>
          <w:szCs w:val="21"/>
          <w:highlight w:val="none"/>
          <w14:textFill>
            <w14:solidFill>
              <w14:schemeClr w14:val="tx1"/>
            </w14:solidFill>
          </w14:textFill>
        </w:rPr>
        <w:t>谈判小组</w:t>
      </w:r>
      <w:r>
        <w:rPr>
          <w:rFonts w:hint="eastAsia" w:ascii="宋体" w:hAnsi="宋体" w:cs="宋体"/>
          <w:color w:val="000000" w:themeColor="text1"/>
          <w:szCs w:val="21"/>
          <w:highlight w:val="none"/>
          <w14:textFill>
            <w14:solidFill>
              <w14:schemeClr w14:val="tx1"/>
            </w14:solidFill>
          </w14:textFill>
        </w:rPr>
        <w:t>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处理。</w:t>
      </w:r>
    </w:p>
    <w:p w14:paraId="27CEE1C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46B856B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4.3</w:t>
      </w:r>
      <w:r>
        <w:rPr>
          <w:rFonts w:hint="eastAsia" w:ascii="宋体" w:hAnsi="宋体" w:cs="宋体"/>
          <w:color w:val="000000" w:themeColor="text1"/>
          <w:szCs w:val="21"/>
          <w:highlight w:val="none"/>
          <w14:textFill>
            <w14:solidFill>
              <w14:schemeClr w14:val="tx1"/>
            </w14:solidFill>
          </w14:textFill>
        </w:rPr>
        <w:t>对谈判文件作出的实质性变动是谈判文件的有效组成部分，由谈判小组及时以电子澄清函形式同时通知所有参加谈判的供应商。</w:t>
      </w:r>
    </w:p>
    <w:p w14:paraId="28E2EED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4.4</w:t>
      </w:r>
      <w:r>
        <w:rPr>
          <w:rFonts w:hint="eastAsia" w:ascii="宋体" w:hAnsi="宋体" w:cs="宋体"/>
          <w:color w:val="000000" w:themeColor="text1"/>
          <w:szCs w:val="21"/>
          <w:highlight w:val="none"/>
          <w14:textFill>
            <w14:solidFill>
              <w14:schemeClr w14:val="tx1"/>
            </w14:solidFill>
          </w14:textFill>
        </w:rPr>
        <w:t>供应商必须按照谈判文件的变动情况和谈判小组的要求以回函的形式重新提交响应文件，并加盖电子签章。参加谈判的供应商未在规定时间内重新提交响应文件的，视同退出谈判，其响应文件按无效处理。</w:t>
      </w:r>
    </w:p>
    <w:p w14:paraId="24F1717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4.5</w:t>
      </w:r>
      <w:r>
        <w:rPr>
          <w:rFonts w:hint="eastAsia" w:ascii="宋体" w:hAnsi="宋体" w:cs="宋体"/>
          <w:color w:val="000000" w:themeColor="text1"/>
          <w:szCs w:val="21"/>
          <w:highlight w:val="none"/>
          <w14:textFill>
            <w14:solidFill>
              <w14:schemeClr w14:val="tx1"/>
            </w14:solidFill>
          </w14:textFill>
        </w:rPr>
        <w:t>谈判中，谈判的任何一方不得透露与谈判有关的其他供应商的技术资料、价格和其他信息。</w:t>
      </w:r>
    </w:p>
    <w:p w14:paraId="5D9AC762">
      <w:pPr>
        <w:widowControl/>
        <w:tabs>
          <w:tab w:val="left" w:pos="540"/>
        </w:tabs>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4.6</w:t>
      </w:r>
      <w:r>
        <w:rPr>
          <w:rFonts w:hint="eastAsia" w:ascii="宋体" w:hAnsi="宋体" w:cs="宋体"/>
          <w:color w:val="000000" w:themeColor="text1"/>
          <w:szCs w:val="21"/>
          <w:highlight w:val="none"/>
          <w14:textFill>
            <w14:solidFill>
              <w14:schemeClr w14:val="tx1"/>
            </w14:solidFill>
          </w14:textFill>
        </w:rPr>
        <w:t>谈判小组应对谈判过程和重要谈判内容进行记录。</w:t>
      </w:r>
    </w:p>
    <w:p w14:paraId="15DFDCB0">
      <w:pPr>
        <w:tabs>
          <w:tab w:val="left" w:pos="2835"/>
        </w:tabs>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7除本章第3.7条外，</w:t>
      </w:r>
      <w:r>
        <w:rPr>
          <w:rFonts w:hint="eastAsia" w:ascii="宋体" w:hAnsi="宋体"/>
          <w:color w:val="000000" w:themeColor="text1"/>
          <w:szCs w:val="21"/>
          <w:highlight w:val="none"/>
          <w14:textFill>
            <w14:solidFill>
              <w14:schemeClr w14:val="tx1"/>
            </w14:solidFill>
          </w14:textFill>
        </w:rPr>
        <w:t>对谈判过程提交的响应文件进行有效性、完整性和响应程度审查，通过审查的合格供应商不足3家的，采购人或者采购代理机构应当重新开展采购活动</w:t>
      </w:r>
      <w:r>
        <w:rPr>
          <w:rFonts w:hint="eastAsia" w:ascii="宋体" w:hAnsi="宋体" w:cs="宋体"/>
          <w:color w:val="000000" w:themeColor="text1"/>
          <w:szCs w:val="21"/>
          <w:highlight w:val="none"/>
          <w14:textFill>
            <w14:solidFill>
              <w14:schemeClr w14:val="tx1"/>
            </w14:solidFill>
          </w14:textFill>
        </w:rPr>
        <w:t>。</w:t>
      </w:r>
    </w:p>
    <w:p w14:paraId="4821F67F">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5</w:t>
      </w:r>
      <w:r>
        <w:rPr>
          <w:rFonts w:ascii="黑体" w:hAnsi="黑体" w:eastAsia="黑体" w:cs="宋体"/>
          <w:b/>
          <w:bCs/>
          <w:color w:val="000000" w:themeColor="text1"/>
          <w:sz w:val="24"/>
          <w:highlight w:val="none"/>
          <w14:textFill>
            <w14:solidFill>
              <w14:schemeClr w14:val="tx1"/>
            </w14:solidFill>
          </w14:textFill>
        </w:rPr>
        <w:t>.</w:t>
      </w:r>
      <w:r>
        <w:rPr>
          <w:rFonts w:hint="eastAsia" w:ascii="黑体" w:hAnsi="黑体" w:eastAsia="黑体" w:cs="宋体"/>
          <w:b/>
          <w:bCs/>
          <w:color w:val="000000" w:themeColor="text1"/>
          <w:sz w:val="24"/>
          <w:highlight w:val="none"/>
          <w14:textFill>
            <w14:solidFill>
              <w14:schemeClr w14:val="tx1"/>
            </w14:solidFill>
          </w14:textFill>
        </w:rPr>
        <w:t>最后报价</w:t>
      </w:r>
    </w:p>
    <w:p w14:paraId="59FA4691">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谈判文件能够详细列明采购标的的技术、服务要求的，谈判结束后，谈判小组应当要求所有继续参加谈判的供应商在规定时间内在“</w:t>
      </w:r>
      <w:r>
        <w:rPr>
          <w:rFonts w:hint="eastAsia" w:ascii="宋体" w:hAnsi="宋体"/>
          <w:color w:val="000000" w:themeColor="text1"/>
          <w:szCs w:val="21"/>
          <w:highlight w:val="none"/>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”平台开标大厅提交最后报价，除本章第3.7条外，提交最后报价的供应商不得少于3家，否则应当重新采购。</w:t>
      </w:r>
    </w:p>
    <w:p w14:paraId="7172201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在“</w:t>
      </w:r>
      <w:r>
        <w:rPr>
          <w:rFonts w:hint="eastAsia" w:ascii="宋体" w:hAnsi="宋体"/>
          <w:color w:val="000000" w:themeColor="text1"/>
          <w:szCs w:val="21"/>
          <w:highlight w:val="none"/>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”平台开标大厅提交最后报价。</w:t>
      </w:r>
    </w:p>
    <w:p w14:paraId="4246C08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5.3</w:t>
      </w:r>
      <w:r>
        <w:rPr>
          <w:rFonts w:hint="eastAsia" w:ascii="宋体" w:hAnsi="宋体" w:cs="宋体"/>
          <w:color w:val="000000" w:themeColor="text1"/>
          <w:szCs w:val="21"/>
          <w:highlight w:val="none"/>
          <w14:textFill>
            <w14:solidFill>
              <w14:schemeClr w14:val="tx1"/>
            </w14:solidFill>
          </w14:textFill>
        </w:rPr>
        <w:t>最后报价是供应商响应文件的有效组成部分。</w:t>
      </w:r>
    </w:p>
    <w:p w14:paraId="2F555D6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5.4</w:t>
      </w:r>
      <w:r>
        <w:rPr>
          <w:rFonts w:hint="eastAsia" w:ascii="宋体" w:hAnsi="宋体" w:cs="宋体"/>
          <w:color w:val="000000" w:themeColor="text1"/>
          <w:szCs w:val="21"/>
          <w:highlight w:val="none"/>
          <w14:textFill>
            <w14:solidFill>
              <w14:schemeClr w14:val="tx1"/>
            </w14:solidFill>
          </w14:textFill>
        </w:rPr>
        <w:t>已经提交响应文件的供应商，在提交最后报价之前，可以根据谈判情况退出谈判，退出谈判的供应商的响应文件按无效响应处理。采购人、采购代理机构将退还退出谈判的供应商的保证金。</w:t>
      </w:r>
    </w:p>
    <w:p w14:paraId="78ED082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5.5</w:t>
      </w:r>
      <w:r>
        <w:rPr>
          <w:rFonts w:hint="eastAsia" w:ascii="宋体" w:hAnsi="宋体" w:cs="宋体"/>
          <w:color w:val="000000" w:themeColor="text1"/>
          <w:szCs w:val="21"/>
          <w:highlight w:val="none"/>
          <w14:textFill>
            <w14:solidFill>
              <w14:schemeClr w14:val="tx1"/>
            </w14:solidFill>
          </w14:textFill>
        </w:rPr>
        <w:t>供应商未在规定时间内提交最后报价的，视为退出谈判，其响应文件按无效处理。</w:t>
      </w:r>
    </w:p>
    <w:p w14:paraId="385E311C">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最后报价统一开启后，谈判小组对最后报价进行有效性、完整性和响应程度的审查。</w:t>
      </w:r>
    </w:p>
    <w:p w14:paraId="108EC58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5.7</w:t>
      </w:r>
      <w:r>
        <w:rPr>
          <w:rFonts w:hint="eastAsia" w:ascii="宋体" w:hAnsi="宋体" w:cs="宋体"/>
          <w:color w:val="000000" w:themeColor="text1"/>
          <w:szCs w:val="21"/>
          <w:highlight w:val="none"/>
          <w14:textFill>
            <w14:solidFill>
              <w14:schemeClr w14:val="tx1"/>
            </w14:solidFill>
          </w14:textFill>
        </w:rPr>
        <w:t>最后报价出现前后不一致的，按照本章第</w:t>
      </w:r>
      <w:r>
        <w:rPr>
          <w:rFonts w:ascii="宋体" w:hAnsi="宋体" w:cs="宋体"/>
          <w:color w:val="000000" w:themeColor="text1"/>
          <w:szCs w:val="21"/>
          <w:highlight w:val="none"/>
          <w14:textFill>
            <w14:solidFill>
              <w14:schemeClr w14:val="tx1"/>
            </w14:solidFill>
          </w14:textFill>
        </w:rPr>
        <w:t>3.4</w:t>
      </w:r>
      <w:r>
        <w:rPr>
          <w:rFonts w:hint="eastAsia" w:ascii="宋体" w:hAnsi="宋体" w:cs="宋体"/>
          <w:color w:val="000000" w:themeColor="text1"/>
          <w:szCs w:val="21"/>
          <w:highlight w:val="none"/>
          <w14:textFill>
            <w14:solidFill>
              <w14:schemeClr w14:val="tx1"/>
            </w14:solidFill>
          </w14:textFill>
        </w:rPr>
        <w:t>条的规定修正。</w:t>
      </w:r>
    </w:p>
    <w:p w14:paraId="503CBB6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5.8</w:t>
      </w:r>
      <w:r>
        <w:rPr>
          <w:rFonts w:hint="eastAsia" w:ascii="宋体" w:hAnsi="宋体" w:cs="宋体"/>
          <w:color w:val="000000" w:themeColor="text1"/>
          <w:szCs w:val="21"/>
          <w:highlight w:val="none"/>
          <w14:textFill>
            <w14:solidFill>
              <w14:schemeClr w14:val="tx1"/>
            </w14:solidFill>
          </w14:textFill>
        </w:rPr>
        <w:t>修正后的报价出现下列情形的，按无效响应处理：</w:t>
      </w:r>
    </w:p>
    <w:p w14:paraId="44ED9BA8">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（1）供应商不确认的（全流程电子化评标采取在线确认）；</w:t>
      </w:r>
    </w:p>
    <w:p w14:paraId="6A795BF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（2）经供应商确认修正后的竞标报价（包含首次报价、最后报价）超过所竞标分标规定的采购预算金额或者最高限价的（如本项目公布了最高限价）；</w:t>
      </w:r>
    </w:p>
    <w:p w14:paraId="4CC8F33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（3）经供应商确认修正后的竞标报价（包含首次报价、最后报价）超过分项采购预算金额或者最高限价的（如本项目公布了最高限价）。</w:t>
      </w:r>
    </w:p>
    <w:p w14:paraId="54271D1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5.9</w:t>
      </w:r>
      <w:r>
        <w:rPr>
          <w:rFonts w:hint="eastAsia" w:ascii="宋体" w:hAnsi="宋体" w:cs="宋体"/>
          <w:color w:val="000000" w:themeColor="text1"/>
          <w:szCs w:val="21"/>
          <w:highlight w:val="none"/>
          <w14:textFill>
            <w14:solidFill>
              <w14:schemeClr w14:val="tx1"/>
            </w14:solidFill>
          </w14:textFill>
        </w:rPr>
        <w:t>经供应商确认修正后的最后报价作为评审及签订合同的依据。</w:t>
      </w:r>
    </w:p>
    <w:p w14:paraId="7B948160">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5.10供应商出现最后报价按无效响应处理或者响应文件按无效处理时</w:t>
      </w:r>
      <w:r>
        <w:rPr>
          <w:rFonts w:hint="eastAsia" w:ascii="宋体" w:hAnsi="宋体"/>
          <w:color w:val="000000" w:themeColor="text1"/>
          <w:sz w:val="22"/>
          <w:szCs w:val="22"/>
          <w:highlight w:val="none"/>
          <w14:textFill>
            <w14:solidFill>
              <w14:schemeClr w14:val="tx1"/>
            </w14:solidFill>
          </w14:textFill>
        </w:rPr>
        <w:t>，谈判小组应当告知有关供应商</w:t>
      </w:r>
      <w:r>
        <w:rPr>
          <w:rFonts w:hint="eastAsia" w:ascii="宋体" w:hAnsi="宋体" w:cs="宋体"/>
          <w:color w:val="000000" w:themeColor="text1"/>
          <w:szCs w:val="21"/>
          <w:highlight w:val="none"/>
          <w14:textFill>
            <w14:solidFill>
              <w14:schemeClr w14:val="tx1"/>
            </w14:solidFill>
          </w14:textFill>
        </w:rPr>
        <w:t>。</w:t>
      </w:r>
    </w:p>
    <w:p w14:paraId="0B3447A6">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5.1</w:t>
      </w:r>
      <w:r>
        <w:rPr>
          <w:rFonts w:hint="eastAsia" w:ascii="宋体" w:hAnsi="宋体" w:cs="宋体"/>
          <w:color w:val="000000" w:themeColor="text1"/>
          <w:szCs w:val="21"/>
          <w:highlight w:val="none"/>
          <w14:textFill>
            <w14:solidFill>
              <w14:schemeClr w14:val="tx1"/>
            </w14:solidFill>
          </w14:textFill>
        </w:rPr>
        <w:t>1最后报价结束后，谈判小组不得再与供应商进行任何形式的商谈。</w:t>
      </w:r>
    </w:p>
    <w:p w14:paraId="6FAD63DF">
      <w:pPr>
        <w:spacing w:line="360" w:lineRule="auto"/>
        <w:ind w:firstLine="472" w:firstLineChars="196"/>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6.</w:t>
      </w:r>
      <w:r>
        <w:rPr>
          <w:rFonts w:hint="eastAsia" w:ascii="黑体" w:hAnsi="黑体" w:eastAsia="黑体" w:cs="宋体"/>
          <w:b/>
          <w:bCs/>
          <w:color w:val="000000" w:themeColor="text1"/>
          <w:sz w:val="24"/>
          <w:highlight w:val="none"/>
          <w14:textFill>
            <w14:solidFill>
              <w14:schemeClr w14:val="tx1"/>
            </w14:solidFill>
          </w14:textFill>
        </w:rPr>
        <w:t>最后报价政府采购政策性扣除</w:t>
      </w:r>
    </w:p>
    <w:p w14:paraId="7CC05E8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w:t>
      </w:r>
      <w:r>
        <w:rPr>
          <w:rFonts w:ascii="宋体" w:hAnsi="宋体" w:cs="宋体"/>
          <w:szCs w:val="21"/>
          <w:highlight w:val="none"/>
        </w:rPr>
        <w:t>.1</w:t>
      </w:r>
      <w:r>
        <w:rPr>
          <w:rFonts w:hint="eastAsia" w:ascii="宋体" w:hAnsi="宋体" w:cs="宋体"/>
          <w:szCs w:val="21"/>
          <w:highlight w:val="none"/>
        </w:rPr>
        <w:t>评审价为供应商的最后报价进行政策性扣除后的价格，评审价只是作为评审时使用。最终成交供应商的成交金额等于最后报价（如有修正，以确认修正后的最后报价为准）。</w:t>
      </w:r>
    </w:p>
    <w:p w14:paraId="0FF85147">
      <w:pPr>
        <w:snapToGrid w:val="0"/>
        <w:spacing w:line="360" w:lineRule="auto"/>
        <w:ind w:firstLine="424" w:firstLineChars="202"/>
        <w:jc w:val="left"/>
        <w:rPr>
          <w:rFonts w:hint="eastAsia" w:ascii="宋体" w:hAnsi="宋体"/>
          <w:spacing w:val="-6"/>
          <w:szCs w:val="21"/>
          <w:highlight w:val="none"/>
        </w:rPr>
      </w:pPr>
      <w:r>
        <w:rPr>
          <w:rFonts w:ascii="宋体" w:hAnsi="宋体" w:cs="宋体"/>
          <w:szCs w:val="21"/>
          <w:highlight w:val="none"/>
        </w:rPr>
        <w:t>6.2</w:t>
      </w:r>
      <w:r>
        <w:rPr>
          <w:rFonts w:hint="eastAsia" w:ascii="宋体" w:hAnsi="宋体"/>
          <w:szCs w:val="21"/>
          <w:highlight w:val="none"/>
        </w:rPr>
        <w:t>异常低价响应审查</w:t>
      </w:r>
    </w:p>
    <w:p w14:paraId="19F226C8">
      <w:pPr>
        <w:snapToGrid w:val="0"/>
        <w:spacing w:line="360" w:lineRule="auto"/>
        <w:ind w:firstLine="422" w:firstLineChars="200"/>
        <w:rPr>
          <w:rFonts w:ascii="宋体" w:hAnsi="宋体"/>
          <w:b/>
          <w:bCs/>
          <w:szCs w:val="21"/>
          <w:highlight w:val="none"/>
        </w:rPr>
      </w:pPr>
      <w:r>
        <w:rPr>
          <w:rFonts w:hint="eastAsia" w:ascii="宋体" w:hAnsi="宋体"/>
          <w:b/>
          <w:bCs/>
          <w:szCs w:val="21"/>
          <w:highlight w:val="none"/>
        </w:rPr>
        <w:t>（1）谈判小组在评审中发现下列情形之一的，应当启动异常低价响应审查程序：</w:t>
      </w:r>
    </w:p>
    <w:p w14:paraId="2B1B0D91">
      <w:pPr>
        <w:snapToGrid w:val="0"/>
        <w:spacing w:line="360" w:lineRule="auto"/>
        <w:ind w:firstLine="422" w:firstLineChars="200"/>
        <w:rPr>
          <w:rFonts w:hint="eastAsia" w:ascii="宋体" w:hAnsi="宋体"/>
          <w:b/>
          <w:bCs/>
          <w:szCs w:val="21"/>
          <w:highlight w:val="none"/>
        </w:rPr>
      </w:pPr>
      <w:r>
        <w:rPr>
          <w:rFonts w:hint="eastAsia" w:ascii="宋体" w:hAnsi="宋体"/>
          <w:b/>
          <w:bCs/>
          <w:szCs w:val="21"/>
          <w:highlight w:val="none"/>
        </w:rPr>
        <w:t>①响应报价低于全部通过符合性审查供应商响应报价平均值</w:t>
      </w:r>
      <w:r>
        <w:rPr>
          <w:rFonts w:ascii="宋体" w:hAnsi="宋体"/>
          <w:b/>
          <w:bCs/>
          <w:szCs w:val="21"/>
          <w:highlight w:val="none"/>
          <w:u w:val="single"/>
        </w:rPr>
        <w:t xml:space="preserve"> </w:t>
      </w:r>
      <w:bookmarkStart w:id="77" w:name="OLE_LINK11"/>
      <w:r>
        <w:rPr>
          <w:rFonts w:hint="eastAsia" w:ascii="宋体" w:hAnsi="宋体"/>
          <w:b/>
          <w:bCs/>
          <w:szCs w:val="21"/>
          <w:highlight w:val="none"/>
          <w:u w:val="single"/>
          <w:lang w:val="en-US" w:eastAsia="zh-CN"/>
        </w:rPr>
        <w:t>65</w:t>
      </w:r>
      <w:r>
        <w:rPr>
          <w:rFonts w:hint="eastAsia" w:ascii="宋体" w:hAnsi="宋体"/>
          <w:b/>
          <w:bCs/>
          <w:szCs w:val="21"/>
          <w:highlight w:val="none"/>
          <w:u w:val="single"/>
        </w:rPr>
        <w:t>%</w:t>
      </w:r>
      <w:bookmarkEnd w:id="77"/>
      <w:r>
        <w:rPr>
          <w:rFonts w:ascii="宋体" w:hAnsi="宋体"/>
          <w:b/>
          <w:bCs/>
          <w:szCs w:val="21"/>
          <w:highlight w:val="none"/>
          <w:u w:val="single"/>
        </w:rPr>
        <w:t xml:space="preserve"> </w:t>
      </w:r>
      <w:r>
        <w:rPr>
          <w:rFonts w:hint="eastAsia" w:ascii="宋体" w:hAnsi="宋体"/>
          <w:b/>
          <w:bCs/>
          <w:szCs w:val="21"/>
          <w:highlight w:val="none"/>
        </w:rPr>
        <w:t>的，即响应报价＜全部通过符合性审查供应商响应报价平均值×</w:t>
      </w:r>
      <w:r>
        <w:rPr>
          <w:rFonts w:hint="eastAsia" w:ascii="宋体" w:hAnsi="宋体"/>
          <w:b/>
          <w:bCs/>
          <w:szCs w:val="21"/>
          <w:highlight w:val="none"/>
          <w:u w:val="single"/>
          <w:lang w:val="en-US" w:eastAsia="zh-CN"/>
        </w:rPr>
        <w:t>65</w:t>
      </w:r>
      <w:r>
        <w:rPr>
          <w:rFonts w:ascii="宋体" w:hAnsi="宋体"/>
          <w:b/>
          <w:bCs/>
          <w:szCs w:val="21"/>
          <w:highlight w:val="none"/>
          <w:u w:val="single"/>
        </w:rPr>
        <w:t>%</w:t>
      </w:r>
      <w:r>
        <w:rPr>
          <w:rFonts w:hint="eastAsia" w:ascii="宋体" w:hAnsi="宋体"/>
          <w:b/>
          <w:bCs/>
          <w:szCs w:val="21"/>
          <w:highlight w:val="none"/>
        </w:rPr>
        <w:t xml:space="preserve">； </w:t>
      </w:r>
    </w:p>
    <w:p w14:paraId="381D002C">
      <w:pPr>
        <w:snapToGrid w:val="0"/>
        <w:spacing w:line="360" w:lineRule="auto"/>
        <w:ind w:firstLine="422" w:firstLineChars="200"/>
        <w:rPr>
          <w:rFonts w:hint="eastAsia" w:ascii="宋体" w:hAnsi="宋体"/>
          <w:b/>
          <w:bCs/>
          <w:szCs w:val="21"/>
          <w:highlight w:val="none"/>
        </w:rPr>
      </w:pPr>
      <w:r>
        <w:rPr>
          <w:rFonts w:hint="eastAsia" w:ascii="宋体" w:hAnsi="宋体"/>
          <w:b/>
          <w:bCs/>
          <w:szCs w:val="21"/>
          <w:highlight w:val="none"/>
        </w:rPr>
        <w:t>②响应报价低于通过符合性审查的次低报价供应商响应报价</w:t>
      </w:r>
      <w:r>
        <w:rPr>
          <w:rFonts w:ascii="宋体" w:hAnsi="宋体"/>
          <w:b/>
          <w:bCs/>
          <w:szCs w:val="21"/>
          <w:highlight w:val="none"/>
          <w:u w:val="single"/>
        </w:rPr>
        <w:t xml:space="preserve"> </w:t>
      </w:r>
      <w:r>
        <w:rPr>
          <w:rFonts w:hint="eastAsia" w:ascii="宋体" w:hAnsi="宋体"/>
          <w:b/>
          <w:bCs/>
          <w:szCs w:val="21"/>
          <w:highlight w:val="none"/>
          <w:u w:val="single"/>
          <w:lang w:val="en-US" w:eastAsia="zh-CN"/>
        </w:rPr>
        <w:t>65</w:t>
      </w:r>
      <w:r>
        <w:rPr>
          <w:rFonts w:ascii="宋体" w:hAnsi="宋体"/>
          <w:b/>
          <w:bCs/>
          <w:szCs w:val="21"/>
          <w:highlight w:val="none"/>
          <w:u w:val="single"/>
        </w:rPr>
        <w:t xml:space="preserve">% </w:t>
      </w:r>
      <w:r>
        <w:rPr>
          <w:rFonts w:hint="eastAsia" w:ascii="宋体" w:hAnsi="宋体"/>
          <w:b/>
          <w:bCs/>
          <w:szCs w:val="21"/>
          <w:highlight w:val="none"/>
        </w:rPr>
        <w:t>的，即响应报价＜通过符合性审查的次低报价供应商响应报价×</w:t>
      </w:r>
      <w:r>
        <w:rPr>
          <w:rFonts w:ascii="宋体" w:hAnsi="宋体"/>
          <w:b/>
          <w:bCs/>
          <w:szCs w:val="21"/>
          <w:highlight w:val="none"/>
          <w:u w:val="single"/>
        </w:rPr>
        <w:t xml:space="preserve"> </w:t>
      </w:r>
      <w:r>
        <w:rPr>
          <w:rFonts w:hint="eastAsia" w:ascii="宋体" w:hAnsi="宋体"/>
          <w:b/>
          <w:bCs/>
          <w:szCs w:val="21"/>
          <w:highlight w:val="none"/>
          <w:u w:val="single"/>
          <w:lang w:val="en-US" w:eastAsia="zh-CN"/>
        </w:rPr>
        <w:t>65</w:t>
      </w:r>
      <w:r>
        <w:rPr>
          <w:rFonts w:ascii="宋体" w:hAnsi="宋体"/>
          <w:b/>
          <w:bCs/>
          <w:szCs w:val="21"/>
          <w:highlight w:val="none"/>
          <w:u w:val="single"/>
        </w:rPr>
        <w:t xml:space="preserve">% </w:t>
      </w:r>
      <w:r>
        <w:rPr>
          <w:rFonts w:hint="eastAsia" w:ascii="宋体" w:hAnsi="宋体"/>
          <w:b/>
          <w:bCs/>
          <w:szCs w:val="21"/>
          <w:highlight w:val="none"/>
        </w:rPr>
        <w:t xml:space="preserve">； </w:t>
      </w:r>
    </w:p>
    <w:p w14:paraId="427FEC63">
      <w:pPr>
        <w:snapToGrid w:val="0"/>
        <w:spacing w:line="360" w:lineRule="auto"/>
        <w:ind w:firstLine="422" w:firstLineChars="200"/>
        <w:rPr>
          <w:rFonts w:hint="eastAsia" w:ascii="宋体" w:hAnsi="宋体"/>
          <w:b/>
          <w:bCs/>
          <w:szCs w:val="21"/>
          <w:highlight w:val="none"/>
        </w:rPr>
      </w:pPr>
      <w:r>
        <w:rPr>
          <w:rFonts w:hint="eastAsia" w:ascii="宋体" w:hAnsi="宋体"/>
          <w:b/>
          <w:bCs/>
          <w:szCs w:val="21"/>
          <w:highlight w:val="none"/>
        </w:rPr>
        <w:t>③响应报价低于采购项目最高限价</w:t>
      </w:r>
      <w:r>
        <w:rPr>
          <w:rFonts w:ascii="宋体" w:hAnsi="宋体"/>
          <w:b/>
          <w:bCs/>
          <w:szCs w:val="21"/>
          <w:highlight w:val="none"/>
          <w:u w:val="single"/>
        </w:rPr>
        <w:t xml:space="preserve"> </w:t>
      </w:r>
      <w:r>
        <w:rPr>
          <w:rFonts w:hint="eastAsia" w:ascii="宋体" w:hAnsi="宋体"/>
          <w:b/>
          <w:bCs/>
          <w:szCs w:val="21"/>
          <w:highlight w:val="none"/>
          <w:u w:val="single"/>
          <w:lang w:val="en-US" w:eastAsia="zh-CN"/>
        </w:rPr>
        <w:t>65</w:t>
      </w:r>
      <w:r>
        <w:rPr>
          <w:rFonts w:ascii="宋体" w:hAnsi="宋体"/>
          <w:b/>
          <w:bCs/>
          <w:szCs w:val="21"/>
          <w:highlight w:val="none"/>
          <w:u w:val="single"/>
        </w:rPr>
        <w:t xml:space="preserve">% </w:t>
      </w:r>
      <w:r>
        <w:rPr>
          <w:rFonts w:hint="eastAsia" w:ascii="宋体" w:hAnsi="宋体"/>
          <w:b/>
          <w:bCs/>
          <w:szCs w:val="21"/>
          <w:highlight w:val="none"/>
        </w:rPr>
        <w:t>的，即响应报价＜采购项目最高限价×</w:t>
      </w:r>
      <w:r>
        <w:rPr>
          <w:rFonts w:ascii="宋体" w:hAnsi="宋体"/>
          <w:b/>
          <w:bCs/>
          <w:szCs w:val="21"/>
          <w:highlight w:val="none"/>
          <w:u w:val="single"/>
        </w:rPr>
        <w:t xml:space="preserve"> </w:t>
      </w:r>
      <w:r>
        <w:rPr>
          <w:rFonts w:hint="eastAsia" w:ascii="宋体" w:hAnsi="宋体"/>
          <w:b/>
          <w:bCs/>
          <w:szCs w:val="21"/>
          <w:highlight w:val="none"/>
          <w:u w:val="single"/>
          <w:lang w:val="en-US" w:eastAsia="zh-CN"/>
        </w:rPr>
        <w:t>65</w:t>
      </w:r>
      <w:r>
        <w:rPr>
          <w:rFonts w:ascii="宋体" w:hAnsi="宋体"/>
          <w:b/>
          <w:bCs/>
          <w:szCs w:val="21"/>
          <w:highlight w:val="none"/>
          <w:u w:val="single"/>
        </w:rPr>
        <w:t xml:space="preserve">% </w:t>
      </w:r>
      <w:r>
        <w:rPr>
          <w:rFonts w:hint="eastAsia" w:ascii="宋体" w:hAnsi="宋体"/>
          <w:b/>
          <w:bCs/>
          <w:szCs w:val="21"/>
          <w:highlight w:val="none"/>
        </w:rPr>
        <w:t xml:space="preserve">； </w:t>
      </w:r>
    </w:p>
    <w:p w14:paraId="68D40D9C">
      <w:pPr>
        <w:snapToGrid w:val="0"/>
        <w:spacing w:line="360" w:lineRule="auto"/>
        <w:ind w:firstLine="422" w:firstLineChars="200"/>
        <w:rPr>
          <w:rFonts w:hint="eastAsia" w:ascii="宋体" w:hAnsi="宋体"/>
          <w:b/>
          <w:bCs/>
          <w:szCs w:val="21"/>
          <w:highlight w:val="none"/>
        </w:rPr>
      </w:pPr>
      <w:r>
        <w:rPr>
          <w:rFonts w:hint="eastAsia" w:ascii="宋体" w:hAnsi="宋体"/>
          <w:b/>
          <w:bCs/>
          <w:szCs w:val="21"/>
          <w:highlight w:val="none"/>
        </w:rPr>
        <w:t>④谈判小组基于专业判断，认为供应商报价过低，有可能影响产品质量或者不能诚信履约的其他情形。</w:t>
      </w:r>
    </w:p>
    <w:p w14:paraId="5E9A345D">
      <w:pPr>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437C883D">
      <w:pPr>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szCs w:val="21"/>
          <w:highlight w:val="none"/>
        </w:rPr>
        <w:t>相关供应商不能提供书面说明、证明材料，或者提供的书面说明、证明材料不能证明其报价合理性的，谈判小组应当将其作为无效响应处理。</w:t>
      </w:r>
    </w:p>
    <w:p w14:paraId="1BF10F39">
      <w:pPr>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6BE827CE">
      <w:pPr>
        <w:spacing w:line="360" w:lineRule="auto"/>
        <w:ind w:firstLine="420" w:firstLineChars="200"/>
        <w:rPr>
          <w:rFonts w:ascii="宋体" w:hAnsi="宋体" w:cs="宋体"/>
          <w:szCs w:val="21"/>
          <w:highlight w:val="none"/>
        </w:rPr>
      </w:pPr>
      <w:r>
        <w:rPr>
          <w:rFonts w:hint="eastAsia" w:ascii="宋体" w:hAnsi="宋体"/>
          <w:szCs w:val="21"/>
          <w:highlight w:val="none"/>
        </w:rPr>
        <w:t>异常低价响应审查的启动原因、审查意见和审查结果应当在评审报告中记录，并随供应商提供的相关书面说明及证明材料，以及谈判小组有关互联网浏览、查询历史一并归档。</w:t>
      </w:r>
    </w:p>
    <w:p w14:paraId="65182AC1">
      <w:pPr>
        <w:spacing w:line="360" w:lineRule="auto"/>
        <w:ind w:firstLine="420" w:firstLineChars="200"/>
        <w:rPr>
          <w:rFonts w:hint="eastAsia" w:hAnsi="宋体" w:cs="Courier New"/>
          <w:bCs/>
          <w:highlight w:val="none"/>
        </w:rPr>
      </w:pPr>
      <w:r>
        <w:rPr>
          <w:rFonts w:hint="eastAsia" w:hAnsi="宋体" w:cs="Courier New"/>
          <w:bCs/>
          <w:highlight w:val="none"/>
        </w:rPr>
        <w:t>6</w:t>
      </w:r>
      <w:r>
        <w:rPr>
          <w:rFonts w:hAnsi="宋体" w:cs="Courier New"/>
          <w:bCs/>
          <w:highlight w:val="none"/>
        </w:rPr>
        <w:t>.3</w:t>
      </w:r>
      <w:r>
        <w:rPr>
          <w:rFonts w:hint="eastAsia" w:hAnsi="宋体" w:cs="Courier New"/>
          <w:bCs/>
          <w:highlight w:val="none"/>
        </w:rPr>
        <w:t>中小企业政策性扣除计算方法：</w:t>
      </w:r>
    </w:p>
    <w:p w14:paraId="40A237EE">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根据《政府采购促进中小企业发展管理办法》（财库〔2020〕46号）及《广西壮族自治区财政厅关于持续优化政府采购营商环境推动高质量发展的通知》（</w:t>
      </w:r>
      <w:bookmarkStart w:id="78" w:name="OLE_LINK22"/>
      <w:bookmarkStart w:id="79" w:name="OLE_LINK23"/>
      <w:r>
        <w:rPr>
          <w:rFonts w:hint="eastAsia" w:ascii="宋体" w:hAnsi="宋体"/>
          <w:color w:val="auto"/>
          <w:szCs w:val="21"/>
          <w:highlight w:val="none"/>
        </w:rPr>
        <w:t>桂财采〔2024〕55号</w:t>
      </w:r>
      <w:bookmarkEnd w:id="78"/>
      <w:bookmarkEnd w:id="79"/>
      <w:r>
        <w:rPr>
          <w:rFonts w:hint="eastAsia" w:ascii="宋体" w:hAnsi="宋体"/>
          <w:color w:val="auto"/>
          <w:szCs w:val="21"/>
          <w:highlight w:val="none"/>
        </w:rPr>
        <w:t>）的规定，供应商在其响应文件中提供《中小企业声明函》，且响应货物全部由小微企业制造，对供应商的最后报价给予10%的扣除，扣除后的价格为评审价，即评审价=最后报价×（1-10%）。除上述情况外，评审价=最后报价。</w:t>
      </w:r>
    </w:p>
    <w:p w14:paraId="2A487423">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6.4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389C31EA">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6.5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71A59F4">
      <w:pPr>
        <w:spacing w:line="360" w:lineRule="auto"/>
        <w:ind w:firstLine="420" w:firstLineChars="200"/>
        <w:rPr>
          <w:rFonts w:hint="eastAsia" w:ascii="宋体" w:hAnsi="宋体"/>
          <w:szCs w:val="21"/>
          <w:highlight w:val="none"/>
        </w:rPr>
      </w:pPr>
      <w:r>
        <w:rPr>
          <w:rFonts w:hint="eastAsia" w:ascii="宋体" w:hAnsi="宋体"/>
          <w:szCs w:val="21"/>
          <w:highlight w:val="none"/>
        </w:rPr>
        <w:t>6</w:t>
      </w:r>
      <w:r>
        <w:rPr>
          <w:rFonts w:ascii="宋体" w:hAnsi="宋体"/>
          <w:szCs w:val="21"/>
          <w:highlight w:val="none"/>
        </w:rPr>
        <w:t>.</w:t>
      </w:r>
      <w:r>
        <w:rPr>
          <w:rFonts w:hint="eastAsia" w:ascii="宋体" w:hAnsi="宋体"/>
          <w:szCs w:val="21"/>
          <w:highlight w:val="none"/>
          <w:lang w:val="en-US" w:eastAsia="zh-CN"/>
        </w:rPr>
        <w:t>6</w:t>
      </w:r>
      <w:r>
        <w:rPr>
          <w:rFonts w:hint="eastAsia" w:ascii="宋体" w:hAnsi="宋体"/>
          <w:szCs w:val="21"/>
          <w:highlight w:val="none"/>
        </w:rPr>
        <w:t>本国产品政策性扣除计算方法。</w:t>
      </w:r>
    </w:p>
    <w:p w14:paraId="342AA965">
      <w:pPr>
        <w:spacing w:line="360" w:lineRule="auto"/>
        <w:ind w:firstLine="420" w:firstLineChars="200"/>
        <w:rPr>
          <w:rFonts w:hint="eastAsia" w:ascii="宋体" w:hAnsi="宋体"/>
          <w:szCs w:val="21"/>
          <w:highlight w:val="none"/>
        </w:rPr>
      </w:pPr>
      <w:r>
        <w:rPr>
          <w:rFonts w:hint="eastAsia" w:ascii="宋体" w:hAnsi="宋体"/>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3589E837">
      <w:pPr>
        <w:spacing w:line="360" w:lineRule="auto"/>
        <w:ind w:firstLine="420" w:firstLineChars="200"/>
        <w:rPr>
          <w:rFonts w:ascii="宋体" w:hAnsi="宋体"/>
          <w:szCs w:val="21"/>
          <w:highlight w:val="none"/>
        </w:rPr>
      </w:pPr>
      <w:r>
        <w:rPr>
          <w:rFonts w:hint="eastAsia" w:ascii="宋体" w:hAnsi="宋体"/>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bookmarkStart w:id="80" w:name="OLE_LINK3"/>
      <w:bookmarkStart w:id="81" w:name="OLE_LINK4"/>
      <w:r>
        <w:rPr>
          <w:rFonts w:hint="eastAsia" w:hAnsi="宋体"/>
          <w:highlight w:val="none"/>
        </w:rPr>
        <w:t>未达到80%，不享受价格评审优惠。</w:t>
      </w:r>
      <w:bookmarkEnd w:id="80"/>
      <w:bookmarkEnd w:id="81"/>
    </w:p>
    <w:p w14:paraId="62C96BAB">
      <w:pPr>
        <w:spacing w:line="360" w:lineRule="auto"/>
        <w:ind w:firstLine="420" w:firstLineChars="200"/>
        <w:rPr>
          <w:rFonts w:hint="eastAsia" w:ascii="宋体" w:hAnsi="宋体"/>
          <w:szCs w:val="21"/>
          <w:highlight w:val="none"/>
        </w:rPr>
      </w:pPr>
      <w:r>
        <w:rPr>
          <w:rFonts w:hint="eastAsia" w:hAnsi="宋体"/>
          <w:highlight w:val="none"/>
        </w:rPr>
        <w:t>如果所有参与竞争的供应商均可享受本国产品价格评审优惠，则统一不进行价格扣除。</w:t>
      </w:r>
    </w:p>
    <w:p w14:paraId="34E0085F">
      <w:pPr>
        <w:spacing w:line="360" w:lineRule="auto"/>
        <w:ind w:firstLine="420" w:firstLineChars="200"/>
        <w:rPr>
          <w:rFonts w:hint="eastAsia" w:ascii="宋体" w:hAnsi="宋体"/>
          <w:szCs w:val="21"/>
          <w:highlight w:val="none"/>
        </w:rPr>
      </w:pPr>
      <w:r>
        <w:rPr>
          <w:rFonts w:hint="eastAsia" w:ascii="宋体" w:hAnsi="宋体"/>
          <w:szCs w:val="21"/>
          <w:highlight w:val="none"/>
        </w:rPr>
        <w:t>供应商在其响应文件中提供《关于符合本国产品标准的声明函》或财政部会同有关部门规定的有关证明文件，出具符合要求的《声明函》或有关证明文件的，该产品视为本国产品。</w:t>
      </w:r>
    </w:p>
    <w:p w14:paraId="242D3120">
      <w:pPr>
        <w:spacing w:line="360" w:lineRule="auto"/>
        <w:ind w:firstLine="420" w:firstLineChars="200"/>
        <w:rPr>
          <w:rFonts w:hint="eastAsia" w:ascii="宋体" w:hAnsi="宋体"/>
          <w:szCs w:val="21"/>
          <w:highlight w:val="none"/>
        </w:rPr>
      </w:pPr>
      <w:r>
        <w:rPr>
          <w:rFonts w:hint="eastAsia" w:ascii="宋体" w:hAnsi="宋体"/>
          <w:szCs w:val="21"/>
          <w:highlight w:val="none"/>
        </w:rPr>
        <w:t>6</w:t>
      </w:r>
      <w:r>
        <w:rPr>
          <w:rFonts w:ascii="宋体" w:hAnsi="宋体"/>
          <w:szCs w:val="21"/>
          <w:highlight w:val="none"/>
        </w:rPr>
        <w:t>.</w:t>
      </w:r>
      <w:r>
        <w:rPr>
          <w:rFonts w:hint="eastAsia" w:ascii="宋体" w:hAnsi="宋体"/>
          <w:szCs w:val="21"/>
          <w:highlight w:val="none"/>
          <w:lang w:val="en-US" w:eastAsia="zh-CN"/>
        </w:rPr>
        <w:t>7</w:t>
      </w:r>
      <w:r>
        <w:rPr>
          <w:rFonts w:hint="eastAsia" w:ascii="宋体" w:hAnsi="宋体"/>
          <w:szCs w:val="21"/>
          <w:highlight w:val="none"/>
        </w:rPr>
        <w:t>中小企业政策性折扣与本国产品政策性折扣进行叠加计算，用扣除后的价格参加评审。即评审价=竞标报价</w:t>
      </w:r>
      <w:r>
        <w:rPr>
          <w:rFonts w:hint="eastAsia" w:ascii="宋体" w:hAnsi="宋体"/>
          <w:szCs w:val="21"/>
          <w:highlight w:val="none"/>
          <w:lang w:val="en-US" w:eastAsia="zh-CN"/>
        </w:rPr>
        <w:t>-</w:t>
      </w:r>
      <w:r>
        <w:rPr>
          <w:rFonts w:hint="eastAsia" w:ascii="宋体" w:hAnsi="宋体"/>
          <w:color w:val="auto"/>
          <w:szCs w:val="21"/>
          <w:highlight w:val="none"/>
        </w:rPr>
        <w:t>中小企业折扣</w:t>
      </w:r>
      <w:r>
        <w:rPr>
          <w:rFonts w:hint="eastAsia" w:ascii="宋体" w:hAnsi="宋体"/>
          <w:color w:val="auto"/>
          <w:szCs w:val="21"/>
          <w:highlight w:val="none"/>
          <w:lang w:val="en-US" w:eastAsia="zh-CN"/>
        </w:rPr>
        <w:t>-</w:t>
      </w:r>
      <w:r>
        <w:rPr>
          <w:rFonts w:hint="eastAsia" w:ascii="宋体" w:hAnsi="宋体"/>
          <w:szCs w:val="21"/>
          <w:highlight w:val="none"/>
        </w:rPr>
        <w:t>本国产品政策性折扣，除上述情况外，评审价=竞标报价。</w:t>
      </w:r>
    </w:p>
    <w:p w14:paraId="71E3E805">
      <w:pPr>
        <w:spacing w:line="360" w:lineRule="auto"/>
        <w:ind w:firstLine="420" w:firstLineChars="200"/>
        <w:rPr>
          <w:rFonts w:ascii="宋体" w:hAnsi="宋体" w:cs="宋体"/>
          <w:color w:val="000000" w:themeColor="text1"/>
          <w:highlight w:val="none"/>
          <w14:textFill>
            <w14:solidFill>
              <w14:schemeClr w14:val="tx1"/>
            </w14:solidFill>
          </w14:textFill>
        </w:rPr>
      </w:pPr>
    </w:p>
    <w:p w14:paraId="03F28C66">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二、评定成交的标准</w:t>
      </w:r>
    </w:p>
    <w:p w14:paraId="0B00D310">
      <w:pPr>
        <w:spacing w:line="360" w:lineRule="auto"/>
        <w:ind w:firstLine="482" w:firstLineChars="200"/>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7.</w:t>
      </w:r>
      <w:r>
        <w:rPr>
          <w:rFonts w:hint="eastAsia" w:ascii="黑体" w:hAnsi="黑体" w:eastAsia="黑体" w:cs="宋体"/>
          <w:b/>
          <w:bCs/>
          <w:color w:val="000000" w:themeColor="text1"/>
          <w:sz w:val="24"/>
          <w:highlight w:val="none"/>
          <w14:textFill>
            <w14:solidFill>
              <w14:schemeClr w14:val="tx1"/>
            </w14:solidFill>
          </w14:textFill>
        </w:rPr>
        <w:t>成交候选人推荐</w:t>
      </w:r>
    </w:p>
    <w:p w14:paraId="39ADD485">
      <w:pPr>
        <w:spacing w:line="360" w:lineRule="auto"/>
        <w:ind w:firstLine="420" w:firstLineChars="200"/>
        <w:contextualSpacing/>
        <w:rPr>
          <w:rFonts w:hAns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w:t>
      </w:r>
      <w:r>
        <w:rPr>
          <w:rFonts w:ascii="宋体" w:hAnsi="宋体" w:cs="宋体"/>
          <w:color w:val="000000" w:themeColor="text1"/>
          <w:highlight w:val="none"/>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条规定的顺序推荐），并编写评审报告，评审报告</w:t>
      </w:r>
      <w:r>
        <w:rPr>
          <w:rFonts w:hint="eastAsia" w:hAnsi="宋体"/>
          <w:color w:val="000000" w:themeColor="text1"/>
          <w:highlight w:val="none"/>
          <w14:textFill>
            <w14:solidFill>
              <w14:schemeClr w14:val="tx1"/>
            </w14:solidFill>
          </w14:textFill>
        </w:rPr>
        <w:t>通过电子交易平台向采购人、采购代理机构提交。</w:t>
      </w:r>
    </w:p>
    <w:p w14:paraId="5CBEC5A3">
      <w:pPr>
        <w:spacing w:line="360" w:lineRule="auto"/>
        <w:ind w:firstLine="420" w:firstLineChars="200"/>
        <w:rPr>
          <w:rFonts w:ascii="宋体" w:hAnsi="宋体" w:cs="宋体"/>
          <w:color w:val="000000" w:themeColor="text1"/>
          <w:highlight w:val="none"/>
          <w14:textFill>
            <w14:solidFill>
              <w14:schemeClr w14:val="tx1"/>
            </w14:solidFill>
          </w14:textFill>
        </w:rPr>
      </w:pPr>
    </w:p>
    <w:p w14:paraId="1DB0D775">
      <w:pPr>
        <w:pStyle w:val="2"/>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01419EA7">
      <w:pPr>
        <w:pStyle w:val="2"/>
        <w:jc w:val="center"/>
        <w:rPr>
          <w:rFonts w:hint="eastAsia"/>
          <w:color w:val="000000" w:themeColor="text1"/>
          <w:highlight w:val="none"/>
          <w14:textFill>
            <w14:solidFill>
              <w14:schemeClr w14:val="tx1"/>
            </w14:solidFill>
          </w14:textFill>
        </w:rPr>
      </w:pPr>
      <w:bookmarkStart w:id="82" w:name="_Toc773"/>
    </w:p>
    <w:p w14:paraId="28C5BB66">
      <w:pPr>
        <w:rPr>
          <w:rFonts w:hint="eastAsia"/>
          <w:highlight w:val="none"/>
        </w:rPr>
      </w:pPr>
    </w:p>
    <w:p w14:paraId="543C110C">
      <w:pPr>
        <w:pStyle w:val="2"/>
        <w:jc w:val="center"/>
        <w:rPr>
          <w:rFonts w:hint="eastAsia"/>
          <w:color w:val="000000" w:themeColor="text1"/>
          <w:highlight w:val="none"/>
          <w14:textFill>
            <w14:solidFill>
              <w14:schemeClr w14:val="tx1"/>
            </w14:solidFill>
          </w14:textFill>
        </w:rPr>
      </w:pPr>
    </w:p>
    <w:p w14:paraId="36AECDAD">
      <w:pPr>
        <w:pStyle w:val="2"/>
        <w:jc w:val="center"/>
        <w:rPr>
          <w:rFonts w:hint="eastAsia"/>
          <w:color w:val="000000" w:themeColor="text1"/>
          <w:highlight w:val="none"/>
          <w14:textFill>
            <w14:solidFill>
              <w14:schemeClr w14:val="tx1"/>
            </w14:solidFill>
          </w14:textFill>
        </w:rPr>
      </w:pPr>
    </w:p>
    <w:p w14:paraId="259877A5">
      <w:pPr>
        <w:pStyle w:val="2"/>
        <w:jc w:val="center"/>
        <w:rPr>
          <w:rFonts w:hint="eastAsia"/>
          <w:color w:val="000000" w:themeColor="text1"/>
          <w:highlight w:val="none"/>
          <w14:textFill>
            <w14:solidFill>
              <w14:schemeClr w14:val="tx1"/>
            </w14:solidFill>
          </w14:textFill>
        </w:rPr>
      </w:pPr>
    </w:p>
    <w:p w14:paraId="11264385">
      <w:pPr>
        <w:pStyle w:val="2"/>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第五章响应文件格式</w:t>
      </w:r>
      <w:bookmarkEnd w:id="82"/>
    </w:p>
    <w:p w14:paraId="03F911F9">
      <w:pPr>
        <w:spacing w:line="240" w:lineRule="atLeast"/>
        <w:rPr>
          <w:rFonts w:ascii="宋体" w:hAnsi="宋体"/>
          <w:b/>
          <w:color w:val="000000" w:themeColor="text1"/>
          <w:sz w:val="32"/>
          <w:szCs w:val="32"/>
          <w:highlight w:val="none"/>
          <w14:textFill>
            <w14:solidFill>
              <w14:schemeClr w14:val="tx1"/>
            </w14:solidFill>
          </w14:textFill>
        </w:rPr>
      </w:pPr>
    </w:p>
    <w:p w14:paraId="053329F8">
      <w:pPr>
        <w:spacing w:line="240" w:lineRule="atLeast"/>
        <w:rPr>
          <w:rFonts w:ascii="宋体" w:hAnsi="宋体"/>
          <w:b/>
          <w:color w:val="000000" w:themeColor="text1"/>
          <w:sz w:val="32"/>
          <w:szCs w:val="32"/>
          <w:highlight w:val="none"/>
          <w14:textFill>
            <w14:solidFill>
              <w14:schemeClr w14:val="tx1"/>
            </w14:solidFill>
          </w14:textFill>
        </w:rPr>
      </w:pPr>
    </w:p>
    <w:p w14:paraId="16DDBE87">
      <w:pPr>
        <w:spacing w:line="240" w:lineRule="atLeast"/>
        <w:rPr>
          <w:rFonts w:ascii="宋体" w:hAnsi="宋体"/>
          <w:b/>
          <w:color w:val="000000" w:themeColor="text1"/>
          <w:sz w:val="32"/>
          <w:szCs w:val="32"/>
          <w:highlight w:val="none"/>
          <w14:textFill>
            <w14:solidFill>
              <w14:schemeClr w14:val="tx1"/>
            </w14:solidFill>
          </w14:textFill>
        </w:rPr>
      </w:pPr>
    </w:p>
    <w:p w14:paraId="53E2F3B2">
      <w:pPr>
        <w:spacing w:line="240" w:lineRule="atLeast"/>
        <w:rPr>
          <w:rFonts w:ascii="宋体" w:hAnsi="宋体"/>
          <w:b/>
          <w:color w:val="000000" w:themeColor="text1"/>
          <w:sz w:val="32"/>
          <w:szCs w:val="32"/>
          <w:highlight w:val="none"/>
          <w14:textFill>
            <w14:solidFill>
              <w14:schemeClr w14:val="tx1"/>
            </w14:solidFill>
          </w14:textFill>
        </w:rPr>
      </w:pPr>
    </w:p>
    <w:p w14:paraId="44ABC569">
      <w:pPr>
        <w:spacing w:line="240" w:lineRule="atLeast"/>
        <w:rPr>
          <w:rFonts w:ascii="宋体" w:hAnsi="宋体"/>
          <w:b/>
          <w:color w:val="000000" w:themeColor="text1"/>
          <w:sz w:val="32"/>
          <w:szCs w:val="32"/>
          <w:highlight w:val="none"/>
          <w14:textFill>
            <w14:solidFill>
              <w14:schemeClr w14:val="tx1"/>
            </w14:solidFill>
          </w14:textFill>
        </w:rPr>
      </w:pPr>
    </w:p>
    <w:p w14:paraId="0CC12D81">
      <w:pPr>
        <w:spacing w:line="240" w:lineRule="atLeast"/>
        <w:rPr>
          <w:rFonts w:ascii="宋体" w:hAnsi="宋体"/>
          <w:b/>
          <w:color w:val="000000" w:themeColor="text1"/>
          <w:sz w:val="32"/>
          <w:szCs w:val="32"/>
          <w:highlight w:val="none"/>
          <w14:textFill>
            <w14:solidFill>
              <w14:schemeClr w14:val="tx1"/>
            </w14:solidFill>
          </w14:textFill>
        </w:rPr>
      </w:pPr>
    </w:p>
    <w:p w14:paraId="69FB77F7">
      <w:pPr>
        <w:spacing w:line="240" w:lineRule="atLeast"/>
        <w:rPr>
          <w:rFonts w:ascii="宋体" w:hAnsi="宋体"/>
          <w:b/>
          <w:color w:val="000000" w:themeColor="text1"/>
          <w:sz w:val="32"/>
          <w:szCs w:val="32"/>
          <w:highlight w:val="none"/>
          <w14:textFill>
            <w14:solidFill>
              <w14:schemeClr w14:val="tx1"/>
            </w14:solidFill>
          </w14:textFill>
        </w:rPr>
      </w:pPr>
    </w:p>
    <w:p w14:paraId="6F363138">
      <w:pPr>
        <w:spacing w:line="240" w:lineRule="atLeast"/>
        <w:rPr>
          <w:rFonts w:ascii="宋体" w:hAnsi="宋体"/>
          <w:b/>
          <w:color w:val="000000" w:themeColor="text1"/>
          <w:sz w:val="32"/>
          <w:szCs w:val="32"/>
          <w:highlight w:val="none"/>
          <w14:textFill>
            <w14:solidFill>
              <w14:schemeClr w14:val="tx1"/>
            </w14:solidFill>
          </w14:textFill>
        </w:rPr>
      </w:pPr>
    </w:p>
    <w:p w14:paraId="0D0B202B">
      <w:pPr>
        <w:spacing w:line="240" w:lineRule="atLeast"/>
        <w:rPr>
          <w:rFonts w:ascii="宋体" w:hAnsi="宋体"/>
          <w:b/>
          <w:color w:val="000000" w:themeColor="text1"/>
          <w:sz w:val="32"/>
          <w:szCs w:val="32"/>
          <w:highlight w:val="none"/>
          <w14:textFill>
            <w14:solidFill>
              <w14:schemeClr w14:val="tx1"/>
            </w14:solidFill>
          </w14:textFill>
        </w:rPr>
      </w:pPr>
    </w:p>
    <w:p w14:paraId="7EDDB79B">
      <w:pPr>
        <w:spacing w:line="240" w:lineRule="atLeast"/>
        <w:rPr>
          <w:rFonts w:ascii="宋体" w:hAnsi="宋体"/>
          <w:b/>
          <w:color w:val="000000" w:themeColor="text1"/>
          <w:sz w:val="32"/>
          <w:szCs w:val="32"/>
          <w:highlight w:val="none"/>
          <w14:textFill>
            <w14:solidFill>
              <w14:schemeClr w14:val="tx1"/>
            </w14:solidFill>
          </w14:textFill>
        </w:rPr>
      </w:pPr>
    </w:p>
    <w:p w14:paraId="3E7D59C5">
      <w:pPr>
        <w:pStyle w:val="81"/>
        <w:rPr>
          <w:highlight w:val="none"/>
        </w:rPr>
      </w:pPr>
    </w:p>
    <w:p w14:paraId="1AD9B909">
      <w:pPr>
        <w:spacing w:line="240" w:lineRule="atLeast"/>
        <w:rPr>
          <w:rFonts w:ascii="宋体" w:hAnsi="宋体"/>
          <w:b/>
          <w:color w:val="000000" w:themeColor="text1"/>
          <w:sz w:val="32"/>
          <w:szCs w:val="32"/>
          <w:highlight w:val="none"/>
          <w14:textFill>
            <w14:solidFill>
              <w14:schemeClr w14:val="tx1"/>
            </w14:solidFill>
          </w14:textFill>
        </w:rPr>
      </w:pPr>
    </w:p>
    <w:p w14:paraId="2D9C4E56">
      <w:pPr>
        <w:spacing w:line="240" w:lineRule="atLeast"/>
        <w:rPr>
          <w:rFonts w:ascii="宋体" w:hAnsi="宋体"/>
          <w:b/>
          <w:color w:val="000000" w:themeColor="text1"/>
          <w:sz w:val="32"/>
          <w:szCs w:val="32"/>
          <w:highlight w:val="none"/>
          <w14:textFill>
            <w14:solidFill>
              <w14:schemeClr w14:val="tx1"/>
            </w14:solidFill>
          </w14:textFill>
        </w:rPr>
      </w:pPr>
    </w:p>
    <w:p w14:paraId="1C195E66">
      <w:pPr>
        <w:snapToGrid w:val="0"/>
        <w:spacing w:before="50" w:after="50"/>
        <w:outlineLvl w:val="1"/>
        <w:rPr>
          <w:rFonts w:ascii="宋体" w:hAnsi="宋体"/>
          <w:b/>
          <w:bCs/>
          <w:color w:val="000000" w:themeColor="text1"/>
          <w:sz w:val="24"/>
          <w:highlight w:val="none"/>
          <w14:textFill>
            <w14:solidFill>
              <w14:schemeClr w14:val="tx1"/>
            </w14:solidFill>
          </w14:textFill>
        </w:rPr>
      </w:pPr>
    </w:p>
    <w:p w14:paraId="3759BDD9">
      <w:pPr>
        <w:rPr>
          <w:b/>
          <w:color w:val="000000" w:themeColor="text1"/>
          <w:sz w:val="32"/>
          <w:szCs w:val="32"/>
          <w:highlight w:val="none"/>
          <w14:textFill>
            <w14:solidFill>
              <w14:schemeClr w14:val="tx1"/>
            </w14:solidFill>
          </w14:textFill>
        </w:rPr>
      </w:pPr>
      <w:bookmarkStart w:id="83" w:name="_Toc71366060"/>
      <w:bookmarkStart w:id="84" w:name="_Toc71365382"/>
      <w:r>
        <w:rPr>
          <w:rFonts w:hint="eastAsia"/>
          <w:b/>
          <w:color w:val="000000" w:themeColor="text1"/>
          <w:sz w:val="32"/>
          <w:szCs w:val="32"/>
          <w:highlight w:val="none"/>
          <w14:textFill>
            <w14:solidFill>
              <w14:schemeClr w14:val="tx1"/>
            </w14:solidFill>
          </w14:textFill>
        </w:rPr>
        <w:t>一、资格证明文件格式</w:t>
      </w:r>
      <w:bookmarkEnd w:id="83"/>
      <w:bookmarkEnd w:id="84"/>
    </w:p>
    <w:p w14:paraId="08D4FE29">
      <w:pPr>
        <w:snapToGrid w:val="0"/>
        <w:spacing w:before="120" w:beforeLines="50" w:after="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1.资格证明文件封面格式：</w:t>
      </w:r>
    </w:p>
    <w:p w14:paraId="6E271394">
      <w:pPr>
        <w:snapToGrid w:val="0"/>
        <w:spacing w:before="120" w:beforeLines="50" w:after="50"/>
        <w:rPr>
          <w:rFonts w:ascii="宋体" w:hAnsi="宋体"/>
          <w:bCs/>
          <w:color w:val="000000" w:themeColor="text1"/>
          <w:sz w:val="32"/>
          <w:szCs w:val="20"/>
          <w:highlight w:val="none"/>
          <w14:textFill>
            <w14:solidFill>
              <w14:schemeClr w14:val="tx1"/>
            </w14:solidFill>
          </w14:textFill>
        </w:rPr>
      </w:pPr>
    </w:p>
    <w:p w14:paraId="6C2706CE">
      <w:pPr>
        <w:snapToGrid w:val="0"/>
        <w:spacing w:before="120" w:beforeLines="50" w:after="50"/>
        <w:jc w:val="center"/>
        <w:rPr>
          <w:rFonts w:ascii="宋体" w:hAnsi="宋体"/>
          <w:color w:val="000000" w:themeColor="text1"/>
          <w:sz w:val="44"/>
          <w:szCs w:val="44"/>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电子响应文件</w:t>
      </w:r>
    </w:p>
    <w:p w14:paraId="303CF85C">
      <w:pPr>
        <w:snapToGrid w:val="0"/>
        <w:spacing w:before="120" w:beforeLines="50" w:after="50"/>
        <w:rPr>
          <w:rFonts w:ascii="宋体" w:hAnsi="宋体"/>
          <w:color w:val="000000" w:themeColor="text1"/>
          <w:sz w:val="24"/>
          <w:szCs w:val="20"/>
          <w:highlight w:val="none"/>
          <w14:textFill>
            <w14:solidFill>
              <w14:schemeClr w14:val="tx1"/>
            </w14:solidFill>
          </w14:textFill>
        </w:rPr>
      </w:pPr>
    </w:p>
    <w:p w14:paraId="2E10AE13">
      <w:pPr>
        <w:snapToGrid w:val="0"/>
        <w:spacing w:before="120" w:beforeLines="50" w:after="5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资格证明文件</w:t>
      </w:r>
    </w:p>
    <w:p w14:paraId="50F2E1C6">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10CC3EBA">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068F183A">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3AA11474">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509A867F">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5326A69A">
      <w:pPr>
        <w:snapToGrid w:val="0"/>
        <w:spacing w:before="120" w:beforeLines="50" w:after="50"/>
        <w:ind w:firstLine="640" w:firstLineChars="20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14:paraId="0CD25470">
      <w:pPr>
        <w:snapToGrid w:val="0"/>
        <w:spacing w:before="120" w:beforeLines="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7BFE1524">
      <w:pPr>
        <w:snapToGrid w:val="0"/>
        <w:spacing w:before="120" w:beforeLines="50" w:after="50"/>
        <w:ind w:firstLine="720" w:firstLineChars="225"/>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14:paraId="5D7DF8B8">
      <w:pPr>
        <w:snapToGrid w:val="0"/>
        <w:spacing w:before="120" w:beforeLines="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44BB8163">
      <w:pPr>
        <w:snapToGrid w:val="0"/>
        <w:spacing w:before="120" w:beforeLines="50" w:after="50"/>
        <w:ind w:firstLine="720" w:firstLineChars="225"/>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所竞分标（如有则填写，无分标时填写“无”或者留空）：</w:t>
      </w:r>
    </w:p>
    <w:p w14:paraId="685F84EF">
      <w:pPr>
        <w:snapToGrid w:val="0"/>
        <w:spacing w:before="120" w:beforeLines="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337BBA17">
      <w:pPr>
        <w:pStyle w:val="7"/>
        <w:snapToGrid w:val="0"/>
        <w:spacing w:before="50" w:after="50"/>
        <w:ind w:firstLine="720" w:firstLineChars="225"/>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2C9EC219">
      <w:pPr>
        <w:snapToGrid w:val="0"/>
        <w:spacing w:before="120" w:beforeLines="50" w:after="50"/>
        <w:ind w:firstLine="640" w:firstLineChars="200"/>
        <w:rPr>
          <w:rFonts w:ascii="宋体" w:hAnsi="宋体" w:cs="仿宋_GB2312"/>
          <w:bCs/>
          <w:color w:val="000000" w:themeColor="text1"/>
          <w:sz w:val="32"/>
          <w:szCs w:val="32"/>
          <w:highlight w:val="none"/>
          <w14:textFill>
            <w14:solidFill>
              <w14:schemeClr w14:val="tx1"/>
            </w14:solidFill>
          </w14:textFill>
        </w:rPr>
      </w:pPr>
    </w:p>
    <w:p w14:paraId="61890655">
      <w:pPr>
        <w:pStyle w:val="7"/>
        <w:snapToGrid w:val="0"/>
        <w:spacing w:before="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60C4CF22">
      <w:pPr>
        <w:pStyle w:val="7"/>
        <w:snapToGrid w:val="0"/>
        <w:spacing w:before="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794B2689">
      <w:pPr>
        <w:pStyle w:val="7"/>
        <w:snapToGrid w:val="0"/>
        <w:spacing w:before="50" w:after="50"/>
        <w:ind w:firstLine="1280" w:firstLineChars="400"/>
        <w:rPr>
          <w:rFonts w:ascii="宋体" w:hAnsi="宋体" w:cs="仿宋_GB2312"/>
          <w:bCs/>
          <w:color w:val="000000" w:themeColor="text1"/>
          <w:sz w:val="32"/>
          <w:szCs w:val="32"/>
          <w:highlight w:val="none"/>
          <w14:textFill>
            <w14:solidFill>
              <w14:schemeClr w14:val="tx1"/>
            </w14:solidFill>
          </w14:textFill>
        </w:rPr>
      </w:pPr>
    </w:p>
    <w:p w14:paraId="53125825">
      <w:pPr>
        <w:snapToGrid w:val="0"/>
        <w:spacing w:before="120" w:beforeLines="50" w:after="50"/>
        <w:jc w:val="center"/>
        <w:rPr>
          <w:rFonts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年月日</w:t>
      </w:r>
    </w:p>
    <w:p w14:paraId="01CC5F62">
      <w:pPr>
        <w:snapToGrid w:val="0"/>
        <w:spacing w:before="120" w:beforeLines="50" w:after="50" w:line="360" w:lineRule="auto"/>
        <w:ind w:left="142"/>
        <w:jc w:val="left"/>
        <w:rPr>
          <w:rFonts w:ascii="宋体" w:hAnsi="宋体"/>
          <w:b/>
          <w:bCs/>
          <w:color w:val="000000" w:themeColor="text1"/>
          <w:sz w:val="32"/>
          <w:szCs w:val="32"/>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r>
      <w:r>
        <w:rPr>
          <w:rFonts w:hint="eastAsia" w:ascii="宋体" w:hAnsi="宋体"/>
          <w:b/>
          <w:bCs/>
          <w:color w:val="000000" w:themeColor="text1"/>
          <w:sz w:val="32"/>
          <w:szCs w:val="32"/>
          <w:highlight w:val="none"/>
          <w14:textFill>
            <w14:solidFill>
              <w14:schemeClr w14:val="tx1"/>
            </w14:solidFill>
          </w14:textFill>
        </w:rPr>
        <w:t>2.资格证明文件目录</w:t>
      </w:r>
    </w:p>
    <w:p w14:paraId="1873E136">
      <w:pPr>
        <w:snapToGrid w:val="0"/>
        <w:spacing w:before="120" w:beforeLines="50" w:after="50" w:line="360" w:lineRule="auto"/>
        <w:ind w:firstLine="645"/>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根据谈判文件规定及供应商提供的材料自行编写目录（部分格式后附）。</w:t>
      </w:r>
    </w:p>
    <w:p w14:paraId="30938759">
      <w:pPr>
        <w:snapToGrid w:val="0"/>
        <w:spacing w:before="120" w:beforeLines="50" w:after="50" w:line="360" w:lineRule="auto"/>
        <w:rPr>
          <w:rFonts w:ascii="宋体" w:hAnsi="宋体"/>
          <w:color w:val="000000" w:themeColor="text1"/>
          <w:sz w:val="24"/>
          <w:szCs w:val="20"/>
          <w:highlight w:val="none"/>
          <w14:textFill>
            <w14:solidFill>
              <w14:schemeClr w14:val="tx1"/>
            </w14:solidFill>
          </w14:textFill>
        </w:rPr>
      </w:pPr>
    </w:p>
    <w:p w14:paraId="26BC2AB0">
      <w:pPr>
        <w:spacing w:line="360" w:lineRule="auto"/>
        <w:rPr>
          <w:rFonts w:ascii="宋体" w:hAnsi="宋体"/>
          <w:color w:val="000000" w:themeColor="text1"/>
          <w:szCs w:val="21"/>
          <w:highlight w:val="none"/>
          <w14:textFill>
            <w14:solidFill>
              <w14:schemeClr w14:val="tx1"/>
            </w14:solidFill>
          </w14:textFill>
        </w:rPr>
      </w:pPr>
    </w:p>
    <w:p w14:paraId="1BBE751C">
      <w:pPr>
        <w:spacing w:line="360" w:lineRule="auto"/>
        <w:rPr>
          <w:rFonts w:ascii="宋体" w:hAnsi="宋体"/>
          <w:color w:val="000000" w:themeColor="text1"/>
          <w:szCs w:val="21"/>
          <w:highlight w:val="none"/>
          <w14:textFill>
            <w14:solidFill>
              <w14:schemeClr w14:val="tx1"/>
            </w14:solidFill>
          </w14:textFill>
        </w:rPr>
      </w:pPr>
    </w:p>
    <w:p w14:paraId="749F7E79">
      <w:pPr>
        <w:spacing w:line="360" w:lineRule="auto"/>
        <w:rPr>
          <w:rFonts w:ascii="宋体" w:hAnsi="宋体"/>
          <w:color w:val="000000" w:themeColor="text1"/>
          <w:szCs w:val="21"/>
          <w:highlight w:val="none"/>
          <w14:textFill>
            <w14:solidFill>
              <w14:schemeClr w14:val="tx1"/>
            </w14:solidFill>
          </w14:textFill>
        </w:rPr>
      </w:pPr>
    </w:p>
    <w:p w14:paraId="25C3D6DA">
      <w:pPr>
        <w:spacing w:line="360" w:lineRule="auto"/>
        <w:rPr>
          <w:rFonts w:ascii="宋体" w:hAnsi="宋体"/>
          <w:color w:val="000000" w:themeColor="text1"/>
          <w:szCs w:val="21"/>
          <w:highlight w:val="none"/>
          <w14:textFill>
            <w14:solidFill>
              <w14:schemeClr w14:val="tx1"/>
            </w14:solidFill>
          </w14:textFill>
        </w:rPr>
      </w:pPr>
    </w:p>
    <w:p w14:paraId="65163C70">
      <w:pPr>
        <w:spacing w:line="300" w:lineRule="auto"/>
        <w:rPr>
          <w:rFonts w:ascii="宋体" w:hAnsi="宋体"/>
          <w:color w:val="000000" w:themeColor="text1"/>
          <w:szCs w:val="21"/>
          <w:highlight w:val="none"/>
          <w14:textFill>
            <w14:solidFill>
              <w14:schemeClr w14:val="tx1"/>
            </w14:solidFill>
          </w14:textFill>
        </w:rPr>
      </w:pPr>
    </w:p>
    <w:p w14:paraId="21198D53">
      <w:pPr>
        <w:spacing w:line="300" w:lineRule="auto"/>
        <w:rPr>
          <w:rFonts w:ascii="宋体" w:hAnsi="宋体"/>
          <w:color w:val="000000" w:themeColor="text1"/>
          <w:szCs w:val="21"/>
          <w:highlight w:val="none"/>
          <w14:textFill>
            <w14:solidFill>
              <w14:schemeClr w14:val="tx1"/>
            </w14:solidFill>
          </w14:textFill>
        </w:rPr>
      </w:pPr>
    </w:p>
    <w:p w14:paraId="6C4F6D8F">
      <w:pPr>
        <w:spacing w:line="300" w:lineRule="auto"/>
        <w:rPr>
          <w:rFonts w:ascii="宋体" w:hAnsi="宋体"/>
          <w:color w:val="000000" w:themeColor="text1"/>
          <w:szCs w:val="21"/>
          <w:highlight w:val="none"/>
          <w14:textFill>
            <w14:solidFill>
              <w14:schemeClr w14:val="tx1"/>
            </w14:solidFill>
          </w14:textFill>
        </w:rPr>
      </w:pPr>
    </w:p>
    <w:p w14:paraId="3E2B00EF">
      <w:pPr>
        <w:spacing w:line="300" w:lineRule="auto"/>
        <w:rPr>
          <w:rFonts w:ascii="宋体" w:hAnsi="宋体"/>
          <w:color w:val="000000" w:themeColor="text1"/>
          <w:szCs w:val="21"/>
          <w:highlight w:val="none"/>
          <w14:textFill>
            <w14:solidFill>
              <w14:schemeClr w14:val="tx1"/>
            </w14:solidFill>
          </w14:textFill>
        </w:rPr>
      </w:pPr>
    </w:p>
    <w:p w14:paraId="12CF9F94">
      <w:pPr>
        <w:spacing w:line="300" w:lineRule="auto"/>
        <w:rPr>
          <w:rFonts w:ascii="宋体" w:hAnsi="宋体"/>
          <w:color w:val="000000" w:themeColor="text1"/>
          <w:szCs w:val="21"/>
          <w:highlight w:val="none"/>
          <w14:textFill>
            <w14:solidFill>
              <w14:schemeClr w14:val="tx1"/>
            </w14:solidFill>
          </w14:textFill>
        </w:rPr>
      </w:pPr>
    </w:p>
    <w:p w14:paraId="4229A092">
      <w:pPr>
        <w:spacing w:line="300" w:lineRule="auto"/>
        <w:rPr>
          <w:rFonts w:ascii="宋体" w:hAnsi="宋体"/>
          <w:color w:val="000000" w:themeColor="text1"/>
          <w:szCs w:val="21"/>
          <w:highlight w:val="none"/>
          <w14:textFill>
            <w14:solidFill>
              <w14:schemeClr w14:val="tx1"/>
            </w14:solidFill>
          </w14:textFill>
        </w:rPr>
      </w:pPr>
    </w:p>
    <w:p w14:paraId="5201D688">
      <w:pPr>
        <w:spacing w:line="300" w:lineRule="auto"/>
        <w:rPr>
          <w:rFonts w:ascii="宋体" w:hAnsi="宋体"/>
          <w:color w:val="000000" w:themeColor="text1"/>
          <w:szCs w:val="21"/>
          <w:highlight w:val="none"/>
          <w14:textFill>
            <w14:solidFill>
              <w14:schemeClr w14:val="tx1"/>
            </w14:solidFill>
          </w14:textFill>
        </w:rPr>
      </w:pPr>
    </w:p>
    <w:p w14:paraId="2B9002EA">
      <w:pPr>
        <w:spacing w:line="300" w:lineRule="auto"/>
        <w:rPr>
          <w:rFonts w:ascii="宋体" w:hAnsi="宋体"/>
          <w:color w:val="000000" w:themeColor="text1"/>
          <w:szCs w:val="21"/>
          <w:highlight w:val="none"/>
          <w14:textFill>
            <w14:solidFill>
              <w14:schemeClr w14:val="tx1"/>
            </w14:solidFill>
          </w14:textFill>
        </w:rPr>
      </w:pPr>
    </w:p>
    <w:p w14:paraId="4ECC86E0">
      <w:pPr>
        <w:spacing w:line="300" w:lineRule="auto"/>
        <w:rPr>
          <w:rFonts w:ascii="宋体" w:hAnsi="宋体"/>
          <w:color w:val="000000" w:themeColor="text1"/>
          <w:szCs w:val="21"/>
          <w:highlight w:val="none"/>
          <w14:textFill>
            <w14:solidFill>
              <w14:schemeClr w14:val="tx1"/>
            </w14:solidFill>
          </w14:textFill>
        </w:rPr>
      </w:pPr>
    </w:p>
    <w:p w14:paraId="175F1E3D">
      <w:pPr>
        <w:spacing w:line="300" w:lineRule="auto"/>
        <w:rPr>
          <w:rFonts w:ascii="宋体" w:hAnsi="宋体"/>
          <w:color w:val="000000" w:themeColor="text1"/>
          <w:szCs w:val="21"/>
          <w:highlight w:val="none"/>
          <w14:textFill>
            <w14:solidFill>
              <w14:schemeClr w14:val="tx1"/>
            </w14:solidFill>
          </w14:textFill>
        </w:rPr>
      </w:pPr>
    </w:p>
    <w:p w14:paraId="3717BBFD">
      <w:pPr>
        <w:spacing w:line="300" w:lineRule="auto"/>
        <w:rPr>
          <w:rFonts w:ascii="宋体" w:hAnsi="宋体"/>
          <w:color w:val="000000" w:themeColor="text1"/>
          <w:szCs w:val="21"/>
          <w:highlight w:val="none"/>
          <w14:textFill>
            <w14:solidFill>
              <w14:schemeClr w14:val="tx1"/>
            </w14:solidFill>
          </w14:textFill>
        </w:rPr>
      </w:pPr>
    </w:p>
    <w:p w14:paraId="2493AABC">
      <w:pPr>
        <w:spacing w:line="320" w:lineRule="exact"/>
        <w:jc w:val="left"/>
        <w:rPr>
          <w:rFonts w:ascii="宋体" w:hAnsi="宋体"/>
          <w:color w:val="000000" w:themeColor="text1"/>
          <w:szCs w:val="21"/>
          <w:highlight w:val="none"/>
          <w14:textFill>
            <w14:solidFill>
              <w14:schemeClr w14:val="tx1"/>
            </w14:solidFill>
          </w14:textFill>
        </w:rPr>
      </w:pPr>
    </w:p>
    <w:p w14:paraId="088618E0">
      <w:pPr>
        <w:snapToGrid w:val="0"/>
        <w:spacing w:before="120" w:beforeLines="50" w:after="50"/>
        <w:jc w:val="center"/>
        <w:rPr>
          <w:rFonts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br w:type="page"/>
      </w:r>
    </w:p>
    <w:p w14:paraId="5009AF42">
      <w:pPr>
        <w:snapToGrid w:val="0"/>
        <w:spacing w:before="120" w:beforeLines="50" w:after="50"/>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供应商直接控股、管理关系信息表</w:t>
      </w:r>
    </w:p>
    <w:p w14:paraId="1E956353">
      <w:pPr>
        <w:snapToGrid w:val="0"/>
        <w:spacing w:before="120" w:beforeLines="50" w:after="50"/>
        <w:jc w:val="center"/>
        <w:rPr>
          <w:rFonts w:ascii="宋体" w:hAnsi="宋体"/>
          <w:b/>
          <w:color w:val="000000" w:themeColor="text1"/>
          <w:sz w:val="32"/>
          <w:szCs w:val="32"/>
          <w:highlight w:val="none"/>
          <w14:textFill>
            <w14:solidFill>
              <w14:schemeClr w14:val="tx1"/>
            </w14:solidFill>
          </w14:textFill>
        </w:rPr>
      </w:pPr>
    </w:p>
    <w:p w14:paraId="641033A7">
      <w:pPr>
        <w:snapToGrid w:val="0"/>
        <w:spacing w:before="120" w:beforeLines="50" w:after="50"/>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供应商直接控股股东信息表</w:t>
      </w:r>
    </w:p>
    <w:p w14:paraId="5C9A78F7">
      <w:pPr>
        <w:snapToGrid w:val="0"/>
        <w:spacing w:before="50" w:after="120" w:afterLines="50"/>
        <w:jc w:val="center"/>
        <w:rPr>
          <w:rFonts w:ascii="宋体" w:hAnsi="宋体"/>
          <w:b/>
          <w:color w:val="000000" w:themeColor="text1"/>
          <w:sz w:val="32"/>
          <w:szCs w:val="32"/>
          <w:highlight w:val="none"/>
          <w14:textFill>
            <w14:solidFill>
              <w14:schemeClr w14:val="tx1"/>
            </w14:solidFill>
          </w14:textFill>
        </w:rPr>
      </w:pPr>
    </w:p>
    <w:tbl>
      <w:tblPr>
        <w:tblStyle w:val="28"/>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F6DA7EF">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D1F79C4">
            <w:pPr>
              <w:widowControl/>
              <w:spacing w:line="360" w:lineRule="auto"/>
              <w:jc w:val="center"/>
              <w:rPr>
                <w:rFonts w:ascii="宋体" w:hAnsi="宋体" w:cs="宋体"/>
                <w:b/>
                <w:bCs/>
                <w:color w:val="000000" w:themeColor="text1"/>
                <w:kern w:val="0"/>
                <w:sz w:val="28"/>
                <w:szCs w:val="28"/>
                <w:highlight w:val="none"/>
                <w14:textFill>
                  <w14:solidFill>
                    <w14:schemeClr w14:val="tx1"/>
                  </w14:solidFill>
                </w14:textFill>
              </w:rPr>
            </w:pPr>
            <w:r>
              <w:rPr>
                <w:rFonts w:hint="eastAsia" w:ascii="宋体" w:hAnsi="宋体" w:cs="宋体"/>
                <w:b/>
                <w:bCs/>
                <w:color w:val="000000" w:themeColor="text1"/>
                <w:kern w:val="0"/>
                <w:sz w:val="28"/>
                <w:szCs w:val="28"/>
                <w:highlight w:val="none"/>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B8F2C78">
            <w:pPr>
              <w:widowControl/>
              <w:spacing w:line="360" w:lineRule="auto"/>
              <w:jc w:val="center"/>
              <w:rPr>
                <w:rFonts w:ascii="宋体" w:hAnsi="宋体" w:cs="宋体"/>
                <w:b/>
                <w:bCs/>
                <w:color w:val="000000" w:themeColor="text1"/>
                <w:kern w:val="0"/>
                <w:sz w:val="28"/>
                <w:szCs w:val="28"/>
                <w:highlight w:val="none"/>
                <w14:textFill>
                  <w14:solidFill>
                    <w14:schemeClr w14:val="tx1"/>
                  </w14:solidFill>
                </w14:textFill>
              </w:rPr>
            </w:pPr>
            <w:r>
              <w:rPr>
                <w:rFonts w:hint="eastAsia" w:ascii="宋体" w:hAnsi="宋体" w:cs="宋体"/>
                <w:b/>
                <w:bCs/>
                <w:color w:val="000000" w:themeColor="text1"/>
                <w:kern w:val="0"/>
                <w:sz w:val="28"/>
                <w:szCs w:val="28"/>
                <w:highlight w:val="none"/>
                <w14:textFill>
                  <w14:solidFill>
                    <w14:schemeClr w14:val="tx1"/>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EA9D063">
            <w:pPr>
              <w:widowControl/>
              <w:spacing w:line="360" w:lineRule="auto"/>
              <w:jc w:val="center"/>
              <w:rPr>
                <w:rFonts w:ascii="宋体" w:hAnsi="宋体" w:cs="宋体"/>
                <w:b/>
                <w:bCs/>
                <w:color w:val="000000" w:themeColor="text1"/>
                <w:kern w:val="0"/>
                <w:sz w:val="28"/>
                <w:szCs w:val="28"/>
                <w:highlight w:val="none"/>
                <w14:textFill>
                  <w14:solidFill>
                    <w14:schemeClr w14:val="tx1"/>
                  </w14:solidFill>
                </w14:textFill>
              </w:rPr>
            </w:pPr>
            <w:r>
              <w:rPr>
                <w:rFonts w:hint="eastAsia" w:ascii="宋体" w:hAnsi="宋体" w:cs="宋体"/>
                <w:b/>
                <w:bCs/>
                <w:color w:val="000000" w:themeColor="text1"/>
                <w:kern w:val="0"/>
                <w:sz w:val="28"/>
                <w:szCs w:val="28"/>
                <w:highlight w:val="none"/>
                <w14:textFill>
                  <w14:solidFill>
                    <w14:schemeClr w14:val="tx1"/>
                  </w14:solidFill>
                </w14:textFill>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3AC22CF">
            <w:pPr>
              <w:widowControl/>
              <w:spacing w:line="360" w:lineRule="auto"/>
              <w:jc w:val="center"/>
              <w:rPr>
                <w:rFonts w:ascii="宋体" w:hAnsi="宋体" w:cs="宋体"/>
                <w:b/>
                <w:bCs/>
                <w:color w:val="000000" w:themeColor="text1"/>
                <w:kern w:val="0"/>
                <w:sz w:val="28"/>
                <w:szCs w:val="28"/>
                <w:highlight w:val="none"/>
                <w14:textFill>
                  <w14:solidFill>
                    <w14:schemeClr w14:val="tx1"/>
                  </w14:solidFill>
                </w14:textFill>
              </w:rPr>
            </w:pPr>
            <w:r>
              <w:rPr>
                <w:rFonts w:hint="eastAsia" w:ascii="宋体" w:hAnsi="宋体" w:cs="宋体"/>
                <w:b/>
                <w:bCs/>
                <w:color w:val="000000" w:themeColor="text1"/>
                <w:kern w:val="0"/>
                <w:sz w:val="28"/>
                <w:szCs w:val="28"/>
                <w:highlight w:val="none"/>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DC0258F">
            <w:pPr>
              <w:widowControl/>
              <w:spacing w:line="360" w:lineRule="auto"/>
              <w:jc w:val="center"/>
              <w:rPr>
                <w:rFonts w:ascii="宋体" w:hAnsi="宋体" w:cs="宋体"/>
                <w:b/>
                <w:bCs/>
                <w:color w:val="000000" w:themeColor="text1"/>
                <w:kern w:val="0"/>
                <w:sz w:val="28"/>
                <w:szCs w:val="28"/>
                <w:highlight w:val="none"/>
                <w14:textFill>
                  <w14:solidFill>
                    <w14:schemeClr w14:val="tx1"/>
                  </w14:solidFill>
                </w14:textFill>
              </w:rPr>
            </w:pPr>
            <w:r>
              <w:rPr>
                <w:rFonts w:hint="eastAsia" w:ascii="宋体" w:hAnsi="宋体" w:cs="宋体"/>
                <w:b/>
                <w:bCs/>
                <w:color w:val="000000" w:themeColor="text1"/>
                <w:kern w:val="0"/>
                <w:sz w:val="28"/>
                <w:szCs w:val="28"/>
                <w:highlight w:val="none"/>
                <w14:textFill>
                  <w14:solidFill>
                    <w14:schemeClr w14:val="tx1"/>
                  </w14:solidFill>
                </w14:textFill>
              </w:rPr>
              <w:t>备注</w:t>
            </w:r>
          </w:p>
        </w:tc>
      </w:tr>
      <w:tr w14:paraId="1F63514C">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D02C26">
            <w:pPr>
              <w:widowControl/>
              <w:spacing w:line="360" w:lineRule="auto"/>
              <w:jc w:val="center"/>
              <w:rPr>
                <w:rFonts w:ascii="宋体" w:hAnsi="宋体" w:cs="宋体"/>
                <w:color w:val="000000" w:themeColor="text1"/>
                <w:kern w:val="0"/>
                <w:sz w:val="28"/>
                <w:szCs w:val="28"/>
                <w:highlight w:val="none"/>
                <w14:textFill>
                  <w14:solidFill>
                    <w14:schemeClr w14:val="tx1"/>
                  </w14:solidFill>
                </w14:textFill>
              </w:rPr>
            </w:pPr>
            <w:r>
              <w:rPr>
                <w:rFonts w:hint="eastAsia" w:ascii="宋体" w:hAnsi="宋体" w:cs="宋体"/>
                <w:color w:val="000000" w:themeColor="text1"/>
                <w:kern w:val="0"/>
                <w:sz w:val="28"/>
                <w:szCs w:val="28"/>
                <w:highlight w:val="none"/>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3AB413">
            <w:pPr>
              <w:widowControl/>
              <w:spacing w:line="360" w:lineRule="auto"/>
              <w:jc w:val="center"/>
              <w:rPr>
                <w:rFonts w:ascii="宋体" w:hAnsi="宋体" w:cs="宋体"/>
                <w:color w:val="000000" w:themeColor="text1"/>
                <w:kern w:val="0"/>
                <w:sz w:val="28"/>
                <w:szCs w:val="28"/>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1B29EC">
            <w:pPr>
              <w:widowControl/>
              <w:spacing w:line="360" w:lineRule="auto"/>
              <w:jc w:val="center"/>
              <w:rPr>
                <w:rFonts w:ascii="宋体" w:hAnsi="宋体" w:cs="宋体"/>
                <w:color w:val="000000" w:themeColor="text1"/>
                <w:kern w:val="0"/>
                <w:sz w:val="28"/>
                <w:szCs w:val="28"/>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242796">
            <w:pPr>
              <w:widowControl/>
              <w:spacing w:line="360" w:lineRule="auto"/>
              <w:jc w:val="center"/>
              <w:rPr>
                <w:rFonts w:ascii="宋体" w:hAnsi="宋体" w:cs="宋体"/>
                <w:color w:val="000000" w:themeColor="text1"/>
                <w:kern w:val="0"/>
                <w:sz w:val="28"/>
                <w:szCs w:val="28"/>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0F920F">
            <w:pPr>
              <w:widowControl/>
              <w:spacing w:line="360" w:lineRule="auto"/>
              <w:jc w:val="center"/>
              <w:rPr>
                <w:rFonts w:ascii="宋体" w:hAnsi="宋体" w:cs="宋体"/>
                <w:color w:val="000000" w:themeColor="text1"/>
                <w:kern w:val="0"/>
                <w:sz w:val="28"/>
                <w:szCs w:val="28"/>
                <w:highlight w:val="none"/>
                <w14:textFill>
                  <w14:solidFill>
                    <w14:schemeClr w14:val="tx1"/>
                  </w14:solidFill>
                </w14:textFill>
              </w:rPr>
            </w:pPr>
          </w:p>
        </w:tc>
      </w:tr>
      <w:tr w14:paraId="0111261C">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329039">
            <w:pPr>
              <w:widowControl/>
              <w:spacing w:line="360" w:lineRule="auto"/>
              <w:jc w:val="center"/>
              <w:rPr>
                <w:rFonts w:ascii="宋体" w:hAnsi="宋体" w:cs="宋体"/>
                <w:color w:val="000000" w:themeColor="text1"/>
                <w:kern w:val="0"/>
                <w:sz w:val="28"/>
                <w:szCs w:val="28"/>
                <w:highlight w:val="none"/>
                <w14:textFill>
                  <w14:solidFill>
                    <w14:schemeClr w14:val="tx1"/>
                  </w14:solidFill>
                </w14:textFill>
              </w:rPr>
            </w:pPr>
            <w:r>
              <w:rPr>
                <w:rFonts w:hint="eastAsia" w:ascii="宋体" w:hAnsi="宋体" w:cs="宋体"/>
                <w:color w:val="000000" w:themeColor="text1"/>
                <w:kern w:val="0"/>
                <w:sz w:val="28"/>
                <w:szCs w:val="28"/>
                <w:highlight w:val="none"/>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D3BCB6">
            <w:pPr>
              <w:widowControl/>
              <w:spacing w:line="360" w:lineRule="auto"/>
              <w:jc w:val="center"/>
              <w:rPr>
                <w:rFonts w:ascii="宋体" w:hAnsi="宋体" w:cs="宋体"/>
                <w:color w:val="000000" w:themeColor="text1"/>
                <w:kern w:val="0"/>
                <w:sz w:val="28"/>
                <w:szCs w:val="28"/>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FB826F">
            <w:pPr>
              <w:widowControl/>
              <w:spacing w:line="360" w:lineRule="auto"/>
              <w:jc w:val="center"/>
              <w:rPr>
                <w:rFonts w:ascii="宋体" w:hAnsi="宋体" w:cs="宋体"/>
                <w:color w:val="000000" w:themeColor="text1"/>
                <w:kern w:val="0"/>
                <w:sz w:val="28"/>
                <w:szCs w:val="28"/>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C7C0F5">
            <w:pPr>
              <w:widowControl/>
              <w:spacing w:line="360" w:lineRule="auto"/>
              <w:jc w:val="center"/>
              <w:rPr>
                <w:rFonts w:ascii="宋体" w:hAnsi="宋体" w:cs="宋体"/>
                <w:color w:val="000000" w:themeColor="text1"/>
                <w:kern w:val="0"/>
                <w:sz w:val="28"/>
                <w:szCs w:val="28"/>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42284F">
            <w:pPr>
              <w:widowControl/>
              <w:spacing w:line="360" w:lineRule="auto"/>
              <w:jc w:val="center"/>
              <w:rPr>
                <w:rFonts w:ascii="宋体" w:hAnsi="宋体" w:cs="宋体"/>
                <w:color w:val="000000" w:themeColor="text1"/>
                <w:kern w:val="0"/>
                <w:sz w:val="28"/>
                <w:szCs w:val="28"/>
                <w:highlight w:val="none"/>
                <w14:textFill>
                  <w14:solidFill>
                    <w14:schemeClr w14:val="tx1"/>
                  </w14:solidFill>
                </w14:textFill>
              </w:rPr>
            </w:pPr>
          </w:p>
        </w:tc>
      </w:tr>
      <w:tr w14:paraId="5951E9E7">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EFB79F">
            <w:pPr>
              <w:widowControl/>
              <w:spacing w:line="360" w:lineRule="auto"/>
              <w:jc w:val="center"/>
              <w:rPr>
                <w:rFonts w:ascii="宋体" w:hAnsi="宋体" w:cs="宋体"/>
                <w:color w:val="000000" w:themeColor="text1"/>
                <w:kern w:val="0"/>
                <w:sz w:val="28"/>
                <w:szCs w:val="28"/>
                <w:highlight w:val="none"/>
                <w14:textFill>
                  <w14:solidFill>
                    <w14:schemeClr w14:val="tx1"/>
                  </w14:solidFill>
                </w14:textFill>
              </w:rPr>
            </w:pPr>
            <w:r>
              <w:rPr>
                <w:rFonts w:hint="eastAsia" w:ascii="宋体" w:hAnsi="宋体" w:cs="宋体"/>
                <w:color w:val="000000" w:themeColor="text1"/>
                <w:kern w:val="0"/>
                <w:sz w:val="28"/>
                <w:szCs w:val="28"/>
                <w:highlight w:val="none"/>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64121F">
            <w:pPr>
              <w:widowControl/>
              <w:spacing w:line="360" w:lineRule="auto"/>
              <w:jc w:val="center"/>
              <w:rPr>
                <w:rFonts w:ascii="宋体" w:hAnsi="宋体" w:cs="宋体"/>
                <w:color w:val="000000" w:themeColor="text1"/>
                <w:kern w:val="0"/>
                <w:sz w:val="28"/>
                <w:szCs w:val="28"/>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181FEB">
            <w:pPr>
              <w:widowControl/>
              <w:spacing w:line="360" w:lineRule="auto"/>
              <w:jc w:val="center"/>
              <w:rPr>
                <w:rFonts w:ascii="宋体" w:hAnsi="宋体" w:cs="宋体"/>
                <w:color w:val="000000" w:themeColor="text1"/>
                <w:kern w:val="0"/>
                <w:sz w:val="28"/>
                <w:szCs w:val="28"/>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8D44B3">
            <w:pPr>
              <w:widowControl/>
              <w:spacing w:line="360" w:lineRule="auto"/>
              <w:jc w:val="center"/>
              <w:rPr>
                <w:rFonts w:ascii="宋体" w:hAnsi="宋体" w:cs="宋体"/>
                <w:color w:val="000000" w:themeColor="text1"/>
                <w:kern w:val="0"/>
                <w:sz w:val="28"/>
                <w:szCs w:val="28"/>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916810">
            <w:pPr>
              <w:widowControl/>
              <w:spacing w:line="360" w:lineRule="auto"/>
              <w:jc w:val="center"/>
              <w:rPr>
                <w:rFonts w:ascii="宋体" w:hAnsi="宋体" w:cs="宋体"/>
                <w:color w:val="000000" w:themeColor="text1"/>
                <w:kern w:val="0"/>
                <w:sz w:val="28"/>
                <w:szCs w:val="28"/>
                <w:highlight w:val="none"/>
                <w14:textFill>
                  <w14:solidFill>
                    <w14:schemeClr w14:val="tx1"/>
                  </w14:solidFill>
                </w14:textFill>
              </w:rPr>
            </w:pPr>
          </w:p>
        </w:tc>
      </w:tr>
      <w:tr w14:paraId="27E8E42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8736AF">
            <w:pPr>
              <w:widowControl/>
              <w:spacing w:line="360" w:lineRule="auto"/>
              <w:jc w:val="center"/>
              <w:rPr>
                <w:rFonts w:ascii="宋体" w:hAnsi="宋体" w:cs="宋体"/>
                <w:color w:val="000000" w:themeColor="text1"/>
                <w:kern w:val="0"/>
                <w:sz w:val="28"/>
                <w:szCs w:val="28"/>
                <w:highlight w:val="none"/>
                <w14:textFill>
                  <w14:solidFill>
                    <w14:schemeClr w14:val="tx1"/>
                  </w14:solidFill>
                </w14:textFill>
              </w:rPr>
            </w:pPr>
            <w:r>
              <w:rPr>
                <w:rFonts w:hint="eastAsia" w:ascii="宋体" w:hAnsi="宋体" w:cs="宋体"/>
                <w:color w:val="000000" w:themeColor="text1"/>
                <w:kern w:val="0"/>
                <w:sz w:val="28"/>
                <w:szCs w:val="28"/>
                <w:highlight w:val="none"/>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49A366">
            <w:pPr>
              <w:widowControl/>
              <w:spacing w:line="360" w:lineRule="auto"/>
              <w:jc w:val="center"/>
              <w:rPr>
                <w:rFonts w:ascii="宋体" w:hAnsi="宋体" w:cs="宋体"/>
                <w:color w:val="000000" w:themeColor="text1"/>
                <w:kern w:val="0"/>
                <w:sz w:val="28"/>
                <w:szCs w:val="28"/>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0E795D">
            <w:pPr>
              <w:widowControl/>
              <w:spacing w:line="360" w:lineRule="auto"/>
              <w:jc w:val="center"/>
              <w:rPr>
                <w:rFonts w:ascii="宋体" w:hAnsi="宋体" w:cs="宋体"/>
                <w:color w:val="000000" w:themeColor="text1"/>
                <w:kern w:val="0"/>
                <w:sz w:val="28"/>
                <w:szCs w:val="28"/>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52C19F">
            <w:pPr>
              <w:widowControl/>
              <w:spacing w:line="360" w:lineRule="auto"/>
              <w:jc w:val="center"/>
              <w:rPr>
                <w:rFonts w:ascii="宋体" w:hAnsi="宋体" w:cs="宋体"/>
                <w:color w:val="000000" w:themeColor="text1"/>
                <w:kern w:val="0"/>
                <w:sz w:val="28"/>
                <w:szCs w:val="28"/>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DACCA0">
            <w:pPr>
              <w:widowControl/>
              <w:spacing w:line="360" w:lineRule="auto"/>
              <w:jc w:val="center"/>
              <w:rPr>
                <w:rFonts w:ascii="宋体" w:hAnsi="宋体" w:cs="宋体"/>
                <w:color w:val="000000" w:themeColor="text1"/>
                <w:kern w:val="0"/>
                <w:sz w:val="28"/>
                <w:szCs w:val="28"/>
                <w:highlight w:val="none"/>
                <w14:textFill>
                  <w14:solidFill>
                    <w14:schemeClr w14:val="tx1"/>
                  </w14:solidFill>
                </w14:textFill>
              </w:rPr>
            </w:pPr>
          </w:p>
        </w:tc>
      </w:tr>
    </w:tbl>
    <w:p w14:paraId="2C847CD6">
      <w:pPr>
        <w:spacing w:line="360" w:lineRule="auto"/>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71B5F614">
      <w:pPr>
        <w:spacing w:line="360" w:lineRule="auto"/>
        <w:ind w:firstLine="480" w:firstLineChars="200"/>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CAE6363">
      <w:pPr>
        <w:spacing w:line="360" w:lineRule="auto"/>
        <w:ind w:firstLine="480" w:firstLineChars="200"/>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7927AC32">
      <w:pPr>
        <w:spacing w:line="360" w:lineRule="auto"/>
        <w:ind w:firstLine="480" w:firstLineChars="200"/>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3.供应商不存在直接控股股东的，</w:t>
      </w:r>
      <w:r>
        <w:rPr>
          <w:rFonts w:hint="eastAsia" w:ascii="宋体" w:hAnsi="宋体"/>
          <w:color w:val="000000" w:themeColor="text1"/>
          <w:sz w:val="24"/>
          <w:highlight w:val="none"/>
          <w14:textFill>
            <w14:solidFill>
              <w14:schemeClr w14:val="tx1"/>
            </w14:solidFill>
          </w14:textFill>
        </w:rPr>
        <w:t>则在“直接控股股东名称”填“无”</w:t>
      </w:r>
      <w:r>
        <w:rPr>
          <w:rFonts w:hint="eastAsia" w:ascii="宋体" w:hAnsi="宋体" w:cs="宋体"/>
          <w:color w:val="000000" w:themeColor="text1"/>
          <w:sz w:val="24"/>
          <w:highlight w:val="none"/>
          <w14:textFill>
            <w14:solidFill>
              <w14:schemeClr w14:val="tx1"/>
            </w14:solidFill>
          </w14:textFill>
        </w:rPr>
        <w:t>。</w:t>
      </w:r>
    </w:p>
    <w:p w14:paraId="0205F546">
      <w:pPr>
        <w:spacing w:line="360" w:lineRule="auto"/>
        <w:ind w:firstLine="420" w:firstLineChars="200"/>
        <w:contextualSpacing/>
        <w:jc w:val="left"/>
        <w:rPr>
          <w:rFonts w:ascii="宋体" w:hAnsi="宋体" w:cs="宋体"/>
          <w:color w:val="000000" w:themeColor="text1"/>
          <w:szCs w:val="21"/>
          <w:highlight w:val="none"/>
          <w14:textFill>
            <w14:solidFill>
              <w14:schemeClr w14:val="tx1"/>
            </w14:solidFill>
          </w14:textFill>
        </w:rPr>
      </w:pPr>
    </w:p>
    <w:p w14:paraId="399F42B1">
      <w:pPr>
        <w:spacing w:line="360" w:lineRule="auto"/>
        <w:ind w:firstLine="560" w:firstLineChars="200"/>
        <w:contextualSpacing/>
        <w:jc w:val="left"/>
        <w:rPr>
          <w:rFonts w:ascii="宋体" w:hAnsi="宋体" w:cs="宋体"/>
          <w:color w:val="000000" w:themeColor="text1"/>
          <w:sz w:val="28"/>
          <w:szCs w:val="28"/>
          <w:highlight w:val="none"/>
          <w14:textFill>
            <w14:solidFill>
              <w14:schemeClr w14:val="tx1"/>
            </w14:solidFill>
          </w14:textFill>
        </w:rPr>
      </w:pPr>
    </w:p>
    <w:p w14:paraId="2DCE45FD">
      <w:pPr>
        <w:spacing w:line="360" w:lineRule="auto"/>
        <w:ind w:right="480"/>
        <w:contextualSpacing/>
        <w:jc w:val="center"/>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z w:val="24"/>
          <w:highlight w:val="none"/>
          <w14:textFill>
            <w14:solidFill>
              <w14:schemeClr w14:val="tx1"/>
            </w14:solidFill>
          </w14:textFill>
        </w:rPr>
        <w:t>（签字或者电子签名）</w:t>
      </w:r>
      <w:r>
        <w:rPr>
          <w:rFonts w:hint="eastAsia" w:ascii="宋体" w:hAnsi="宋体" w:cs="宋体"/>
          <w:color w:val="000000" w:themeColor="text1"/>
          <w:sz w:val="24"/>
          <w:highlight w:val="none"/>
          <w14:textFill>
            <w14:solidFill>
              <w14:schemeClr w14:val="tx1"/>
            </w14:solidFill>
          </w14:textFill>
        </w:rPr>
        <w:t>：</w:t>
      </w:r>
    </w:p>
    <w:p w14:paraId="5D5FC28A">
      <w:pPr>
        <w:spacing w:line="360" w:lineRule="auto"/>
        <w:ind w:right="480" w:firstLine="3000" w:firstLineChars="1250"/>
        <w:contextualSpacing/>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w:t>
      </w:r>
      <w:r>
        <w:rPr>
          <w:rFonts w:hint="eastAsia" w:ascii="宋体" w:hAnsi="宋体"/>
          <w:color w:val="000000" w:themeColor="text1"/>
          <w:sz w:val="24"/>
          <w:highlight w:val="none"/>
          <w14:textFill>
            <w14:solidFill>
              <w14:schemeClr w14:val="tx1"/>
            </w14:solidFill>
          </w14:textFill>
        </w:rPr>
        <w:t>（电子签章）</w:t>
      </w:r>
      <w:r>
        <w:rPr>
          <w:rFonts w:hint="eastAsia" w:ascii="宋体" w:hAnsi="宋体" w:cs="宋体"/>
          <w:color w:val="000000" w:themeColor="text1"/>
          <w:sz w:val="24"/>
          <w:highlight w:val="none"/>
          <w14:textFill>
            <w14:solidFill>
              <w14:schemeClr w14:val="tx1"/>
            </w14:solidFill>
          </w14:textFill>
        </w:rPr>
        <w:t>：</w:t>
      </w:r>
    </w:p>
    <w:p w14:paraId="3DB71AD9">
      <w:pPr>
        <w:spacing w:line="360" w:lineRule="auto"/>
        <w:ind w:right="480" w:firstLine="5280" w:firstLineChars="2200"/>
        <w:contextualSpacing/>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348DD432">
      <w:pPr>
        <w:snapToGrid w:val="0"/>
        <w:jc w:val="center"/>
        <w:rPr>
          <w:rFonts w:ascii="宋体" w:hAnsi="宋体"/>
          <w:b/>
          <w:color w:val="000000" w:themeColor="text1"/>
          <w:sz w:val="28"/>
          <w:szCs w:val="28"/>
          <w:highlight w:val="none"/>
          <w14:textFill>
            <w14:solidFill>
              <w14:schemeClr w14:val="tx1"/>
            </w14:solidFill>
          </w14:textFill>
        </w:rPr>
      </w:pPr>
      <w:r>
        <w:rPr>
          <w:rFonts w:ascii="宋体" w:hAnsi="宋体"/>
          <w:b/>
          <w:color w:val="000000" w:themeColor="text1"/>
          <w:sz w:val="28"/>
          <w:szCs w:val="28"/>
          <w:highlight w:val="none"/>
          <w14:textFill>
            <w14:solidFill>
              <w14:schemeClr w14:val="tx1"/>
            </w14:solidFill>
          </w14:textFill>
        </w:rPr>
        <w:br w:type="page"/>
      </w:r>
    </w:p>
    <w:p w14:paraId="40124214">
      <w:pPr>
        <w:snapToGrid w:val="0"/>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供应商直接管理关系信息表</w:t>
      </w:r>
    </w:p>
    <w:p w14:paraId="177DD0C9">
      <w:pPr>
        <w:snapToGrid w:val="0"/>
        <w:jc w:val="center"/>
        <w:rPr>
          <w:rFonts w:ascii="宋体" w:hAnsi="宋体"/>
          <w:b/>
          <w:color w:val="000000" w:themeColor="text1"/>
          <w:sz w:val="32"/>
          <w:szCs w:val="32"/>
          <w:highlight w:val="none"/>
          <w14:textFill>
            <w14:solidFill>
              <w14:schemeClr w14:val="tx1"/>
            </w14:solidFill>
          </w14:textFill>
        </w:rPr>
      </w:pPr>
    </w:p>
    <w:tbl>
      <w:tblPr>
        <w:tblStyle w:val="28"/>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16D81EE7">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0BF687D">
            <w:pPr>
              <w:widowControl/>
              <w:jc w:val="center"/>
              <w:rPr>
                <w:rFonts w:ascii="宋体" w:hAnsi="宋体" w:cs="宋体"/>
                <w:b/>
                <w:bCs/>
                <w:color w:val="000000" w:themeColor="text1"/>
                <w:kern w:val="0"/>
                <w:sz w:val="28"/>
                <w:szCs w:val="28"/>
                <w:highlight w:val="none"/>
                <w14:textFill>
                  <w14:solidFill>
                    <w14:schemeClr w14:val="tx1"/>
                  </w14:solidFill>
                </w14:textFill>
              </w:rPr>
            </w:pPr>
            <w:r>
              <w:rPr>
                <w:rFonts w:hint="eastAsia" w:ascii="宋体" w:hAnsi="宋体" w:cs="宋体"/>
                <w:b/>
                <w:bCs/>
                <w:color w:val="000000" w:themeColor="text1"/>
                <w:kern w:val="0"/>
                <w:sz w:val="28"/>
                <w:szCs w:val="28"/>
                <w:highlight w:val="none"/>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A186976">
            <w:pPr>
              <w:widowControl/>
              <w:jc w:val="center"/>
              <w:rPr>
                <w:rFonts w:ascii="宋体" w:hAnsi="宋体" w:cs="宋体"/>
                <w:b/>
                <w:bCs/>
                <w:color w:val="000000" w:themeColor="text1"/>
                <w:kern w:val="0"/>
                <w:sz w:val="28"/>
                <w:szCs w:val="28"/>
                <w:highlight w:val="none"/>
                <w14:textFill>
                  <w14:solidFill>
                    <w14:schemeClr w14:val="tx1"/>
                  </w14:solidFill>
                </w14:textFill>
              </w:rPr>
            </w:pPr>
            <w:r>
              <w:rPr>
                <w:rFonts w:hint="eastAsia" w:ascii="宋体" w:hAnsi="宋体" w:cs="宋体"/>
                <w:b/>
                <w:bCs/>
                <w:color w:val="000000" w:themeColor="text1"/>
                <w:kern w:val="0"/>
                <w:sz w:val="28"/>
                <w:szCs w:val="28"/>
                <w:highlight w:val="none"/>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592BCD7">
            <w:pPr>
              <w:widowControl/>
              <w:jc w:val="center"/>
              <w:rPr>
                <w:rFonts w:ascii="宋体" w:hAnsi="宋体" w:cs="宋体"/>
                <w:b/>
                <w:bCs/>
                <w:color w:val="000000" w:themeColor="text1"/>
                <w:kern w:val="0"/>
                <w:sz w:val="28"/>
                <w:szCs w:val="28"/>
                <w:highlight w:val="none"/>
                <w14:textFill>
                  <w14:solidFill>
                    <w14:schemeClr w14:val="tx1"/>
                  </w14:solidFill>
                </w14:textFill>
              </w:rPr>
            </w:pPr>
            <w:r>
              <w:rPr>
                <w:rFonts w:hint="eastAsia" w:ascii="宋体" w:hAnsi="宋体" w:cs="宋体"/>
                <w:b/>
                <w:bCs/>
                <w:color w:val="000000" w:themeColor="text1"/>
                <w:kern w:val="0"/>
                <w:sz w:val="28"/>
                <w:szCs w:val="28"/>
                <w:highlight w:val="none"/>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963704E">
            <w:pPr>
              <w:widowControl/>
              <w:jc w:val="center"/>
              <w:rPr>
                <w:rFonts w:ascii="宋体" w:hAnsi="宋体" w:cs="宋体"/>
                <w:b/>
                <w:bCs/>
                <w:color w:val="000000" w:themeColor="text1"/>
                <w:kern w:val="0"/>
                <w:sz w:val="28"/>
                <w:szCs w:val="28"/>
                <w:highlight w:val="none"/>
                <w14:textFill>
                  <w14:solidFill>
                    <w14:schemeClr w14:val="tx1"/>
                  </w14:solidFill>
                </w14:textFill>
              </w:rPr>
            </w:pPr>
            <w:r>
              <w:rPr>
                <w:rFonts w:hint="eastAsia" w:ascii="宋体" w:hAnsi="宋体" w:cs="宋体"/>
                <w:b/>
                <w:bCs/>
                <w:color w:val="000000" w:themeColor="text1"/>
                <w:kern w:val="0"/>
                <w:sz w:val="28"/>
                <w:szCs w:val="28"/>
                <w:highlight w:val="none"/>
                <w14:textFill>
                  <w14:solidFill>
                    <w14:schemeClr w14:val="tx1"/>
                  </w14:solidFill>
                </w14:textFill>
              </w:rPr>
              <w:t>备注</w:t>
            </w:r>
          </w:p>
        </w:tc>
      </w:tr>
      <w:tr w14:paraId="42B8249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265117">
            <w:pPr>
              <w:widowControl/>
              <w:wordWrap w:val="0"/>
              <w:spacing w:line="200" w:lineRule="atLeast"/>
              <w:jc w:val="center"/>
              <w:rPr>
                <w:rFonts w:ascii="宋体" w:hAnsi="宋体" w:cs="宋体"/>
                <w:color w:val="000000" w:themeColor="text1"/>
                <w:kern w:val="0"/>
                <w:sz w:val="28"/>
                <w:szCs w:val="28"/>
                <w:highlight w:val="none"/>
                <w14:textFill>
                  <w14:solidFill>
                    <w14:schemeClr w14:val="tx1"/>
                  </w14:solidFill>
                </w14:textFill>
              </w:rPr>
            </w:pPr>
            <w:r>
              <w:rPr>
                <w:rFonts w:hint="eastAsia" w:ascii="宋体" w:hAnsi="宋体" w:cs="宋体"/>
                <w:color w:val="000000" w:themeColor="text1"/>
                <w:kern w:val="0"/>
                <w:sz w:val="28"/>
                <w:szCs w:val="28"/>
                <w:highlight w:val="none"/>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01E301">
            <w:pPr>
              <w:widowControl/>
              <w:wordWrap w:val="0"/>
              <w:spacing w:line="200" w:lineRule="atLeast"/>
              <w:jc w:val="center"/>
              <w:rPr>
                <w:rFonts w:ascii="宋体" w:hAnsi="宋体" w:cs="宋体"/>
                <w:color w:val="000000" w:themeColor="text1"/>
                <w:kern w:val="0"/>
                <w:sz w:val="28"/>
                <w:szCs w:val="28"/>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6E7CC0">
            <w:pPr>
              <w:widowControl/>
              <w:wordWrap w:val="0"/>
              <w:spacing w:line="200" w:lineRule="atLeast"/>
              <w:jc w:val="center"/>
              <w:rPr>
                <w:rFonts w:ascii="宋体" w:hAnsi="宋体" w:cs="宋体"/>
                <w:color w:val="000000" w:themeColor="text1"/>
                <w:kern w:val="0"/>
                <w:sz w:val="28"/>
                <w:szCs w:val="28"/>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B48DFD">
            <w:pPr>
              <w:widowControl/>
              <w:wordWrap w:val="0"/>
              <w:spacing w:line="200" w:lineRule="atLeast"/>
              <w:jc w:val="center"/>
              <w:rPr>
                <w:rFonts w:ascii="宋体" w:hAnsi="宋体" w:cs="宋体"/>
                <w:color w:val="000000" w:themeColor="text1"/>
                <w:kern w:val="0"/>
                <w:sz w:val="28"/>
                <w:szCs w:val="28"/>
                <w:highlight w:val="none"/>
                <w14:textFill>
                  <w14:solidFill>
                    <w14:schemeClr w14:val="tx1"/>
                  </w14:solidFill>
                </w14:textFill>
              </w:rPr>
            </w:pPr>
          </w:p>
        </w:tc>
      </w:tr>
      <w:tr w14:paraId="44F1D45A">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615EB2">
            <w:pPr>
              <w:widowControl/>
              <w:wordWrap w:val="0"/>
              <w:spacing w:line="200" w:lineRule="atLeast"/>
              <w:jc w:val="center"/>
              <w:rPr>
                <w:rFonts w:ascii="宋体" w:hAnsi="宋体" w:cs="宋体"/>
                <w:color w:val="000000" w:themeColor="text1"/>
                <w:kern w:val="0"/>
                <w:sz w:val="28"/>
                <w:szCs w:val="28"/>
                <w:highlight w:val="none"/>
                <w14:textFill>
                  <w14:solidFill>
                    <w14:schemeClr w14:val="tx1"/>
                  </w14:solidFill>
                </w14:textFill>
              </w:rPr>
            </w:pPr>
            <w:r>
              <w:rPr>
                <w:rFonts w:hint="eastAsia" w:ascii="宋体" w:hAnsi="宋体" w:cs="宋体"/>
                <w:color w:val="000000" w:themeColor="text1"/>
                <w:kern w:val="0"/>
                <w:sz w:val="28"/>
                <w:szCs w:val="28"/>
                <w:highlight w:val="none"/>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7AAD55">
            <w:pPr>
              <w:widowControl/>
              <w:wordWrap w:val="0"/>
              <w:spacing w:line="200" w:lineRule="atLeast"/>
              <w:jc w:val="center"/>
              <w:rPr>
                <w:rFonts w:ascii="宋体" w:hAnsi="宋体" w:cs="宋体"/>
                <w:color w:val="000000" w:themeColor="text1"/>
                <w:kern w:val="0"/>
                <w:sz w:val="28"/>
                <w:szCs w:val="28"/>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58411C">
            <w:pPr>
              <w:widowControl/>
              <w:wordWrap w:val="0"/>
              <w:spacing w:line="200" w:lineRule="atLeast"/>
              <w:jc w:val="center"/>
              <w:rPr>
                <w:rFonts w:ascii="宋体" w:hAnsi="宋体" w:cs="宋体"/>
                <w:color w:val="000000" w:themeColor="text1"/>
                <w:kern w:val="0"/>
                <w:sz w:val="28"/>
                <w:szCs w:val="28"/>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C6C7F4">
            <w:pPr>
              <w:widowControl/>
              <w:wordWrap w:val="0"/>
              <w:spacing w:line="200" w:lineRule="atLeast"/>
              <w:jc w:val="center"/>
              <w:rPr>
                <w:rFonts w:ascii="宋体" w:hAnsi="宋体" w:cs="宋体"/>
                <w:color w:val="000000" w:themeColor="text1"/>
                <w:kern w:val="0"/>
                <w:sz w:val="28"/>
                <w:szCs w:val="28"/>
                <w:highlight w:val="none"/>
                <w14:textFill>
                  <w14:solidFill>
                    <w14:schemeClr w14:val="tx1"/>
                  </w14:solidFill>
                </w14:textFill>
              </w:rPr>
            </w:pPr>
          </w:p>
        </w:tc>
      </w:tr>
      <w:tr w14:paraId="4B94F95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C6C4C14">
            <w:pPr>
              <w:widowControl/>
              <w:wordWrap w:val="0"/>
              <w:spacing w:line="200" w:lineRule="atLeast"/>
              <w:jc w:val="center"/>
              <w:rPr>
                <w:rFonts w:ascii="宋体" w:hAnsi="宋体" w:cs="宋体"/>
                <w:color w:val="000000" w:themeColor="text1"/>
                <w:kern w:val="0"/>
                <w:sz w:val="28"/>
                <w:szCs w:val="28"/>
                <w:highlight w:val="none"/>
                <w14:textFill>
                  <w14:solidFill>
                    <w14:schemeClr w14:val="tx1"/>
                  </w14:solidFill>
                </w14:textFill>
              </w:rPr>
            </w:pPr>
            <w:r>
              <w:rPr>
                <w:rFonts w:hint="eastAsia" w:ascii="宋体" w:hAnsi="宋体" w:cs="宋体"/>
                <w:color w:val="000000" w:themeColor="text1"/>
                <w:kern w:val="0"/>
                <w:sz w:val="28"/>
                <w:szCs w:val="28"/>
                <w:highlight w:val="none"/>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AF4467">
            <w:pPr>
              <w:widowControl/>
              <w:wordWrap w:val="0"/>
              <w:spacing w:line="200" w:lineRule="atLeast"/>
              <w:jc w:val="center"/>
              <w:rPr>
                <w:rFonts w:ascii="宋体" w:hAnsi="宋体" w:cs="宋体"/>
                <w:color w:val="000000" w:themeColor="text1"/>
                <w:kern w:val="0"/>
                <w:sz w:val="28"/>
                <w:szCs w:val="28"/>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DFF28B">
            <w:pPr>
              <w:widowControl/>
              <w:wordWrap w:val="0"/>
              <w:spacing w:line="200" w:lineRule="atLeast"/>
              <w:jc w:val="center"/>
              <w:rPr>
                <w:rFonts w:ascii="宋体" w:hAnsi="宋体" w:cs="宋体"/>
                <w:color w:val="000000" w:themeColor="text1"/>
                <w:kern w:val="0"/>
                <w:sz w:val="28"/>
                <w:szCs w:val="28"/>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689124">
            <w:pPr>
              <w:widowControl/>
              <w:wordWrap w:val="0"/>
              <w:spacing w:line="200" w:lineRule="atLeast"/>
              <w:jc w:val="center"/>
              <w:rPr>
                <w:rFonts w:ascii="宋体" w:hAnsi="宋体" w:cs="宋体"/>
                <w:color w:val="000000" w:themeColor="text1"/>
                <w:kern w:val="0"/>
                <w:sz w:val="28"/>
                <w:szCs w:val="28"/>
                <w:highlight w:val="none"/>
                <w14:textFill>
                  <w14:solidFill>
                    <w14:schemeClr w14:val="tx1"/>
                  </w14:solidFill>
                </w14:textFill>
              </w:rPr>
            </w:pPr>
          </w:p>
        </w:tc>
      </w:tr>
      <w:tr w14:paraId="57B5B9F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2DF0E5">
            <w:pPr>
              <w:widowControl/>
              <w:wordWrap w:val="0"/>
              <w:spacing w:line="200" w:lineRule="atLeast"/>
              <w:jc w:val="center"/>
              <w:rPr>
                <w:rFonts w:ascii="宋体" w:hAnsi="宋体" w:cs="宋体"/>
                <w:color w:val="000000" w:themeColor="text1"/>
                <w:kern w:val="0"/>
                <w:sz w:val="28"/>
                <w:szCs w:val="28"/>
                <w:highlight w:val="none"/>
                <w14:textFill>
                  <w14:solidFill>
                    <w14:schemeClr w14:val="tx1"/>
                  </w14:solidFill>
                </w14:textFill>
              </w:rPr>
            </w:pPr>
            <w:r>
              <w:rPr>
                <w:rFonts w:hint="eastAsia" w:ascii="宋体" w:hAnsi="宋体" w:cs="宋体"/>
                <w:color w:val="000000" w:themeColor="text1"/>
                <w:kern w:val="0"/>
                <w:sz w:val="28"/>
                <w:szCs w:val="28"/>
                <w:highlight w:val="none"/>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7F51D0">
            <w:pPr>
              <w:widowControl/>
              <w:wordWrap w:val="0"/>
              <w:spacing w:line="200" w:lineRule="atLeast"/>
              <w:jc w:val="center"/>
              <w:rPr>
                <w:rFonts w:ascii="宋体" w:hAnsi="宋体" w:cs="宋体"/>
                <w:color w:val="000000" w:themeColor="text1"/>
                <w:kern w:val="0"/>
                <w:sz w:val="28"/>
                <w:szCs w:val="28"/>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72837C">
            <w:pPr>
              <w:widowControl/>
              <w:wordWrap w:val="0"/>
              <w:spacing w:line="200" w:lineRule="atLeast"/>
              <w:jc w:val="center"/>
              <w:rPr>
                <w:rFonts w:ascii="宋体" w:hAnsi="宋体" w:cs="宋体"/>
                <w:color w:val="000000" w:themeColor="text1"/>
                <w:kern w:val="0"/>
                <w:sz w:val="28"/>
                <w:szCs w:val="28"/>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2B0D9A">
            <w:pPr>
              <w:widowControl/>
              <w:wordWrap w:val="0"/>
              <w:spacing w:line="200" w:lineRule="atLeast"/>
              <w:jc w:val="center"/>
              <w:rPr>
                <w:rFonts w:ascii="宋体" w:hAnsi="宋体" w:cs="宋体"/>
                <w:color w:val="000000" w:themeColor="text1"/>
                <w:kern w:val="0"/>
                <w:sz w:val="28"/>
                <w:szCs w:val="28"/>
                <w:highlight w:val="none"/>
                <w14:textFill>
                  <w14:solidFill>
                    <w14:schemeClr w14:val="tx1"/>
                  </w14:solidFill>
                </w14:textFill>
              </w:rPr>
            </w:pPr>
          </w:p>
        </w:tc>
      </w:tr>
    </w:tbl>
    <w:p w14:paraId="71AC1D95">
      <w:pPr>
        <w:spacing w:line="360" w:lineRule="auto"/>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72F7C9B2">
      <w:pPr>
        <w:spacing w:line="360" w:lineRule="auto"/>
        <w:ind w:firstLine="480" w:firstLineChars="20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2701B983">
      <w:pPr>
        <w:spacing w:line="360" w:lineRule="auto"/>
        <w:ind w:firstLine="480" w:firstLineChars="20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pacing w:val="-6"/>
          <w:sz w:val="24"/>
          <w:highlight w:val="none"/>
          <w14:textFill>
            <w14:solidFill>
              <w14:schemeClr w14:val="tx1"/>
            </w14:solidFill>
          </w14:textFill>
        </w:rPr>
        <w:t>本表所指的管理关系仅限于直接管理关系，不包括间接的管理关系。</w:t>
      </w:r>
    </w:p>
    <w:p w14:paraId="08369635">
      <w:pPr>
        <w:spacing w:line="360" w:lineRule="auto"/>
        <w:ind w:firstLine="480" w:firstLineChars="20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3.供应商不存在直接管理关系的，则在“直接管理关系单位名称”填“无”。</w:t>
      </w:r>
    </w:p>
    <w:p w14:paraId="312D2AE6">
      <w:pPr>
        <w:spacing w:line="360" w:lineRule="auto"/>
        <w:contextualSpacing/>
        <w:jc w:val="left"/>
        <w:rPr>
          <w:rFonts w:ascii="宋体" w:hAnsi="宋体"/>
          <w:color w:val="000000" w:themeColor="text1"/>
          <w:sz w:val="28"/>
          <w:szCs w:val="28"/>
          <w:highlight w:val="none"/>
          <w14:textFill>
            <w14:solidFill>
              <w14:schemeClr w14:val="tx1"/>
            </w14:solidFill>
          </w14:textFill>
        </w:rPr>
      </w:pPr>
    </w:p>
    <w:p w14:paraId="2CD38383">
      <w:pPr>
        <w:spacing w:line="360" w:lineRule="auto"/>
        <w:contextualSpacing/>
        <w:jc w:val="left"/>
        <w:rPr>
          <w:rFonts w:ascii="宋体" w:hAnsi="宋体"/>
          <w:color w:val="000000" w:themeColor="text1"/>
          <w:sz w:val="28"/>
          <w:szCs w:val="28"/>
          <w:highlight w:val="none"/>
          <w14:textFill>
            <w14:solidFill>
              <w14:schemeClr w14:val="tx1"/>
            </w14:solidFill>
          </w14:textFill>
        </w:rPr>
      </w:pPr>
    </w:p>
    <w:p w14:paraId="4968F6C8">
      <w:pPr>
        <w:spacing w:line="360" w:lineRule="auto"/>
        <w:contextualSpacing/>
        <w:jc w:val="left"/>
        <w:rPr>
          <w:color w:val="000000" w:themeColor="text1"/>
          <w:sz w:val="28"/>
          <w:szCs w:val="28"/>
          <w:highlight w:val="none"/>
          <w14:textFill>
            <w14:solidFill>
              <w14:schemeClr w14:val="tx1"/>
            </w14:solidFill>
          </w14:textFill>
        </w:rPr>
      </w:pPr>
    </w:p>
    <w:p w14:paraId="5AD0275A">
      <w:pPr>
        <w:spacing w:line="360" w:lineRule="auto"/>
        <w:contextualSpacing/>
        <w:jc w:val="left"/>
        <w:rPr>
          <w:color w:val="000000" w:themeColor="text1"/>
          <w:sz w:val="28"/>
          <w:szCs w:val="28"/>
          <w:highlight w:val="none"/>
          <w14:textFill>
            <w14:solidFill>
              <w14:schemeClr w14:val="tx1"/>
            </w14:solidFill>
          </w14:textFill>
        </w:rPr>
      </w:pPr>
    </w:p>
    <w:p w14:paraId="7E829995">
      <w:pPr>
        <w:spacing w:line="360" w:lineRule="auto"/>
        <w:contextualSpacing/>
        <w:jc w:val="left"/>
        <w:rPr>
          <w:color w:val="000000" w:themeColor="text1"/>
          <w:sz w:val="28"/>
          <w:szCs w:val="28"/>
          <w:highlight w:val="none"/>
          <w14:textFill>
            <w14:solidFill>
              <w14:schemeClr w14:val="tx1"/>
            </w14:solidFill>
          </w14:textFill>
        </w:rPr>
      </w:pPr>
    </w:p>
    <w:p w14:paraId="734AECED">
      <w:pPr>
        <w:spacing w:line="360" w:lineRule="auto"/>
        <w:contextualSpacing/>
        <w:jc w:val="left"/>
        <w:rPr>
          <w:rFonts w:ascii="宋体" w:hAnsi="宋体"/>
          <w:color w:val="000000" w:themeColor="text1"/>
          <w:sz w:val="28"/>
          <w:szCs w:val="28"/>
          <w:highlight w:val="none"/>
          <w14:textFill>
            <w14:solidFill>
              <w14:schemeClr w14:val="tx1"/>
            </w14:solidFill>
          </w14:textFill>
        </w:rPr>
      </w:pPr>
    </w:p>
    <w:p w14:paraId="1C702D6C">
      <w:pPr>
        <w:spacing w:line="360" w:lineRule="auto"/>
        <w:ind w:right="480"/>
        <w:contextualSpacing/>
        <w:jc w:val="center"/>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法定代表人或者委托代理人（签字或者电子签名）：</w:t>
      </w:r>
    </w:p>
    <w:p w14:paraId="168B3C50">
      <w:pPr>
        <w:spacing w:line="360" w:lineRule="auto"/>
        <w:ind w:right="480" w:firstLine="3360" w:firstLineChars="140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供应商（电子签章）：</w:t>
      </w:r>
    </w:p>
    <w:p w14:paraId="769585C0">
      <w:pPr>
        <w:spacing w:line="360" w:lineRule="auto"/>
        <w:ind w:right="480" w:firstLine="240" w:firstLineChars="100"/>
        <w:contextualSpacing/>
        <w:jc w:val="center"/>
        <w:rPr>
          <w:rFonts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61391BE5">
      <w:pPr>
        <w:spacing w:line="500" w:lineRule="exact"/>
        <w:jc w:val="center"/>
        <w:rPr>
          <w:rFonts w:ascii="方正小标宋简体" w:hAnsi="宋体" w:eastAsia="方正小标宋简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br w:type="page"/>
      </w:r>
      <w:r>
        <w:rPr>
          <w:rFonts w:hint="eastAsia" w:ascii="方正小标宋简体" w:hAnsi="宋体" w:eastAsia="方正小标宋简体"/>
          <w:b/>
          <w:color w:val="000000" w:themeColor="text1"/>
          <w:sz w:val="32"/>
          <w:szCs w:val="32"/>
          <w:highlight w:val="none"/>
          <w14:textFill>
            <w14:solidFill>
              <w14:schemeClr w14:val="tx1"/>
            </w14:solidFill>
          </w14:textFill>
        </w:rPr>
        <w:t>竞标声明</w:t>
      </w:r>
    </w:p>
    <w:p w14:paraId="66F017DA">
      <w:pPr>
        <w:spacing w:line="320" w:lineRule="exact"/>
        <w:jc w:val="center"/>
        <w:rPr>
          <w:rFonts w:ascii="宋体" w:hAnsi="宋体"/>
          <w:color w:val="000000" w:themeColor="text1"/>
          <w:sz w:val="24"/>
          <w:szCs w:val="20"/>
          <w:highlight w:val="none"/>
          <w14:textFill>
            <w14:solidFill>
              <w14:schemeClr w14:val="tx1"/>
            </w14:solidFill>
          </w14:textFill>
        </w:rPr>
      </w:pPr>
    </w:p>
    <w:p w14:paraId="23CFE31C">
      <w:pPr>
        <w:spacing w:line="360" w:lineRule="auto"/>
        <w:contextualSpacing/>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eastAsia="宋体" w:cs="宋体"/>
          <w:color w:val="000000" w:themeColor="text1"/>
          <w:sz w:val="24"/>
          <w:highlight w:val="none"/>
          <w:u w:val="single"/>
          <w14:textFill>
            <w14:solidFill>
              <w14:schemeClr w14:val="tx1"/>
            </w14:solidFill>
          </w14:textFill>
        </w:rPr>
        <w:t>（采购人名称）</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lang w:val="en-US" w:eastAsia="zh-CN"/>
          <w14:textFill>
            <w14:solidFill>
              <w14:schemeClr w14:val="tx1"/>
            </w14:solidFill>
          </w14:textFill>
        </w:rPr>
        <w:t xml:space="preserve">      </w:t>
      </w:r>
    </w:p>
    <w:p w14:paraId="794865A3">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w:t>
      </w:r>
      <w:r>
        <w:rPr>
          <w:rFonts w:hint="eastAsia" w:ascii="宋体" w:hAnsi="宋体" w:cs="宋体"/>
          <w:color w:val="000000" w:themeColor="text1"/>
          <w:sz w:val="24"/>
          <w:highlight w:val="none"/>
          <w:u w:val="single"/>
          <w14:textFill>
            <w14:solidFill>
              <w14:schemeClr w14:val="tx1"/>
            </w14:solidFill>
          </w14:textFill>
        </w:rPr>
        <w:t>（供应商名称）</w:t>
      </w:r>
      <w:r>
        <w:rPr>
          <w:rFonts w:hint="eastAsia" w:ascii="宋体" w:hAnsi="宋体" w:cs="宋体"/>
          <w:color w:val="000000" w:themeColor="text1"/>
          <w:sz w:val="24"/>
          <w:highlight w:val="none"/>
          <w14:textFill>
            <w14:solidFill>
              <w14:schemeClr w14:val="tx1"/>
            </w14:solidFill>
          </w14:textFill>
        </w:rPr>
        <w:t>系中华人民共和国合法供应商，经营地址</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69700E75">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我方愿意参加贵方组织的</w:t>
      </w:r>
      <w:r>
        <w:rPr>
          <w:rFonts w:hint="eastAsia" w:ascii="宋体" w:hAnsi="宋体" w:cs="宋体"/>
          <w:color w:val="000000" w:themeColor="text1"/>
          <w:sz w:val="24"/>
          <w:highlight w:val="none"/>
          <w:u w:val="single"/>
          <w14:textFill>
            <w14:solidFill>
              <w14:schemeClr w14:val="tx1"/>
            </w14:solidFill>
          </w14:textFill>
        </w:rPr>
        <w:t>（项目名称）</w:t>
      </w:r>
      <w:r>
        <w:rPr>
          <w:rFonts w:hint="eastAsia" w:ascii="宋体" w:hAnsi="宋体" w:cs="宋体"/>
          <w:color w:val="000000" w:themeColor="text1"/>
          <w:sz w:val="24"/>
          <w:highlight w:val="none"/>
          <w14:textFill>
            <w14:solidFill>
              <w14:schemeClr w14:val="tx1"/>
            </w14:solidFill>
          </w14:textFill>
        </w:rPr>
        <w:t>项目的竞标，为便于贵方公正、择优地确定成交供应商及其竞标产品和服务，我方就本次竞标有关事项郑重声明如下：</w:t>
      </w:r>
    </w:p>
    <w:p w14:paraId="0AE77C3E">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1.我方向贵方提交的所有响应文件、资料都是准确的和真实的。</w:t>
      </w:r>
    </w:p>
    <w:p w14:paraId="6D9612EA">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我方不是为本次采购项目提供整体设计、规范编制或者项目管理、监理、检测等服务的供应商</w:t>
      </w:r>
      <w:r>
        <w:rPr>
          <w:rFonts w:hint="eastAsia" w:ascii="宋体" w:hAnsi="宋体" w:cs="宋体"/>
          <w:color w:val="000000" w:themeColor="text1"/>
          <w:sz w:val="24"/>
          <w:highlight w:val="none"/>
          <w14:textFill>
            <w14:solidFill>
              <w14:schemeClr w14:val="tx1"/>
            </w14:solidFill>
          </w14:textFill>
        </w:rPr>
        <w:t>。</w:t>
      </w:r>
    </w:p>
    <w:p w14:paraId="31608449">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3.在此，我方宣布同意如下：</w:t>
      </w:r>
    </w:p>
    <w:p w14:paraId="5EBF9FF0">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（1）将按谈判文件的约定履行合同责任和义务；</w:t>
      </w:r>
    </w:p>
    <w:p w14:paraId="78679599">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（2）已详细审查全部谈判文件，包括补遗文件（如有）；</w:t>
      </w:r>
    </w:p>
    <w:p w14:paraId="38E2FF80">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（3）同意提供按照贵方可能要求的与谈判有关的一切数据或者资料；</w:t>
      </w:r>
    </w:p>
    <w:p w14:paraId="7770A125">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（4）响应谈判文件规定的竞标有效期。</w:t>
      </w:r>
    </w:p>
    <w:p w14:paraId="36E30BDE">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4.我方承诺符合《中华人民共和国政府采购法》第二十二条规定：</w:t>
      </w:r>
    </w:p>
    <w:p w14:paraId="3F4B0E34">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（1）具有独立承担民事责任的能力；</w:t>
      </w:r>
    </w:p>
    <w:p w14:paraId="3D6CB077">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（2）具有良好的商业信誉和健全的财务会计制度；</w:t>
      </w:r>
    </w:p>
    <w:p w14:paraId="0DBA9B54">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（3）具有履行合同所必需的设备和专业技术能力；</w:t>
      </w:r>
    </w:p>
    <w:p w14:paraId="4AE58DAD">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（4）有依法缴纳税收和社会保障资金的良好记录；</w:t>
      </w:r>
    </w:p>
    <w:p w14:paraId="63790D79">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（5）参加政府采购活动前三年内，在经营活动中没有重大违法记录；</w:t>
      </w:r>
    </w:p>
    <w:p w14:paraId="3606BCD0">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（6）法律、行政法规规定的其他条件。</w:t>
      </w:r>
    </w:p>
    <w:p w14:paraId="3B8659F2">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C355F59">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697A949">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□我方本次响应文件</w:t>
      </w:r>
      <w:r>
        <w:rPr>
          <w:rFonts w:hint="eastAsia" w:ascii="宋体" w:hAnsi="宋体" w:cs="宋体"/>
          <w:color w:val="000000" w:themeColor="text1"/>
          <w:kern w:val="0"/>
          <w:sz w:val="24"/>
          <w:highlight w:val="none"/>
          <w14:textFill>
            <w14:solidFill>
              <w14:schemeClr w14:val="tx1"/>
            </w14:solidFill>
          </w14:textFill>
        </w:rPr>
        <w:t>内容中</w:t>
      </w:r>
      <w:r>
        <w:rPr>
          <w:rFonts w:hint="eastAsia" w:ascii="宋体" w:hAnsi="宋体" w:cs="宋体"/>
          <w:color w:val="000000" w:themeColor="text1"/>
          <w:sz w:val="24"/>
          <w:highlight w:val="none"/>
          <w14:textFill>
            <w14:solidFill>
              <w14:schemeClr w14:val="tx1"/>
            </w14:solidFill>
          </w14:textFill>
        </w:rPr>
        <w:t>未</w:t>
      </w:r>
      <w:r>
        <w:rPr>
          <w:rFonts w:hint="eastAsia" w:ascii="宋体" w:hAnsi="宋体" w:cs="宋体"/>
          <w:color w:val="000000" w:themeColor="text1"/>
          <w:kern w:val="0"/>
          <w:sz w:val="24"/>
          <w:highlight w:val="none"/>
          <w14:textFill>
            <w14:solidFill>
              <w14:schemeClr w14:val="tx1"/>
            </w14:solidFill>
          </w14:textFill>
        </w:rPr>
        <w:t>涉及商业秘密；</w:t>
      </w:r>
    </w:p>
    <w:p w14:paraId="534601BA">
      <w:pPr>
        <w:spacing w:line="360" w:lineRule="auto"/>
        <w:ind w:firstLine="480" w:firstLineChars="2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□我方本次响应文件</w:t>
      </w:r>
      <w:r>
        <w:rPr>
          <w:rFonts w:hint="eastAsia" w:ascii="宋体" w:hAnsi="宋体" w:cs="宋体"/>
          <w:color w:val="000000" w:themeColor="text1"/>
          <w:kern w:val="0"/>
          <w:sz w:val="24"/>
          <w:highlight w:val="none"/>
          <w14:textFill>
            <w14:solidFill>
              <w14:schemeClr w14:val="tx1"/>
            </w14:solidFill>
          </w14:textFill>
        </w:rPr>
        <w:t>涉及商业秘密的内容有：；</w:t>
      </w:r>
    </w:p>
    <w:p w14:paraId="3FBD1CDA">
      <w:pPr>
        <w:pStyle w:val="15"/>
        <w:spacing w:line="360" w:lineRule="auto"/>
        <w:ind w:firstLine="480" w:firstLineChars="200"/>
        <w:contextualSpacing/>
        <w:rPr>
          <w:rFonts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7.与本谈判有关的一切正式往来信函请寄：邮政编号：</w:t>
      </w:r>
    </w:p>
    <w:p w14:paraId="5508C0B2">
      <w:pPr>
        <w:pStyle w:val="15"/>
        <w:spacing w:line="360" w:lineRule="auto"/>
        <w:ind w:firstLine="480" w:firstLineChars="200"/>
        <w:contextualSpacing/>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电话/传真：电子邮箱：</w:t>
      </w:r>
    </w:p>
    <w:p w14:paraId="4BD53CE9">
      <w:pPr>
        <w:pStyle w:val="14"/>
        <w:tabs>
          <w:tab w:val="left" w:pos="939"/>
        </w:tabs>
        <w:spacing w:line="360" w:lineRule="auto"/>
        <w:ind w:left="141" w:leftChars="67" w:firstLine="360" w:firstLineChars="15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开户银行：账号/行号：</w:t>
      </w:r>
    </w:p>
    <w:p w14:paraId="4E8EA517">
      <w:pPr>
        <w:pStyle w:val="14"/>
        <w:tabs>
          <w:tab w:val="left" w:pos="939"/>
        </w:tabs>
        <w:spacing w:line="360" w:lineRule="auto"/>
        <w:ind w:left="141" w:leftChars="67" w:firstLine="360" w:firstLineChars="15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8.以上事项如有虚假或者隐瞒，我方愿意承担一切后果，并不再寻求任何旨在减轻或者免除法律责任的辩解。</w:t>
      </w:r>
    </w:p>
    <w:p w14:paraId="51603327">
      <w:pPr>
        <w:pStyle w:val="14"/>
        <w:tabs>
          <w:tab w:val="left" w:pos="939"/>
        </w:tabs>
        <w:spacing w:line="360" w:lineRule="auto"/>
        <w:ind w:left="141" w:leftChars="67" w:firstLine="360" w:firstLineChars="15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特此承诺。</w:t>
      </w:r>
    </w:p>
    <w:p w14:paraId="72974A2A">
      <w:pPr>
        <w:spacing w:line="360" w:lineRule="auto"/>
        <w:contextualSpacing/>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注：如为联合体竞标，盖章处须加盖联合体牵头人电子签章并由联合体牵头人法定代表人分别签字或者盖章或者电子签名，否则响应文件按无效处理。</w:t>
      </w:r>
    </w:p>
    <w:p w14:paraId="310515C9">
      <w:pPr>
        <w:spacing w:line="360" w:lineRule="auto"/>
        <w:contextualSpacing/>
        <w:jc w:val="left"/>
        <w:rPr>
          <w:rFonts w:ascii="宋体" w:hAnsi="宋体" w:cs="宋体"/>
          <w:color w:val="000000" w:themeColor="text1"/>
          <w:szCs w:val="21"/>
          <w:highlight w:val="none"/>
          <w14:textFill>
            <w14:solidFill>
              <w14:schemeClr w14:val="tx1"/>
            </w14:solidFill>
          </w14:textFill>
        </w:rPr>
      </w:pPr>
    </w:p>
    <w:p w14:paraId="2B21827C">
      <w:pPr>
        <w:spacing w:line="360" w:lineRule="auto"/>
        <w:ind w:firstLine="1800" w:firstLineChars="750"/>
        <w:contextualSpacing/>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法定代表人（</w:t>
      </w:r>
      <w:r>
        <w:rPr>
          <w:rFonts w:hint="eastAsia" w:ascii="宋体" w:hAnsi="宋体"/>
          <w:color w:val="000000" w:themeColor="text1"/>
          <w:sz w:val="24"/>
          <w:szCs w:val="24"/>
          <w:highlight w:val="none"/>
          <w14:textFill>
            <w14:solidFill>
              <w14:schemeClr w14:val="tx1"/>
            </w14:solidFill>
          </w14:textFill>
        </w:rPr>
        <w:t>签字或者盖章或者电子签名</w:t>
      </w:r>
      <w:r>
        <w:rPr>
          <w:rFonts w:hint="eastAsia"/>
          <w:color w:val="000000" w:themeColor="text1"/>
          <w:sz w:val="24"/>
          <w:szCs w:val="24"/>
          <w:highlight w:val="none"/>
          <w14:textFill>
            <w14:solidFill>
              <w14:schemeClr w14:val="tx1"/>
            </w14:solidFill>
          </w14:textFill>
        </w:rPr>
        <w:t>）：</w:t>
      </w:r>
    </w:p>
    <w:p w14:paraId="3F9786F2">
      <w:pPr>
        <w:spacing w:line="360" w:lineRule="auto"/>
        <w:ind w:firstLine="4320" w:firstLineChars="1800"/>
        <w:contextualSpacing/>
        <w:rPr>
          <w:rFonts w:ascii="宋体" w:hAnsi="宋体" w:cs="宋体"/>
          <w:color w:val="000000" w:themeColor="text1"/>
          <w:sz w:val="24"/>
          <w:szCs w:val="24"/>
          <w:highlight w:val="none"/>
          <w:u w:val="single"/>
          <w14:textFill>
            <w14:solidFill>
              <w14:schemeClr w14:val="tx1"/>
            </w14:solidFill>
          </w14:textFill>
        </w:rPr>
      </w:pPr>
      <w:r>
        <w:rPr>
          <w:rFonts w:hint="eastAsia"/>
          <w:color w:val="000000" w:themeColor="text1"/>
          <w:sz w:val="24"/>
          <w:szCs w:val="24"/>
          <w:highlight w:val="none"/>
          <w14:textFill>
            <w14:solidFill>
              <w14:schemeClr w14:val="tx1"/>
            </w14:solidFill>
          </w14:textFill>
        </w:rPr>
        <w:t>供应商（电子签章）：</w:t>
      </w:r>
    </w:p>
    <w:p w14:paraId="3320B8B9">
      <w:pPr>
        <w:spacing w:line="360" w:lineRule="auto"/>
        <w:ind w:right="482" w:firstLine="240" w:firstLineChars="100"/>
        <w:contextualSpacing/>
        <w:jc w:val="center"/>
        <w:rPr>
          <w:rFonts w:ascii="宋体" w:hAnsi="宋体"/>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年</w:t>
      </w:r>
      <w:r>
        <w:rPr>
          <w:rFonts w:hint="eastAsia"/>
          <w:color w:val="000000" w:themeColor="text1"/>
          <w:sz w:val="24"/>
          <w:szCs w:val="24"/>
          <w:highlight w:val="none"/>
          <w:lang w:val="en-US" w:eastAsia="zh-CN"/>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月</w:t>
      </w:r>
      <w:r>
        <w:rPr>
          <w:rFonts w:hint="eastAsia"/>
          <w:color w:val="000000" w:themeColor="text1"/>
          <w:sz w:val="24"/>
          <w:szCs w:val="24"/>
          <w:highlight w:val="none"/>
          <w:lang w:val="en-US" w:eastAsia="zh-CN"/>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日</w:t>
      </w:r>
    </w:p>
    <w:p w14:paraId="095B5DA3">
      <w:pPr>
        <w:pStyle w:val="7"/>
        <w:overflowPunct w:val="0"/>
        <w:spacing w:line="520" w:lineRule="exact"/>
        <w:ind w:firstLine="0"/>
        <w:jc w:val="center"/>
        <w:rPr>
          <w:rFonts w:ascii="方正小标宋简体" w:hAnsi="方正小标宋简体" w:eastAsia="方正小标宋简体" w:cs="方正小标宋简体"/>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br w:type="page"/>
      </w:r>
      <w:r>
        <w:rPr>
          <w:rFonts w:hint="eastAsia" w:ascii="方正小标宋简体" w:hAnsi="宋体" w:eastAsia="方正小标宋简体" w:cs="Times New Roman"/>
          <w:b/>
          <w:color w:val="000000" w:themeColor="text1"/>
          <w:kern w:val="2"/>
          <w:sz w:val="32"/>
          <w:szCs w:val="32"/>
          <w:highlight w:val="none"/>
          <w:lang w:val="en-US" w:eastAsia="zh-CN" w:bidi="ar-SA"/>
          <w14:textFill>
            <w14:solidFill>
              <w14:schemeClr w14:val="tx1"/>
            </w14:solidFill>
          </w14:textFill>
        </w:rPr>
        <w:t>联合体竞标协议书</w:t>
      </w:r>
    </w:p>
    <w:p w14:paraId="1123F42F">
      <w:pPr>
        <w:pStyle w:val="7"/>
        <w:overflowPunct w:val="0"/>
        <w:spacing w:line="360" w:lineRule="auto"/>
        <w:ind w:firstLine="0"/>
        <w:contextualSpacing/>
        <w:rPr>
          <w:rFonts w:ascii="宋体" w:hAnsi="宋体"/>
          <w:color w:val="000000" w:themeColor="text1"/>
          <w:sz w:val="24"/>
          <w:szCs w:val="24"/>
          <w:highlight w:val="none"/>
          <w14:textFill>
            <w14:solidFill>
              <w14:schemeClr w14:val="tx1"/>
            </w14:solidFill>
          </w14:textFill>
        </w:rPr>
      </w:pPr>
    </w:p>
    <w:p w14:paraId="2B5B6ADE">
      <w:pPr>
        <w:pStyle w:val="7"/>
        <w:overflowPunct w:val="0"/>
        <w:spacing w:line="360" w:lineRule="auto"/>
        <w:ind w:firstLine="480" w:firstLineChars="20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（所有成员单位名称）自愿组成（联合体名称）联合体，共同参加（项目名称）采购项目竞标。现就联合体竞标事宜订立如下协议。</w:t>
      </w:r>
    </w:p>
    <w:p w14:paraId="6D1F9E89">
      <w:pPr>
        <w:pStyle w:val="7"/>
        <w:overflowPunct w:val="0"/>
        <w:spacing w:line="360" w:lineRule="auto"/>
        <w:ind w:firstLine="480" w:firstLineChars="20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1.</w:t>
      </w:r>
      <w:r>
        <w:rPr>
          <w:rFonts w:hint="eastAsia" w:ascii="宋体" w:hAnsi="宋体" w:cs="仿宋_GB2312"/>
          <w:color w:val="000000" w:themeColor="text1"/>
          <w:sz w:val="24"/>
          <w:szCs w:val="24"/>
          <w:highlight w:val="none"/>
          <w:u w:val="single"/>
          <w14:textFill>
            <w14:solidFill>
              <w14:schemeClr w14:val="tx1"/>
            </w14:solidFill>
          </w14:textFill>
        </w:rPr>
        <w:tab/>
      </w:r>
      <w:r>
        <w:rPr>
          <w:rFonts w:hint="eastAsia" w:ascii="宋体" w:hAnsi="宋体" w:cs="仿宋_GB2312"/>
          <w:color w:val="000000" w:themeColor="text1"/>
          <w:sz w:val="24"/>
          <w:szCs w:val="24"/>
          <w:highlight w:val="none"/>
          <w14:textFill>
            <w14:solidFill>
              <w14:schemeClr w14:val="tx1"/>
            </w14:solidFill>
          </w14:textFill>
        </w:rPr>
        <w:t>（某成员单位名称）为（联合体名称）牵头人。</w:t>
      </w:r>
    </w:p>
    <w:p w14:paraId="7111F071">
      <w:pPr>
        <w:pStyle w:val="7"/>
        <w:overflowPunct w:val="0"/>
        <w:spacing w:line="360" w:lineRule="auto"/>
        <w:ind w:firstLine="480" w:firstLineChars="20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2.联合体各成员授权牵头人代表联合体参加竞标活动，签署文件及对文件的盖章，提交和接收相关的资料、信息及指示，进行合同谈判活动，负责合同实施阶段的组织和协调工作，以及处理与本竞标项目有关的一切事宜。</w:t>
      </w:r>
    </w:p>
    <w:p w14:paraId="584216DC">
      <w:pPr>
        <w:pStyle w:val="7"/>
        <w:overflowPunct w:val="0"/>
        <w:spacing w:line="360" w:lineRule="auto"/>
        <w:ind w:firstLine="480" w:firstLineChars="20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3.联合体牵头人在本项目中签署和盖章的一切文件和处理的一切事宜，联合体各成员均予以承认。联合体各成员将严格按照谈判文件、响应文件和合同的要求全面履行义务，并向采购人承担连带责任。</w:t>
      </w:r>
    </w:p>
    <w:p w14:paraId="7A73E0D7">
      <w:pPr>
        <w:pStyle w:val="7"/>
        <w:overflowPunct w:val="0"/>
        <w:spacing w:line="360" w:lineRule="auto"/>
        <w:ind w:firstLine="480" w:firstLineChars="20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4.联合体各成员单位内部的职责分工如下：。</w:t>
      </w:r>
    </w:p>
    <w:p w14:paraId="4A85A006">
      <w:pPr>
        <w:pStyle w:val="7"/>
        <w:overflowPunct w:val="0"/>
        <w:spacing w:line="360" w:lineRule="auto"/>
        <w:ind w:firstLine="480" w:firstLineChars="20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5.本</w:t>
      </w:r>
      <w:r>
        <w:rPr>
          <w:rFonts w:hint="eastAsia" w:ascii="宋体" w:hAnsi="宋体" w:cs="仿宋_GB2312"/>
          <w:color w:val="000000" w:themeColor="text1"/>
          <w:spacing w:val="-6"/>
          <w:sz w:val="24"/>
          <w:szCs w:val="24"/>
          <w:highlight w:val="none"/>
          <w14:textFill>
            <w14:solidFill>
              <w14:schemeClr w14:val="tx1"/>
            </w14:solidFill>
          </w14:textFill>
        </w:rPr>
        <w:t>协议书自所有成员单位法定代表人或者其委托代理人签字或者盖单位章之日起生效，合同履行完毕后自动失效。</w:t>
      </w:r>
    </w:p>
    <w:p w14:paraId="0358F334">
      <w:pPr>
        <w:pStyle w:val="7"/>
        <w:overflowPunct w:val="0"/>
        <w:spacing w:line="360" w:lineRule="auto"/>
        <w:ind w:firstLine="480" w:firstLineChars="20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6.本协议书一式</w:t>
      </w:r>
      <w:r>
        <w:rPr>
          <w:rFonts w:hint="eastAsia" w:ascii="宋体" w:hAnsi="宋体" w:cs="仿宋_GB2312"/>
          <w:color w:val="000000" w:themeColor="text1"/>
          <w:sz w:val="24"/>
          <w:szCs w:val="24"/>
          <w:highlight w:val="none"/>
          <w:u w:val="single"/>
          <w14:textFill>
            <w14:solidFill>
              <w14:schemeClr w14:val="tx1"/>
            </w14:solidFill>
          </w14:textFill>
        </w:rPr>
        <w:tab/>
      </w:r>
      <w:r>
        <w:rPr>
          <w:rFonts w:hint="eastAsia" w:ascii="宋体" w:hAnsi="宋体" w:cs="仿宋_GB2312"/>
          <w:color w:val="000000" w:themeColor="text1"/>
          <w:sz w:val="24"/>
          <w:szCs w:val="24"/>
          <w:highlight w:val="none"/>
          <w14:textFill>
            <w14:solidFill>
              <w14:schemeClr w14:val="tx1"/>
            </w14:solidFill>
          </w14:textFill>
        </w:rPr>
        <w:t>份，联合体成员和采购人各执一份。</w:t>
      </w:r>
    </w:p>
    <w:p w14:paraId="0676D062">
      <w:pPr>
        <w:pStyle w:val="7"/>
        <w:overflowPunct w:val="0"/>
        <w:spacing w:line="360" w:lineRule="auto"/>
        <w:ind w:firstLine="480" w:firstLineChars="20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注：本协议书应附法定代表人身份证明书；有委托代理的，应附权委托书（格式自拟）。</w:t>
      </w:r>
    </w:p>
    <w:p w14:paraId="172505D0">
      <w:pPr>
        <w:pStyle w:val="7"/>
        <w:overflowPunct w:val="0"/>
        <w:spacing w:line="360" w:lineRule="auto"/>
        <w:ind w:firstLineChars="175"/>
        <w:contextualSpacing/>
        <w:rPr>
          <w:rFonts w:ascii="宋体" w:hAnsi="宋体" w:cs="仿宋_GB2312"/>
          <w:color w:val="000000" w:themeColor="text1"/>
          <w:sz w:val="24"/>
          <w:szCs w:val="24"/>
          <w:highlight w:val="none"/>
          <w14:textFill>
            <w14:solidFill>
              <w14:schemeClr w14:val="tx1"/>
            </w14:solidFill>
          </w14:textFill>
        </w:rPr>
      </w:pPr>
    </w:p>
    <w:p w14:paraId="025CB79C">
      <w:pPr>
        <w:pStyle w:val="7"/>
        <w:overflowPunct w:val="0"/>
        <w:spacing w:line="360" w:lineRule="auto"/>
        <w:ind w:firstLine="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联合体牵头人名称（电子签章）：</w:t>
      </w:r>
    </w:p>
    <w:p w14:paraId="39FC943E">
      <w:pPr>
        <w:pStyle w:val="7"/>
        <w:overflowPunct w:val="0"/>
        <w:spacing w:line="360" w:lineRule="auto"/>
        <w:ind w:firstLine="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法定代表人或者其委托代理人（签字或者电子签名）：</w:t>
      </w:r>
    </w:p>
    <w:p w14:paraId="29CFEDB0">
      <w:pPr>
        <w:pStyle w:val="7"/>
        <w:overflowPunct w:val="0"/>
        <w:spacing w:line="360" w:lineRule="auto"/>
        <w:ind w:firstLine="0"/>
        <w:contextualSpacing/>
        <w:rPr>
          <w:rFonts w:ascii="宋体" w:hAnsi="宋体" w:cs="仿宋_GB2312"/>
          <w:color w:val="000000" w:themeColor="text1"/>
          <w:sz w:val="24"/>
          <w:szCs w:val="24"/>
          <w:highlight w:val="none"/>
          <w14:textFill>
            <w14:solidFill>
              <w14:schemeClr w14:val="tx1"/>
            </w14:solidFill>
          </w14:textFill>
        </w:rPr>
      </w:pPr>
    </w:p>
    <w:p w14:paraId="28DE3748">
      <w:pPr>
        <w:pStyle w:val="7"/>
        <w:overflowPunct w:val="0"/>
        <w:spacing w:line="360" w:lineRule="auto"/>
        <w:ind w:firstLine="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联合体成员名称（盖公章或者电子签章）：</w:t>
      </w:r>
    </w:p>
    <w:p w14:paraId="6FFB7D6D">
      <w:pPr>
        <w:pStyle w:val="7"/>
        <w:overflowPunct w:val="0"/>
        <w:spacing w:line="360" w:lineRule="auto"/>
        <w:ind w:firstLine="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法定代表人或者其委托代理人（签字或者电子签名）：</w:t>
      </w:r>
    </w:p>
    <w:p w14:paraId="1E07A840">
      <w:pPr>
        <w:pStyle w:val="7"/>
        <w:overflowPunct w:val="0"/>
        <w:spacing w:line="360" w:lineRule="auto"/>
        <w:ind w:firstLine="0"/>
        <w:contextualSpacing/>
        <w:rPr>
          <w:rFonts w:ascii="宋体" w:hAnsi="宋体" w:cs="仿宋_GB2312"/>
          <w:color w:val="000000" w:themeColor="text1"/>
          <w:sz w:val="24"/>
          <w:szCs w:val="24"/>
          <w:highlight w:val="none"/>
          <w14:textFill>
            <w14:solidFill>
              <w14:schemeClr w14:val="tx1"/>
            </w14:solidFill>
          </w14:textFill>
        </w:rPr>
      </w:pPr>
    </w:p>
    <w:p w14:paraId="26CE5739">
      <w:pPr>
        <w:pStyle w:val="7"/>
        <w:overflowPunct w:val="0"/>
        <w:spacing w:line="360" w:lineRule="auto"/>
        <w:ind w:firstLine="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联合体成员名称（盖公章或者电子签章）：</w:t>
      </w:r>
    </w:p>
    <w:p w14:paraId="54F4F37B">
      <w:pPr>
        <w:pStyle w:val="7"/>
        <w:overflowPunct w:val="0"/>
        <w:spacing w:line="360" w:lineRule="auto"/>
        <w:ind w:firstLine="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法定代表人或者其委托代理人（签字或者电子签名）：</w:t>
      </w:r>
    </w:p>
    <w:p w14:paraId="542DA45A">
      <w:pPr>
        <w:pStyle w:val="7"/>
        <w:overflowPunct w:val="0"/>
        <w:spacing w:line="360" w:lineRule="auto"/>
        <w:ind w:firstLine="0"/>
        <w:contextualSpacing/>
        <w:rPr>
          <w:rFonts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w:t>
      </w:r>
    </w:p>
    <w:p w14:paraId="7606F565">
      <w:pPr>
        <w:spacing w:line="360" w:lineRule="auto"/>
        <w:contextualSpacing/>
        <w:rPr>
          <w:rFonts w:ascii="宋体" w:hAnsi="宋体" w:cs="仿宋_GB2312"/>
          <w:color w:val="000000" w:themeColor="text1"/>
          <w:sz w:val="24"/>
          <w:highlight w:val="none"/>
          <w14:textFill>
            <w14:solidFill>
              <w14:schemeClr w14:val="tx1"/>
            </w14:solidFill>
          </w14:textFill>
        </w:rPr>
      </w:pPr>
    </w:p>
    <w:p w14:paraId="040128B1">
      <w:pPr>
        <w:spacing w:line="360" w:lineRule="auto"/>
        <w:contextualSpacing/>
        <w:rPr>
          <w:rFonts w:ascii="宋体" w:hAnsi="宋体" w:cs="仿宋_GB2312"/>
          <w:color w:val="000000" w:themeColor="text1"/>
          <w:sz w:val="24"/>
          <w:highlight w:val="none"/>
          <w14:textFill>
            <w14:solidFill>
              <w14:schemeClr w14:val="tx1"/>
            </w14:solidFill>
          </w14:textFill>
        </w:rPr>
      </w:pPr>
    </w:p>
    <w:p w14:paraId="3B82D1A9">
      <w:pPr>
        <w:spacing w:line="360" w:lineRule="auto"/>
        <w:contextualSpacing/>
        <w:jc w:val="righ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w:t>
      </w:r>
    </w:p>
    <w:p w14:paraId="24B2258D">
      <w:pPr>
        <w:spacing w:line="360" w:lineRule="auto"/>
        <w:ind w:right="420"/>
        <w:contextualSpacing/>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r>
    </w:p>
    <w:p w14:paraId="2CA8E67A">
      <w:pPr>
        <w:pStyle w:val="12"/>
        <w:rPr>
          <w:color w:val="000000" w:themeColor="text1"/>
          <w:highlight w:val="none"/>
          <w14:textFill>
            <w14:solidFill>
              <w14:schemeClr w14:val="tx1"/>
            </w14:solidFill>
          </w14:textFill>
        </w:rPr>
      </w:pPr>
    </w:p>
    <w:p w14:paraId="669EA54B">
      <w:pPr>
        <w:spacing w:line="360" w:lineRule="auto"/>
        <w:ind w:right="420"/>
        <w:contextualSpacing/>
        <w:jc w:val="left"/>
        <w:rPr>
          <w:rFonts w:ascii="宋体" w:hAnsi="宋体"/>
          <w:b/>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二、</w:t>
      </w:r>
      <w:r>
        <w:rPr>
          <w:rFonts w:hint="eastAsia" w:ascii="宋体" w:hAnsi="宋体"/>
          <w:b/>
          <w:color w:val="000000" w:themeColor="text1"/>
          <w:sz w:val="32"/>
          <w:szCs w:val="32"/>
          <w:highlight w:val="none"/>
          <w14:textFill>
            <w14:solidFill>
              <w14:schemeClr w14:val="tx1"/>
            </w14:solidFill>
          </w14:textFill>
        </w:rPr>
        <w:t>报价文件格式</w:t>
      </w:r>
    </w:p>
    <w:p w14:paraId="6F381951">
      <w:pPr>
        <w:snapToGrid w:val="0"/>
        <w:spacing w:before="120" w:beforeLines="50" w:after="50" w:line="360" w:lineRule="auto"/>
        <w:jc w:val="left"/>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1.报价文件封面格式</w:t>
      </w:r>
    </w:p>
    <w:p w14:paraId="563027EB">
      <w:pPr>
        <w:snapToGrid w:val="0"/>
        <w:spacing w:before="120" w:beforeLines="50" w:after="50"/>
        <w:rPr>
          <w:rFonts w:ascii="宋体" w:hAnsi="宋体"/>
          <w:bCs/>
          <w:color w:val="000000" w:themeColor="text1"/>
          <w:sz w:val="32"/>
          <w:szCs w:val="20"/>
          <w:highlight w:val="none"/>
          <w14:textFill>
            <w14:solidFill>
              <w14:schemeClr w14:val="tx1"/>
            </w14:solidFill>
          </w14:textFill>
        </w:rPr>
      </w:pPr>
    </w:p>
    <w:p w14:paraId="10784701">
      <w:pPr>
        <w:snapToGrid w:val="0"/>
        <w:spacing w:before="120" w:beforeLines="50" w:after="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电子响应文件</w:t>
      </w:r>
    </w:p>
    <w:p w14:paraId="7148A2AA">
      <w:pPr>
        <w:snapToGrid w:val="0"/>
        <w:spacing w:before="120" w:beforeLines="50" w:after="50"/>
        <w:rPr>
          <w:rFonts w:ascii="宋体" w:hAnsi="宋体"/>
          <w:color w:val="000000" w:themeColor="text1"/>
          <w:sz w:val="24"/>
          <w:szCs w:val="20"/>
          <w:highlight w:val="none"/>
          <w14:textFill>
            <w14:solidFill>
              <w14:schemeClr w14:val="tx1"/>
            </w14:solidFill>
          </w14:textFill>
        </w:rPr>
      </w:pPr>
    </w:p>
    <w:p w14:paraId="0A954188">
      <w:pPr>
        <w:snapToGrid w:val="0"/>
        <w:spacing w:before="120" w:beforeLines="50" w:after="50"/>
        <w:rPr>
          <w:rFonts w:ascii="宋体" w:hAnsi="宋体"/>
          <w:color w:val="000000" w:themeColor="text1"/>
          <w:sz w:val="24"/>
          <w:szCs w:val="20"/>
          <w:highlight w:val="none"/>
          <w14:textFill>
            <w14:solidFill>
              <w14:schemeClr w14:val="tx1"/>
            </w14:solidFill>
          </w14:textFill>
        </w:rPr>
      </w:pPr>
    </w:p>
    <w:p w14:paraId="1AFFB5EE">
      <w:pPr>
        <w:snapToGrid w:val="0"/>
        <w:spacing w:before="120" w:beforeLines="50" w:after="5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报价文件</w:t>
      </w:r>
    </w:p>
    <w:p w14:paraId="5EF335CA">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3363676B">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07832FF8">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4ED3E421">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31E3B82E">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081D8FA9">
      <w:pPr>
        <w:snapToGrid w:val="0"/>
        <w:spacing w:before="120" w:beforeLines="50" w:after="50"/>
        <w:ind w:firstLine="640" w:firstLineChars="20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14:paraId="711CFCCA">
      <w:pPr>
        <w:snapToGrid w:val="0"/>
        <w:spacing w:before="120" w:beforeLines="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001ACCA5">
      <w:pPr>
        <w:snapToGrid w:val="0"/>
        <w:spacing w:before="120" w:beforeLines="50" w:after="50"/>
        <w:ind w:firstLine="640" w:firstLineChars="20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14:paraId="1F2981C7">
      <w:pPr>
        <w:snapToGrid w:val="0"/>
        <w:spacing w:before="120" w:beforeLines="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16646CBD">
      <w:pPr>
        <w:snapToGrid w:val="0"/>
        <w:spacing w:before="120" w:beforeLines="50" w:after="50"/>
        <w:ind w:firstLine="640" w:firstLineChars="20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所竞分标（如有则填写，无分标时填写“无”或者留空）：</w:t>
      </w:r>
    </w:p>
    <w:p w14:paraId="25AC4E6D">
      <w:pPr>
        <w:snapToGrid w:val="0"/>
        <w:spacing w:before="120" w:beforeLines="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5E49752D">
      <w:pPr>
        <w:pStyle w:val="7"/>
        <w:snapToGrid w:val="0"/>
        <w:spacing w:before="50" w:after="50"/>
        <w:ind w:firstLine="640" w:firstLineChars="20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4321276C">
      <w:pPr>
        <w:pStyle w:val="7"/>
        <w:snapToGrid w:val="0"/>
        <w:spacing w:before="50" w:after="50"/>
        <w:ind w:firstLine="640" w:firstLineChars="200"/>
        <w:rPr>
          <w:rFonts w:ascii="宋体" w:hAnsi="宋体" w:cs="仿宋_GB2312"/>
          <w:bCs/>
          <w:color w:val="000000" w:themeColor="text1"/>
          <w:sz w:val="32"/>
          <w:szCs w:val="32"/>
          <w:highlight w:val="none"/>
          <w14:textFill>
            <w14:solidFill>
              <w14:schemeClr w14:val="tx1"/>
            </w14:solidFill>
          </w14:textFill>
        </w:rPr>
      </w:pPr>
    </w:p>
    <w:p w14:paraId="69F23F89">
      <w:pPr>
        <w:pStyle w:val="7"/>
        <w:snapToGrid w:val="0"/>
        <w:spacing w:before="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0D7C5ACA">
      <w:pPr>
        <w:pStyle w:val="7"/>
        <w:snapToGrid w:val="0"/>
        <w:spacing w:before="50" w:after="50"/>
        <w:ind w:firstLine="0"/>
        <w:rPr>
          <w:rFonts w:ascii="宋体" w:hAnsi="宋体" w:cs="仿宋_GB2312"/>
          <w:bCs/>
          <w:color w:val="000000" w:themeColor="text1"/>
          <w:sz w:val="32"/>
          <w:szCs w:val="32"/>
          <w:highlight w:val="none"/>
          <w14:textFill>
            <w14:solidFill>
              <w14:schemeClr w14:val="tx1"/>
            </w14:solidFill>
          </w14:textFill>
        </w:rPr>
      </w:pPr>
    </w:p>
    <w:p w14:paraId="76B3C00F">
      <w:pPr>
        <w:pStyle w:val="7"/>
        <w:snapToGrid w:val="0"/>
        <w:spacing w:before="50" w:after="50"/>
        <w:ind w:firstLine="1280" w:firstLineChars="400"/>
        <w:rPr>
          <w:rFonts w:ascii="宋体" w:hAnsi="宋体" w:cs="仿宋_GB2312"/>
          <w:bCs/>
          <w:color w:val="000000" w:themeColor="text1"/>
          <w:sz w:val="32"/>
          <w:szCs w:val="32"/>
          <w:highlight w:val="none"/>
          <w14:textFill>
            <w14:solidFill>
              <w14:schemeClr w14:val="tx1"/>
            </w14:solidFill>
          </w14:textFill>
        </w:rPr>
      </w:pPr>
    </w:p>
    <w:p w14:paraId="68DC06FE">
      <w:pPr>
        <w:snapToGrid w:val="0"/>
        <w:spacing w:before="120" w:beforeLines="50" w:after="50"/>
        <w:jc w:val="center"/>
        <w:rPr>
          <w:rFonts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w:t>
      </w:r>
      <w:r>
        <w:rPr>
          <w:rFonts w:hint="eastAsia" w:ascii="宋体" w:hAnsi="宋体" w:cs="仿宋_GB2312"/>
          <w:color w:val="000000" w:themeColor="text1"/>
          <w:sz w:val="32"/>
          <w:szCs w:val="32"/>
          <w:highlight w:val="none"/>
          <w:lang w:val="en-US" w:eastAsia="zh-CN"/>
          <w14:textFill>
            <w14:solidFill>
              <w14:schemeClr w14:val="tx1"/>
            </w14:solidFill>
          </w14:textFill>
        </w:rPr>
        <w:t xml:space="preserve">   </w:t>
      </w:r>
      <w:r>
        <w:rPr>
          <w:rFonts w:hint="eastAsia" w:ascii="宋体" w:hAnsi="宋体" w:cs="仿宋_GB2312"/>
          <w:color w:val="000000" w:themeColor="text1"/>
          <w:sz w:val="32"/>
          <w:szCs w:val="32"/>
          <w:highlight w:val="none"/>
          <w14:textFill>
            <w14:solidFill>
              <w14:schemeClr w14:val="tx1"/>
            </w14:solidFill>
          </w14:textFill>
        </w:rPr>
        <w:t>月</w:t>
      </w:r>
      <w:r>
        <w:rPr>
          <w:rFonts w:hint="eastAsia" w:ascii="宋体" w:hAnsi="宋体" w:cs="仿宋_GB2312"/>
          <w:color w:val="000000" w:themeColor="text1"/>
          <w:sz w:val="32"/>
          <w:szCs w:val="32"/>
          <w:highlight w:val="none"/>
          <w:lang w:val="en-US" w:eastAsia="zh-CN"/>
          <w14:textFill>
            <w14:solidFill>
              <w14:schemeClr w14:val="tx1"/>
            </w14:solidFill>
          </w14:textFill>
        </w:rPr>
        <w:t xml:space="preserve">  </w:t>
      </w:r>
      <w:r>
        <w:rPr>
          <w:rFonts w:hint="eastAsia" w:ascii="宋体" w:hAnsi="宋体" w:cs="仿宋_GB2312"/>
          <w:color w:val="000000" w:themeColor="text1"/>
          <w:sz w:val="32"/>
          <w:szCs w:val="32"/>
          <w:highlight w:val="none"/>
          <w14:textFill>
            <w14:solidFill>
              <w14:schemeClr w14:val="tx1"/>
            </w14:solidFill>
          </w14:textFill>
        </w:rPr>
        <w:t>日</w:t>
      </w:r>
    </w:p>
    <w:p w14:paraId="5C052EBD">
      <w:pPr>
        <w:snapToGrid w:val="0"/>
        <w:spacing w:before="120" w:beforeLines="50" w:after="50" w:line="360" w:lineRule="auto"/>
        <w:ind w:left="142"/>
        <w:jc w:val="left"/>
        <w:rPr>
          <w:rFonts w:ascii="宋体" w:hAnsi="宋体"/>
          <w:b/>
          <w:bCs/>
          <w:color w:val="000000" w:themeColor="text1"/>
          <w:sz w:val="24"/>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r>
      <w:r>
        <w:rPr>
          <w:rFonts w:hint="eastAsia" w:ascii="宋体" w:hAnsi="宋体"/>
          <w:b/>
          <w:bCs/>
          <w:color w:val="000000" w:themeColor="text1"/>
          <w:sz w:val="32"/>
          <w:szCs w:val="32"/>
          <w:highlight w:val="none"/>
          <w14:textFill>
            <w14:solidFill>
              <w14:schemeClr w14:val="tx1"/>
            </w14:solidFill>
          </w14:textFill>
        </w:rPr>
        <w:t>2.报价文件目录</w:t>
      </w:r>
    </w:p>
    <w:p w14:paraId="4DDEFB26">
      <w:pPr>
        <w:tabs>
          <w:tab w:val="left" w:pos="3479"/>
        </w:tabs>
        <w:spacing w:line="520" w:lineRule="exact"/>
        <w:jc w:val="left"/>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根据谈判文件规定及供应商提供的材料自行编写目录（部分格式后附）。</w:t>
      </w:r>
    </w:p>
    <w:p w14:paraId="7E55CF9F">
      <w:pPr>
        <w:tabs>
          <w:tab w:val="left" w:pos="3479"/>
        </w:tabs>
        <w:spacing w:line="520" w:lineRule="exact"/>
        <w:jc w:val="center"/>
        <w:rPr>
          <w:rFonts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竞标报价表</w:t>
      </w:r>
    </w:p>
    <w:p w14:paraId="3D0AF967">
      <w:pPr>
        <w:spacing w:line="520" w:lineRule="exact"/>
        <w:jc w:val="center"/>
        <w:rPr>
          <w:rFonts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p>
    <w:p w14:paraId="690EBAF5">
      <w:pPr>
        <w:snapToGrid w:val="0"/>
        <w:spacing w:before="50" w:after="50" w:line="360" w:lineRule="auto"/>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项目名称： </w:t>
      </w:r>
      <w:r>
        <w:rPr>
          <w:rFonts w:ascii="宋体" w:hAnsi="宋体" w:cs="仿宋_GB2312"/>
          <w:color w:val="000000" w:themeColor="text1"/>
          <w:sz w:val="24"/>
          <w:highlight w:val="non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项目编号：</w:t>
      </w:r>
    </w:p>
    <w:p w14:paraId="75274156">
      <w:pPr>
        <w:snapToGrid w:val="0"/>
        <w:spacing w:before="50" w:after="50" w:line="360" w:lineRule="auto"/>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分标（如有）：</w:t>
      </w:r>
    </w:p>
    <w:p w14:paraId="7E027580">
      <w:pPr>
        <w:snapToGrid w:val="0"/>
        <w:spacing w:before="50" w:after="50" w:line="360" w:lineRule="auto"/>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供应商名称：</w:t>
      </w:r>
    </w:p>
    <w:p w14:paraId="3F62BA0B">
      <w:pPr>
        <w:snapToGrid w:val="0"/>
        <w:spacing w:before="50" w:after="50" w:line="360" w:lineRule="auto"/>
        <w:ind w:firstLine="5520" w:firstLineChars="2300"/>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单位：元</w:t>
      </w:r>
    </w:p>
    <w:tbl>
      <w:tblPr>
        <w:tblStyle w:val="28"/>
        <w:tblW w:w="1050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7"/>
        <w:gridCol w:w="1065"/>
        <w:gridCol w:w="1005"/>
        <w:gridCol w:w="870"/>
        <w:gridCol w:w="1065"/>
        <w:gridCol w:w="1200"/>
        <w:gridCol w:w="1095"/>
        <w:gridCol w:w="1095"/>
        <w:gridCol w:w="780"/>
        <w:gridCol w:w="1725"/>
      </w:tblGrid>
      <w:tr w14:paraId="47BD50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49880C4A">
            <w:pPr>
              <w:spacing w:line="360" w:lineRule="auto"/>
              <w:jc w:val="center"/>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项号</w:t>
            </w:r>
          </w:p>
        </w:tc>
        <w:tc>
          <w:tcPr>
            <w:tcW w:w="1065" w:type="dxa"/>
            <w:tcBorders>
              <w:top w:val="single" w:color="auto" w:sz="4" w:space="0"/>
              <w:left w:val="single" w:color="auto" w:sz="4" w:space="0"/>
              <w:bottom w:val="single" w:color="auto" w:sz="4" w:space="0"/>
              <w:right w:val="single" w:color="auto" w:sz="4" w:space="0"/>
            </w:tcBorders>
            <w:vAlign w:val="center"/>
          </w:tcPr>
          <w:p w14:paraId="034C59FD">
            <w:pPr>
              <w:spacing w:line="360" w:lineRule="auto"/>
              <w:jc w:val="center"/>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标的的名称</w:t>
            </w:r>
          </w:p>
        </w:tc>
        <w:tc>
          <w:tcPr>
            <w:tcW w:w="1005" w:type="dxa"/>
            <w:tcBorders>
              <w:top w:val="single" w:color="auto" w:sz="4" w:space="0"/>
              <w:left w:val="single" w:color="auto" w:sz="4" w:space="0"/>
              <w:bottom w:val="single" w:color="auto" w:sz="4" w:space="0"/>
              <w:right w:val="single" w:color="auto" w:sz="4" w:space="0"/>
            </w:tcBorders>
            <w:vAlign w:val="center"/>
          </w:tcPr>
          <w:p w14:paraId="2324EFFE">
            <w:pPr>
              <w:spacing w:line="360" w:lineRule="auto"/>
              <w:jc w:val="center"/>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数量及单位</w:t>
            </w:r>
          </w:p>
          <w:p w14:paraId="5B1795C7">
            <w:pPr>
              <w:spacing w:line="360" w:lineRule="auto"/>
              <w:jc w:val="center"/>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①</w:t>
            </w:r>
          </w:p>
        </w:tc>
        <w:tc>
          <w:tcPr>
            <w:tcW w:w="870" w:type="dxa"/>
            <w:tcBorders>
              <w:top w:val="single" w:color="auto" w:sz="4" w:space="0"/>
              <w:left w:val="single" w:color="auto" w:sz="4" w:space="0"/>
              <w:bottom w:val="single" w:color="auto" w:sz="4" w:space="0"/>
              <w:right w:val="single" w:color="auto" w:sz="4" w:space="0"/>
            </w:tcBorders>
            <w:vAlign w:val="center"/>
          </w:tcPr>
          <w:p w14:paraId="32D9CE1B">
            <w:pPr>
              <w:spacing w:line="360" w:lineRule="auto"/>
              <w:jc w:val="center"/>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品牌</w:t>
            </w:r>
          </w:p>
        </w:tc>
        <w:tc>
          <w:tcPr>
            <w:tcW w:w="1065" w:type="dxa"/>
            <w:tcBorders>
              <w:top w:val="single" w:color="auto" w:sz="4" w:space="0"/>
              <w:left w:val="single" w:color="auto" w:sz="4" w:space="0"/>
              <w:bottom w:val="single" w:color="auto" w:sz="4" w:space="0"/>
              <w:right w:val="single" w:color="auto" w:sz="4" w:space="0"/>
            </w:tcBorders>
            <w:vAlign w:val="center"/>
          </w:tcPr>
          <w:p w14:paraId="68C4C157">
            <w:pPr>
              <w:spacing w:line="360" w:lineRule="auto"/>
              <w:jc w:val="center"/>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规格</w:t>
            </w:r>
          </w:p>
          <w:p w14:paraId="5F3A1725">
            <w:pPr>
              <w:spacing w:line="360" w:lineRule="auto"/>
              <w:jc w:val="center"/>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型号</w:t>
            </w:r>
          </w:p>
        </w:tc>
        <w:tc>
          <w:tcPr>
            <w:tcW w:w="1200" w:type="dxa"/>
            <w:tcBorders>
              <w:top w:val="single" w:color="auto" w:sz="4" w:space="0"/>
              <w:left w:val="single" w:color="auto" w:sz="4" w:space="0"/>
              <w:bottom w:val="single" w:color="auto" w:sz="4" w:space="0"/>
              <w:right w:val="single" w:color="auto" w:sz="4" w:space="0"/>
            </w:tcBorders>
            <w:vAlign w:val="center"/>
          </w:tcPr>
          <w:p w14:paraId="5296DFE6">
            <w:pPr>
              <w:spacing w:line="360" w:lineRule="auto"/>
              <w:jc w:val="center"/>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制造商</w:t>
            </w:r>
          </w:p>
        </w:tc>
        <w:tc>
          <w:tcPr>
            <w:tcW w:w="1095" w:type="dxa"/>
            <w:tcBorders>
              <w:top w:val="single" w:color="auto" w:sz="4" w:space="0"/>
              <w:left w:val="single" w:color="auto" w:sz="4" w:space="0"/>
              <w:bottom w:val="single" w:color="auto" w:sz="4" w:space="0"/>
              <w:right w:val="single" w:color="auto" w:sz="4" w:space="0"/>
            </w:tcBorders>
            <w:vAlign w:val="center"/>
          </w:tcPr>
          <w:p w14:paraId="01186542">
            <w:pPr>
              <w:spacing w:line="360" w:lineRule="auto"/>
              <w:jc w:val="center"/>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原产地</w:t>
            </w:r>
          </w:p>
        </w:tc>
        <w:tc>
          <w:tcPr>
            <w:tcW w:w="1095" w:type="dxa"/>
            <w:tcBorders>
              <w:top w:val="single" w:color="auto" w:sz="4" w:space="0"/>
              <w:left w:val="single" w:color="auto" w:sz="4" w:space="0"/>
              <w:bottom w:val="single" w:color="auto" w:sz="4" w:space="0"/>
              <w:right w:val="single" w:color="auto" w:sz="4" w:space="0"/>
            </w:tcBorders>
            <w:vAlign w:val="center"/>
          </w:tcPr>
          <w:p w14:paraId="1FF13B44">
            <w:pPr>
              <w:spacing w:line="360" w:lineRule="auto"/>
              <w:jc w:val="center"/>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参数性能、指标及配置</w:t>
            </w:r>
          </w:p>
        </w:tc>
        <w:tc>
          <w:tcPr>
            <w:tcW w:w="780" w:type="dxa"/>
            <w:tcBorders>
              <w:top w:val="single" w:color="auto" w:sz="4" w:space="0"/>
              <w:left w:val="single" w:color="auto" w:sz="4" w:space="0"/>
              <w:bottom w:val="single" w:color="auto" w:sz="4" w:space="0"/>
              <w:right w:val="single" w:color="auto" w:sz="4" w:space="0"/>
            </w:tcBorders>
            <w:vAlign w:val="center"/>
          </w:tcPr>
          <w:p w14:paraId="047B7294">
            <w:pPr>
              <w:spacing w:line="360" w:lineRule="auto"/>
              <w:jc w:val="center"/>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单价</w:t>
            </w:r>
          </w:p>
          <w:p w14:paraId="0EE752B3">
            <w:pPr>
              <w:spacing w:line="360" w:lineRule="auto"/>
              <w:jc w:val="center"/>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②</w:t>
            </w:r>
          </w:p>
        </w:tc>
        <w:tc>
          <w:tcPr>
            <w:tcW w:w="1725" w:type="dxa"/>
            <w:tcBorders>
              <w:top w:val="single" w:color="auto" w:sz="4" w:space="0"/>
              <w:left w:val="single" w:color="auto" w:sz="4" w:space="0"/>
              <w:bottom w:val="single" w:color="auto" w:sz="4" w:space="0"/>
              <w:right w:val="single" w:color="auto" w:sz="4" w:space="0"/>
            </w:tcBorders>
            <w:vAlign w:val="center"/>
          </w:tcPr>
          <w:p w14:paraId="5B5C5E53">
            <w:pPr>
              <w:spacing w:line="360" w:lineRule="auto"/>
              <w:jc w:val="center"/>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竞标报价</w:t>
            </w:r>
          </w:p>
          <w:p w14:paraId="019B8EAE">
            <w:pPr>
              <w:spacing w:line="360" w:lineRule="auto"/>
              <w:jc w:val="center"/>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③=①×②</w:t>
            </w:r>
          </w:p>
        </w:tc>
      </w:tr>
      <w:tr w14:paraId="36ADF8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44B3D377">
            <w:pPr>
              <w:spacing w:line="360" w:lineRule="auto"/>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w:t>
            </w:r>
          </w:p>
        </w:tc>
        <w:tc>
          <w:tcPr>
            <w:tcW w:w="1065" w:type="dxa"/>
            <w:tcBorders>
              <w:top w:val="single" w:color="auto" w:sz="4" w:space="0"/>
              <w:left w:val="single" w:color="auto" w:sz="4" w:space="0"/>
              <w:bottom w:val="single" w:color="auto" w:sz="4" w:space="0"/>
              <w:right w:val="single" w:color="auto" w:sz="4" w:space="0"/>
            </w:tcBorders>
            <w:vAlign w:val="center"/>
          </w:tcPr>
          <w:p w14:paraId="41C46701">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1005" w:type="dxa"/>
            <w:tcBorders>
              <w:top w:val="single" w:color="auto" w:sz="4" w:space="0"/>
              <w:left w:val="single" w:color="auto" w:sz="4" w:space="0"/>
              <w:bottom w:val="single" w:color="auto" w:sz="4" w:space="0"/>
              <w:right w:val="single" w:color="auto" w:sz="4" w:space="0"/>
            </w:tcBorders>
            <w:vAlign w:val="center"/>
          </w:tcPr>
          <w:p w14:paraId="26B064FC">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vAlign w:val="center"/>
          </w:tcPr>
          <w:p w14:paraId="581EE64C">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vAlign w:val="center"/>
          </w:tcPr>
          <w:p w14:paraId="3475C7C7">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vAlign w:val="center"/>
          </w:tcPr>
          <w:p w14:paraId="257DF2CA">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6BD7EC86">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vAlign w:val="center"/>
          </w:tcPr>
          <w:p w14:paraId="5599B2E9">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780" w:type="dxa"/>
            <w:tcBorders>
              <w:top w:val="single" w:color="auto" w:sz="4" w:space="0"/>
              <w:left w:val="single" w:color="auto" w:sz="4" w:space="0"/>
              <w:bottom w:val="single" w:color="auto" w:sz="4" w:space="0"/>
              <w:right w:val="single" w:color="auto" w:sz="4" w:space="0"/>
            </w:tcBorders>
            <w:vAlign w:val="center"/>
          </w:tcPr>
          <w:p w14:paraId="04717395">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14:paraId="0F6BD3EE">
            <w:pPr>
              <w:spacing w:line="360" w:lineRule="auto"/>
              <w:jc w:val="center"/>
              <w:rPr>
                <w:rFonts w:ascii="宋体" w:hAnsi="宋体" w:cs="仿宋_GB2312"/>
                <w:color w:val="000000" w:themeColor="text1"/>
                <w:sz w:val="24"/>
                <w:highlight w:val="none"/>
                <w14:textFill>
                  <w14:solidFill>
                    <w14:schemeClr w14:val="tx1"/>
                  </w14:solidFill>
                </w14:textFill>
              </w:rPr>
            </w:pPr>
          </w:p>
        </w:tc>
      </w:tr>
      <w:tr w14:paraId="29A0E5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4B2E91CF">
            <w:pPr>
              <w:spacing w:line="360" w:lineRule="auto"/>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w:t>
            </w:r>
          </w:p>
        </w:tc>
        <w:tc>
          <w:tcPr>
            <w:tcW w:w="1065" w:type="dxa"/>
            <w:tcBorders>
              <w:top w:val="single" w:color="auto" w:sz="4" w:space="0"/>
              <w:left w:val="single" w:color="auto" w:sz="4" w:space="0"/>
              <w:bottom w:val="single" w:color="auto" w:sz="4" w:space="0"/>
              <w:right w:val="single" w:color="auto" w:sz="4" w:space="0"/>
            </w:tcBorders>
            <w:vAlign w:val="center"/>
          </w:tcPr>
          <w:p w14:paraId="549C9B06">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1005" w:type="dxa"/>
            <w:tcBorders>
              <w:top w:val="single" w:color="auto" w:sz="4" w:space="0"/>
              <w:left w:val="single" w:color="auto" w:sz="4" w:space="0"/>
              <w:bottom w:val="single" w:color="auto" w:sz="4" w:space="0"/>
              <w:right w:val="single" w:color="auto" w:sz="4" w:space="0"/>
            </w:tcBorders>
            <w:vAlign w:val="center"/>
          </w:tcPr>
          <w:p w14:paraId="16F41371">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vAlign w:val="center"/>
          </w:tcPr>
          <w:p w14:paraId="2C9A9CDC">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vAlign w:val="center"/>
          </w:tcPr>
          <w:p w14:paraId="42807059">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vAlign w:val="center"/>
          </w:tcPr>
          <w:p w14:paraId="5462EAA9">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71D1378C">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vAlign w:val="center"/>
          </w:tcPr>
          <w:p w14:paraId="024CF41E">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780" w:type="dxa"/>
            <w:tcBorders>
              <w:top w:val="single" w:color="auto" w:sz="4" w:space="0"/>
              <w:left w:val="single" w:color="auto" w:sz="4" w:space="0"/>
              <w:bottom w:val="single" w:color="auto" w:sz="4" w:space="0"/>
              <w:right w:val="single" w:color="auto" w:sz="4" w:space="0"/>
            </w:tcBorders>
            <w:vAlign w:val="center"/>
          </w:tcPr>
          <w:p w14:paraId="5D3DD8EC">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14:paraId="28B7AE27">
            <w:pPr>
              <w:spacing w:line="360" w:lineRule="auto"/>
              <w:jc w:val="center"/>
              <w:rPr>
                <w:rFonts w:ascii="宋体" w:hAnsi="宋体" w:cs="仿宋_GB2312"/>
                <w:color w:val="000000" w:themeColor="text1"/>
                <w:sz w:val="24"/>
                <w:highlight w:val="none"/>
                <w14:textFill>
                  <w14:solidFill>
                    <w14:schemeClr w14:val="tx1"/>
                  </w14:solidFill>
                </w14:textFill>
              </w:rPr>
            </w:pPr>
          </w:p>
        </w:tc>
      </w:tr>
      <w:tr w14:paraId="0B48A6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607" w:type="dxa"/>
            <w:tcBorders>
              <w:top w:val="single" w:color="auto" w:sz="4" w:space="0"/>
              <w:left w:val="single" w:color="auto" w:sz="4" w:space="0"/>
              <w:bottom w:val="single" w:color="auto" w:sz="4" w:space="0"/>
              <w:right w:val="single" w:color="auto" w:sz="4" w:space="0"/>
            </w:tcBorders>
            <w:vAlign w:val="center"/>
          </w:tcPr>
          <w:p w14:paraId="1C928AAB">
            <w:pPr>
              <w:spacing w:line="360" w:lineRule="auto"/>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w:t>
            </w:r>
          </w:p>
        </w:tc>
        <w:tc>
          <w:tcPr>
            <w:tcW w:w="1065" w:type="dxa"/>
            <w:tcBorders>
              <w:top w:val="single" w:color="auto" w:sz="4" w:space="0"/>
              <w:left w:val="single" w:color="auto" w:sz="4" w:space="0"/>
              <w:bottom w:val="single" w:color="auto" w:sz="4" w:space="0"/>
              <w:right w:val="single" w:color="auto" w:sz="4" w:space="0"/>
            </w:tcBorders>
            <w:vAlign w:val="center"/>
          </w:tcPr>
          <w:p w14:paraId="3CDE8A0E">
            <w:pPr>
              <w:spacing w:line="360" w:lineRule="auto"/>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w:t>
            </w:r>
          </w:p>
        </w:tc>
        <w:tc>
          <w:tcPr>
            <w:tcW w:w="1005" w:type="dxa"/>
            <w:tcBorders>
              <w:top w:val="single" w:color="auto" w:sz="4" w:space="0"/>
              <w:left w:val="single" w:color="auto" w:sz="4" w:space="0"/>
              <w:bottom w:val="single" w:color="auto" w:sz="4" w:space="0"/>
              <w:right w:val="single" w:color="auto" w:sz="4" w:space="0"/>
            </w:tcBorders>
            <w:vAlign w:val="center"/>
          </w:tcPr>
          <w:p w14:paraId="4062FCF3">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vAlign w:val="center"/>
          </w:tcPr>
          <w:p w14:paraId="308EC328">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vAlign w:val="center"/>
          </w:tcPr>
          <w:p w14:paraId="6FE196F1">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vAlign w:val="center"/>
          </w:tcPr>
          <w:p w14:paraId="3C688B58">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11B6891C">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vAlign w:val="center"/>
          </w:tcPr>
          <w:p w14:paraId="22B6BE5B">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780" w:type="dxa"/>
            <w:tcBorders>
              <w:top w:val="single" w:color="auto" w:sz="4" w:space="0"/>
              <w:left w:val="single" w:color="auto" w:sz="4" w:space="0"/>
              <w:bottom w:val="single" w:color="auto" w:sz="4" w:space="0"/>
              <w:right w:val="single" w:color="auto" w:sz="4" w:space="0"/>
            </w:tcBorders>
            <w:vAlign w:val="center"/>
          </w:tcPr>
          <w:p w14:paraId="57B171F6">
            <w:pPr>
              <w:spacing w:line="360" w:lineRule="auto"/>
              <w:jc w:val="center"/>
              <w:rPr>
                <w:rFonts w:ascii="宋体" w:hAnsi="宋体" w:cs="仿宋_GB2312"/>
                <w:color w:val="000000" w:themeColor="text1"/>
                <w:sz w:val="24"/>
                <w:highlight w:val="none"/>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14:paraId="4D6DE074">
            <w:pPr>
              <w:spacing w:line="360" w:lineRule="auto"/>
              <w:jc w:val="center"/>
              <w:rPr>
                <w:rFonts w:ascii="宋体" w:hAnsi="宋体" w:cs="仿宋_GB2312"/>
                <w:color w:val="000000" w:themeColor="text1"/>
                <w:sz w:val="24"/>
                <w:highlight w:val="none"/>
                <w14:textFill>
                  <w14:solidFill>
                    <w14:schemeClr w14:val="tx1"/>
                  </w14:solidFill>
                </w14:textFill>
              </w:rPr>
            </w:pPr>
          </w:p>
        </w:tc>
      </w:tr>
      <w:tr w14:paraId="5CDFFB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507" w:type="dxa"/>
            <w:gridSpan w:val="10"/>
            <w:tcBorders>
              <w:top w:val="single" w:color="auto" w:sz="4" w:space="0"/>
              <w:left w:val="single" w:color="auto" w:sz="4" w:space="0"/>
              <w:bottom w:val="single" w:color="auto" w:sz="4" w:space="0"/>
              <w:right w:val="single" w:color="auto" w:sz="4" w:space="0"/>
            </w:tcBorders>
          </w:tcPr>
          <w:p w14:paraId="7D1BAC44">
            <w:pPr>
              <w:snapToGrid w:val="0"/>
              <w:spacing w:before="50" w:after="50" w:line="360" w:lineRule="auto"/>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合计金额大写：</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u w:val="single"/>
                <w14:textFill>
                  <w14:solidFill>
                    <w14:schemeClr w14:val="tx1"/>
                  </w14:solidFill>
                </w14:textFill>
              </w:rPr>
              <w:t>人民币（¥</w:t>
            </w:r>
            <w:r>
              <w:rPr>
                <w:rFonts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w:t>
            </w:r>
          </w:p>
          <w:p w14:paraId="29AC9514">
            <w:pPr>
              <w:snapToGrid w:val="0"/>
              <w:spacing w:before="50" w:after="50" w:line="360" w:lineRule="auto"/>
              <w:rPr>
                <w:rFonts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u w:val="single"/>
                <w14:textFill>
                  <w14:solidFill>
                    <w14:schemeClr w14:val="tx1"/>
                  </w14:solidFill>
                </w14:textFill>
              </w:rPr>
              <w:t>竞标货物中，属于优先采购节能产品总值为¥</w:t>
            </w:r>
            <w:r>
              <w:rPr>
                <w:rFonts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u w:val="single"/>
                <w14:textFill>
                  <w14:solidFill>
                    <w14:schemeClr w14:val="tx1"/>
                  </w14:solidFill>
                </w14:textFill>
              </w:rPr>
              <w:t xml:space="preserve">（具体明细详见附表，附表格式自拟），占本竞标报价的比例为    %；属于优先采购环境标志产品总值为¥（ </w:t>
            </w:r>
            <w:r>
              <w:rPr>
                <w:rFonts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u w:val="single"/>
                <w14:textFill>
                  <w14:solidFill>
                    <w14:schemeClr w14:val="tx1"/>
                  </w14:solidFill>
                </w14:textFill>
              </w:rPr>
              <w:t>具体明细详见附表，附表格式自拟），占本竞标报价的比例为   %。</w:t>
            </w:r>
          </w:p>
        </w:tc>
      </w:tr>
    </w:tbl>
    <w:p w14:paraId="17B2EDAC">
      <w:pPr>
        <w:spacing w:line="360" w:lineRule="auto"/>
        <w:contextualSpacing/>
        <w:jc w:val="left"/>
        <w:rPr>
          <w:rFonts w:hint="eastAsia" w:ascii="宋体" w:hAnsi="宋体" w:eastAsia="宋体" w:cs="仿宋_GB2312"/>
          <w:color w:val="000000" w:themeColor="text1"/>
          <w:sz w:val="24"/>
          <w:highlight w:val="none"/>
          <w:lang w:eastAsia="zh-CN"/>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w:t>
      </w:r>
      <w:r>
        <w:rPr>
          <w:rFonts w:hint="eastAsia" w:ascii="宋体" w:hAnsi="宋体" w:cs="仿宋_GB2312"/>
          <w:color w:val="000000" w:themeColor="text1"/>
          <w:sz w:val="24"/>
          <w:highlight w:val="none"/>
          <w:lang w:eastAsia="zh-CN"/>
          <w14:textFill>
            <w14:solidFill>
              <w14:schemeClr w14:val="tx1"/>
            </w14:solidFill>
          </w14:textFill>
        </w:rPr>
        <w:t>：</w:t>
      </w:r>
    </w:p>
    <w:p w14:paraId="4654A58B">
      <w:pPr>
        <w:spacing w:line="360" w:lineRule="auto"/>
        <w:ind w:firstLine="480" w:firstLineChars="200"/>
        <w:contextualSpacing/>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w:t>
      </w:r>
      <w:r>
        <w:rPr>
          <w:rFonts w:ascii="宋体" w:hAnsi="宋体" w:cs="仿宋_GB2312"/>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以上竞标报价表中“货物名称、数量及单位、品牌、规格型号、制造商、原产地、参数性能、指标及配置”必须如实填写完整，品牌、规格型号没有则填无，填写有缺漏</w:t>
      </w:r>
      <w:r>
        <w:rPr>
          <w:rFonts w:hint="eastAsia" w:ascii="宋体" w:hAnsi="宋体"/>
          <w:bCs/>
          <w:color w:val="000000" w:themeColor="text1"/>
          <w:sz w:val="24"/>
          <w:highlight w:val="none"/>
          <w14:textFill>
            <w14:solidFill>
              <w14:schemeClr w14:val="tx1"/>
            </w14:solidFill>
          </w14:textFill>
        </w:rPr>
        <w:t>的，</w:t>
      </w:r>
      <w:r>
        <w:rPr>
          <w:rFonts w:hint="eastAsia" w:ascii="宋体" w:hAnsi="宋体" w:cs="仿宋_GB2312"/>
          <w:b/>
          <w:color w:val="000000" w:themeColor="text1"/>
          <w:sz w:val="24"/>
          <w:highlight w:val="none"/>
          <w14:textFill>
            <w14:solidFill>
              <w14:schemeClr w14:val="tx1"/>
            </w14:solidFill>
          </w14:textFill>
        </w:rPr>
        <w:t>其响应文件按无效处理</w:t>
      </w:r>
      <w:r>
        <w:rPr>
          <w:rFonts w:hint="eastAsia" w:ascii="宋体" w:hAnsi="宋体"/>
          <w:b/>
          <w:color w:val="000000" w:themeColor="text1"/>
          <w:sz w:val="24"/>
          <w:highlight w:val="none"/>
          <w14:textFill>
            <w14:solidFill>
              <w14:schemeClr w14:val="tx1"/>
            </w14:solidFill>
          </w14:textFill>
        </w:rPr>
        <w:t>。</w:t>
      </w:r>
    </w:p>
    <w:p w14:paraId="385F98F8">
      <w:pPr>
        <w:spacing w:line="360" w:lineRule="auto"/>
        <w:ind w:firstLine="480" w:firstLineChars="200"/>
        <w:contextualSpacing/>
        <w:jc w:val="left"/>
        <w:rPr>
          <w:rFonts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2</w:t>
      </w:r>
      <w:r>
        <w:rPr>
          <w:rFonts w:hint="eastAsia" w:ascii="宋体" w:hAnsi="宋体" w:cs="仿宋_GB2312"/>
          <w:color w:val="000000" w:themeColor="text1"/>
          <w:sz w:val="24"/>
          <w:highlight w:val="none"/>
          <w14:textFill>
            <w14:solidFill>
              <w14:schemeClr w14:val="tx1"/>
            </w14:solidFill>
          </w14:textFill>
        </w:rPr>
        <w:t>.供应商的报价表必须加盖供应商电子签章并由法定代表人或者委托代理人签字或者电子签名，</w:t>
      </w:r>
      <w:r>
        <w:rPr>
          <w:rFonts w:hint="eastAsia" w:ascii="宋体" w:hAnsi="宋体" w:cs="仿宋_GB2312"/>
          <w:b/>
          <w:color w:val="000000" w:themeColor="text1"/>
          <w:sz w:val="24"/>
          <w:highlight w:val="none"/>
          <w14:textFill>
            <w14:solidFill>
              <w14:schemeClr w14:val="tx1"/>
            </w14:solidFill>
          </w14:textFill>
        </w:rPr>
        <w:t>否则其响应文件按无效处理</w:t>
      </w:r>
      <w:r>
        <w:rPr>
          <w:rFonts w:hint="eastAsia" w:ascii="宋体" w:hAnsi="宋体" w:cs="仿宋_GB2312"/>
          <w:color w:val="000000" w:themeColor="text1"/>
          <w:sz w:val="24"/>
          <w:highlight w:val="none"/>
          <w14:textFill>
            <w14:solidFill>
              <w14:schemeClr w14:val="tx1"/>
            </w14:solidFill>
          </w14:textFill>
        </w:rPr>
        <w:t>。</w:t>
      </w:r>
    </w:p>
    <w:p w14:paraId="467C22E8">
      <w:pPr>
        <w:spacing w:line="360" w:lineRule="auto"/>
        <w:ind w:firstLine="480" w:firstLineChars="200"/>
        <w:contextualSpacing/>
        <w:jc w:val="left"/>
        <w:rPr>
          <w:rFonts w:ascii="宋体" w:hAnsi="宋体" w:cs="仿宋_GB2312"/>
          <w:b/>
          <w:color w:val="000000" w:themeColor="text1"/>
          <w:sz w:val="24"/>
          <w:highlight w:val="none"/>
          <w14:textFill>
            <w14:solidFill>
              <w14:schemeClr w14:val="tx1"/>
            </w14:solidFill>
          </w14:textFill>
        </w:rPr>
      </w:pPr>
      <w:r>
        <w:rPr>
          <w:rFonts w:ascii="宋体" w:hAnsi="宋体" w:cs="仿宋_GB2312"/>
          <w:bCs/>
          <w:color w:val="000000" w:themeColor="text1"/>
          <w:sz w:val="24"/>
          <w:highlight w:val="none"/>
          <w14:textFill>
            <w14:solidFill>
              <w14:schemeClr w14:val="tx1"/>
            </w14:solidFill>
          </w14:textFill>
        </w:rPr>
        <w:t>3</w:t>
      </w:r>
      <w:r>
        <w:rPr>
          <w:rFonts w:hint="eastAsia" w:ascii="宋体" w:hAnsi="宋体" w:cs="仿宋_GB2312"/>
          <w:bCs/>
          <w:color w:val="000000" w:themeColor="text1"/>
          <w:sz w:val="24"/>
          <w:highlight w:val="none"/>
          <w14:textFill>
            <w14:solidFill>
              <w14:schemeClr w14:val="tx1"/>
            </w14:solidFill>
          </w14:textFill>
        </w:rPr>
        <w:t>.</w:t>
      </w:r>
      <w:r>
        <w:rPr>
          <w:rFonts w:hint="eastAsia" w:ascii="宋体" w:hAnsi="宋体" w:cs="仿宋_GB2312"/>
          <w:color w:val="000000" w:themeColor="text1"/>
          <w:sz w:val="24"/>
          <w:highlight w:val="none"/>
          <w14:textFill>
            <w14:solidFill>
              <w14:schemeClr w14:val="tx1"/>
            </w14:solidFill>
          </w14:textFill>
        </w:rPr>
        <w:t>报价一经涂改，应在涂改处加盖供应商公章或者加盖电子签章或者由法定代表人或者授权委托人签字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2353FCB1">
      <w:pPr>
        <w:spacing w:line="360" w:lineRule="auto"/>
        <w:ind w:firstLine="480" w:firstLineChars="200"/>
        <w:contextualSpacing/>
        <w:jc w:val="left"/>
        <w:rPr>
          <w:rFonts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4</w:t>
      </w:r>
      <w:r>
        <w:rPr>
          <w:rFonts w:hint="eastAsia" w:ascii="宋体" w:hAnsi="宋体" w:cs="仿宋_GB2312"/>
          <w:color w:val="000000" w:themeColor="text1"/>
          <w:sz w:val="24"/>
          <w:highlight w:val="none"/>
          <w14:textFill>
            <w14:solidFill>
              <w14:schemeClr w14:val="tx1"/>
            </w14:solidFill>
          </w14:textFill>
        </w:rPr>
        <w:t>.谈判文件中列明采购专用耗材的，应按谈判文件规定的耗材量或者按耗材的常规试用量提供报价。</w:t>
      </w:r>
    </w:p>
    <w:p w14:paraId="6811E70B">
      <w:pPr>
        <w:spacing w:line="360" w:lineRule="auto"/>
        <w:ind w:firstLine="480" w:firstLineChars="200"/>
        <w:contextualSpacing/>
        <w:jc w:val="left"/>
        <w:rPr>
          <w:rFonts w:ascii="宋体" w:hAnsi="宋体" w:cs="仿宋_GB2312"/>
          <w:i/>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5</w:t>
      </w:r>
      <w:r>
        <w:rPr>
          <w:rFonts w:hint="eastAsia" w:ascii="宋体" w:hAnsi="宋体" w:cs="仿宋_GB2312"/>
          <w:color w:val="000000" w:themeColor="text1"/>
          <w:sz w:val="24"/>
          <w:highlight w:val="none"/>
          <w14:textFill>
            <w14:solidFill>
              <w14:schemeClr w14:val="tx1"/>
            </w14:solidFill>
          </w14:textFill>
        </w:rPr>
        <w:t>.如为联合体竞标，“供应商名称”处必须列明联合体各方名称，标注联合体牵头人名称，</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11D97B8C">
      <w:pPr>
        <w:spacing w:line="360" w:lineRule="auto"/>
        <w:ind w:firstLine="480" w:firstLineChars="200"/>
        <w:contextualSpacing/>
        <w:jc w:val="left"/>
        <w:rPr>
          <w:rFonts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6</w:t>
      </w:r>
      <w:r>
        <w:rPr>
          <w:rFonts w:hint="eastAsia" w:ascii="宋体" w:hAnsi="宋体" w:cs="仿宋_GB2312"/>
          <w:color w:val="000000" w:themeColor="text1"/>
          <w:sz w:val="24"/>
          <w:highlight w:val="none"/>
          <w14:textFill>
            <w14:solidFill>
              <w14:schemeClr w14:val="tx1"/>
            </w14:solidFill>
          </w14:textFill>
        </w:rPr>
        <w:t>.如为联合体竞标，</w:t>
      </w:r>
      <w:r>
        <w:rPr>
          <w:rFonts w:hint="eastAsia" w:ascii="宋体" w:hAnsi="宋体"/>
          <w:color w:val="000000" w:themeColor="text1"/>
          <w:spacing w:val="-6"/>
          <w:sz w:val="24"/>
          <w:highlight w:val="none"/>
          <w14:textFill>
            <w14:solidFill>
              <w14:schemeClr w14:val="tx1"/>
            </w14:solidFill>
          </w14:textFill>
        </w:rPr>
        <w:t>盖章处须加盖联合体牵头人电子签章</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5F656893">
      <w:pPr>
        <w:spacing w:line="360" w:lineRule="auto"/>
        <w:ind w:firstLine="480" w:firstLineChars="200"/>
        <w:contextualSpacing/>
        <w:rPr>
          <w:rFonts w:ascii="宋体" w:hAnsi="宋体" w:cs="仿宋_GB2312"/>
          <w:b/>
          <w:color w:val="000000" w:themeColor="text1"/>
          <w:spacing w:val="-6"/>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7</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color w:val="000000" w:themeColor="text1"/>
          <w:spacing w:val="-6"/>
          <w:sz w:val="24"/>
          <w:highlight w:val="none"/>
          <w14:textFill>
            <w14:solidFill>
              <w14:schemeClr w14:val="tx1"/>
            </w14:solidFill>
          </w14:textFill>
        </w:rPr>
        <w:t>如有多分标，分别列明各分标的报价表，</w:t>
      </w:r>
      <w:r>
        <w:rPr>
          <w:rFonts w:hint="eastAsia" w:ascii="宋体" w:hAnsi="宋体" w:cs="仿宋_GB2312"/>
          <w:b/>
          <w:color w:val="000000" w:themeColor="text1"/>
          <w:spacing w:val="-6"/>
          <w:sz w:val="24"/>
          <w:highlight w:val="none"/>
          <w14:textFill>
            <w14:solidFill>
              <w14:schemeClr w14:val="tx1"/>
            </w14:solidFill>
          </w14:textFill>
        </w:rPr>
        <w:t>否则其响应文件按无效处理。</w:t>
      </w:r>
    </w:p>
    <w:p w14:paraId="5069AA84">
      <w:pPr>
        <w:spacing w:line="450" w:lineRule="exact"/>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8.报价说明</w:t>
      </w:r>
    </w:p>
    <w:p w14:paraId="00BF5F00">
      <w:pPr>
        <w:spacing w:line="450" w:lineRule="exact"/>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8.1供应商报价（包含首次报价、最后报价）超过所竞标分标规定的采购预算金额或者最高限价的，其响应文件将作无效处理。</w:t>
      </w:r>
    </w:p>
    <w:p w14:paraId="48AC3CB2">
      <w:pPr>
        <w:spacing w:line="450" w:lineRule="exact"/>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8.2供应商报价（包含首次报价、最后报价）超过竞争性谈判文件分项货物采购预算金额或者最高限价的（如有要求），其响应文件将作无效处理。</w:t>
      </w:r>
    </w:p>
    <w:p w14:paraId="12A14D43">
      <w:pPr>
        <w:spacing w:line="360" w:lineRule="auto"/>
        <w:ind w:firstLine="482" w:firstLineChars="200"/>
        <w:contextualSpacing/>
        <w:rPr>
          <w:rFonts w:ascii="宋体" w:hAnsi="宋体" w:cs="仿宋_GB2312"/>
          <w:b/>
          <w:color w:val="000000" w:themeColor="text1"/>
          <w:sz w:val="24"/>
          <w:highlight w:val="none"/>
          <w14:textFill>
            <w14:solidFill>
              <w14:schemeClr w14:val="tx1"/>
            </w14:solidFill>
          </w14:textFill>
        </w:rPr>
      </w:pPr>
    </w:p>
    <w:p w14:paraId="511DC50D">
      <w:pPr>
        <w:spacing w:line="360" w:lineRule="auto"/>
        <w:ind w:right="-817" w:rightChars="-389" w:firstLine="2640" w:firstLineChars="1100"/>
        <w:contextualSpacing/>
        <w:rPr>
          <w:rFonts w:ascii="宋体" w:hAnsi="宋体" w:cs="仿宋_GB2312"/>
          <w:color w:val="000000" w:themeColor="text1"/>
          <w:sz w:val="24"/>
          <w:highlight w:val="none"/>
          <w14:textFill>
            <w14:solidFill>
              <w14:schemeClr w14:val="tx1"/>
            </w14:solidFill>
          </w14:textFill>
        </w:rPr>
      </w:pPr>
    </w:p>
    <w:p w14:paraId="7E1D6906">
      <w:pPr>
        <w:spacing w:line="360" w:lineRule="auto"/>
        <w:ind w:right="-817" w:rightChars="-389" w:firstLine="2640" w:firstLineChars="11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法定代表人或者委托代理人（签字或者电子签名）：</w:t>
      </w:r>
    </w:p>
    <w:p w14:paraId="4952FB32">
      <w:pPr>
        <w:spacing w:line="360" w:lineRule="auto"/>
        <w:ind w:right="-817" w:rightChars="-389" w:firstLine="2640" w:firstLineChars="11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14:paraId="0F7B9C49">
      <w:pPr>
        <w:spacing w:line="360" w:lineRule="auto"/>
        <w:ind w:right="-817" w:rightChars="-389" w:firstLine="2640" w:firstLineChars="11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w:t>
      </w:r>
    </w:p>
    <w:p w14:paraId="14275E4F">
      <w:pPr>
        <w:pStyle w:val="12"/>
        <w:rPr>
          <w:color w:val="000000" w:themeColor="text1"/>
          <w:highlight w:val="none"/>
          <w14:textFill>
            <w14:solidFill>
              <w14:schemeClr w14:val="tx1"/>
            </w14:solidFill>
          </w14:textFill>
        </w:rPr>
      </w:pPr>
    </w:p>
    <w:p w14:paraId="4559C29B">
      <w:pPr>
        <w:pStyle w:val="24"/>
        <w:rPr>
          <w:color w:val="000000" w:themeColor="text1"/>
          <w:highlight w:val="none"/>
          <w14:textFill>
            <w14:solidFill>
              <w14:schemeClr w14:val="tx1"/>
            </w14:solidFill>
          </w14:textFill>
        </w:rPr>
      </w:pPr>
    </w:p>
    <w:p w14:paraId="1F8BA035">
      <w:pPr>
        <w:rPr>
          <w:color w:val="000000" w:themeColor="text1"/>
          <w:highlight w:val="none"/>
          <w14:textFill>
            <w14:solidFill>
              <w14:schemeClr w14:val="tx1"/>
            </w14:solidFill>
          </w14:textFill>
        </w:rPr>
      </w:pPr>
    </w:p>
    <w:p w14:paraId="4A8DDA4F">
      <w:pPr>
        <w:pStyle w:val="12"/>
        <w:rPr>
          <w:color w:val="000000" w:themeColor="text1"/>
          <w:highlight w:val="none"/>
          <w14:textFill>
            <w14:solidFill>
              <w14:schemeClr w14:val="tx1"/>
            </w14:solidFill>
          </w14:textFill>
        </w:rPr>
      </w:pPr>
    </w:p>
    <w:p w14:paraId="3EFCE65C">
      <w:pPr>
        <w:rPr>
          <w:color w:val="000000" w:themeColor="text1"/>
          <w:highlight w:val="none"/>
          <w14:textFill>
            <w14:solidFill>
              <w14:schemeClr w14:val="tx1"/>
            </w14:solidFill>
          </w14:textFill>
        </w:rPr>
      </w:pPr>
    </w:p>
    <w:p w14:paraId="071E3336">
      <w:pPr>
        <w:pStyle w:val="12"/>
        <w:rPr>
          <w:color w:val="000000" w:themeColor="text1"/>
          <w:highlight w:val="none"/>
          <w14:textFill>
            <w14:solidFill>
              <w14:schemeClr w14:val="tx1"/>
            </w14:solidFill>
          </w14:textFill>
        </w:rPr>
      </w:pPr>
    </w:p>
    <w:p w14:paraId="2C9F65A7">
      <w:pPr>
        <w:pStyle w:val="24"/>
        <w:rPr>
          <w:color w:val="000000" w:themeColor="text1"/>
          <w:highlight w:val="none"/>
          <w14:textFill>
            <w14:solidFill>
              <w14:schemeClr w14:val="tx1"/>
            </w14:solidFill>
          </w14:textFill>
        </w:rPr>
      </w:pPr>
    </w:p>
    <w:p w14:paraId="7A0B72A2">
      <w:pPr>
        <w:rPr>
          <w:color w:val="000000" w:themeColor="text1"/>
          <w:highlight w:val="none"/>
          <w14:textFill>
            <w14:solidFill>
              <w14:schemeClr w14:val="tx1"/>
            </w14:solidFill>
          </w14:textFill>
        </w:rPr>
      </w:pPr>
    </w:p>
    <w:p w14:paraId="2439AF2F">
      <w:pPr>
        <w:pStyle w:val="12"/>
        <w:rPr>
          <w:color w:val="000000" w:themeColor="text1"/>
          <w:highlight w:val="none"/>
          <w14:textFill>
            <w14:solidFill>
              <w14:schemeClr w14:val="tx1"/>
            </w14:solidFill>
          </w14:textFill>
        </w:rPr>
      </w:pPr>
    </w:p>
    <w:p w14:paraId="54025B24">
      <w:pPr>
        <w:pStyle w:val="24"/>
        <w:rPr>
          <w:color w:val="000000" w:themeColor="text1"/>
          <w:highlight w:val="none"/>
          <w14:textFill>
            <w14:solidFill>
              <w14:schemeClr w14:val="tx1"/>
            </w14:solidFill>
          </w14:textFill>
        </w:rPr>
      </w:pPr>
    </w:p>
    <w:p w14:paraId="796F4F56">
      <w:pPr>
        <w:rPr>
          <w:color w:val="000000" w:themeColor="text1"/>
          <w:highlight w:val="none"/>
          <w14:textFill>
            <w14:solidFill>
              <w14:schemeClr w14:val="tx1"/>
            </w14:solidFill>
          </w14:textFill>
        </w:rPr>
      </w:pPr>
    </w:p>
    <w:p w14:paraId="36567349">
      <w:pPr>
        <w:pStyle w:val="81"/>
        <w:rPr>
          <w:color w:val="000000" w:themeColor="text1"/>
          <w:highlight w:val="none"/>
          <w14:textFill>
            <w14:solidFill>
              <w14:schemeClr w14:val="tx1"/>
            </w14:solidFill>
          </w14:textFill>
        </w:rPr>
      </w:pPr>
    </w:p>
    <w:p w14:paraId="1C8A0DDD">
      <w:pPr>
        <w:pStyle w:val="81"/>
        <w:rPr>
          <w:color w:val="000000" w:themeColor="text1"/>
          <w:highlight w:val="none"/>
          <w14:textFill>
            <w14:solidFill>
              <w14:schemeClr w14:val="tx1"/>
            </w14:solidFill>
          </w14:textFill>
        </w:rPr>
      </w:pPr>
    </w:p>
    <w:p w14:paraId="11086474">
      <w:pPr>
        <w:pStyle w:val="81"/>
        <w:rPr>
          <w:color w:val="000000" w:themeColor="text1"/>
          <w:highlight w:val="none"/>
          <w14:textFill>
            <w14:solidFill>
              <w14:schemeClr w14:val="tx1"/>
            </w14:solidFill>
          </w14:textFill>
        </w:rPr>
      </w:pPr>
    </w:p>
    <w:p w14:paraId="1B66E0C5">
      <w:pPr>
        <w:pStyle w:val="81"/>
        <w:rPr>
          <w:color w:val="000000" w:themeColor="text1"/>
          <w:highlight w:val="none"/>
          <w14:textFill>
            <w14:solidFill>
              <w14:schemeClr w14:val="tx1"/>
            </w14:solidFill>
          </w14:textFill>
        </w:rPr>
      </w:pPr>
    </w:p>
    <w:p w14:paraId="4A13255B">
      <w:pPr>
        <w:pStyle w:val="81"/>
        <w:rPr>
          <w:color w:val="000000" w:themeColor="text1"/>
          <w:highlight w:val="none"/>
          <w14:textFill>
            <w14:solidFill>
              <w14:schemeClr w14:val="tx1"/>
            </w14:solidFill>
          </w14:textFill>
        </w:rPr>
      </w:pPr>
    </w:p>
    <w:p w14:paraId="255B167E">
      <w:pPr>
        <w:pStyle w:val="81"/>
        <w:rPr>
          <w:color w:val="000000" w:themeColor="text1"/>
          <w:highlight w:val="none"/>
          <w14:textFill>
            <w14:solidFill>
              <w14:schemeClr w14:val="tx1"/>
            </w14:solidFill>
          </w14:textFill>
        </w:rPr>
      </w:pPr>
    </w:p>
    <w:p w14:paraId="1DA63222">
      <w:pPr>
        <w:pStyle w:val="81"/>
        <w:rPr>
          <w:color w:val="000000" w:themeColor="text1"/>
          <w:highlight w:val="none"/>
          <w14:textFill>
            <w14:solidFill>
              <w14:schemeClr w14:val="tx1"/>
            </w14:solidFill>
          </w14:textFill>
        </w:rPr>
      </w:pPr>
    </w:p>
    <w:p w14:paraId="3E439F96">
      <w:pPr>
        <w:pStyle w:val="12"/>
        <w:rPr>
          <w:color w:val="000000" w:themeColor="text1"/>
          <w:highlight w:val="none"/>
          <w14:textFill>
            <w14:solidFill>
              <w14:schemeClr w14:val="tx1"/>
            </w14:solidFill>
          </w14:textFill>
        </w:rPr>
      </w:pPr>
    </w:p>
    <w:p w14:paraId="434E1562">
      <w:pPr>
        <w:pStyle w:val="24"/>
        <w:rPr>
          <w:color w:val="000000" w:themeColor="text1"/>
          <w:highlight w:val="none"/>
          <w14:textFill>
            <w14:solidFill>
              <w14:schemeClr w14:val="tx1"/>
            </w14:solidFill>
          </w14:textFill>
        </w:rPr>
      </w:pPr>
    </w:p>
    <w:p w14:paraId="25972CEA">
      <w:pPr>
        <w:rPr>
          <w:color w:val="000000" w:themeColor="text1"/>
          <w:highlight w:val="none"/>
          <w14:textFill>
            <w14:solidFill>
              <w14:schemeClr w14:val="tx1"/>
            </w14:solidFill>
          </w14:textFill>
        </w:rPr>
      </w:pPr>
    </w:p>
    <w:p w14:paraId="33A2DE75">
      <w:pPr>
        <w:pStyle w:val="12"/>
        <w:rPr>
          <w:color w:val="000000" w:themeColor="text1"/>
          <w:highlight w:val="none"/>
          <w14:textFill>
            <w14:solidFill>
              <w14:schemeClr w14:val="tx1"/>
            </w14:solidFill>
          </w14:textFill>
        </w:rPr>
      </w:pPr>
    </w:p>
    <w:p w14:paraId="0A3CF2FE">
      <w:pPr>
        <w:pStyle w:val="24"/>
        <w:rPr>
          <w:color w:val="000000" w:themeColor="text1"/>
          <w:highlight w:val="none"/>
          <w14:textFill>
            <w14:solidFill>
              <w14:schemeClr w14:val="tx1"/>
            </w14:solidFill>
          </w14:textFill>
        </w:rPr>
      </w:pPr>
    </w:p>
    <w:p w14:paraId="5F42AE7F">
      <w:pPr>
        <w:rPr>
          <w:color w:val="000000" w:themeColor="text1"/>
          <w:highlight w:val="none"/>
          <w14:textFill>
            <w14:solidFill>
              <w14:schemeClr w14:val="tx1"/>
            </w14:solidFill>
          </w14:textFill>
        </w:rPr>
      </w:pPr>
    </w:p>
    <w:p w14:paraId="1C2D2F22">
      <w:pPr>
        <w:pStyle w:val="12"/>
        <w:rPr>
          <w:color w:val="000000" w:themeColor="text1"/>
          <w:highlight w:val="none"/>
          <w14:textFill>
            <w14:solidFill>
              <w14:schemeClr w14:val="tx1"/>
            </w14:solidFill>
          </w14:textFill>
        </w:rPr>
      </w:pPr>
    </w:p>
    <w:p w14:paraId="0C75DB89">
      <w:pPr>
        <w:pStyle w:val="24"/>
        <w:rPr>
          <w:color w:val="000000" w:themeColor="text1"/>
          <w:highlight w:val="none"/>
          <w14:textFill>
            <w14:solidFill>
              <w14:schemeClr w14:val="tx1"/>
            </w14:solidFill>
          </w14:textFill>
        </w:rPr>
      </w:pPr>
    </w:p>
    <w:p w14:paraId="2073C261">
      <w:pPr>
        <w:rPr>
          <w:color w:val="000000" w:themeColor="text1"/>
          <w:highlight w:val="none"/>
          <w14:textFill>
            <w14:solidFill>
              <w14:schemeClr w14:val="tx1"/>
            </w14:solidFill>
          </w14:textFill>
        </w:rPr>
      </w:pPr>
    </w:p>
    <w:p w14:paraId="36AD282E">
      <w:pPr>
        <w:spacing w:line="360" w:lineRule="auto"/>
        <w:ind w:right="420"/>
        <w:contextualSpacing/>
        <w:jc w:val="left"/>
        <w:rPr>
          <w:rFonts w:ascii="宋体" w:hAnsi="宋体"/>
          <w:b/>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三、</w:t>
      </w:r>
      <w:r>
        <w:rPr>
          <w:rFonts w:hint="eastAsia" w:ascii="宋体" w:hAnsi="宋体"/>
          <w:b/>
          <w:color w:val="000000" w:themeColor="text1"/>
          <w:sz w:val="32"/>
          <w:szCs w:val="32"/>
          <w:highlight w:val="none"/>
          <w14:textFill>
            <w14:solidFill>
              <w14:schemeClr w14:val="tx1"/>
            </w14:solidFill>
          </w14:textFill>
        </w:rPr>
        <w:t>商务技术文件格式</w:t>
      </w:r>
    </w:p>
    <w:p w14:paraId="2BEB48A6">
      <w:pPr>
        <w:snapToGrid w:val="0"/>
        <w:spacing w:before="120" w:beforeLines="50" w:after="50" w:line="360" w:lineRule="auto"/>
        <w:jc w:val="left"/>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1.商务技术文件封面格式</w:t>
      </w:r>
    </w:p>
    <w:p w14:paraId="7C4EDD45">
      <w:pPr>
        <w:snapToGrid w:val="0"/>
        <w:spacing w:before="120" w:beforeLines="50" w:after="50"/>
        <w:rPr>
          <w:rFonts w:ascii="宋体" w:hAnsi="宋体"/>
          <w:bCs/>
          <w:color w:val="000000" w:themeColor="text1"/>
          <w:sz w:val="32"/>
          <w:szCs w:val="20"/>
          <w:highlight w:val="none"/>
          <w14:textFill>
            <w14:solidFill>
              <w14:schemeClr w14:val="tx1"/>
            </w14:solidFill>
          </w14:textFill>
        </w:rPr>
      </w:pPr>
    </w:p>
    <w:p w14:paraId="788B9F84">
      <w:pPr>
        <w:snapToGrid w:val="0"/>
        <w:spacing w:before="120" w:beforeLines="50" w:after="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电子响应文件</w:t>
      </w:r>
    </w:p>
    <w:p w14:paraId="1F738A1C">
      <w:pPr>
        <w:snapToGrid w:val="0"/>
        <w:spacing w:before="120" w:beforeLines="50" w:after="50"/>
        <w:rPr>
          <w:rFonts w:ascii="宋体" w:hAnsi="宋体"/>
          <w:color w:val="000000" w:themeColor="text1"/>
          <w:sz w:val="24"/>
          <w:szCs w:val="20"/>
          <w:highlight w:val="none"/>
          <w14:textFill>
            <w14:solidFill>
              <w14:schemeClr w14:val="tx1"/>
            </w14:solidFill>
          </w14:textFill>
        </w:rPr>
      </w:pPr>
    </w:p>
    <w:p w14:paraId="2E861117">
      <w:pPr>
        <w:snapToGrid w:val="0"/>
        <w:spacing w:before="120" w:beforeLines="50" w:after="50"/>
        <w:rPr>
          <w:rFonts w:ascii="宋体" w:hAnsi="宋体"/>
          <w:color w:val="000000" w:themeColor="text1"/>
          <w:sz w:val="24"/>
          <w:szCs w:val="20"/>
          <w:highlight w:val="none"/>
          <w14:textFill>
            <w14:solidFill>
              <w14:schemeClr w14:val="tx1"/>
            </w14:solidFill>
          </w14:textFill>
        </w:rPr>
      </w:pPr>
    </w:p>
    <w:p w14:paraId="684A6CAE">
      <w:pPr>
        <w:snapToGrid w:val="0"/>
        <w:spacing w:before="120" w:beforeLines="50" w:after="5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商务技术文件</w:t>
      </w:r>
    </w:p>
    <w:p w14:paraId="0A383A70">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2A268B64">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23BE57B7">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5837DFE5">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72953AEA">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62022455">
      <w:pPr>
        <w:snapToGrid w:val="0"/>
        <w:spacing w:before="120" w:beforeLines="50" w:after="50"/>
        <w:ind w:firstLine="640" w:firstLineChars="20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14:paraId="0738BE81">
      <w:pPr>
        <w:snapToGrid w:val="0"/>
        <w:spacing w:before="120" w:beforeLines="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26F10460">
      <w:pPr>
        <w:snapToGrid w:val="0"/>
        <w:spacing w:before="120" w:beforeLines="50" w:after="50"/>
        <w:ind w:firstLine="640" w:firstLineChars="20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14:paraId="0741A27B">
      <w:pPr>
        <w:snapToGrid w:val="0"/>
        <w:spacing w:before="120" w:beforeLines="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7C0306B9">
      <w:pPr>
        <w:snapToGrid w:val="0"/>
        <w:spacing w:before="120" w:beforeLines="50" w:after="50"/>
        <w:ind w:firstLine="640" w:firstLineChars="20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所竞分标（如有则填写，无分标时填写“无”或者留空）：</w:t>
      </w:r>
    </w:p>
    <w:p w14:paraId="1B25D056">
      <w:pPr>
        <w:snapToGrid w:val="0"/>
        <w:spacing w:before="120" w:beforeLines="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14B620BA">
      <w:pPr>
        <w:pStyle w:val="7"/>
        <w:snapToGrid w:val="0"/>
        <w:spacing w:before="50" w:after="50"/>
        <w:ind w:firstLine="640" w:firstLineChars="20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2A123CDD">
      <w:pPr>
        <w:pStyle w:val="7"/>
        <w:snapToGrid w:val="0"/>
        <w:spacing w:before="50" w:after="50"/>
        <w:ind w:firstLine="640" w:firstLineChars="200"/>
        <w:rPr>
          <w:rFonts w:ascii="宋体" w:hAnsi="宋体" w:cs="仿宋_GB2312"/>
          <w:bCs/>
          <w:color w:val="000000" w:themeColor="text1"/>
          <w:sz w:val="32"/>
          <w:szCs w:val="32"/>
          <w:highlight w:val="none"/>
          <w14:textFill>
            <w14:solidFill>
              <w14:schemeClr w14:val="tx1"/>
            </w14:solidFill>
          </w14:textFill>
        </w:rPr>
      </w:pPr>
    </w:p>
    <w:p w14:paraId="18B5B418">
      <w:pPr>
        <w:pStyle w:val="7"/>
        <w:snapToGrid w:val="0"/>
        <w:spacing w:before="50" w:after="50"/>
        <w:ind w:firstLine="720" w:firstLineChars="225"/>
        <w:rPr>
          <w:rFonts w:ascii="宋体" w:hAnsi="宋体" w:cs="仿宋_GB2312"/>
          <w:bCs/>
          <w:color w:val="000000" w:themeColor="text1"/>
          <w:sz w:val="32"/>
          <w:szCs w:val="32"/>
          <w:highlight w:val="none"/>
          <w14:textFill>
            <w14:solidFill>
              <w14:schemeClr w14:val="tx1"/>
            </w14:solidFill>
          </w14:textFill>
        </w:rPr>
      </w:pPr>
    </w:p>
    <w:p w14:paraId="0DCAACFA">
      <w:pPr>
        <w:pStyle w:val="7"/>
        <w:snapToGrid w:val="0"/>
        <w:spacing w:before="50" w:after="50"/>
        <w:ind w:firstLine="0"/>
        <w:rPr>
          <w:rFonts w:ascii="宋体" w:hAnsi="宋体" w:cs="仿宋_GB2312"/>
          <w:bCs/>
          <w:color w:val="000000" w:themeColor="text1"/>
          <w:sz w:val="32"/>
          <w:szCs w:val="32"/>
          <w:highlight w:val="none"/>
          <w14:textFill>
            <w14:solidFill>
              <w14:schemeClr w14:val="tx1"/>
            </w14:solidFill>
          </w14:textFill>
        </w:rPr>
      </w:pPr>
    </w:p>
    <w:p w14:paraId="335AA566">
      <w:pPr>
        <w:pStyle w:val="7"/>
        <w:snapToGrid w:val="0"/>
        <w:spacing w:before="50" w:after="50"/>
        <w:ind w:firstLine="1280" w:firstLineChars="400"/>
        <w:rPr>
          <w:rFonts w:ascii="宋体" w:hAnsi="宋体" w:cs="仿宋_GB2312"/>
          <w:bCs/>
          <w:color w:val="000000" w:themeColor="text1"/>
          <w:sz w:val="32"/>
          <w:szCs w:val="32"/>
          <w:highlight w:val="none"/>
          <w14:textFill>
            <w14:solidFill>
              <w14:schemeClr w14:val="tx1"/>
            </w14:solidFill>
          </w14:textFill>
        </w:rPr>
      </w:pPr>
    </w:p>
    <w:p w14:paraId="378804D5">
      <w:pPr>
        <w:snapToGrid w:val="0"/>
        <w:spacing w:before="120" w:beforeLines="50" w:after="50"/>
        <w:jc w:val="center"/>
        <w:rPr>
          <w:rFonts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w:t>
      </w:r>
      <w:r>
        <w:rPr>
          <w:rFonts w:hint="eastAsia" w:ascii="宋体" w:hAnsi="宋体" w:cs="仿宋_GB2312"/>
          <w:color w:val="000000" w:themeColor="text1"/>
          <w:sz w:val="32"/>
          <w:szCs w:val="32"/>
          <w:highlight w:val="none"/>
          <w:lang w:val="en-US" w:eastAsia="zh-CN"/>
          <w14:textFill>
            <w14:solidFill>
              <w14:schemeClr w14:val="tx1"/>
            </w14:solidFill>
          </w14:textFill>
        </w:rPr>
        <w:t xml:space="preserve">  </w:t>
      </w:r>
      <w:r>
        <w:rPr>
          <w:rFonts w:hint="eastAsia" w:ascii="宋体" w:hAnsi="宋体" w:cs="仿宋_GB2312"/>
          <w:color w:val="000000" w:themeColor="text1"/>
          <w:sz w:val="32"/>
          <w:szCs w:val="32"/>
          <w:highlight w:val="none"/>
          <w14:textFill>
            <w14:solidFill>
              <w14:schemeClr w14:val="tx1"/>
            </w14:solidFill>
          </w14:textFill>
        </w:rPr>
        <w:t>月</w:t>
      </w:r>
      <w:r>
        <w:rPr>
          <w:rFonts w:hint="eastAsia" w:ascii="宋体" w:hAnsi="宋体" w:cs="仿宋_GB2312"/>
          <w:color w:val="000000" w:themeColor="text1"/>
          <w:sz w:val="32"/>
          <w:szCs w:val="32"/>
          <w:highlight w:val="none"/>
          <w:lang w:val="en-US" w:eastAsia="zh-CN"/>
          <w14:textFill>
            <w14:solidFill>
              <w14:schemeClr w14:val="tx1"/>
            </w14:solidFill>
          </w14:textFill>
        </w:rPr>
        <w:t xml:space="preserve">  </w:t>
      </w:r>
      <w:r>
        <w:rPr>
          <w:rFonts w:hint="eastAsia" w:ascii="宋体" w:hAnsi="宋体" w:cs="仿宋_GB2312"/>
          <w:color w:val="000000" w:themeColor="text1"/>
          <w:sz w:val="32"/>
          <w:szCs w:val="32"/>
          <w:highlight w:val="none"/>
          <w14:textFill>
            <w14:solidFill>
              <w14:schemeClr w14:val="tx1"/>
            </w14:solidFill>
          </w14:textFill>
        </w:rPr>
        <w:t>日</w:t>
      </w:r>
    </w:p>
    <w:p w14:paraId="782E43DB">
      <w:pPr>
        <w:snapToGrid w:val="0"/>
        <w:spacing w:before="120" w:beforeLines="50" w:after="50" w:line="360" w:lineRule="auto"/>
        <w:ind w:left="142"/>
        <w:jc w:val="left"/>
        <w:rPr>
          <w:rFonts w:ascii="宋体" w:hAnsi="宋体"/>
          <w:b/>
          <w:bCs/>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r>
      <w:r>
        <w:rPr>
          <w:rFonts w:hint="eastAsia" w:ascii="宋体" w:hAnsi="宋体"/>
          <w:b/>
          <w:bCs/>
          <w:color w:val="000000" w:themeColor="text1"/>
          <w:sz w:val="32"/>
          <w:szCs w:val="32"/>
          <w:highlight w:val="none"/>
          <w14:textFill>
            <w14:solidFill>
              <w14:schemeClr w14:val="tx1"/>
            </w14:solidFill>
          </w14:textFill>
        </w:rPr>
        <w:t>2.商务技术文件目录</w:t>
      </w:r>
    </w:p>
    <w:p w14:paraId="21EE18A7">
      <w:pPr>
        <w:snapToGrid w:val="0"/>
        <w:spacing w:before="120" w:beforeLines="50" w:after="50" w:line="360" w:lineRule="auto"/>
        <w:ind w:firstLine="640" w:firstLineChars="200"/>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根据谈判文件规定及供应商提供的材料自行编写目录（部分格式后附）。</w:t>
      </w:r>
    </w:p>
    <w:p w14:paraId="46348E51">
      <w:pPr>
        <w:spacing w:line="400" w:lineRule="exact"/>
        <w:rPr>
          <w:rFonts w:ascii="仿宋_GB2312" w:hAnsi="仿宋_GB2312" w:eastAsia="仿宋_GB2312" w:cs="仿宋_GB2312"/>
          <w:color w:val="000000" w:themeColor="text1"/>
          <w:sz w:val="32"/>
          <w:szCs w:val="32"/>
          <w:highlight w:val="none"/>
          <w14:textFill>
            <w14:solidFill>
              <w14:schemeClr w14:val="tx1"/>
            </w14:solidFill>
          </w14:textFill>
        </w:rPr>
      </w:pPr>
    </w:p>
    <w:p w14:paraId="6944967C">
      <w:pPr>
        <w:spacing w:line="52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无串通竞标行为的承诺函</w:t>
      </w:r>
    </w:p>
    <w:p w14:paraId="074E03D1">
      <w:pPr>
        <w:spacing w:line="360" w:lineRule="auto"/>
        <w:ind w:firstLine="640" w:firstLineChars="200"/>
        <w:contextualSpacing/>
        <w:rPr>
          <w:rFonts w:ascii="仿宋_GB2312" w:hAnsi="仿宋_GB2312" w:eastAsia="仿宋_GB2312" w:cs="仿宋_GB2312"/>
          <w:color w:val="000000" w:themeColor="text1"/>
          <w:sz w:val="32"/>
          <w:szCs w:val="32"/>
          <w:highlight w:val="none"/>
          <w14:textFill>
            <w14:solidFill>
              <w14:schemeClr w14:val="tx1"/>
            </w14:solidFill>
          </w14:textFill>
        </w:rPr>
      </w:pPr>
    </w:p>
    <w:p w14:paraId="56F52A90">
      <w:pPr>
        <w:spacing w:line="360" w:lineRule="auto"/>
        <w:ind w:firstLine="482" w:firstLineChars="200"/>
        <w:contextualSpacing/>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一、我方承诺无下列相互串通竞标的情形：</w:t>
      </w:r>
    </w:p>
    <w:p w14:paraId="166EB4A6">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1.不同供应商的响应文件由同一单位或者个人编制；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szCs w:val="21"/>
          <w:highlight w:val="none"/>
        </w:rPr>
        <w:t>或不同供应商报名的IP地址一致的；</w:t>
      </w:r>
    </w:p>
    <w:p w14:paraId="30151215">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2.不同供应商委托同一单位或者个人办理竞标事宜；</w:t>
      </w:r>
    </w:p>
    <w:p w14:paraId="336377F0">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3.不同的供应商的响应文件载明的项目管理员为同一个人；</w:t>
      </w:r>
    </w:p>
    <w:p w14:paraId="09FCF088">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4.不</w:t>
      </w:r>
      <w:r>
        <w:rPr>
          <w:rFonts w:hint="eastAsia" w:ascii="宋体" w:hAnsi="宋体" w:cs="仿宋_GB2312"/>
          <w:color w:val="000000" w:themeColor="text1"/>
          <w:spacing w:val="-6"/>
          <w:sz w:val="24"/>
          <w:highlight w:val="none"/>
          <w14:textFill>
            <w14:solidFill>
              <w14:schemeClr w14:val="tx1"/>
            </w14:solidFill>
          </w14:textFill>
        </w:rPr>
        <w:t>同供应商的响应文件异常一致或者竞标报价呈规律性差异；</w:t>
      </w:r>
    </w:p>
    <w:p w14:paraId="47A449AD">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5.不同供应商的响应文件相互混装；</w:t>
      </w:r>
    </w:p>
    <w:p w14:paraId="04AB5B80">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6.不同供应商的竞标保证金从同一单位或者个人账户转出。</w:t>
      </w:r>
    </w:p>
    <w:p w14:paraId="3CE1F552">
      <w:pPr>
        <w:spacing w:line="360" w:lineRule="auto"/>
        <w:ind w:firstLine="482" w:firstLineChars="200"/>
        <w:contextualSpacing/>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二、我方承诺无下列恶意串通的情形：</w:t>
      </w:r>
    </w:p>
    <w:p w14:paraId="438D30FE">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1.供应商直接或者间接从采购人或者采购代理机构处获得其他供应商的相关信息并修改其响应文件；</w:t>
      </w:r>
    </w:p>
    <w:p w14:paraId="1A9D50D3">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2.供应商按照采购人或者采购代理机构的授意撤换、修改响应文件；</w:t>
      </w:r>
    </w:p>
    <w:p w14:paraId="20326C3F">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3.供</w:t>
      </w:r>
      <w:r>
        <w:rPr>
          <w:rFonts w:hint="eastAsia" w:ascii="宋体" w:hAnsi="宋体" w:cs="仿宋_GB2312"/>
          <w:color w:val="000000" w:themeColor="text1"/>
          <w:spacing w:val="-6"/>
          <w:sz w:val="24"/>
          <w:highlight w:val="none"/>
          <w14:textFill>
            <w14:solidFill>
              <w14:schemeClr w14:val="tx1"/>
            </w14:solidFill>
          </w14:textFill>
        </w:rPr>
        <w:t>应商之间协商报价、技术方案等响应文件的实质性内容；</w:t>
      </w:r>
    </w:p>
    <w:p w14:paraId="496F6C33">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4.属于同一集团、协会、商会等组织成员的供应商按照该组织要求协同参加政府采购活动；</w:t>
      </w:r>
    </w:p>
    <w:p w14:paraId="5296CD06">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5.供应商之间事先约定一致抬高或者压低竞标报价，或者在竞争性谈判项目中事先约定轮流以高价位或者低价位成交，或者事先约定由某一特定供应商成交，然后再参加竞标；</w:t>
      </w:r>
    </w:p>
    <w:p w14:paraId="7E44399D">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6.供应商之间商定部分供应商放弃参加政府采购活动或者放弃成交；</w:t>
      </w:r>
    </w:p>
    <w:p w14:paraId="1A634575">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7.供应商与采购人或者采购代理机构之间、供应商相互之间，为</w:t>
      </w:r>
      <w:r>
        <w:rPr>
          <w:rFonts w:hint="eastAsia" w:ascii="宋体" w:hAnsi="宋体" w:cs="仿宋_GB2312"/>
          <w:color w:val="000000" w:themeColor="text1"/>
          <w:spacing w:val="-6"/>
          <w:sz w:val="24"/>
          <w:highlight w:val="none"/>
          <w14:textFill>
            <w14:solidFill>
              <w14:schemeClr w14:val="tx1"/>
            </w14:solidFill>
          </w14:textFill>
        </w:rPr>
        <w:t>谋求特定供应商成交或者排斥其他供应商的其他串通行为。</w:t>
      </w:r>
    </w:p>
    <w:p w14:paraId="6D6C5213">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p>
    <w:p w14:paraId="6F95820F">
      <w:pPr>
        <w:spacing w:line="360" w:lineRule="auto"/>
        <w:ind w:firstLine="482" w:firstLineChars="200"/>
        <w:contextualSpacing/>
        <w:rPr>
          <w:rFonts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以上情形一经核查属实，我方愿意承担一切后果，并不再寻求任何旨在减轻或者免除法律责任的辩解。</w:t>
      </w:r>
    </w:p>
    <w:p w14:paraId="55AB6DA9">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p>
    <w:p w14:paraId="2C9AE21C">
      <w:pPr>
        <w:spacing w:line="360" w:lineRule="auto"/>
        <w:contextualSpacing/>
        <w:rPr>
          <w:rFonts w:ascii="宋体" w:hAnsi="宋体" w:cs="仿宋_GB2312"/>
          <w:color w:val="000000" w:themeColor="text1"/>
          <w:sz w:val="24"/>
          <w:highlight w:val="none"/>
          <w14:textFill>
            <w14:solidFill>
              <w14:schemeClr w14:val="tx1"/>
            </w14:solidFill>
          </w14:textFill>
        </w:rPr>
      </w:pPr>
    </w:p>
    <w:p w14:paraId="4CE10D5C">
      <w:pPr>
        <w:spacing w:line="360" w:lineRule="auto"/>
        <w:ind w:firstLine="3600" w:firstLineChars="15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14:paraId="70CA5D4F">
      <w:pPr>
        <w:spacing w:line="360" w:lineRule="auto"/>
        <w:ind w:firstLine="480" w:firstLineChars="200"/>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w:t>
      </w:r>
    </w:p>
    <w:p w14:paraId="77AB3EF2">
      <w:pPr>
        <w:spacing w:before="240" w:beforeLines="100" w:after="120" w:afterLines="50" w:line="520" w:lineRule="exact"/>
        <w:ind w:left="540"/>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法定代表人证明书</w:t>
      </w:r>
    </w:p>
    <w:p w14:paraId="7F9AC3BE">
      <w:pPr>
        <w:spacing w:line="360" w:lineRule="auto"/>
        <w:ind w:left="540"/>
        <w:contextualSpacing/>
        <w:rPr>
          <w:rFonts w:ascii="仿宋_GB2312" w:hAnsi="仿宋_GB2312" w:eastAsia="仿宋_GB2312" w:cs="仿宋_GB2312"/>
          <w:color w:val="000000" w:themeColor="text1"/>
          <w:sz w:val="32"/>
          <w:szCs w:val="32"/>
          <w:highlight w:val="none"/>
          <w14:textFill>
            <w14:solidFill>
              <w14:schemeClr w14:val="tx1"/>
            </w14:solidFill>
          </w14:textFill>
        </w:rPr>
      </w:pPr>
    </w:p>
    <w:p w14:paraId="6F545DB6">
      <w:pPr>
        <w:spacing w:line="360" w:lineRule="auto"/>
        <w:ind w:left="5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供应商名称：</w:t>
      </w:r>
    </w:p>
    <w:p w14:paraId="129BFB8B">
      <w:pPr>
        <w:spacing w:line="360" w:lineRule="auto"/>
        <w:ind w:left="5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地址：</w:t>
      </w:r>
    </w:p>
    <w:p w14:paraId="050DB0AF">
      <w:pPr>
        <w:spacing w:line="360" w:lineRule="auto"/>
        <w:ind w:left="5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姓名：</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性别：</w:t>
      </w:r>
    </w:p>
    <w:p w14:paraId="793FCAFD">
      <w:pPr>
        <w:spacing w:line="360" w:lineRule="auto"/>
        <w:ind w:left="540"/>
        <w:contextualSpacing/>
        <w:rPr>
          <w:rFonts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年龄：</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职务：</w:t>
      </w:r>
    </w:p>
    <w:p w14:paraId="1F5B4C90">
      <w:pPr>
        <w:spacing w:line="360" w:lineRule="auto"/>
        <w:ind w:left="5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身份证号码：</w:t>
      </w:r>
    </w:p>
    <w:p w14:paraId="0C950582">
      <w:pPr>
        <w:spacing w:line="360" w:lineRule="auto"/>
        <w:ind w:left="5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系</w:t>
      </w:r>
      <w:r>
        <w:rPr>
          <w:rFonts w:hint="eastAsia" w:ascii="宋体" w:hAnsi="宋体" w:cs="仿宋_GB2312"/>
          <w:color w:val="000000" w:themeColor="text1"/>
          <w:sz w:val="24"/>
          <w:highlight w:val="none"/>
          <w:u w:val="single"/>
          <w14:textFill>
            <w14:solidFill>
              <w14:schemeClr w14:val="tx1"/>
            </w14:solidFill>
          </w14:textFill>
        </w:rPr>
        <w:t>（供应商名称）</w:t>
      </w:r>
      <w:r>
        <w:rPr>
          <w:rFonts w:hint="eastAsia" w:ascii="宋体" w:hAnsi="宋体" w:cs="仿宋_GB2312"/>
          <w:color w:val="000000" w:themeColor="text1"/>
          <w:sz w:val="24"/>
          <w:highlight w:val="none"/>
          <w14:textFill>
            <w14:solidFill>
              <w14:schemeClr w14:val="tx1"/>
            </w14:solidFill>
          </w14:textFill>
        </w:rPr>
        <w:t>的法定代表人。</w:t>
      </w:r>
    </w:p>
    <w:p w14:paraId="4C0113DC">
      <w:pPr>
        <w:spacing w:line="360" w:lineRule="auto"/>
        <w:ind w:left="5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特此证明。</w:t>
      </w:r>
    </w:p>
    <w:p w14:paraId="6063AB46">
      <w:pPr>
        <w:spacing w:line="360" w:lineRule="auto"/>
        <w:ind w:left="540"/>
        <w:contextualSpacing/>
        <w:rPr>
          <w:rFonts w:ascii="宋体" w:hAnsi="宋体" w:cs="仿宋_GB2312"/>
          <w:color w:val="000000" w:themeColor="text1"/>
          <w:sz w:val="24"/>
          <w:highlight w:val="none"/>
          <w14:textFill>
            <w14:solidFill>
              <w14:schemeClr w14:val="tx1"/>
            </w14:solidFill>
          </w14:textFill>
        </w:rPr>
      </w:pPr>
    </w:p>
    <w:p w14:paraId="6AAE79CA">
      <w:pPr>
        <w:spacing w:line="360" w:lineRule="auto"/>
        <w:ind w:left="540"/>
        <w:contextualSpacing/>
        <w:rPr>
          <w:rFonts w:ascii="宋体" w:hAnsi="宋体" w:cs="仿宋_GB2312"/>
          <w:color w:val="000000" w:themeColor="text1"/>
          <w:sz w:val="24"/>
          <w:highlight w:val="none"/>
          <w14:textFill>
            <w14:solidFill>
              <w14:schemeClr w14:val="tx1"/>
            </w14:solidFill>
          </w14:textFill>
        </w:rPr>
      </w:pPr>
    </w:p>
    <w:p w14:paraId="428320A9">
      <w:pPr>
        <w:spacing w:line="360" w:lineRule="auto"/>
        <w:ind w:left="540"/>
        <w:contextualSpacing/>
        <w:rPr>
          <w:rFonts w:ascii="宋体" w:hAnsi="宋体" w:cs="仿宋_GB2312"/>
          <w:color w:val="000000" w:themeColor="text1"/>
          <w:sz w:val="24"/>
          <w:highlight w:val="none"/>
          <w14:textFill>
            <w14:solidFill>
              <w14:schemeClr w14:val="tx1"/>
            </w14:solidFill>
          </w14:textFill>
        </w:rPr>
      </w:pPr>
    </w:p>
    <w:p w14:paraId="3B88CAE9">
      <w:pPr>
        <w:spacing w:line="360" w:lineRule="auto"/>
        <w:ind w:left="5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附件：法定代表人有效身份证正反面复印件</w:t>
      </w:r>
    </w:p>
    <w:p w14:paraId="09DD2C7B">
      <w:pPr>
        <w:spacing w:line="360" w:lineRule="auto"/>
        <w:ind w:left="540"/>
        <w:contextualSpacing/>
        <w:rPr>
          <w:rFonts w:ascii="宋体" w:hAnsi="宋体" w:cs="仿宋_GB2312"/>
          <w:color w:val="000000" w:themeColor="text1"/>
          <w:sz w:val="24"/>
          <w:highlight w:val="none"/>
          <w14:textFill>
            <w14:solidFill>
              <w14:schemeClr w14:val="tx1"/>
            </w14:solidFill>
          </w14:textFill>
        </w:rPr>
      </w:pPr>
    </w:p>
    <w:p w14:paraId="05002A60">
      <w:pPr>
        <w:spacing w:line="360" w:lineRule="auto"/>
        <w:ind w:left="540"/>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供应商（电子签章）：</w:t>
      </w:r>
    </w:p>
    <w:p w14:paraId="7266677C">
      <w:pPr>
        <w:spacing w:line="360" w:lineRule="auto"/>
        <w:ind w:firstLine="6960" w:firstLineChars="29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w:t>
      </w:r>
    </w:p>
    <w:p w14:paraId="5D9CEC3E">
      <w:pPr>
        <w:spacing w:line="360" w:lineRule="auto"/>
        <w:contextualSpacing/>
        <w:jc w:val="center"/>
        <w:rPr>
          <w:rFonts w:ascii="宋体" w:hAnsi="宋体" w:cs="仿宋_GB2312"/>
          <w:b/>
          <w:color w:val="000000" w:themeColor="text1"/>
          <w:sz w:val="24"/>
          <w:highlight w:val="none"/>
          <w14:textFill>
            <w14:solidFill>
              <w14:schemeClr w14:val="tx1"/>
            </w14:solidFill>
          </w14:textFill>
        </w:rPr>
      </w:pPr>
    </w:p>
    <w:p w14:paraId="681FEB73">
      <w:pPr>
        <w:spacing w:line="360" w:lineRule="auto"/>
        <w:contextualSpacing/>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注：自然人竞标的无需提供，联合体竞标的只需牵头人出具。</w:t>
      </w:r>
    </w:p>
    <w:p w14:paraId="2B988E51">
      <w:pPr>
        <w:adjustRightInd w:val="0"/>
        <w:snapToGrid w:val="0"/>
        <w:spacing w:line="300" w:lineRule="auto"/>
        <w:jc w:val="left"/>
        <w:rPr>
          <w:rFonts w:ascii="宋体" w:hAnsi="宋体"/>
          <w:b/>
          <w:color w:val="000000" w:themeColor="text1"/>
          <w:szCs w:val="21"/>
          <w:highlight w:val="none"/>
          <w14:textFill>
            <w14:solidFill>
              <w14:schemeClr w14:val="tx1"/>
            </w14:solidFill>
          </w14:textFill>
        </w:rPr>
      </w:pPr>
    </w:p>
    <w:p w14:paraId="169896B7">
      <w:pPr>
        <w:spacing w:line="520" w:lineRule="exact"/>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授权委托书</w:t>
      </w:r>
    </w:p>
    <w:p w14:paraId="76DAA36C">
      <w:pPr>
        <w:spacing w:line="520" w:lineRule="exact"/>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（非联合体竞标格式）</w:t>
      </w:r>
    </w:p>
    <w:p w14:paraId="3CBC683C">
      <w:pPr>
        <w:spacing w:line="520" w:lineRule="exact"/>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（如有委托时）</w:t>
      </w:r>
    </w:p>
    <w:p w14:paraId="22F7A555">
      <w:pPr>
        <w:spacing w:line="360" w:lineRule="auto"/>
        <w:contextualSpacing/>
        <w:rPr>
          <w:rFonts w:ascii="仿宋_GB2312" w:hAnsi="仿宋_GB2312" w:eastAsia="仿宋_GB2312" w:cs="仿宋_GB2312"/>
          <w:color w:val="000000" w:themeColor="text1"/>
          <w:sz w:val="32"/>
          <w:szCs w:val="32"/>
          <w:highlight w:val="none"/>
          <w14:textFill>
            <w14:solidFill>
              <w14:schemeClr w14:val="tx1"/>
            </w14:solidFill>
          </w14:textFill>
        </w:rPr>
      </w:pPr>
    </w:p>
    <w:p w14:paraId="118E7810">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致：</w:t>
      </w:r>
      <w:r>
        <w:rPr>
          <w:rFonts w:hint="eastAsia" w:ascii="宋体" w:hAnsi="宋体" w:eastAsia="宋体" w:cs="仿宋_GB2312"/>
          <w:color w:val="000000" w:themeColor="text1"/>
          <w:sz w:val="24"/>
          <w:highlight w:val="none"/>
          <w:u w:val="single"/>
          <w14:textFill>
            <w14:solidFill>
              <w14:schemeClr w14:val="tx1"/>
            </w14:solidFill>
          </w14:textFill>
        </w:rPr>
        <w:t>（采购人名称）：</w:t>
      </w:r>
    </w:p>
    <w:p w14:paraId="21A0AA8C">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我</w:t>
      </w:r>
      <w:r>
        <w:rPr>
          <w:rFonts w:hint="eastAsia" w:ascii="宋体" w:hAnsi="宋体" w:cs="仿宋_GB2312"/>
          <w:color w:val="000000" w:themeColor="text1"/>
          <w:sz w:val="24"/>
          <w:highlight w:val="none"/>
          <w:u w:val="single"/>
          <w14:textFill>
            <w14:solidFill>
              <w14:schemeClr w14:val="tx1"/>
            </w14:solidFill>
          </w14:textFill>
        </w:rPr>
        <w:t>（姓名）</w:t>
      </w:r>
      <w:r>
        <w:rPr>
          <w:rFonts w:hint="eastAsia" w:ascii="宋体" w:hAnsi="宋体" w:cs="仿宋_GB2312"/>
          <w:color w:val="000000" w:themeColor="text1"/>
          <w:sz w:val="24"/>
          <w:highlight w:val="none"/>
          <w14:textFill>
            <w14:solidFill>
              <w14:schemeClr w14:val="tx1"/>
            </w14:solidFill>
          </w14:textFill>
        </w:rPr>
        <w:t>系</w:t>
      </w:r>
      <w:r>
        <w:rPr>
          <w:rFonts w:hint="eastAsia" w:ascii="宋体" w:hAnsi="宋体" w:cs="仿宋_GB2312"/>
          <w:color w:val="000000" w:themeColor="text1"/>
          <w:sz w:val="24"/>
          <w:highlight w:val="none"/>
          <w:u w:val="single"/>
          <w14:textFill>
            <w14:solidFill>
              <w14:schemeClr w14:val="tx1"/>
            </w14:solidFill>
          </w14:textFill>
        </w:rPr>
        <w:t>（供应商名称）</w:t>
      </w:r>
      <w:r>
        <w:rPr>
          <w:rFonts w:hint="eastAsia" w:ascii="宋体" w:hAnsi="宋体" w:cs="仿宋_GB2312"/>
          <w:color w:val="000000" w:themeColor="text1"/>
          <w:sz w:val="24"/>
          <w:highlight w:val="none"/>
          <w14:textFill>
            <w14:solidFill>
              <w14:schemeClr w14:val="tx1"/>
            </w14:solidFill>
          </w14:textFill>
        </w:rPr>
        <w:t>的（</w:t>
      </w:r>
      <w:r>
        <w:rPr>
          <w:rFonts w:hint="eastAsia" w:ascii="宋体" w:hAnsi="宋体" w:cs="仿宋_GB2312"/>
          <w:color w:val="000000" w:themeColor="text1"/>
          <w:sz w:val="24"/>
          <w:highlight w:val="none"/>
          <w:u w:val="single"/>
          <w14:textFill>
            <w14:solidFill>
              <w14:schemeClr w14:val="tx1"/>
            </w14:solidFill>
          </w14:textFill>
        </w:rPr>
        <w:sym w:font="Wingdings 2" w:char="00A3"/>
      </w:r>
      <w:r>
        <w:rPr>
          <w:rFonts w:hint="eastAsia" w:ascii="宋体" w:hAnsi="宋体" w:cs="仿宋_GB2312"/>
          <w:color w:val="000000" w:themeColor="text1"/>
          <w:sz w:val="24"/>
          <w:highlight w:val="none"/>
          <w:u w:val="single"/>
          <w14:textFill>
            <w14:solidFill>
              <w14:schemeClr w14:val="tx1"/>
            </w14:solidFill>
          </w14:textFill>
        </w:rPr>
        <w:t>法定代表人/□负责人/□自然人本人</w:t>
      </w:r>
      <w:r>
        <w:rPr>
          <w:rFonts w:hint="eastAsia" w:ascii="宋体" w:hAnsi="宋体" w:cs="仿宋_GB2312"/>
          <w:color w:val="000000" w:themeColor="text1"/>
          <w:sz w:val="24"/>
          <w:highlight w:val="none"/>
          <w14:textFill>
            <w14:solidFill>
              <w14:schemeClr w14:val="tx1"/>
            </w14:solidFill>
          </w14:textFill>
        </w:rPr>
        <w:t>），现授权</w:t>
      </w:r>
      <w:r>
        <w:rPr>
          <w:rFonts w:hint="eastAsia" w:ascii="宋体" w:hAnsi="宋体" w:cs="仿宋_GB2312"/>
          <w:color w:val="000000" w:themeColor="text1"/>
          <w:sz w:val="24"/>
          <w:highlight w:val="none"/>
          <w:u w:val="single"/>
          <w14:textFill>
            <w14:solidFill>
              <w14:schemeClr w14:val="tx1"/>
            </w14:solidFill>
          </w14:textFill>
        </w:rPr>
        <w:t>（姓名）</w:t>
      </w:r>
      <w:r>
        <w:rPr>
          <w:rFonts w:hint="eastAsia" w:ascii="宋体" w:hAnsi="宋体" w:cs="仿宋_GB2312"/>
          <w:color w:val="000000" w:themeColor="text1"/>
          <w:sz w:val="24"/>
          <w:highlight w:val="none"/>
          <w14:textFill>
            <w14:solidFill>
              <w14:schemeClr w14:val="tx1"/>
            </w14:solidFill>
          </w14:textFill>
        </w:rPr>
        <w:t>以我方的名义参加</w:t>
      </w:r>
      <w:r>
        <w:rPr>
          <w:rFonts w:hint="eastAsia" w:ascii="宋体" w:hAnsi="宋体" w:cs="仿宋_GB2312"/>
          <w:color w:val="000000" w:themeColor="text1"/>
          <w:sz w:val="24"/>
          <w:highlight w:val="none"/>
          <w:u w:val="singl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项目的竞标活动，并代表我方全权办理针对上述项目的所有采购程序和环节的具体事务和签署相关文件。</w:t>
      </w:r>
    </w:p>
    <w:p w14:paraId="2BBB8132">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我方对委托代理人的</w:t>
      </w:r>
      <w:r>
        <w:rPr>
          <w:rFonts w:hint="eastAsia" w:ascii="宋体" w:hAnsi="宋体"/>
          <w:color w:val="000000" w:themeColor="text1"/>
          <w:sz w:val="24"/>
          <w:highlight w:val="none"/>
          <w14:textFill>
            <w14:solidFill>
              <w14:schemeClr w14:val="tx1"/>
            </w14:solidFill>
          </w14:textFill>
        </w:rPr>
        <w:t>签字或者电子签名</w:t>
      </w:r>
      <w:r>
        <w:rPr>
          <w:rFonts w:hint="eastAsia" w:ascii="宋体" w:hAnsi="宋体" w:cs="仿宋_GB2312"/>
          <w:color w:val="000000" w:themeColor="text1"/>
          <w:sz w:val="24"/>
          <w:highlight w:val="none"/>
          <w14:textFill>
            <w14:solidFill>
              <w14:schemeClr w14:val="tx1"/>
            </w14:solidFill>
          </w14:textFill>
        </w:rPr>
        <w:t>事项负全部责任。</w:t>
      </w:r>
    </w:p>
    <w:p w14:paraId="535827D1">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77FC4FCB">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委托代理人无转委托权，特此委托。</w:t>
      </w:r>
    </w:p>
    <w:p w14:paraId="258E1AE7">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附：法定代表人身份证明书及委托代理人有效身份证正反面复印件</w:t>
      </w:r>
    </w:p>
    <w:p w14:paraId="57AAE902">
      <w:pPr>
        <w:spacing w:line="360" w:lineRule="auto"/>
        <w:contextualSpacing/>
        <w:rPr>
          <w:rFonts w:ascii="宋体" w:hAnsi="宋体" w:cs="仿宋_GB2312"/>
          <w:color w:val="000000" w:themeColor="text1"/>
          <w:sz w:val="24"/>
          <w:highlight w:val="none"/>
          <w14:textFill>
            <w14:solidFill>
              <w14:schemeClr w14:val="tx1"/>
            </w14:solidFill>
          </w14:textFill>
        </w:rPr>
      </w:pPr>
    </w:p>
    <w:p w14:paraId="52B9CA71">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w:t>
      </w:r>
      <w:r>
        <w:rPr>
          <w:rFonts w:hint="eastAsia" w:ascii="宋体" w:hAnsi="宋体"/>
          <w:color w:val="000000" w:themeColor="text1"/>
          <w:sz w:val="24"/>
          <w:highlight w:val="none"/>
          <w14:textFill>
            <w14:solidFill>
              <w14:schemeClr w14:val="tx1"/>
            </w14:solidFill>
          </w14:textFill>
        </w:rPr>
        <w:t>签字或者电子签名</w:t>
      </w:r>
      <w:r>
        <w:rPr>
          <w:rFonts w:hint="eastAsia" w:ascii="宋体" w:hAnsi="宋体" w:cs="仿宋_GB2312"/>
          <w:color w:val="000000" w:themeColor="text1"/>
          <w:sz w:val="24"/>
          <w:highlight w:val="none"/>
          <w14:textFill>
            <w14:solidFill>
              <w14:schemeClr w14:val="tx1"/>
            </w14:solidFill>
          </w14:textFill>
        </w:rPr>
        <w:t>）：法定代表人（签字或者盖章或者电子签名）：</w:t>
      </w:r>
    </w:p>
    <w:p w14:paraId="3C982D4A">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委托代理人身份证号码：</w:t>
      </w:r>
    </w:p>
    <w:p w14:paraId="350E3A5D">
      <w:pPr>
        <w:spacing w:line="360" w:lineRule="auto"/>
        <w:contextualSpacing/>
        <w:rPr>
          <w:rFonts w:ascii="宋体" w:hAnsi="宋体" w:cs="仿宋_GB2312"/>
          <w:color w:val="000000" w:themeColor="text1"/>
          <w:sz w:val="24"/>
          <w:highlight w:val="none"/>
          <w14:textFill>
            <w14:solidFill>
              <w14:schemeClr w14:val="tx1"/>
            </w14:solidFill>
          </w14:textFill>
        </w:rPr>
      </w:pPr>
    </w:p>
    <w:p w14:paraId="7DE1CA63">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14:paraId="5A1E388A">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w:t>
      </w:r>
    </w:p>
    <w:p w14:paraId="546BFAA5">
      <w:pPr>
        <w:spacing w:line="360" w:lineRule="auto"/>
        <w:contextualSpacing/>
        <w:rPr>
          <w:rFonts w:ascii="宋体" w:hAnsi="宋体" w:cs="仿宋_GB2312"/>
          <w:color w:val="000000" w:themeColor="text1"/>
          <w:sz w:val="24"/>
          <w:highlight w:val="none"/>
          <w14:textFill>
            <w14:solidFill>
              <w14:schemeClr w14:val="tx1"/>
            </w14:solidFill>
          </w14:textFill>
        </w:rPr>
      </w:pPr>
    </w:p>
    <w:p w14:paraId="4D7B7717">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注：1. 法定代表人必须在授权委托书上签字或者盖章</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，委托代理人必须在授权委托书上签字或者电子签名，</w:t>
      </w:r>
      <w:r>
        <w:rPr>
          <w:rFonts w:hint="eastAsia" w:ascii="宋体" w:hAnsi="宋体" w:cs="仿宋_GB2312"/>
          <w:b/>
          <w:color w:val="000000" w:themeColor="text1"/>
          <w:sz w:val="24"/>
          <w:highlight w:val="none"/>
          <w14:textFill>
            <w14:solidFill>
              <w14:schemeClr w14:val="tx1"/>
            </w14:solidFill>
          </w14:textFill>
        </w:rPr>
        <w:t>否则其响应文件按无效响应处理。</w:t>
      </w:r>
    </w:p>
    <w:p w14:paraId="14947D75">
      <w:pPr>
        <w:spacing w:line="360" w:lineRule="auto"/>
        <w:ind w:firstLine="480" w:firstLineChars="200"/>
        <w:contextualSpacing/>
        <w:jc w:val="left"/>
        <w:rPr>
          <w:rFonts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2.</w:t>
      </w:r>
      <w:r>
        <w:rPr>
          <w:rFonts w:hint="eastAsia" w:ascii="宋体" w:hAnsi="宋体" w:cs="仿宋_GB2312"/>
          <w:color w:val="000000" w:themeColor="text1"/>
          <w:sz w:val="24"/>
          <w:highlight w:val="none"/>
          <w14:textFill>
            <w14:solidFill>
              <w14:schemeClr w14:val="tx1"/>
            </w14:solidFill>
          </w14:textFill>
        </w:rPr>
        <w:t>法人、其他组织竞标时“我方”是指“我单位”，自然人竞标时“我方”是指“本人”。</w:t>
      </w:r>
    </w:p>
    <w:p w14:paraId="1F9DABA7">
      <w:pPr>
        <w:spacing w:line="360" w:lineRule="auto"/>
        <w:ind w:firstLine="420" w:firstLineChars="200"/>
        <w:contextualSpacing/>
        <w:jc w:val="left"/>
        <w:rPr>
          <w:rFonts w:ascii="仿宋_GB2312" w:hAnsi="仿宋_GB2312" w:eastAsia="仿宋_GB2312" w:cs="仿宋_GB2312"/>
          <w:color w:val="000000" w:themeColor="text1"/>
          <w:szCs w:val="21"/>
          <w:highlight w:val="none"/>
          <w14:textFill>
            <w14:solidFill>
              <w14:schemeClr w14:val="tx1"/>
            </w14:solidFill>
          </w14:textFill>
        </w:rPr>
      </w:pPr>
    </w:p>
    <w:p w14:paraId="7ECED758">
      <w:pPr>
        <w:spacing w:line="520" w:lineRule="exact"/>
        <w:contextualSpacing/>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ascii="仿宋_GB2312" w:hAnsi="仿宋_GB2312" w:eastAsia="仿宋_GB2312" w:cs="仿宋_GB2312"/>
          <w:color w:val="000000" w:themeColor="text1"/>
          <w:szCs w:val="21"/>
          <w:highlight w:val="none"/>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授权委托书</w:t>
      </w:r>
    </w:p>
    <w:p w14:paraId="60283537">
      <w:pPr>
        <w:spacing w:line="520" w:lineRule="exact"/>
        <w:contextualSpacing/>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（联合体竞标格式）</w:t>
      </w:r>
    </w:p>
    <w:p w14:paraId="018E6EB4">
      <w:pPr>
        <w:spacing w:line="520" w:lineRule="exact"/>
        <w:contextualSpacing/>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（如有委托时）</w:t>
      </w:r>
    </w:p>
    <w:p w14:paraId="50399C32">
      <w:pPr>
        <w:spacing w:line="360" w:lineRule="auto"/>
        <w:contextualSpacing/>
        <w:rPr>
          <w:rFonts w:ascii="仿宋_GB2312" w:hAnsi="仿宋_GB2312" w:eastAsia="仿宋_GB2312" w:cs="仿宋_GB2312"/>
          <w:color w:val="000000" w:themeColor="text1"/>
          <w:sz w:val="32"/>
          <w:szCs w:val="32"/>
          <w:highlight w:val="none"/>
          <w14:textFill>
            <w14:solidFill>
              <w14:schemeClr w14:val="tx1"/>
            </w14:solidFill>
          </w14:textFill>
        </w:rPr>
      </w:pPr>
    </w:p>
    <w:p w14:paraId="4D2A1BD5">
      <w:pPr>
        <w:spacing w:line="360" w:lineRule="auto"/>
        <w:ind w:firstLine="480" w:firstLineChars="200"/>
        <w:contextualSpacing/>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637A8E5F">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我方对委托代理人的</w:t>
      </w:r>
      <w:r>
        <w:rPr>
          <w:rFonts w:hint="eastAsia" w:ascii="宋体" w:hAnsi="宋体"/>
          <w:color w:val="000000" w:themeColor="text1"/>
          <w:sz w:val="24"/>
          <w:highlight w:val="none"/>
          <w14:textFill>
            <w14:solidFill>
              <w14:schemeClr w14:val="tx1"/>
            </w14:solidFill>
          </w14:textFill>
        </w:rPr>
        <w:t>签字或者电子签名</w:t>
      </w:r>
      <w:r>
        <w:rPr>
          <w:rFonts w:hint="eastAsia" w:ascii="宋体" w:hAnsi="宋体" w:cs="仿宋_GB2312"/>
          <w:color w:val="000000" w:themeColor="text1"/>
          <w:sz w:val="24"/>
          <w:highlight w:val="none"/>
          <w14:textFill>
            <w14:solidFill>
              <w14:schemeClr w14:val="tx1"/>
            </w14:solidFill>
          </w14:textFill>
        </w:rPr>
        <w:t>事项负全部责任。</w:t>
      </w:r>
    </w:p>
    <w:p w14:paraId="6FB4C41A">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04D40160">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委托代理人无转委托权，特此委托。</w:t>
      </w:r>
    </w:p>
    <w:p w14:paraId="544570F4">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附：法定代表人身份证明书及委托代理人有效身份证正反面复印件</w:t>
      </w:r>
    </w:p>
    <w:p w14:paraId="070B1982">
      <w:pPr>
        <w:spacing w:line="360" w:lineRule="auto"/>
        <w:ind w:firstLine="480" w:firstLineChars="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牵头人法定代表人（签字或者盖章或者电子签名）：</w:t>
      </w:r>
    </w:p>
    <w:p w14:paraId="4FDE5409">
      <w:pPr>
        <w:spacing w:line="360" w:lineRule="auto"/>
        <w:ind w:firstLine="3120" w:firstLineChars="13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牵头人（电子签章）：</w:t>
      </w:r>
    </w:p>
    <w:p w14:paraId="1F4AC5DF">
      <w:pPr>
        <w:spacing w:line="360" w:lineRule="auto"/>
        <w:ind w:firstLine="3840" w:firstLineChars="16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w:t>
      </w:r>
    </w:p>
    <w:p w14:paraId="1295C55F">
      <w:pPr>
        <w:spacing w:line="360" w:lineRule="auto"/>
        <w:contextualSpacing/>
        <w:rPr>
          <w:rFonts w:ascii="宋体" w:hAnsi="宋体" w:cs="仿宋_GB2312"/>
          <w:color w:val="000000" w:themeColor="text1"/>
          <w:sz w:val="24"/>
          <w:highlight w:val="none"/>
          <w14:textFill>
            <w14:solidFill>
              <w14:schemeClr w14:val="tx1"/>
            </w14:solidFill>
          </w14:textFill>
        </w:rPr>
      </w:pPr>
    </w:p>
    <w:p w14:paraId="16C17A52">
      <w:pPr>
        <w:spacing w:line="360" w:lineRule="auto"/>
        <w:ind w:firstLine="3120" w:firstLineChars="13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被授权人（签字或者电子签名）：</w:t>
      </w:r>
    </w:p>
    <w:p w14:paraId="177E6718">
      <w:pPr>
        <w:spacing w:line="360" w:lineRule="auto"/>
        <w:ind w:firstLine="3840" w:firstLineChars="16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w:t>
      </w:r>
    </w:p>
    <w:p w14:paraId="6745CC3F">
      <w:pPr>
        <w:spacing w:line="360" w:lineRule="auto"/>
        <w:contextualSpacing/>
        <w:rPr>
          <w:rFonts w:ascii="宋体" w:hAnsi="宋体" w:cs="仿宋_GB2312"/>
          <w:color w:val="000000" w:themeColor="text1"/>
          <w:sz w:val="24"/>
          <w:highlight w:val="none"/>
          <w14:textFill>
            <w14:solidFill>
              <w14:schemeClr w14:val="tx1"/>
            </w14:solidFill>
          </w14:textFill>
        </w:rPr>
      </w:pPr>
    </w:p>
    <w:p w14:paraId="7BB9867E">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注：1. 法定代表人必须在授权委托书上签字或者盖章</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，委托代理人必须在授权委托书上签字或者电子签名，</w:t>
      </w:r>
      <w:r>
        <w:rPr>
          <w:rFonts w:hint="eastAsia" w:ascii="宋体" w:hAnsi="宋体" w:cs="仿宋_GB2312"/>
          <w:b/>
          <w:color w:val="000000" w:themeColor="text1"/>
          <w:sz w:val="24"/>
          <w:highlight w:val="none"/>
          <w14:textFill>
            <w14:solidFill>
              <w14:schemeClr w14:val="tx1"/>
            </w14:solidFill>
          </w14:textFill>
        </w:rPr>
        <w:t>否则其响应文件按无效响应处理。</w:t>
      </w:r>
    </w:p>
    <w:p w14:paraId="17698869">
      <w:pPr>
        <w:spacing w:line="500" w:lineRule="exact"/>
        <w:jc w:val="left"/>
        <w:rPr>
          <w:rFonts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2.</w:t>
      </w:r>
      <w:r>
        <w:rPr>
          <w:rFonts w:hint="eastAsia" w:ascii="宋体" w:hAnsi="宋体" w:cs="仿宋_GB2312"/>
          <w:color w:val="000000" w:themeColor="text1"/>
          <w:sz w:val="24"/>
          <w:highlight w:val="none"/>
          <w14:textFill>
            <w14:solidFill>
              <w14:schemeClr w14:val="tx1"/>
            </w14:solidFill>
          </w14:textFill>
        </w:rPr>
        <w:t>法人、其他组织竞标时“我方”是指“我单位”，自然人竞标时“我方”是指“本人”。</w:t>
      </w:r>
    </w:p>
    <w:p w14:paraId="46A2E8B4">
      <w:pPr>
        <w:spacing w:line="500" w:lineRule="exact"/>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商务要求偏离表格式</w:t>
      </w:r>
    </w:p>
    <w:p w14:paraId="72C622F2">
      <w:pPr>
        <w:spacing w:line="500" w:lineRule="exact"/>
        <w:jc w:val="center"/>
        <w:rPr>
          <w:rFonts w:ascii="宋体" w:hAnsi="宋体"/>
          <w:b/>
          <w:i w:val="0"/>
          <w:iCs/>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Cs/>
          <w:i w:val="0"/>
          <w:iCs/>
          <w:color w:val="000000" w:themeColor="text1"/>
          <w:sz w:val="32"/>
          <w:szCs w:val="32"/>
          <w:highlight w:val="none"/>
          <w14:textFill>
            <w14:solidFill>
              <w14:schemeClr w14:val="tx1"/>
            </w14:solidFill>
          </w14:textFill>
        </w:rPr>
        <w:t>（注：按采购需求具体条款修改）</w:t>
      </w:r>
    </w:p>
    <w:p w14:paraId="36378AC9">
      <w:pPr>
        <w:snapToGrid w:val="0"/>
        <w:spacing w:before="50"/>
        <w:jc w:val="left"/>
        <w:rPr>
          <w:rFonts w:ascii="宋体" w:hAnsi="宋体"/>
          <w:color w:val="000000" w:themeColor="text1"/>
          <w:sz w:val="24"/>
          <w:highlight w:val="none"/>
          <w14:textFill>
            <w14:solidFill>
              <w14:schemeClr w14:val="tx1"/>
            </w14:solidFill>
          </w14:textFill>
        </w:rPr>
      </w:pPr>
    </w:p>
    <w:p w14:paraId="0BD41804">
      <w:pPr>
        <w:pStyle w:val="15"/>
        <w:spacing w:line="360" w:lineRule="auto"/>
        <w:rPr>
          <w:rFonts w:hAnsi="宋体" w:cs="仿宋_GB2312"/>
          <w:color w:val="000000" w:themeColor="text1"/>
          <w:sz w:val="24"/>
          <w:szCs w:val="24"/>
          <w:highlight w:val="none"/>
          <w14:textFill>
            <w14:solidFill>
              <w14:schemeClr w14:val="tx1"/>
            </w14:solidFill>
          </w14:textFill>
        </w:rPr>
      </w:pPr>
      <w:r>
        <w:rPr>
          <w:rFonts w:hint="eastAsia" w:hAnsi="宋体" w:cs="仿宋_GB2312"/>
          <w:color w:val="000000" w:themeColor="text1"/>
          <w:sz w:val="24"/>
          <w:szCs w:val="24"/>
          <w:highlight w:val="none"/>
          <w14:textFill>
            <w14:solidFill>
              <w14:schemeClr w14:val="tx1"/>
            </w14:solidFill>
          </w14:textFill>
        </w:rPr>
        <w:t>所竞分标：</w:t>
      </w:r>
    </w:p>
    <w:tbl>
      <w:tblPr>
        <w:tblStyle w:val="28"/>
        <w:tblpPr w:leftFromText="180" w:rightFromText="180" w:vertAnchor="text" w:horzAnchor="margin" w:tblpY="311"/>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72CC74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62AA0082">
            <w:pPr>
              <w:snapToGrid w:val="0"/>
              <w:spacing w:before="120" w:beforeLines="50" w:line="360" w:lineRule="auto"/>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2EE257C4">
            <w:pPr>
              <w:snapToGrid w:val="0"/>
              <w:spacing w:before="120" w:beforeLines="50" w:line="360" w:lineRule="auto"/>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谈判文件商务要求</w:t>
            </w:r>
          </w:p>
        </w:tc>
        <w:tc>
          <w:tcPr>
            <w:tcW w:w="2633" w:type="dxa"/>
            <w:tcBorders>
              <w:top w:val="single" w:color="auto" w:sz="4" w:space="0"/>
              <w:left w:val="single" w:color="auto" w:sz="4" w:space="0"/>
              <w:bottom w:val="single" w:color="auto" w:sz="4" w:space="0"/>
              <w:right w:val="single" w:color="auto" w:sz="4" w:space="0"/>
            </w:tcBorders>
            <w:vAlign w:val="center"/>
          </w:tcPr>
          <w:p w14:paraId="3C4DBA31">
            <w:pPr>
              <w:snapToGrid w:val="0"/>
              <w:spacing w:before="120" w:beforeLines="50" w:line="360" w:lineRule="auto"/>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供应商的响应</w:t>
            </w:r>
          </w:p>
        </w:tc>
        <w:tc>
          <w:tcPr>
            <w:tcW w:w="1829" w:type="dxa"/>
            <w:tcBorders>
              <w:top w:val="single" w:color="auto" w:sz="4" w:space="0"/>
              <w:left w:val="single" w:color="auto" w:sz="4" w:space="0"/>
              <w:bottom w:val="single" w:color="auto" w:sz="4" w:space="0"/>
              <w:right w:val="single" w:color="auto" w:sz="4" w:space="0"/>
            </w:tcBorders>
            <w:vAlign w:val="center"/>
          </w:tcPr>
          <w:p w14:paraId="0CECC84A">
            <w:pPr>
              <w:snapToGrid w:val="0"/>
              <w:spacing w:before="120" w:beforeLines="50" w:line="360" w:lineRule="auto"/>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偏离说明</w:t>
            </w:r>
          </w:p>
        </w:tc>
      </w:tr>
      <w:tr w14:paraId="746E3D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vAlign w:val="center"/>
          </w:tcPr>
          <w:p w14:paraId="2893E1DD">
            <w:pPr>
              <w:jc w:val="center"/>
              <w:rPr>
                <w:rFonts w:ascii="宋体" w:hAnsi="宋体"/>
                <w:color w:val="000000" w:themeColor="text1"/>
                <w:sz w:val="24"/>
                <w:highlight w:val="none"/>
                <w14:textFill>
                  <w14:solidFill>
                    <w14:schemeClr w14:val="tx1"/>
                  </w14:solidFill>
                </w14:textFill>
              </w:rPr>
            </w:pPr>
          </w:p>
        </w:tc>
        <w:tc>
          <w:tcPr>
            <w:tcW w:w="2668" w:type="dxa"/>
            <w:tcBorders>
              <w:top w:val="single" w:color="auto" w:sz="4" w:space="0"/>
              <w:left w:val="single" w:color="auto" w:sz="4" w:space="0"/>
              <w:bottom w:val="single" w:color="auto" w:sz="4" w:space="0"/>
              <w:right w:val="single" w:color="auto" w:sz="4" w:space="0"/>
            </w:tcBorders>
            <w:vAlign w:val="center"/>
          </w:tcPr>
          <w:p w14:paraId="4C4C9A73">
            <w:pPr>
              <w:jc w:val="center"/>
              <w:rPr>
                <w:rFonts w:ascii="宋体" w:hAnsi="宋体"/>
                <w:color w:val="000000" w:themeColor="text1"/>
                <w:sz w:val="24"/>
                <w:highlight w:val="none"/>
                <w14:textFill>
                  <w14:solidFill>
                    <w14:schemeClr w14:val="tx1"/>
                  </w14:solidFill>
                </w14:textFill>
              </w:rPr>
            </w:pPr>
          </w:p>
        </w:tc>
        <w:tc>
          <w:tcPr>
            <w:tcW w:w="2633" w:type="dxa"/>
            <w:tcBorders>
              <w:top w:val="single" w:color="auto" w:sz="4" w:space="0"/>
              <w:left w:val="single" w:color="auto" w:sz="4" w:space="0"/>
              <w:bottom w:val="single" w:color="auto" w:sz="4" w:space="0"/>
              <w:right w:val="single" w:color="auto" w:sz="4" w:space="0"/>
            </w:tcBorders>
            <w:vAlign w:val="center"/>
          </w:tcPr>
          <w:p w14:paraId="31CE0C57">
            <w:pPr>
              <w:snapToGrid w:val="0"/>
              <w:spacing w:before="120" w:beforeLines="50" w:line="360" w:lineRule="auto"/>
              <w:jc w:val="center"/>
              <w:rPr>
                <w:rFonts w:ascii="宋体" w:hAnsi="宋体" w:cs="仿宋_GB2312"/>
                <w:color w:val="000000" w:themeColor="text1"/>
                <w:sz w:val="24"/>
                <w:highlight w:val="none"/>
                <w14:textFill>
                  <w14:solidFill>
                    <w14:schemeClr w14:val="tx1"/>
                  </w14:solidFill>
                </w14:textFill>
              </w:rPr>
            </w:pPr>
          </w:p>
        </w:tc>
        <w:tc>
          <w:tcPr>
            <w:tcW w:w="1829" w:type="dxa"/>
            <w:tcBorders>
              <w:top w:val="single" w:color="auto" w:sz="4" w:space="0"/>
              <w:left w:val="single" w:color="auto" w:sz="4" w:space="0"/>
              <w:bottom w:val="single" w:color="auto" w:sz="4" w:space="0"/>
              <w:right w:val="single" w:color="auto" w:sz="4" w:space="0"/>
            </w:tcBorders>
            <w:vAlign w:val="center"/>
          </w:tcPr>
          <w:p w14:paraId="48BC21EC">
            <w:pPr>
              <w:snapToGrid w:val="0"/>
              <w:spacing w:before="120" w:beforeLines="50" w:line="360" w:lineRule="auto"/>
              <w:jc w:val="center"/>
              <w:rPr>
                <w:rFonts w:ascii="宋体" w:hAnsi="宋体" w:cs="仿宋_GB2312"/>
                <w:color w:val="000000" w:themeColor="text1"/>
                <w:sz w:val="24"/>
                <w:highlight w:val="none"/>
                <w14:textFill>
                  <w14:solidFill>
                    <w14:schemeClr w14:val="tx1"/>
                  </w14:solidFill>
                </w14:textFill>
              </w:rPr>
            </w:pPr>
          </w:p>
        </w:tc>
      </w:tr>
      <w:tr w14:paraId="1D586D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44288E76">
            <w:pPr>
              <w:jc w:val="center"/>
              <w:rPr>
                <w:rFonts w:ascii="宋体" w:hAnsi="宋体"/>
                <w:color w:val="000000" w:themeColor="text1"/>
                <w:sz w:val="24"/>
                <w:highlight w:val="none"/>
                <w14:textFill>
                  <w14:solidFill>
                    <w14:schemeClr w14:val="tx1"/>
                  </w14:solidFill>
                </w14:textFill>
              </w:rPr>
            </w:pPr>
          </w:p>
        </w:tc>
        <w:tc>
          <w:tcPr>
            <w:tcW w:w="2668" w:type="dxa"/>
            <w:tcBorders>
              <w:top w:val="single" w:color="auto" w:sz="4" w:space="0"/>
              <w:left w:val="single" w:color="auto" w:sz="4" w:space="0"/>
              <w:bottom w:val="single" w:color="auto" w:sz="4" w:space="0"/>
              <w:right w:val="single" w:color="auto" w:sz="4" w:space="0"/>
            </w:tcBorders>
            <w:vAlign w:val="center"/>
          </w:tcPr>
          <w:p w14:paraId="62EE1903">
            <w:pPr>
              <w:jc w:val="center"/>
              <w:rPr>
                <w:rFonts w:ascii="宋体" w:hAnsi="宋体"/>
                <w:color w:val="000000" w:themeColor="text1"/>
                <w:sz w:val="24"/>
                <w:highlight w:val="none"/>
                <w14:textFill>
                  <w14:solidFill>
                    <w14:schemeClr w14:val="tx1"/>
                  </w14:solidFill>
                </w14:textFill>
              </w:rPr>
            </w:pPr>
          </w:p>
        </w:tc>
        <w:tc>
          <w:tcPr>
            <w:tcW w:w="2633" w:type="dxa"/>
            <w:tcBorders>
              <w:top w:val="single" w:color="auto" w:sz="4" w:space="0"/>
              <w:left w:val="single" w:color="auto" w:sz="4" w:space="0"/>
              <w:bottom w:val="single" w:color="auto" w:sz="4" w:space="0"/>
              <w:right w:val="single" w:color="auto" w:sz="4" w:space="0"/>
            </w:tcBorders>
            <w:vAlign w:val="center"/>
          </w:tcPr>
          <w:p w14:paraId="63426141">
            <w:pPr>
              <w:snapToGrid w:val="0"/>
              <w:spacing w:before="120" w:beforeLines="50" w:line="360" w:lineRule="auto"/>
              <w:ind w:left="43"/>
              <w:jc w:val="center"/>
              <w:rPr>
                <w:rFonts w:ascii="宋体" w:hAnsi="宋体" w:cs="仿宋_GB2312"/>
                <w:color w:val="000000" w:themeColor="text1"/>
                <w:sz w:val="24"/>
                <w:highlight w:val="none"/>
                <w14:textFill>
                  <w14:solidFill>
                    <w14:schemeClr w14:val="tx1"/>
                  </w14:solidFill>
                </w14:textFill>
              </w:rPr>
            </w:pPr>
          </w:p>
        </w:tc>
        <w:tc>
          <w:tcPr>
            <w:tcW w:w="1829" w:type="dxa"/>
            <w:tcBorders>
              <w:top w:val="single" w:color="auto" w:sz="4" w:space="0"/>
              <w:left w:val="single" w:color="auto" w:sz="4" w:space="0"/>
              <w:bottom w:val="single" w:color="auto" w:sz="4" w:space="0"/>
              <w:right w:val="single" w:color="auto" w:sz="4" w:space="0"/>
            </w:tcBorders>
            <w:vAlign w:val="center"/>
          </w:tcPr>
          <w:p w14:paraId="0499DA4D">
            <w:pPr>
              <w:snapToGrid w:val="0"/>
              <w:spacing w:before="120" w:beforeLines="50" w:line="360" w:lineRule="auto"/>
              <w:ind w:left="43"/>
              <w:jc w:val="center"/>
              <w:rPr>
                <w:rFonts w:ascii="宋体" w:hAnsi="宋体" w:cs="仿宋_GB2312"/>
                <w:color w:val="000000" w:themeColor="text1"/>
                <w:sz w:val="24"/>
                <w:highlight w:val="none"/>
                <w14:textFill>
                  <w14:solidFill>
                    <w14:schemeClr w14:val="tx1"/>
                  </w14:solidFill>
                </w14:textFill>
              </w:rPr>
            </w:pPr>
          </w:p>
        </w:tc>
      </w:tr>
      <w:tr w14:paraId="6C0D93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6476436C">
            <w:pPr>
              <w:snapToGrid w:val="0"/>
              <w:spacing w:before="120" w:beforeLines="50" w:line="360" w:lineRule="auto"/>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w:t>
            </w:r>
          </w:p>
        </w:tc>
        <w:tc>
          <w:tcPr>
            <w:tcW w:w="2668" w:type="dxa"/>
            <w:tcBorders>
              <w:top w:val="single" w:color="auto" w:sz="4" w:space="0"/>
              <w:left w:val="single" w:color="auto" w:sz="4" w:space="0"/>
              <w:bottom w:val="single" w:color="auto" w:sz="4" w:space="0"/>
              <w:right w:val="single" w:color="auto" w:sz="4" w:space="0"/>
            </w:tcBorders>
            <w:vAlign w:val="center"/>
          </w:tcPr>
          <w:p w14:paraId="280571AF">
            <w:pPr>
              <w:snapToGrid w:val="0"/>
              <w:spacing w:before="120" w:beforeLines="50" w:line="360" w:lineRule="auto"/>
              <w:jc w:val="center"/>
              <w:rPr>
                <w:rFonts w:ascii="宋体" w:hAnsi="宋体" w:cs="仿宋_GB2312"/>
                <w:color w:val="000000" w:themeColor="text1"/>
                <w:sz w:val="24"/>
                <w:highlight w:val="none"/>
                <w14:textFill>
                  <w14:solidFill>
                    <w14:schemeClr w14:val="tx1"/>
                  </w14:solidFill>
                </w14:textFill>
              </w:rPr>
            </w:pPr>
          </w:p>
        </w:tc>
        <w:tc>
          <w:tcPr>
            <w:tcW w:w="2633" w:type="dxa"/>
            <w:tcBorders>
              <w:top w:val="single" w:color="auto" w:sz="4" w:space="0"/>
              <w:left w:val="single" w:color="auto" w:sz="4" w:space="0"/>
              <w:bottom w:val="single" w:color="auto" w:sz="4" w:space="0"/>
              <w:right w:val="single" w:color="auto" w:sz="4" w:space="0"/>
            </w:tcBorders>
            <w:vAlign w:val="center"/>
          </w:tcPr>
          <w:p w14:paraId="73E70C2E">
            <w:pPr>
              <w:snapToGrid w:val="0"/>
              <w:spacing w:before="120" w:beforeLines="50" w:line="360" w:lineRule="auto"/>
              <w:jc w:val="center"/>
              <w:rPr>
                <w:rFonts w:ascii="宋体" w:hAnsi="宋体" w:cs="仿宋_GB2312"/>
                <w:color w:val="000000" w:themeColor="text1"/>
                <w:sz w:val="24"/>
                <w:highlight w:val="none"/>
                <w14:textFill>
                  <w14:solidFill>
                    <w14:schemeClr w14:val="tx1"/>
                  </w14:solidFill>
                </w14:textFill>
              </w:rPr>
            </w:pPr>
          </w:p>
        </w:tc>
        <w:tc>
          <w:tcPr>
            <w:tcW w:w="1829" w:type="dxa"/>
            <w:tcBorders>
              <w:top w:val="single" w:color="auto" w:sz="4" w:space="0"/>
              <w:left w:val="single" w:color="auto" w:sz="4" w:space="0"/>
              <w:bottom w:val="single" w:color="auto" w:sz="4" w:space="0"/>
              <w:right w:val="single" w:color="auto" w:sz="4" w:space="0"/>
            </w:tcBorders>
            <w:vAlign w:val="center"/>
          </w:tcPr>
          <w:p w14:paraId="01CB371A">
            <w:pPr>
              <w:snapToGrid w:val="0"/>
              <w:spacing w:before="120" w:beforeLines="50" w:line="360" w:lineRule="auto"/>
              <w:jc w:val="center"/>
              <w:rPr>
                <w:rFonts w:ascii="宋体" w:hAnsi="宋体" w:cs="仿宋_GB2312"/>
                <w:color w:val="000000" w:themeColor="text1"/>
                <w:sz w:val="24"/>
                <w:highlight w:val="none"/>
                <w14:textFill>
                  <w14:solidFill>
                    <w14:schemeClr w14:val="tx1"/>
                  </w14:solidFill>
                </w14:textFill>
              </w:rPr>
            </w:pPr>
          </w:p>
        </w:tc>
      </w:tr>
    </w:tbl>
    <w:p w14:paraId="5FE516ED">
      <w:pPr>
        <w:pStyle w:val="11"/>
        <w:spacing w:after="0" w:line="360" w:lineRule="auto"/>
        <w:contextualSpacing/>
        <w:rPr>
          <w:rFonts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注：</w:t>
      </w:r>
    </w:p>
    <w:p w14:paraId="72AD5CAF">
      <w:pPr>
        <w:pStyle w:val="11"/>
        <w:spacing w:after="0" w:line="360" w:lineRule="auto"/>
        <w:contextualSpacing/>
        <w:rPr>
          <w:rFonts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1. 说明：应对照谈判文件“第三章采购需求”中的商务要求逐条明确响应，并作出偏离说明。</w:t>
      </w:r>
    </w:p>
    <w:p w14:paraId="7FC99690">
      <w:pPr>
        <w:pStyle w:val="11"/>
        <w:spacing w:after="0" w:line="360" w:lineRule="auto"/>
        <w:contextualSpacing/>
        <w:rPr>
          <w:rFonts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2.供应商应根据自身的承诺，对照谈判文件要求在“偏离说明”中注明“正偏离”、“负偏离”或者“无偏离”。既不属于“正偏离”也不属于“负偏离”即为“无偏离”。</w:t>
      </w:r>
    </w:p>
    <w:p w14:paraId="73A20F37">
      <w:pPr>
        <w:spacing w:line="360" w:lineRule="auto"/>
        <w:contextualSpacing/>
        <w:jc w:val="left"/>
        <w:rPr>
          <w:rFonts w:ascii="宋体" w:hAnsi="宋体" w:cs="仿宋_GB2312"/>
          <w:color w:val="000000" w:themeColor="text1"/>
          <w:sz w:val="24"/>
          <w:highlight w:val="none"/>
          <w:u w:val="single"/>
          <w14:textFill>
            <w14:solidFill>
              <w14:schemeClr w14:val="tx1"/>
            </w14:solidFill>
          </w14:textFill>
        </w:rPr>
      </w:pPr>
    </w:p>
    <w:p w14:paraId="2B2EA964">
      <w:pPr>
        <w:spacing w:line="360" w:lineRule="auto"/>
        <w:contextualSpacing/>
        <w:jc w:val="left"/>
        <w:rPr>
          <w:rFonts w:ascii="宋体" w:hAnsi="宋体" w:cs="仿宋_GB2312"/>
          <w:color w:val="000000" w:themeColor="text1"/>
          <w:sz w:val="24"/>
          <w:highlight w:val="none"/>
          <w:u w:val="single"/>
          <w14:textFill>
            <w14:solidFill>
              <w14:schemeClr w14:val="tx1"/>
            </w14:solidFill>
          </w14:textFill>
        </w:rPr>
      </w:pPr>
    </w:p>
    <w:p w14:paraId="38253746">
      <w:pPr>
        <w:spacing w:line="360" w:lineRule="auto"/>
        <w:ind w:right="-817" w:rightChars="-389"/>
        <w:contextualSpacing/>
        <w:rPr>
          <w:rFonts w:ascii="宋体" w:hAnsi="宋体" w:cs="仿宋_GB2312"/>
          <w:color w:val="000000" w:themeColor="text1"/>
          <w:sz w:val="24"/>
          <w:highlight w:val="none"/>
          <w14:textFill>
            <w14:solidFill>
              <w14:schemeClr w14:val="tx1"/>
            </w14:solidFill>
          </w14:textFill>
        </w:rPr>
      </w:pPr>
    </w:p>
    <w:p w14:paraId="06C63906">
      <w:pPr>
        <w:spacing w:line="360" w:lineRule="auto"/>
        <w:ind w:right="-817" w:rightChars="-389"/>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法定代表人或者委托代理人（签字或者电子签名）：</w:t>
      </w:r>
    </w:p>
    <w:p w14:paraId="7D863E51">
      <w:pPr>
        <w:spacing w:line="360" w:lineRule="auto"/>
        <w:ind w:right="-817" w:rightChars="-389" w:firstLine="2880" w:firstLineChars="1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14:paraId="2211B0E6">
      <w:pPr>
        <w:spacing w:line="360" w:lineRule="auto"/>
        <w:ind w:right="-817" w:rightChars="-389" w:firstLine="2880" w:firstLineChars="1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w:t>
      </w:r>
    </w:p>
    <w:p w14:paraId="1BBC2A9E">
      <w:pPr>
        <w:adjustRightInd w:val="0"/>
        <w:snapToGrid w:val="0"/>
        <w:spacing w:line="520" w:lineRule="exact"/>
        <w:ind w:firstLine="7040" w:firstLineChars="160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p>
    <w:p w14:paraId="1CBBB8AE">
      <w:pPr>
        <w:adjustRightInd w:val="0"/>
        <w:snapToGrid w:val="0"/>
        <w:spacing w:line="520" w:lineRule="exact"/>
        <w:jc w:val="center"/>
        <w:rPr>
          <w:rFonts w:ascii="宋体" w:hAnsi="宋体"/>
          <w:b/>
          <w:color w:val="000000" w:themeColor="text1"/>
          <w:sz w:val="32"/>
          <w:szCs w:val="32"/>
          <w:highlight w:val="none"/>
          <w14:textFill>
            <w14:solidFill>
              <w14:schemeClr w14:val="tx1"/>
            </w14:solidFill>
          </w14:textFill>
        </w:rPr>
      </w:pPr>
      <w: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货物配置清单</w:t>
      </w:r>
    </w:p>
    <w:p w14:paraId="68A8B769">
      <w:pPr>
        <w:spacing w:line="300" w:lineRule="auto"/>
        <w:rPr>
          <w:rFonts w:ascii="宋体" w:hAnsi="宋体"/>
          <w:color w:val="000000" w:themeColor="text1"/>
          <w:szCs w:val="21"/>
          <w:highlight w:val="none"/>
          <w14:textFill>
            <w14:solidFill>
              <w14:schemeClr w14:val="tx1"/>
            </w14:solidFill>
          </w14:textFill>
        </w:rPr>
      </w:pPr>
    </w:p>
    <w:p w14:paraId="2B912CEF">
      <w:pPr>
        <w:spacing w:line="360" w:lineRule="auto"/>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项目编号：</w:t>
      </w:r>
    </w:p>
    <w:p w14:paraId="7B7594FA">
      <w:pPr>
        <w:spacing w:line="360" w:lineRule="auto"/>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项目名称：</w:t>
      </w:r>
    </w:p>
    <w:p w14:paraId="68E137F3">
      <w:pPr>
        <w:spacing w:line="360" w:lineRule="auto"/>
        <w:rPr>
          <w:rFonts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所竞分标：</w:t>
      </w:r>
    </w:p>
    <w:tbl>
      <w:tblPr>
        <w:tblStyle w:val="28"/>
        <w:tblW w:w="817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2"/>
        <w:gridCol w:w="1168"/>
        <w:gridCol w:w="763"/>
        <w:gridCol w:w="759"/>
        <w:gridCol w:w="912"/>
        <w:gridCol w:w="1847"/>
        <w:gridCol w:w="1009"/>
        <w:gridCol w:w="1004"/>
      </w:tblGrid>
      <w:tr w14:paraId="7A805D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12" w:type="dxa"/>
            <w:tcBorders>
              <w:top w:val="single" w:color="auto" w:sz="4" w:space="0"/>
              <w:left w:val="single" w:color="auto" w:sz="4" w:space="0"/>
              <w:bottom w:val="single" w:color="auto" w:sz="4" w:space="0"/>
              <w:right w:val="single" w:color="auto" w:sz="4" w:space="0"/>
            </w:tcBorders>
            <w:vAlign w:val="center"/>
          </w:tcPr>
          <w:p w14:paraId="232C4C4E">
            <w:pPr>
              <w:snapToGrid w:val="0"/>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序号</w:t>
            </w:r>
          </w:p>
        </w:tc>
        <w:tc>
          <w:tcPr>
            <w:tcW w:w="1168" w:type="dxa"/>
            <w:tcBorders>
              <w:top w:val="single" w:color="auto" w:sz="4" w:space="0"/>
              <w:left w:val="single" w:color="auto" w:sz="4" w:space="0"/>
              <w:bottom w:val="single" w:color="auto" w:sz="4" w:space="0"/>
              <w:right w:val="single" w:color="auto" w:sz="4" w:space="0"/>
            </w:tcBorders>
            <w:vAlign w:val="center"/>
          </w:tcPr>
          <w:p w14:paraId="75781CCE">
            <w:pPr>
              <w:snapToGrid w:val="0"/>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货物名称</w:t>
            </w:r>
          </w:p>
        </w:tc>
        <w:tc>
          <w:tcPr>
            <w:tcW w:w="763" w:type="dxa"/>
            <w:tcBorders>
              <w:top w:val="single" w:color="auto" w:sz="4" w:space="0"/>
              <w:left w:val="single" w:color="auto" w:sz="4" w:space="0"/>
              <w:bottom w:val="single" w:color="auto" w:sz="4" w:space="0"/>
              <w:right w:val="single" w:color="auto" w:sz="4" w:space="0"/>
            </w:tcBorders>
            <w:vAlign w:val="center"/>
          </w:tcPr>
          <w:p w14:paraId="1BF60E30">
            <w:pPr>
              <w:snapToGrid w:val="0"/>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数量</w:t>
            </w:r>
          </w:p>
        </w:tc>
        <w:tc>
          <w:tcPr>
            <w:tcW w:w="759" w:type="dxa"/>
            <w:tcBorders>
              <w:top w:val="single" w:color="auto" w:sz="4" w:space="0"/>
              <w:left w:val="single" w:color="auto" w:sz="4" w:space="0"/>
              <w:bottom w:val="single" w:color="auto" w:sz="4" w:space="0"/>
              <w:right w:val="single" w:color="auto" w:sz="4" w:space="0"/>
            </w:tcBorders>
            <w:vAlign w:val="center"/>
          </w:tcPr>
          <w:p w14:paraId="498B0AF3">
            <w:pPr>
              <w:snapToGrid w:val="0"/>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w:t>
            </w:r>
          </w:p>
        </w:tc>
        <w:tc>
          <w:tcPr>
            <w:tcW w:w="912" w:type="dxa"/>
            <w:tcBorders>
              <w:top w:val="single" w:color="auto" w:sz="4" w:space="0"/>
              <w:left w:val="single" w:color="auto" w:sz="4" w:space="0"/>
              <w:bottom w:val="single" w:color="auto" w:sz="4" w:space="0"/>
              <w:right w:val="single" w:color="auto" w:sz="4" w:space="0"/>
            </w:tcBorders>
          </w:tcPr>
          <w:p w14:paraId="762FD900">
            <w:pPr>
              <w:snapToGrid w:val="0"/>
              <w:spacing w:before="50" w:after="50"/>
              <w:jc w:val="center"/>
              <w:rPr>
                <w:rFonts w:ascii="宋体" w:hAnsi="宋体"/>
                <w:color w:val="000000" w:themeColor="text1"/>
                <w:sz w:val="24"/>
                <w:highlight w:val="none"/>
                <w14:textFill>
                  <w14:solidFill>
                    <w14:schemeClr w14:val="tx1"/>
                  </w14:solidFill>
                </w14:textFill>
              </w:rPr>
            </w:pPr>
          </w:p>
          <w:p w14:paraId="24A4D534">
            <w:pPr>
              <w:snapToGrid w:val="0"/>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品牌</w:t>
            </w:r>
          </w:p>
        </w:tc>
        <w:tc>
          <w:tcPr>
            <w:tcW w:w="1847" w:type="dxa"/>
            <w:tcBorders>
              <w:top w:val="single" w:color="auto" w:sz="4" w:space="0"/>
              <w:left w:val="single" w:color="auto" w:sz="4" w:space="0"/>
              <w:bottom w:val="single" w:color="auto" w:sz="4" w:space="0"/>
              <w:right w:val="single" w:color="auto" w:sz="4" w:space="0"/>
            </w:tcBorders>
          </w:tcPr>
          <w:p w14:paraId="6293FDA3">
            <w:pPr>
              <w:snapToGrid w:val="0"/>
              <w:spacing w:before="50" w:after="50"/>
              <w:jc w:val="center"/>
              <w:rPr>
                <w:rFonts w:ascii="宋体" w:hAnsi="宋体"/>
                <w:color w:val="000000" w:themeColor="text1"/>
                <w:sz w:val="24"/>
                <w:highlight w:val="none"/>
                <w14:textFill>
                  <w14:solidFill>
                    <w14:schemeClr w14:val="tx1"/>
                  </w14:solidFill>
                </w14:textFill>
              </w:rPr>
            </w:pPr>
          </w:p>
          <w:p w14:paraId="62763692">
            <w:pPr>
              <w:snapToGrid w:val="0"/>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规格型号</w:t>
            </w:r>
          </w:p>
        </w:tc>
        <w:tc>
          <w:tcPr>
            <w:tcW w:w="1009" w:type="dxa"/>
            <w:tcBorders>
              <w:top w:val="single" w:color="auto" w:sz="4" w:space="0"/>
              <w:left w:val="single" w:color="auto" w:sz="4" w:space="0"/>
              <w:bottom w:val="single" w:color="auto" w:sz="4" w:space="0"/>
              <w:right w:val="single" w:color="auto" w:sz="4" w:space="0"/>
            </w:tcBorders>
            <w:vAlign w:val="center"/>
          </w:tcPr>
          <w:p w14:paraId="6C186F81">
            <w:pPr>
              <w:snapToGrid w:val="0"/>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制造商</w:t>
            </w:r>
          </w:p>
        </w:tc>
        <w:tc>
          <w:tcPr>
            <w:tcW w:w="1004" w:type="dxa"/>
            <w:tcBorders>
              <w:top w:val="single" w:color="auto" w:sz="4" w:space="0"/>
              <w:left w:val="single" w:color="auto" w:sz="4" w:space="0"/>
              <w:bottom w:val="single" w:color="auto" w:sz="4" w:space="0"/>
              <w:right w:val="single" w:color="auto" w:sz="4" w:space="0"/>
            </w:tcBorders>
            <w:vAlign w:val="center"/>
          </w:tcPr>
          <w:p w14:paraId="007A9A5C">
            <w:pPr>
              <w:snapToGrid w:val="0"/>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原产地</w:t>
            </w:r>
          </w:p>
        </w:tc>
      </w:tr>
      <w:tr w14:paraId="0F4BC2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12" w:type="dxa"/>
            <w:tcBorders>
              <w:top w:val="single" w:color="auto" w:sz="4" w:space="0"/>
              <w:left w:val="single" w:color="auto" w:sz="4" w:space="0"/>
              <w:bottom w:val="single" w:color="auto" w:sz="4" w:space="0"/>
              <w:right w:val="single" w:color="auto" w:sz="4" w:space="0"/>
            </w:tcBorders>
            <w:vAlign w:val="center"/>
          </w:tcPr>
          <w:p w14:paraId="29905D3C">
            <w:pPr>
              <w:snapToGrid w:val="0"/>
              <w:spacing w:before="50" w:after="50"/>
              <w:jc w:val="center"/>
              <w:rPr>
                <w:rFonts w:ascii="宋体" w:hAnsi="宋体"/>
                <w:color w:val="000000" w:themeColor="text1"/>
                <w:sz w:val="24"/>
                <w:highlight w:val="none"/>
                <w14:textFill>
                  <w14:solidFill>
                    <w14:schemeClr w14:val="tx1"/>
                  </w14:solidFill>
                </w14:textFill>
              </w:rPr>
            </w:pPr>
          </w:p>
        </w:tc>
        <w:tc>
          <w:tcPr>
            <w:tcW w:w="1168" w:type="dxa"/>
            <w:tcBorders>
              <w:top w:val="single" w:color="auto" w:sz="4" w:space="0"/>
              <w:left w:val="single" w:color="auto" w:sz="4" w:space="0"/>
              <w:bottom w:val="single" w:color="auto" w:sz="4" w:space="0"/>
              <w:right w:val="single" w:color="auto" w:sz="4" w:space="0"/>
            </w:tcBorders>
            <w:vAlign w:val="center"/>
          </w:tcPr>
          <w:p w14:paraId="2255825E">
            <w:pPr>
              <w:snapToGrid w:val="0"/>
              <w:spacing w:before="50" w:after="50"/>
              <w:jc w:val="center"/>
              <w:rPr>
                <w:rFonts w:ascii="宋体" w:hAnsi="宋体"/>
                <w:color w:val="000000" w:themeColor="text1"/>
                <w:sz w:val="24"/>
                <w:highlight w:val="none"/>
                <w14:textFill>
                  <w14:solidFill>
                    <w14:schemeClr w14:val="tx1"/>
                  </w14:solidFill>
                </w14:textFill>
              </w:rPr>
            </w:pPr>
          </w:p>
        </w:tc>
        <w:tc>
          <w:tcPr>
            <w:tcW w:w="763" w:type="dxa"/>
            <w:tcBorders>
              <w:top w:val="single" w:color="auto" w:sz="4" w:space="0"/>
              <w:left w:val="single" w:color="auto" w:sz="4" w:space="0"/>
              <w:bottom w:val="single" w:color="auto" w:sz="4" w:space="0"/>
              <w:right w:val="single" w:color="auto" w:sz="4" w:space="0"/>
            </w:tcBorders>
            <w:vAlign w:val="center"/>
          </w:tcPr>
          <w:p w14:paraId="45771322">
            <w:pPr>
              <w:snapToGrid w:val="0"/>
              <w:spacing w:before="50" w:after="50"/>
              <w:jc w:val="center"/>
              <w:rPr>
                <w:rFonts w:ascii="宋体" w:hAnsi="宋体"/>
                <w:color w:val="000000" w:themeColor="text1"/>
                <w:sz w:val="24"/>
                <w:highlight w:val="none"/>
                <w14:textFill>
                  <w14:solidFill>
                    <w14:schemeClr w14:val="tx1"/>
                  </w14:solidFill>
                </w14:textFill>
              </w:rPr>
            </w:pPr>
          </w:p>
        </w:tc>
        <w:tc>
          <w:tcPr>
            <w:tcW w:w="759" w:type="dxa"/>
            <w:tcBorders>
              <w:top w:val="single" w:color="auto" w:sz="4" w:space="0"/>
              <w:left w:val="single" w:color="auto" w:sz="4" w:space="0"/>
              <w:bottom w:val="single" w:color="auto" w:sz="4" w:space="0"/>
              <w:right w:val="single" w:color="auto" w:sz="4" w:space="0"/>
            </w:tcBorders>
            <w:vAlign w:val="center"/>
          </w:tcPr>
          <w:p w14:paraId="0425E808">
            <w:pPr>
              <w:snapToGrid w:val="0"/>
              <w:spacing w:before="50" w:after="50"/>
              <w:jc w:val="center"/>
              <w:rPr>
                <w:rFonts w:ascii="宋体" w:hAnsi="宋体"/>
                <w:color w:val="000000" w:themeColor="text1"/>
                <w:sz w:val="24"/>
                <w:highlight w:val="none"/>
                <w14:textFill>
                  <w14:solidFill>
                    <w14:schemeClr w14:val="tx1"/>
                  </w14:solidFill>
                </w14:textFill>
              </w:rPr>
            </w:pPr>
          </w:p>
        </w:tc>
        <w:tc>
          <w:tcPr>
            <w:tcW w:w="912" w:type="dxa"/>
            <w:tcBorders>
              <w:top w:val="single" w:color="auto" w:sz="4" w:space="0"/>
              <w:left w:val="single" w:color="auto" w:sz="4" w:space="0"/>
              <w:bottom w:val="single" w:color="auto" w:sz="4" w:space="0"/>
              <w:right w:val="single" w:color="auto" w:sz="4" w:space="0"/>
            </w:tcBorders>
          </w:tcPr>
          <w:p w14:paraId="3D4324DE">
            <w:pPr>
              <w:snapToGrid w:val="0"/>
              <w:spacing w:before="50" w:after="50"/>
              <w:jc w:val="center"/>
              <w:rPr>
                <w:rFonts w:ascii="宋体" w:hAnsi="宋体"/>
                <w:color w:val="000000" w:themeColor="text1"/>
                <w:sz w:val="24"/>
                <w:highlight w:val="none"/>
                <w14:textFill>
                  <w14:solidFill>
                    <w14:schemeClr w14:val="tx1"/>
                  </w14:solidFill>
                </w14:textFill>
              </w:rPr>
            </w:pPr>
          </w:p>
        </w:tc>
        <w:tc>
          <w:tcPr>
            <w:tcW w:w="1847" w:type="dxa"/>
            <w:tcBorders>
              <w:top w:val="single" w:color="auto" w:sz="4" w:space="0"/>
              <w:left w:val="single" w:color="auto" w:sz="4" w:space="0"/>
              <w:bottom w:val="single" w:color="auto" w:sz="4" w:space="0"/>
              <w:right w:val="single" w:color="auto" w:sz="4" w:space="0"/>
            </w:tcBorders>
          </w:tcPr>
          <w:p w14:paraId="53EA27B2">
            <w:pPr>
              <w:snapToGrid w:val="0"/>
              <w:spacing w:before="50" w:after="50"/>
              <w:jc w:val="center"/>
              <w:rPr>
                <w:rFonts w:ascii="宋体" w:hAnsi="宋体"/>
                <w:color w:val="000000" w:themeColor="text1"/>
                <w:sz w:val="24"/>
                <w:highlight w:val="none"/>
                <w14:textFill>
                  <w14:solidFill>
                    <w14:schemeClr w14:val="tx1"/>
                  </w14:solidFill>
                </w14:textFill>
              </w:rPr>
            </w:pPr>
          </w:p>
        </w:tc>
        <w:tc>
          <w:tcPr>
            <w:tcW w:w="1009" w:type="dxa"/>
            <w:tcBorders>
              <w:top w:val="single" w:color="auto" w:sz="4" w:space="0"/>
              <w:left w:val="single" w:color="auto" w:sz="4" w:space="0"/>
              <w:bottom w:val="single" w:color="auto" w:sz="4" w:space="0"/>
              <w:right w:val="single" w:color="auto" w:sz="4" w:space="0"/>
            </w:tcBorders>
            <w:vAlign w:val="center"/>
          </w:tcPr>
          <w:p w14:paraId="5901C9B4">
            <w:pPr>
              <w:snapToGrid w:val="0"/>
              <w:spacing w:before="50" w:after="50"/>
              <w:jc w:val="center"/>
              <w:rPr>
                <w:rFonts w:ascii="宋体" w:hAnsi="宋体"/>
                <w:color w:val="000000" w:themeColor="text1"/>
                <w:sz w:val="24"/>
                <w:highlight w:val="none"/>
                <w14:textFill>
                  <w14:solidFill>
                    <w14:schemeClr w14:val="tx1"/>
                  </w14:solidFill>
                </w14:textFill>
              </w:rPr>
            </w:pPr>
          </w:p>
        </w:tc>
        <w:tc>
          <w:tcPr>
            <w:tcW w:w="1004" w:type="dxa"/>
            <w:tcBorders>
              <w:top w:val="single" w:color="auto" w:sz="4" w:space="0"/>
              <w:left w:val="single" w:color="auto" w:sz="4" w:space="0"/>
              <w:bottom w:val="single" w:color="auto" w:sz="4" w:space="0"/>
              <w:right w:val="single" w:color="auto" w:sz="4" w:space="0"/>
            </w:tcBorders>
            <w:vAlign w:val="center"/>
          </w:tcPr>
          <w:p w14:paraId="34A3E9C4">
            <w:pPr>
              <w:snapToGrid w:val="0"/>
              <w:spacing w:before="50" w:after="50"/>
              <w:jc w:val="center"/>
              <w:rPr>
                <w:rFonts w:ascii="宋体" w:hAnsi="宋体"/>
                <w:color w:val="000000" w:themeColor="text1"/>
                <w:sz w:val="24"/>
                <w:highlight w:val="none"/>
                <w14:textFill>
                  <w14:solidFill>
                    <w14:schemeClr w14:val="tx1"/>
                  </w14:solidFill>
                </w14:textFill>
              </w:rPr>
            </w:pPr>
          </w:p>
        </w:tc>
      </w:tr>
      <w:tr w14:paraId="5F0E57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12" w:type="dxa"/>
            <w:tcBorders>
              <w:top w:val="single" w:color="auto" w:sz="4" w:space="0"/>
              <w:left w:val="single" w:color="auto" w:sz="4" w:space="0"/>
              <w:bottom w:val="single" w:color="auto" w:sz="4" w:space="0"/>
              <w:right w:val="single" w:color="auto" w:sz="4" w:space="0"/>
            </w:tcBorders>
            <w:vAlign w:val="center"/>
          </w:tcPr>
          <w:p w14:paraId="687EAC9C">
            <w:pPr>
              <w:snapToGrid w:val="0"/>
              <w:spacing w:before="50" w:after="50"/>
              <w:jc w:val="center"/>
              <w:rPr>
                <w:rFonts w:ascii="宋体" w:hAnsi="宋体"/>
                <w:color w:val="000000" w:themeColor="text1"/>
                <w:sz w:val="24"/>
                <w:highlight w:val="none"/>
                <w14:textFill>
                  <w14:solidFill>
                    <w14:schemeClr w14:val="tx1"/>
                  </w14:solidFill>
                </w14:textFill>
              </w:rPr>
            </w:pPr>
          </w:p>
        </w:tc>
        <w:tc>
          <w:tcPr>
            <w:tcW w:w="1168" w:type="dxa"/>
            <w:tcBorders>
              <w:top w:val="single" w:color="auto" w:sz="4" w:space="0"/>
              <w:left w:val="single" w:color="auto" w:sz="4" w:space="0"/>
              <w:bottom w:val="single" w:color="auto" w:sz="4" w:space="0"/>
              <w:right w:val="single" w:color="auto" w:sz="4" w:space="0"/>
            </w:tcBorders>
            <w:vAlign w:val="center"/>
          </w:tcPr>
          <w:p w14:paraId="5EB0DC33">
            <w:pPr>
              <w:snapToGrid w:val="0"/>
              <w:spacing w:before="50" w:after="50"/>
              <w:jc w:val="center"/>
              <w:rPr>
                <w:rFonts w:ascii="宋体" w:hAnsi="宋体"/>
                <w:color w:val="000000" w:themeColor="text1"/>
                <w:sz w:val="24"/>
                <w:highlight w:val="none"/>
                <w14:textFill>
                  <w14:solidFill>
                    <w14:schemeClr w14:val="tx1"/>
                  </w14:solidFill>
                </w14:textFill>
              </w:rPr>
            </w:pPr>
          </w:p>
        </w:tc>
        <w:tc>
          <w:tcPr>
            <w:tcW w:w="763" w:type="dxa"/>
            <w:tcBorders>
              <w:top w:val="single" w:color="auto" w:sz="4" w:space="0"/>
              <w:left w:val="single" w:color="auto" w:sz="4" w:space="0"/>
              <w:bottom w:val="single" w:color="auto" w:sz="4" w:space="0"/>
              <w:right w:val="single" w:color="auto" w:sz="4" w:space="0"/>
            </w:tcBorders>
            <w:vAlign w:val="center"/>
          </w:tcPr>
          <w:p w14:paraId="41FC7036">
            <w:pPr>
              <w:snapToGrid w:val="0"/>
              <w:spacing w:before="50" w:after="50"/>
              <w:jc w:val="center"/>
              <w:rPr>
                <w:rFonts w:ascii="宋体" w:hAnsi="宋体"/>
                <w:color w:val="000000" w:themeColor="text1"/>
                <w:sz w:val="24"/>
                <w:highlight w:val="none"/>
                <w14:textFill>
                  <w14:solidFill>
                    <w14:schemeClr w14:val="tx1"/>
                  </w14:solidFill>
                </w14:textFill>
              </w:rPr>
            </w:pPr>
          </w:p>
        </w:tc>
        <w:tc>
          <w:tcPr>
            <w:tcW w:w="759" w:type="dxa"/>
            <w:tcBorders>
              <w:top w:val="single" w:color="auto" w:sz="4" w:space="0"/>
              <w:left w:val="single" w:color="auto" w:sz="4" w:space="0"/>
              <w:bottom w:val="single" w:color="auto" w:sz="4" w:space="0"/>
              <w:right w:val="single" w:color="auto" w:sz="4" w:space="0"/>
            </w:tcBorders>
            <w:vAlign w:val="center"/>
          </w:tcPr>
          <w:p w14:paraId="0C699FBD">
            <w:pPr>
              <w:snapToGrid w:val="0"/>
              <w:spacing w:before="50" w:after="50"/>
              <w:jc w:val="center"/>
              <w:rPr>
                <w:rFonts w:ascii="宋体" w:hAnsi="宋体"/>
                <w:color w:val="000000" w:themeColor="text1"/>
                <w:sz w:val="24"/>
                <w:highlight w:val="none"/>
                <w14:textFill>
                  <w14:solidFill>
                    <w14:schemeClr w14:val="tx1"/>
                  </w14:solidFill>
                </w14:textFill>
              </w:rPr>
            </w:pPr>
          </w:p>
        </w:tc>
        <w:tc>
          <w:tcPr>
            <w:tcW w:w="912" w:type="dxa"/>
            <w:tcBorders>
              <w:top w:val="single" w:color="auto" w:sz="4" w:space="0"/>
              <w:left w:val="single" w:color="auto" w:sz="4" w:space="0"/>
              <w:bottom w:val="single" w:color="auto" w:sz="4" w:space="0"/>
              <w:right w:val="single" w:color="auto" w:sz="4" w:space="0"/>
            </w:tcBorders>
          </w:tcPr>
          <w:p w14:paraId="4B21BA26">
            <w:pPr>
              <w:snapToGrid w:val="0"/>
              <w:spacing w:before="50" w:after="50"/>
              <w:jc w:val="center"/>
              <w:rPr>
                <w:rFonts w:ascii="宋体" w:hAnsi="宋体"/>
                <w:color w:val="000000" w:themeColor="text1"/>
                <w:sz w:val="24"/>
                <w:highlight w:val="none"/>
                <w14:textFill>
                  <w14:solidFill>
                    <w14:schemeClr w14:val="tx1"/>
                  </w14:solidFill>
                </w14:textFill>
              </w:rPr>
            </w:pPr>
          </w:p>
        </w:tc>
        <w:tc>
          <w:tcPr>
            <w:tcW w:w="1847" w:type="dxa"/>
            <w:tcBorders>
              <w:top w:val="single" w:color="auto" w:sz="4" w:space="0"/>
              <w:left w:val="single" w:color="auto" w:sz="4" w:space="0"/>
              <w:bottom w:val="single" w:color="auto" w:sz="4" w:space="0"/>
              <w:right w:val="single" w:color="auto" w:sz="4" w:space="0"/>
            </w:tcBorders>
          </w:tcPr>
          <w:p w14:paraId="67EF2F40">
            <w:pPr>
              <w:snapToGrid w:val="0"/>
              <w:spacing w:before="50" w:after="50"/>
              <w:jc w:val="center"/>
              <w:rPr>
                <w:rFonts w:ascii="宋体" w:hAnsi="宋体"/>
                <w:color w:val="000000" w:themeColor="text1"/>
                <w:sz w:val="24"/>
                <w:highlight w:val="none"/>
                <w14:textFill>
                  <w14:solidFill>
                    <w14:schemeClr w14:val="tx1"/>
                  </w14:solidFill>
                </w14:textFill>
              </w:rPr>
            </w:pPr>
          </w:p>
        </w:tc>
        <w:tc>
          <w:tcPr>
            <w:tcW w:w="1009" w:type="dxa"/>
            <w:tcBorders>
              <w:top w:val="single" w:color="auto" w:sz="4" w:space="0"/>
              <w:left w:val="single" w:color="auto" w:sz="4" w:space="0"/>
              <w:bottom w:val="single" w:color="auto" w:sz="4" w:space="0"/>
              <w:right w:val="single" w:color="auto" w:sz="4" w:space="0"/>
            </w:tcBorders>
            <w:vAlign w:val="center"/>
          </w:tcPr>
          <w:p w14:paraId="5DF49638">
            <w:pPr>
              <w:snapToGrid w:val="0"/>
              <w:spacing w:before="50" w:after="50"/>
              <w:jc w:val="center"/>
              <w:rPr>
                <w:rFonts w:ascii="宋体" w:hAnsi="宋体"/>
                <w:color w:val="000000" w:themeColor="text1"/>
                <w:sz w:val="24"/>
                <w:highlight w:val="none"/>
                <w14:textFill>
                  <w14:solidFill>
                    <w14:schemeClr w14:val="tx1"/>
                  </w14:solidFill>
                </w14:textFill>
              </w:rPr>
            </w:pPr>
          </w:p>
        </w:tc>
        <w:tc>
          <w:tcPr>
            <w:tcW w:w="1004" w:type="dxa"/>
            <w:tcBorders>
              <w:top w:val="single" w:color="auto" w:sz="4" w:space="0"/>
              <w:left w:val="single" w:color="auto" w:sz="4" w:space="0"/>
              <w:bottom w:val="single" w:color="auto" w:sz="4" w:space="0"/>
              <w:right w:val="single" w:color="auto" w:sz="4" w:space="0"/>
            </w:tcBorders>
            <w:vAlign w:val="center"/>
          </w:tcPr>
          <w:p w14:paraId="0B33D8BC">
            <w:pPr>
              <w:snapToGrid w:val="0"/>
              <w:spacing w:before="50" w:after="50"/>
              <w:jc w:val="center"/>
              <w:rPr>
                <w:rFonts w:ascii="宋体" w:hAnsi="宋体"/>
                <w:color w:val="000000" w:themeColor="text1"/>
                <w:sz w:val="24"/>
                <w:highlight w:val="none"/>
                <w14:textFill>
                  <w14:solidFill>
                    <w14:schemeClr w14:val="tx1"/>
                  </w14:solidFill>
                </w14:textFill>
              </w:rPr>
            </w:pPr>
          </w:p>
        </w:tc>
      </w:tr>
      <w:tr w14:paraId="437065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12" w:type="dxa"/>
            <w:tcBorders>
              <w:top w:val="single" w:color="auto" w:sz="4" w:space="0"/>
              <w:left w:val="single" w:color="auto" w:sz="4" w:space="0"/>
              <w:bottom w:val="single" w:color="auto" w:sz="4" w:space="0"/>
              <w:right w:val="single" w:color="auto" w:sz="4" w:space="0"/>
            </w:tcBorders>
            <w:vAlign w:val="center"/>
          </w:tcPr>
          <w:p w14:paraId="443E991E">
            <w:pPr>
              <w:snapToGrid w:val="0"/>
              <w:spacing w:before="50" w:after="50"/>
              <w:jc w:val="center"/>
              <w:rPr>
                <w:rFonts w:ascii="宋体" w:hAnsi="宋体"/>
                <w:color w:val="000000" w:themeColor="text1"/>
                <w:sz w:val="24"/>
                <w:highlight w:val="none"/>
                <w14:textFill>
                  <w14:solidFill>
                    <w14:schemeClr w14:val="tx1"/>
                  </w14:solidFill>
                </w14:textFill>
              </w:rPr>
            </w:pPr>
          </w:p>
        </w:tc>
        <w:tc>
          <w:tcPr>
            <w:tcW w:w="1168" w:type="dxa"/>
            <w:tcBorders>
              <w:top w:val="single" w:color="auto" w:sz="4" w:space="0"/>
              <w:left w:val="single" w:color="auto" w:sz="4" w:space="0"/>
              <w:bottom w:val="single" w:color="auto" w:sz="4" w:space="0"/>
              <w:right w:val="single" w:color="auto" w:sz="4" w:space="0"/>
            </w:tcBorders>
            <w:vAlign w:val="center"/>
          </w:tcPr>
          <w:p w14:paraId="3084FDC6">
            <w:pPr>
              <w:snapToGrid w:val="0"/>
              <w:spacing w:before="50" w:after="50"/>
              <w:jc w:val="center"/>
              <w:rPr>
                <w:rFonts w:ascii="宋体" w:hAnsi="宋体"/>
                <w:color w:val="000000" w:themeColor="text1"/>
                <w:sz w:val="24"/>
                <w:highlight w:val="none"/>
                <w14:textFill>
                  <w14:solidFill>
                    <w14:schemeClr w14:val="tx1"/>
                  </w14:solidFill>
                </w14:textFill>
              </w:rPr>
            </w:pPr>
          </w:p>
        </w:tc>
        <w:tc>
          <w:tcPr>
            <w:tcW w:w="763" w:type="dxa"/>
            <w:tcBorders>
              <w:top w:val="single" w:color="auto" w:sz="4" w:space="0"/>
              <w:left w:val="single" w:color="auto" w:sz="4" w:space="0"/>
              <w:bottom w:val="single" w:color="auto" w:sz="4" w:space="0"/>
              <w:right w:val="single" w:color="auto" w:sz="4" w:space="0"/>
            </w:tcBorders>
            <w:vAlign w:val="center"/>
          </w:tcPr>
          <w:p w14:paraId="790861A7">
            <w:pPr>
              <w:snapToGrid w:val="0"/>
              <w:spacing w:before="50" w:after="50"/>
              <w:jc w:val="center"/>
              <w:rPr>
                <w:rFonts w:ascii="宋体" w:hAnsi="宋体"/>
                <w:color w:val="000000" w:themeColor="text1"/>
                <w:sz w:val="24"/>
                <w:highlight w:val="none"/>
                <w14:textFill>
                  <w14:solidFill>
                    <w14:schemeClr w14:val="tx1"/>
                  </w14:solidFill>
                </w14:textFill>
              </w:rPr>
            </w:pPr>
          </w:p>
        </w:tc>
        <w:tc>
          <w:tcPr>
            <w:tcW w:w="759" w:type="dxa"/>
            <w:tcBorders>
              <w:top w:val="single" w:color="auto" w:sz="4" w:space="0"/>
              <w:left w:val="single" w:color="auto" w:sz="4" w:space="0"/>
              <w:bottom w:val="single" w:color="auto" w:sz="4" w:space="0"/>
              <w:right w:val="single" w:color="auto" w:sz="4" w:space="0"/>
            </w:tcBorders>
            <w:vAlign w:val="center"/>
          </w:tcPr>
          <w:p w14:paraId="519743DF">
            <w:pPr>
              <w:snapToGrid w:val="0"/>
              <w:spacing w:before="50" w:after="50"/>
              <w:jc w:val="center"/>
              <w:rPr>
                <w:rFonts w:ascii="宋体" w:hAnsi="宋体"/>
                <w:color w:val="000000" w:themeColor="text1"/>
                <w:sz w:val="24"/>
                <w:highlight w:val="none"/>
                <w14:textFill>
                  <w14:solidFill>
                    <w14:schemeClr w14:val="tx1"/>
                  </w14:solidFill>
                </w14:textFill>
              </w:rPr>
            </w:pPr>
          </w:p>
        </w:tc>
        <w:tc>
          <w:tcPr>
            <w:tcW w:w="912" w:type="dxa"/>
            <w:tcBorders>
              <w:top w:val="single" w:color="auto" w:sz="4" w:space="0"/>
              <w:left w:val="single" w:color="auto" w:sz="4" w:space="0"/>
              <w:bottom w:val="single" w:color="auto" w:sz="4" w:space="0"/>
              <w:right w:val="single" w:color="auto" w:sz="4" w:space="0"/>
            </w:tcBorders>
          </w:tcPr>
          <w:p w14:paraId="331393C2">
            <w:pPr>
              <w:snapToGrid w:val="0"/>
              <w:spacing w:before="50" w:after="50"/>
              <w:jc w:val="center"/>
              <w:rPr>
                <w:rFonts w:ascii="宋体" w:hAnsi="宋体"/>
                <w:color w:val="000000" w:themeColor="text1"/>
                <w:sz w:val="24"/>
                <w:highlight w:val="none"/>
                <w14:textFill>
                  <w14:solidFill>
                    <w14:schemeClr w14:val="tx1"/>
                  </w14:solidFill>
                </w14:textFill>
              </w:rPr>
            </w:pPr>
          </w:p>
        </w:tc>
        <w:tc>
          <w:tcPr>
            <w:tcW w:w="1847" w:type="dxa"/>
            <w:tcBorders>
              <w:top w:val="single" w:color="auto" w:sz="4" w:space="0"/>
              <w:left w:val="single" w:color="auto" w:sz="4" w:space="0"/>
              <w:bottom w:val="single" w:color="auto" w:sz="4" w:space="0"/>
              <w:right w:val="single" w:color="auto" w:sz="4" w:space="0"/>
            </w:tcBorders>
          </w:tcPr>
          <w:p w14:paraId="111859D6">
            <w:pPr>
              <w:snapToGrid w:val="0"/>
              <w:spacing w:before="50" w:after="50"/>
              <w:jc w:val="center"/>
              <w:rPr>
                <w:rFonts w:ascii="宋体" w:hAnsi="宋体"/>
                <w:color w:val="000000" w:themeColor="text1"/>
                <w:sz w:val="24"/>
                <w:highlight w:val="none"/>
                <w14:textFill>
                  <w14:solidFill>
                    <w14:schemeClr w14:val="tx1"/>
                  </w14:solidFill>
                </w14:textFill>
              </w:rPr>
            </w:pPr>
          </w:p>
        </w:tc>
        <w:tc>
          <w:tcPr>
            <w:tcW w:w="1009" w:type="dxa"/>
            <w:tcBorders>
              <w:top w:val="single" w:color="auto" w:sz="4" w:space="0"/>
              <w:left w:val="single" w:color="auto" w:sz="4" w:space="0"/>
              <w:bottom w:val="single" w:color="auto" w:sz="4" w:space="0"/>
              <w:right w:val="single" w:color="auto" w:sz="4" w:space="0"/>
            </w:tcBorders>
            <w:vAlign w:val="center"/>
          </w:tcPr>
          <w:p w14:paraId="6E3B30D8">
            <w:pPr>
              <w:snapToGrid w:val="0"/>
              <w:spacing w:before="50" w:after="50"/>
              <w:jc w:val="center"/>
              <w:rPr>
                <w:rFonts w:ascii="宋体" w:hAnsi="宋体"/>
                <w:color w:val="000000" w:themeColor="text1"/>
                <w:sz w:val="24"/>
                <w:highlight w:val="none"/>
                <w14:textFill>
                  <w14:solidFill>
                    <w14:schemeClr w14:val="tx1"/>
                  </w14:solidFill>
                </w14:textFill>
              </w:rPr>
            </w:pPr>
          </w:p>
        </w:tc>
        <w:tc>
          <w:tcPr>
            <w:tcW w:w="1004" w:type="dxa"/>
            <w:tcBorders>
              <w:top w:val="single" w:color="auto" w:sz="4" w:space="0"/>
              <w:left w:val="single" w:color="auto" w:sz="4" w:space="0"/>
              <w:bottom w:val="single" w:color="auto" w:sz="4" w:space="0"/>
              <w:right w:val="single" w:color="auto" w:sz="4" w:space="0"/>
            </w:tcBorders>
            <w:vAlign w:val="center"/>
          </w:tcPr>
          <w:p w14:paraId="6FCDC0F5">
            <w:pPr>
              <w:snapToGrid w:val="0"/>
              <w:spacing w:before="50" w:after="50"/>
              <w:jc w:val="center"/>
              <w:rPr>
                <w:rFonts w:ascii="宋体" w:hAnsi="宋体"/>
                <w:color w:val="000000" w:themeColor="text1"/>
                <w:sz w:val="24"/>
                <w:highlight w:val="none"/>
                <w14:textFill>
                  <w14:solidFill>
                    <w14:schemeClr w14:val="tx1"/>
                  </w14:solidFill>
                </w14:textFill>
              </w:rPr>
            </w:pPr>
          </w:p>
        </w:tc>
      </w:tr>
    </w:tbl>
    <w:p w14:paraId="49FF1C01">
      <w:pPr>
        <w:spacing w:line="360" w:lineRule="auto"/>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备注：</w:t>
      </w:r>
    </w:p>
    <w:p w14:paraId="5AE22FB9">
      <w:pPr>
        <w:tabs>
          <w:tab w:val="left" w:pos="1065"/>
        </w:tabs>
        <w:adjustRightInd w:val="0"/>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以上货物配置清单中“货物名称、数量及单位、品牌、规格型号、制造商、原产地”必须如实填写完整，品牌、规格型号没有则填无，填写有缺漏的，响应文件按无效处理</w:t>
      </w:r>
      <w:r>
        <w:rPr>
          <w:rFonts w:hint="eastAsia" w:ascii="宋体" w:hAnsi="宋体"/>
          <w:b/>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货物名称、数量及单位、品牌必须与“竞标报价表”一致，</w:t>
      </w:r>
      <w:r>
        <w:rPr>
          <w:rFonts w:hint="eastAsia" w:ascii="宋体" w:hAnsi="宋体"/>
          <w:bCs/>
          <w:color w:val="000000" w:themeColor="text1"/>
          <w:sz w:val="24"/>
          <w:highlight w:val="none"/>
          <w14:textFill>
            <w14:solidFill>
              <w14:schemeClr w14:val="tx1"/>
            </w14:solidFill>
          </w14:textFill>
        </w:rPr>
        <w:t>否则响应文件按无效处理</w:t>
      </w:r>
      <w:r>
        <w:rPr>
          <w:rFonts w:hint="eastAsia" w:ascii="宋体" w:hAnsi="宋体"/>
          <w:b/>
          <w:color w:val="000000" w:themeColor="text1"/>
          <w:sz w:val="24"/>
          <w:highlight w:val="none"/>
          <w14:textFill>
            <w14:solidFill>
              <w14:schemeClr w14:val="tx1"/>
            </w14:solidFill>
          </w14:textFill>
        </w:rPr>
        <w:t>。</w:t>
      </w:r>
      <w:r>
        <w:rPr>
          <w:rFonts w:hint="eastAsia" w:ascii="宋体" w:hAnsi="宋体" w:cs="仿宋_GB2312"/>
          <w:color w:val="000000" w:themeColor="text1"/>
          <w:sz w:val="24"/>
          <w:highlight w:val="none"/>
          <w14:textFill>
            <w14:solidFill>
              <w14:schemeClr w14:val="tx1"/>
            </w14:solidFill>
          </w14:textFill>
        </w:rPr>
        <w:tab/>
      </w:r>
    </w:p>
    <w:p w14:paraId="324DB27C">
      <w:pPr>
        <w:adjustRightInd w:val="0"/>
        <w:spacing w:line="360" w:lineRule="auto"/>
        <w:contextualSpacing/>
        <w:jc w:val="left"/>
        <w:rPr>
          <w:rFonts w:ascii="宋体" w:hAnsi="宋体" w:cs="仿宋_GB2312"/>
          <w:color w:val="000000" w:themeColor="text1"/>
          <w:sz w:val="24"/>
          <w:highlight w:val="none"/>
          <w14:textFill>
            <w14:solidFill>
              <w14:schemeClr w14:val="tx1"/>
            </w14:solidFill>
          </w14:textFill>
        </w:rPr>
      </w:pPr>
    </w:p>
    <w:p w14:paraId="69C51690">
      <w:pPr>
        <w:adjustRightInd w:val="0"/>
        <w:spacing w:line="360" w:lineRule="auto"/>
        <w:contextualSpacing/>
        <w:jc w:val="left"/>
        <w:rPr>
          <w:rFonts w:ascii="宋体" w:hAnsi="宋体" w:cs="仿宋_GB2312"/>
          <w:color w:val="000000" w:themeColor="text1"/>
          <w:sz w:val="24"/>
          <w:highlight w:val="none"/>
          <w14:textFill>
            <w14:solidFill>
              <w14:schemeClr w14:val="tx1"/>
            </w14:solidFill>
          </w14:textFill>
        </w:rPr>
      </w:pPr>
    </w:p>
    <w:p w14:paraId="48FF7225">
      <w:pPr>
        <w:adjustRightInd w:val="0"/>
        <w:spacing w:line="360" w:lineRule="auto"/>
        <w:contextualSpacing/>
        <w:jc w:val="left"/>
        <w:rPr>
          <w:rFonts w:ascii="宋体" w:hAnsi="宋体" w:cs="仿宋_GB2312"/>
          <w:color w:val="000000" w:themeColor="text1"/>
          <w:sz w:val="24"/>
          <w:highlight w:val="none"/>
          <w14:textFill>
            <w14:solidFill>
              <w14:schemeClr w14:val="tx1"/>
            </w14:solidFill>
          </w14:textFill>
        </w:rPr>
      </w:pPr>
    </w:p>
    <w:p w14:paraId="0ACADB7F">
      <w:pPr>
        <w:spacing w:line="360" w:lineRule="auto"/>
        <w:ind w:right="-817" w:rightChars="-389"/>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法定代表人或者委托代理人（签字或者电子签名）：</w:t>
      </w:r>
    </w:p>
    <w:p w14:paraId="235359C0">
      <w:pPr>
        <w:spacing w:line="360" w:lineRule="auto"/>
        <w:ind w:right="-817" w:rightChars="-389" w:firstLine="2880" w:firstLineChars="1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14:paraId="4FA6E095">
      <w:pPr>
        <w:spacing w:line="360" w:lineRule="auto"/>
        <w:ind w:right="-817" w:rightChars="-389" w:firstLine="2880" w:firstLineChars="1200"/>
        <w:contextualSpacing/>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w:t>
      </w:r>
    </w:p>
    <w:p w14:paraId="5002990F">
      <w:pPr>
        <w:adjustRightInd w:val="0"/>
        <w:snapToGrid w:val="0"/>
        <w:spacing w:line="300" w:lineRule="auto"/>
        <w:rPr>
          <w:rFonts w:ascii="宋体" w:hAnsi="宋体"/>
          <w:color w:val="000000" w:themeColor="text1"/>
          <w:szCs w:val="21"/>
          <w:highlight w:val="none"/>
          <w:u w:val="single"/>
          <w14:textFill>
            <w14:solidFill>
              <w14:schemeClr w14:val="tx1"/>
            </w14:solidFill>
          </w14:textFill>
        </w:rPr>
      </w:pPr>
    </w:p>
    <w:p w14:paraId="0EB6A1A1">
      <w:pPr>
        <w:adjustRightInd w:val="0"/>
        <w:snapToGrid w:val="0"/>
        <w:spacing w:line="300" w:lineRule="auto"/>
        <w:rPr>
          <w:rFonts w:ascii="宋体" w:hAnsi="宋体"/>
          <w:color w:val="000000" w:themeColor="text1"/>
          <w:szCs w:val="21"/>
          <w:highlight w:val="none"/>
          <w:u w:val="single"/>
          <w14:textFill>
            <w14:solidFill>
              <w14:schemeClr w14:val="tx1"/>
            </w14:solidFill>
          </w14:textFill>
        </w:rPr>
      </w:pPr>
    </w:p>
    <w:p w14:paraId="0F63546A">
      <w:pPr>
        <w:adjustRightInd w:val="0"/>
        <w:snapToGrid w:val="0"/>
        <w:spacing w:line="300" w:lineRule="auto"/>
        <w:rPr>
          <w:rFonts w:ascii="宋体" w:hAnsi="宋体"/>
          <w:color w:val="000000" w:themeColor="text1"/>
          <w:szCs w:val="21"/>
          <w:highlight w:val="none"/>
          <w:u w:val="single"/>
          <w14:textFill>
            <w14:solidFill>
              <w14:schemeClr w14:val="tx1"/>
            </w14:solidFill>
          </w14:textFill>
        </w:rPr>
      </w:pPr>
    </w:p>
    <w:p w14:paraId="70AA1F73">
      <w:pPr>
        <w:adjustRightInd w:val="0"/>
        <w:snapToGrid w:val="0"/>
        <w:spacing w:line="300" w:lineRule="auto"/>
        <w:rPr>
          <w:rFonts w:ascii="宋体" w:hAnsi="宋体"/>
          <w:color w:val="000000" w:themeColor="text1"/>
          <w:szCs w:val="21"/>
          <w:highlight w:val="none"/>
          <w:u w:val="single"/>
          <w14:textFill>
            <w14:solidFill>
              <w14:schemeClr w14:val="tx1"/>
            </w14:solidFill>
          </w14:textFill>
        </w:rPr>
      </w:pPr>
    </w:p>
    <w:p w14:paraId="498580C7">
      <w:pPr>
        <w:adjustRightInd w:val="0"/>
        <w:snapToGrid w:val="0"/>
        <w:spacing w:line="300" w:lineRule="auto"/>
        <w:rPr>
          <w:rFonts w:ascii="宋体" w:hAnsi="宋体"/>
          <w:color w:val="000000" w:themeColor="text1"/>
          <w:szCs w:val="21"/>
          <w:highlight w:val="none"/>
          <w:u w:val="single"/>
          <w14:textFill>
            <w14:solidFill>
              <w14:schemeClr w14:val="tx1"/>
            </w14:solidFill>
          </w14:textFill>
        </w:rPr>
      </w:pPr>
    </w:p>
    <w:p w14:paraId="21AA31D4">
      <w:pPr>
        <w:adjustRightInd w:val="0"/>
        <w:snapToGrid w:val="0"/>
        <w:spacing w:line="300" w:lineRule="auto"/>
        <w:rPr>
          <w:rFonts w:ascii="宋体" w:hAnsi="宋体"/>
          <w:color w:val="000000" w:themeColor="text1"/>
          <w:szCs w:val="21"/>
          <w:highlight w:val="none"/>
          <w:u w:val="single"/>
          <w14:textFill>
            <w14:solidFill>
              <w14:schemeClr w14:val="tx1"/>
            </w14:solidFill>
          </w14:textFill>
        </w:rPr>
      </w:pPr>
    </w:p>
    <w:p w14:paraId="19465C33">
      <w:pPr>
        <w:adjustRightInd w:val="0"/>
        <w:snapToGrid w:val="0"/>
        <w:spacing w:line="300" w:lineRule="auto"/>
        <w:rPr>
          <w:rFonts w:ascii="宋体" w:hAnsi="宋体"/>
          <w:color w:val="000000" w:themeColor="text1"/>
          <w:szCs w:val="21"/>
          <w:highlight w:val="none"/>
          <w:u w:val="single"/>
          <w14:textFill>
            <w14:solidFill>
              <w14:schemeClr w14:val="tx1"/>
            </w14:solidFill>
          </w14:textFill>
        </w:rPr>
      </w:pPr>
    </w:p>
    <w:p w14:paraId="3B4BBD43">
      <w:pPr>
        <w:adjustRightInd w:val="0"/>
        <w:snapToGrid w:val="0"/>
        <w:spacing w:line="300" w:lineRule="auto"/>
        <w:rPr>
          <w:rFonts w:ascii="宋体" w:hAnsi="宋体"/>
          <w:color w:val="000000" w:themeColor="text1"/>
          <w:szCs w:val="21"/>
          <w:highlight w:val="none"/>
          <w:u w:val="single"/>
          <w14:textFill>
            <w14:solidFill>
              <w14:schemeClr w14:val="tx1"/>
            </w14:solidFill>
          </w14:textFill>
        </w:rPr>
      </w:pPr>
    </w:p>
    <w:p w14:paraId="63A877AC">
      <w:pPr>
        <w:adjustRightInd w:val="0"/>
        <w:snapToGrid w:val="0"/>
        <w:spacing w:line="300" w:lineRule="auto"/>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技术要求偏离表</w:t>
      </w:r>
    </w:p>
    <w:p w14:paraId="5103F480">
      <w:pPr>
        <w:spacing w:line="520" w:lineRule="exact"/>
        <w:rPr>
          <w:rFonts w:ascii="仿宋_GB2312" w:hAnsi="仿宋_GB2312" w:eastAsia="仿宋_GB2312" w:cs="仿宋_GB2312"/>
          <w:color w:val="000000" w:themeColor="text1"/>
          <w:sz w:val="32"/>
          <w:szCs w:val="32"/>
          <w:highlight w:val="none"/>
          <w14:textFill>
            <w14:solidFill>
              <w14:schemeClr w14:val="tx1"/>
            </w14:solidFill>
          </w14:textFill>
        </w:rPr>
      </w:pPr>
    </w:p>
    <w:p w14:paraId="1FC7A55F">
      <w:pPr>
        <w:spacing w:line="360" w:lineRule="auto"/>
        <w:rPr>
          <w:rFonts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采购项目编号：</w:t>
      </w:r>
    </w:p>
    <w:p w14:paraId="4920034E">
      <w:pPr>
        <w:spacing w:line="360" w:lineRule="auto"/>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采购项目名称：</w:t>
      </w:r>
    </w:p>
    <w:p w14:paraId="6C2BA059">
      <w:pPr>
        <w:spacing w:line="360" w:lineRule="auto"/>
        <w:rPr>
          <w:rFonts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分标号：</w:t>
      </w:r>
    </w:p>
    <w:tbl>
      <w:tblPr>
        <w:tblStyle w:val="28"/>
        <w:tblW w:w="872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78"/>
        <w:gridCol w:w="878"/>
        <w:gridCol w:w="2913"/>
        <w:gridCol w:w="2621"/>
        <w:gridCol w:w="1430"/>
      </w:tblGrid>
      <w:tr w14:paraId="0427EB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78" w:type="dxa"/>
            <w:vAlign w:val="center"/>
          </w:tcPr>
          <w:p w14:paraId="60B36E71">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r>
              <w:rPr>
                <w:rFonts w:hint="eastAsia" w:ascii="宋体" w:hAnsi="宋体" w:eastAsia="宋体" w:cs="仿宋_GB2312"/>
                <w:color w:val="000000" w:themeColor="text1"/>
                <w:kern w:val="2"/>
                <w:sz w:val="24"/>
                <w:szCs w:val="24"/>
                <w:highlight w:val="none"/>
                <w14:textFill>
                  <w14:solidFill>
                    <w14:schemeClr w14:val="tx1"/>
                  </w14:solidFill>
                </w14:textFill>
              </w:rPr>
              <w:t>序号</w:t>
            </w:r>
          </w:p>
        </w:tc>
        <w:tc>
          <w:tcPr>
            <w:tcW w:w="878" w:type="dxa"/>
            <w:tcBorders>
              <w:right w:val="single" w:color="auto" w:sz="4" w:space="0"/>
            </w:tcBorders>
            <w:vAlign w:val="center"/>
          </w:tcPr>
          <w:p w14:paraId="5EA0C57B">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r>
              <w:rPr>
                <w:rFonts w:hint="eastAsia" w:ascii="宋体" w:hAnsi="宋体" w:eastAsia="宋体" w:cs="仿宋_GB2312"/>
                <w:color w:val="000000" w:themeColor="text1"/>
                <w:kern w:val="2"/>
                <w:sz w:val="24"/>
                <w:szCs w:val="24"/>
                <w:highlight w:val="none"/>
                <w14:textFill>
                  <w14:solidFill>
                    <w14:schemeClr w14:val="tx1"/>
                  </w14:solidFill>
                </w14:textFill>
              </w:rPr>
              <w:t>标的名称</w:t>
            </w:r>
          </w:p>
        </w:tc>
        <w:tc>
          <w:tcPr>
            <w:tcW w:w="2913" w:type="dxa"/>
            <w:tcBorders>
              <w:left w:val="single" w:color="auto" w:sz="4" w:space="0"/>
            </w:tcBorders>
            <w:vAlign w:val="center"/>
          </w:tcPr>
          <w:p w14:paraId="58C4F71E">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r>
              <w:rPr>
                <w:rFonts w:hint="eastAsia" w:ascii="宋体" w:hAnsi="宋体" w:eastAsia="宋体" w:cs="仿宋_GB2312"/>
                <w:color w:val="000000" w:themeColor="text1"/>
                <w:kern w:val="2"/>
                <w:sz w:val="24"/>
                <w:szCs w:val="24"/>
                <w:highlight w:val="none"/>
                <w14:textFill>
                  <w14:solidFill>
                    <w14:schemeClr w14:val="tx1"/>
                  </w14:solidFill>
                </w14:textFill>
              </w:rPr>
              <w:t>谈判文件要求</w:t>
            </w:r>
          </w:p>
        </w:tc>
        <w:tc>
          <w:tcPr>
            <w:tcW w:w="2621" w:type="dxa"/>
            <w:vAlign w:val="center"/>
          </w:tcPr>
          <w:p w14:paraId="17492845">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r>
              <w:rPr>
                <w:rFonts w:hint="eastAsia" w:ascii="宋体" w:hAnsi="宋体" w:eastAsia="宋体" w:cs="仿宋_GB2312"/>
                <w:color w:val="000000" w:themeColor="text1"/>
                <w:kern w:val="2"/>
                <w:sz w:val="24"/>
                <w:szCs w:val="24"/>
                <w:highlight w:val="none"/>
                <w14:textFill>
                  <w14:solidFill>
                    <w14:schemeClr w14:val="tx1"/>
                  </w14:solidFill>
                </w14:textFill>
              </w:rPr>
              <w:t>竞标响应</w:t>
            </w:r>
          </w:p>
        </w:tc>
        <w:tc>
          <w:tcPr>
            <w:tcW w:w="1430" w:type="dxa"/>
            <w:vAlign w:val="center"/>
          </w:tcPr>
          <w:p w14:paraId="6C9AA7E5">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r>
              <w:rPr>
                <w:rFonts w:hint="eastAsia" w:ascii="宋体" w:hAnsi="宋体" w:eastAsia="宋体" w:cs="仿宋_GB2312"/>
                <w:color w:val="000000" w:themeColor="text1"/>
                <w:kern w:val="2"/>
                <w:sz w:val="24"/>
                <w:szCs w:val="24"/>
                <w:highlight w:val="none"/>
                <w14:textFill>
                  <w14:solidFill>
                    <w14:schemeClr w14:val="tx1"/>
                  </w14:solidFill>
                </w14:textFill>
              </w:rPr>
              <w:t>偏离说明</w:t>
            </w:r>
          </w:p>
        </w:tc>
      </w:tr>
      <w:tr w14:paraId="5730DD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78" w:type="dxa"/>
            <w:vAlign w:val="center"/>
          </w:tcPr>
          <w:p w14:paraId="0A7B1DEE">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r>
              <w:rPr>
                <w:rFonts w:hint="eastAsia" w:ascii="宋体" w:hAnsi="宋体" w:eastAsia="宋体" w:cs="仿宋_GB2312"/>
                <w:color w:val="000000" w:themeColor="text1"/>
                <w:kern w:val="2"/>
                <w:sz w:val="24"/>
                <w:szCs w:val="24"/>
                <w:highlight w:val="none"/>
                <w14:textFill>
                  <w14:solidFill>
                    <w14:schemeClr w14:val="tx1"/>
                  </w14:solidFill>
                </w14:textFill>
              </w:rPr>
              <w:t>1</w:t>
            </w:r>
          </w:p>
        </w:tc>
        <w:tc>
          <w:tcPr>
            <w:tcW w:w="878" w:type="dxa"/>
            <w:tcBorders>
              <w:right w:val="single" w:color="auto" w:sz="4" w:space="0"/>
            </w:tcBorders>
            <w:vAlign w:val="center"/>
          </w:tcPr>
          <w:p w14:paraId="3037D9FA">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2913" w:type="dxa"/>
            <w:tcBorders>
              <w:left w:val="single" w:color="auto" w:sz="4" w:space="0"/>
            </w:tcBorders>
            <w:vAlign w:val="center"/>
          </w:tcPr>
          <w:p w14:paraId="69B20D3B">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2621" w:type="dxa"/>
            <w:vAlign w:val="center"/>
          </w:tcPr>
          <w:p w14:paraId="6EB28039">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1430" w:type="dxa"/>
            <w:vAlign w:val="center"/>
          </w:tcPr>
          <w:p w14:paraId="50EE0B35">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r>
      <w:tr w14:paraId="5FA86D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78" w:type="dxa"/>
            <w:vAlign w:val="center"/>
          </w:tcPr>
          <w:p w14:paraId="08BCAA41">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r>
              <w:rPr>
                <w:rFonts w:hint="eastAsia" w:ascii="宋体" w:hAnsi="宋体" w:eastAsia="宋体" w:cs="仿宋_GB2312"/>
                <w:color w:val="000000" w:themeColor="text1"/>
                <w:kern w:val="2"/>
                <w:sz w:val="24"/>
                <w:szCs w:val="24"/>
                <w:highlight w:val="none"/>
                <w14:textFill>
                  <w14:solidFill>
                    <w14:schemeClr w14:val="tx1"/>
                  </w14:solidFill>
                </w14:textFill>
              </w:rPr>
              <w:t>2</w:t>
            </w:r>
          </w:p>
        </w:tc>
        <w:tc>
          <w:tcPr>
            <w:tcW w:w="878" w:type="dxa"/>
            <w:tcBorders>
              <w:right w:val="single" w:color="auto" w:sz="4" w:space="0"/>
            </w:tcBorders>
            <w:vAlign w:val="center"/>
          </w:tcPr>
          <w:p w14:paraId="48DC24DA">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2913" w:type="dxa"/>
            <w:tcBorders>
              <w:left w:val="single" w:color="auto" w:sz="4" w:space="0"/>
            </w:tcBorders>
            <w:vAlign w:val="center"/>
          </w:tcPr>
          <w:p w14:paraId="407EA399">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2621" w:type="dxa"/>
            <w:vAlign w:val="center"/>
          </w:tcPr>
          <w:p w14:paraId="55570DB5">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1430" w:type="dxa"/>
            <w:vAlign w:val="center"/>
          </w:tcPr>
          <w:p w14:paraId="07B5AC87">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r>
      <w:tr w14:paraId="71FF05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78" w:type="dxa"/>
            <w:vAlign w:val="center"/>
          </w:tcPr>
          <w:p w14:paraId="5B787D13">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r>
              <w:rPr>
                <w:rFonts w:hint="eastAsia" w:ascii="宋体" w:hAnsi="宋体" w:eastAsia="宋体" w:cs="仿宋_GB2312"/>
                <w:color w:val="000000" w:themeColor="text1"/>
                <w:kern w:val="2"/>
                <w:sz w:val="24"/>
                <w:szCs w:val="24"/>
                <w:highlight w:val="none"/>
                <w14:textFill>
                  <w14:solidFill>
                    <w14:schemeClr w14:val="tx1"/>
                  </w14:solidFill>
                </w14:textFill>
              </w:rPr>
              <w:t>3</w:t>
            </w:r>
          </w:p>
        </w:tc>
        <w:tc>
          <w:tcPr>
            <w:tcW w:w="878" w:type="dxa"/>
            <w:tcBorders>
              <w:right w:val="single" w:color="auto" w:sz="4" w:space="0"/>
            </w:tcBorders>
            <w:vAlign w:val="center"/>
          </w:tcPr>
          <w:p w14:paraId="38631825">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2913" w:type="dxa"/>
            <w:tcBorders>
              <w:left w:val="single" w:color="auto" w:sz="4" w:space="0"/>
            </w:tcBorders>
            <w:vAlign w:val="center"/>
          </w:tcPr>
          <w:p w14:paraId="4CA21FE7">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2621" w:type="dxa"/>
            <w:vAlign w:val="center"/>
          </w:tcPr>
          <w:p w14:paraId="02AEC04E">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1430" w:type="dxa"/>
            <w:vAlign w:val="center"/>
          </w:tcPr>
          <w:p w14:paraId="05142C95">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r>
      <w:tr w14:paraId="0F8B2F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78" w:type="dxa"/>
            <w:vAlign w:val="center"/>
          </w:tcPr>
          <w:p w14:paraId="5F73B763">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r>
              <w:rPr>
                <w:rFonts w:hint="eastAsia" w:ascii="宋体" w:hAnsi="宋体" w:eastAsia="宋体" w:cs="仿宋_GB2312"/>
                <w:color w:val="000000" w:themeColor="text1"/>
                <w:kern w:val="2"/>
                <w:sz w:val="24"/>
                <w:szCs w:val="24"/>
                <w:highlight w:val="none"/>
                <w14:textFill>
                  <w14:solidFill>
                    <w14:schemeClr w14:val="tx1"/>
                  </w14:solidFill>
                </w14:textFill>
              </w:rPr>
              <w:t>4</w:t>
            </w:r>
          </w:p>
        </w:tc>
        <w:tc>
          <w:tcPr>
            <w:tcW w:w="878" w:type="dxa"/>
            <w:tcBorders>
              <w:right w:val="single" w:color="auto" w:sz="4" w:space="0"/>
            </w:tcBorders>
            <w:vAlign w:val="center"/>
          </w:tcPr>
          <w:p w14:paraId="754F32BE">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2913" w:type="dxa"/>
            <w:tcBorders>
              <w:left w:val="single" w:color="auto" w:sz="4" w:space="0"/>
            </w:tcBorders>
            <w:vAlign w:val="center"/>
          </w:tcPr>
          <w:p w14:paraId="7A5AA4CC">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2621" w:type="dxa"/>
            <w:vAlign w:val="center"/>
          </w:tcPr>
          <w:p w14:paraId="02711708">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1430" w:type="dxa"/>
            <w:vAlign w:val="center"/>
          </w:tcPr>
          <w:p w14:paraId="478D3731">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r>
      <w:tr w14:paraId="250227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78" w:type="dxa"/>
            <w:vAlign w:val="center"/>
          </w:tcPr>
          <w:p w14:paraId="69B812B1">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r>
              <w:rPr>
                <w:rFonts w:hint="eastAsia" w:ascii="宋体" w:hAnsi="宋体" w:eastAsia="宋体" w:cs="仿宋_GB2312"/>
                <w:color w:val="000000" w:themeColor="text1"/>
                <w:kern w:val="2"/>
                <w:sz w:val="24"/>
                <w:szCs w:val="24"/>
                <w:highlight w:val="none"/>
                <w14:textFill>
                  <w14:solidFill>
                    <w14:schemeClr w14:val="tx1"/>
                  </w14:solidFill>
                </w14:textFill>
              </w:rPr>
              <w:t>5</w:t>
            </w:r>
          </w:p>
        </w:tc>
        <w:tc>
          <w:tcPr>
            <w:tcW w:w="878" w:type="dxa"/>
            <w:tcBorders>
              <w:right w:val="single" w:color="auto" w:sz="4" w:space="0"/>
            </w:tcBorders>
            <w:vAlign w:val="center"/>
          </w:tcPr>
          <w:p w14:paraId="55B1EF3C">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2913" w:type="dxa"/>
            <w:tcBorders>
              <w:left w:val="single" w:color="auto" w:sz="4" w:space="0"/>
            </w:tcBorders>
            <w:vAlign w:val="center"/>
          </w:tcPr>
          <w:p w14:paraId="2633AFF5">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2621" w:type="dxa"/>
            <w:vAlign w:val="center"/>
          </w:tcPr>
          <w:p w14:paraId="27F217B5">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1430" w:type="dxa"/>
            <w:vAlign w:val="center"/>
          </w:tcPr>
          <w:p w14:paraId="0D843C18">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r>
      <w:tr w14:paraId="0EE024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78" w:type="dxa"/>
            <w:vAlign w:val="center"/>
          </w:tcPr>
          <w:p w14:paraId="5EA5EDF8">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r>
              <w:rPr>
                <w:rFonts w:hint="eastAsia" w:ascii="宋体" w:hAnsi="宋体" w:eastAsia="宋体" w:cs="仿宋_GB2312"/>
                <w:color w:val="000000" w:themeColor="text1"/>
                <w:kern w:val="2"/>
                <w:sz w:val="24"/>
                <w:szCs w:val="24"/>
                <w:highlight w:val="none"/>
                <w14:textFill>
                  <w14:solidFill>
                    <w14:schemeClr w14:val="tx1"/>
                  </w14:solidFill>
                </w14:textFill>
              </w:rPr>
              <w:t>…</w:t>
            </w:r>
          </w:p>
        </w:tc>
        <w:tc>
          <w:tcPr>
            <w:tcW w:w="878" w:type="dxa"/>
            <w:tcBorders>
              <w:right w:val="single" w:color="auto" w:sz="4" w:space="0"/>
            </w:tcBorders>
            <w:vAlign w:val="center"/>
          </w:tcPr>
          <w:p w14:paraId="1EA73044">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2913" w:type="dxa"/>
            <w:tcBorders>
              <w:left w:val="single" w:color="auto" w:sz="4" w:space="0"/>
            </w:tcBorders>
            <w:vAlign w:val="center"/>
          </w:tcPr>
          <w:p w14:paraId="0EF36D22">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2621" w:type="dxa"/>
            <w:vAlign w:val="center"/>
          </w:tcPr>
          <w:p w14:paraId="2BAE6F52">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c>
          <w:tcPr>
            <w:tcW w:w="1430" w:type="dxa"/>
            <w:tcBorders>
              <w:right w:val="single" w:color="auto" w:sz="4" w:space="0"/>
            </w:tcBorders>
            <w:vAlign w:val="center"/>
          </w:tcPr>
          <w:p w14:paraId="5DF15895">
            <w:pPr>
              <w:pStyle w:val="13"/>
              <w:spacing w:line="360" w:lineRule="auto"/>
              <w:ind w:firstLine="0" w:firstLineChars="0"/>
              <w:jc w:val="center"/>
              <w:rPr>
                <w:rFonts w:ascii="宋体" w:hAnsi="宋体" w:eastAsia="宋体" w:cs="仿宋_GB2312"/>
                <w:color w:val="000000" w:themeColor="text1"/>
                <w:kern w:val="2"/>
                <w:sz w:val="24"/>
                <w:szCs w:val="24"/>
                <w:highlight w:val="none"/>
                <w14:textFill>
                  <w14:solidFill>
                    <w14:schemeClr w14:val="tx1"/>
                  </w14:solidFill>
                </w14:textFill>
              </w:rPr>
            </w:pPr>
          </w:p>
        </w:tc>
      </w:tr>
    </w:tbl>
    <w:p w14:paraId="47D2B021">
      <w:pPr>
        <w:pStyle w:val="13"/>
        <w:spacing w:line="360" w:lineRule="auto"/>
        <w:ind w:firstLine="0" w:firstLineChars="0"/>
        <w:contextualSpacing/>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注：</w:t>
      </w:r>
    </w:p>
    <w:p w14:paraId="78BBB36F">
      <w:pPr>
        <w:pStyle w:val="13"/>
        <w:spacing w:line="360" w:lineRule="auto"/>
        <w:ind w:firstLine="0" w:firstLineChars="0"/>
        <w:contextualSpacing/>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1. 说明：应对照谈判文件“第三章采购需求”中的技术要求逐条实质性响应，并作出偏离说明。</w:t>
      </w:r>
    </w:p>
    <w:p w14:paraId="53DF942C">
      <w:pPr>
        <w:pStyle w:val="13"/>
        <w:spacing w:line="360" w:lineRule="auto"/>
        <w:ind w:firstLine="0" w:firstLineChars="0"/>
        <w:contextualSpacing/>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2.供应商应根据竞标设备的性能指标，对照谈判文件要求，在“偏离说明”中注明“正偏离”、“负偏离”或者“无偏离”。既不属于“正偏离”也不属于“负偏离”即为“无偏离”。</w:t>
      </w:r>
    </w:p>
    <w:p w14:paraId="434436B9">
      <w:pPr>
        <w:pStyle w:val="13"/>
        <w:spacing w:line="360" w:lineRule="auto"/>
        <w:ind w:firstLine="0" w:firstLineChars="0"/>
        <w:contextualSpacing/>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3.供应商认为其竞标响应有正偏离的，请在技术要求偏离表中列明，且在响应文件中提供竞标产品的彩页或</w:t>
      </w:r>
      <w:r>
        <w:rPr>
          <w:rFonts w:ascii="宋体" w:hAnsi="宋体" w:eastAsia="宋体"/>
          <w:color w:val="000000" w:themeColor="text1"/>
          <w:sz w:val="24"/>
          <w:szCs w:val="24"/>
          <w:highlight w:val="none"/>
          <w14:textFill>
            <w14:solidFill>
              <w14:schemeClr w14:val="tx1"/>
            </w14:solidFill>
          </w14:textFill>
        </w:rPr>
        <w:t>国家认可有资质的第三方检测机构出具的检测报告复印件</w:t>
      </w:r>
      <w:r>
        <w:rPr>
          <w:rFonts w:hint="eastAsia" w:ascii="宋体" w:hAnsi="宋体" w:eastAsia="宋体"/>
          <w:color w:val="000000" w:themeColor="text1"/>
          <w:sz w:val="24"/>
          <w:szCs w:val="24"/>
          <w:highlight w:val="none"/>
          <w14:textFill>
            <w14:solidFill>
              <w14:schemeClr w14:val="tx1"/>
            </w14:solidFill>
          </w14:textFill>
        </w:rPr>
        <w:t>或产品生产厂家出具的技术参数说明证明作为佐证，以上佐证材料均需加盖生产厂家或代理商（附生产厂家授权资料）公章。</w:t>
      </w:r>
    </w:p>
    <w:p w14:paraId="2AF42FC6">
      <w:pPr>
        <w:pStyle w:val="13"/>
        <w:spacing w:line="360" w:lineRule="auto"/>
        <w:ind w:firstLine="0" w:firstLineChars="0"/>
        <w:contextualSpacing/>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4</w:t>
      </w:r>
      <w:r>
        <w:rPr>
          <w:rFonts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14:textFill>
            <w14:solidFill>
              <w14:schemeClr w14:val="tx1"/>
            </w14:solidFill>
          </w14:textFill>
        </w:rPr>
        <w:t>如技术要求偏离表中的竞标响应与佐证材料不一致的，以佐证材料为准。</w:t>
      </w:r>
    </w:p>
    <w:p w14:paraId="74D98D3A">
      <w:pPr>
        <w:pStyle w:val="13"/>
        <w:spacing w:line="360" w:lineRule="auto"/>
        <w:ind w:firstLine="0" w:firstLineChars="0"/>
        <w:contextualSpacing/>
        <w:rPr>
          <w:rFonts w:ascii="宋体" w:hAnsi="宋体" w:eastAsia="宋体" w:cs="仿宋_GB2312"/>
          <w:color w:val="000000" w:themeColor="text1"/>
          <w:sz w:val="24"/>
          <w:szCs w:val="24"/>
          <w:highlight w:val="none"/>
          <w14:textFill>
            <w14:solidFill>
              <w14:schemeClr w14:val="tx1"/>
            </w14:solidFill>
          </w14:textFill>
        </w:rPr>
      </w:pPr>
    </w:p>
    <w:p w14:paraId="590BE327">
      <w:pPr>
        <w:spacing w:line="360" w:lineRule="auto"/>
        <w:ind w:right="-817" w:rightChars="-389"/>
        <w:contextualSpacing/>
        <w:rPr>
          <w:rFonts w:ascii="宋体" w:hAnsi="宋体" w:cs="仿宋_GB2312"/>
          <w:color w:val="000000" w:themeColor="text1"/>
          <w:sz w:val="24"/>
          <w:highlight w:val="none"/>
          <w14:textFill>
            <w14:solidFill>
              <w14:schemeClr w14:val="tx1"/>
            </w14:solidFill>
          </w14:textFill>
        </w:rPr>
      </w:pPr>
    </w:p>
    <w:p w14:paraId="38163D63">
      <w:pPr>
        <w:spacing w:line="360" w:lineRule="auto"/>
        <w:ind w:right="-817" w:rightChars="-389"/>
        <w:contextualSpacing/>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法定代表人或者委托代理人（签字或者电子签名）：</w:t>
      </w:r>
    </w:p>
    <w:p w14:paraId="483DE039">
      <w:pPr>
        <w:spacing w:line="360" w:lineRule="auto"/>
        <w:ind w:right="-817" w:rightChars="-389" w:firstLine="2880" w:firstLineChars="120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供应商（电子签章）：</w:t>
      </w:r>
    </w:p>
    <w:p w14:paraId="08CFBBB5">
      <w:pPr>
        <w:spacing w:line="360" w:lineRule="auto"/>
        <w:ind w:right="-817" w:rightChars="-389" w:firstLine="2880" w:firstLineChars="1200"/>
        <w:contextualSpacing/>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年</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月</w:t>
      </w:r>
      <w:r>
        <w:rPr>
          <w:rFonts w:hint="eastAsia" w:ascii="宋体" w:hAnsi="宋体" w:cs="仿宋_GB2312"/>
          <w:color w:val="000000" w:themeColor="text1"/>
          <w:sz w:val="24"/>
          <w:highlight w:val="none"/>
          <w:lang w:val="en-US" w:eastAsia="zh-CN"/>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日</w:t>
      </w:r>
    </w:p>
    <w:p w14:paraId="2460CFCB">
      <w:pPr>
        <w:spacing w:line="300" w:lineRule="auto"/>
        <w:rPr>
          <w:rFonts w:ascii="宋体" w:hAnsi="宋体"/>
          <w:b/>
          <w:bCs/>
          <w:color w:val="000000" w:themeColor="text1"/>
          <w:sz w:val="24"/>
          <w:highlight w:val="none"/>
          <w14:textFill>
            <w14:solidFill>
              <w14:schemeClr w14:val="tx1"/>
            </w14:solidFill>
          </w14:textFill>
        </w:rPr>
      </w:pPr>
      <w:r>
        <w:rPr>
          <w:rFonts w:ascii="宋体" w:hAnsi="宋体"/>
          <w:b/>
          <w:bCs/>
          <w:color w:val="000000" w:themeColor="text1"/>
          <w:sz w:val="24"/>
          <w:highlight w:val="none"/>
          <w14:textFill>
            <w14:solidFill>
              <w14:schemeClr w14:val="tx1"/>
            </w14:solidFill>
          </w14:textFill>
        </w:rPr>
        <w:br w:type="page"/>
      </w:r>
      <w:r>
        <w:rPr>
          <w:rFonts w:hint="eastAsia" w:ascii="宋体" w:hAnsi="宋体"/>
          <w:b/>
          <w:bCs/>
          <w:color w:val="000000" w:themeColor="text1"/>
          <w:sz w:val="24"/>
          <w:highlight w:val="none"/>
          <w14:textFill>
            <w14:solidFill>
              <w14:schemeClr w14:val="tx1"/>
            </w14:solidFill>
          </w14:textFill>
        </w:rPr>
        <w:t>其他文书、文件格式</w:t>
      </w:r>
    </w:p>
    <w:p w14:paraId="31106BB3">
      <w:pPr>
        <w:pStyle w:val="12"/>
        <w:rPr>
          <w:color w:val="000000" w:themeColor="text1"/>
          <w:highlight w:val="none"/>
          <w14:textFill>
            <w14:solidFill>
              <w14:schemeClr w14:val="tx1"/>
            </w14:solidFill>
          </w14:textFill>
        </w:rPr>
      </w:pPr>
    </w:p>
    <w:p w14:paraId="5E007A68">
      <w:pPr>
        <w:adjustRightInd w:val="0"/>
        <w:snapToGrid w:val="0"/>
        <w:spacing w:line="300" w:lineRule="auto"/>
        <w:jc w:val="cente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bookmarkStart w:id="85" w:name="_Toc71365383"/>
      <w:bookmarkStart w:id="86" w:name="_Toc71366061"/>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中小企业声明函（货物）</w:t>
      </w:r>
      <w:bookmarkEnd w:id="85"/>
      <w:bookmarkEnd w:id="86"/>
    </w:p>
    <w:p w14:paraId="5364D374">
      <w:pPr>
        <w:rPr>
          <w:color w:val="000000" w:themeColor="text1"/>
          <w:highlight w:val="none"/>
          <w14:textFill>
            <w14:solidFill>
              <w14:schemeClr w14:val="tx1"/>
            </w14:solidFill>
          </w14:textFill>
        </w:rPr>
      </w:pPr>
    </w:p>
    <w:p w14:paraId="5E10E3A7">
      <w:pPr>
        <w:pStyle w:val="12"/>
        <w:spacing w:after="0" w:line="360" w:lineRule="auto"/>
        <w:ind w:left="-426" w:right="142" w:firstLine="64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color w:val="000000" w:themeColor="text1"/>
          <w:sz w:val="24"/>
          <w:highlight w:val="none"/>
          <w:u w:val="single"/>
          <w14:textFill>
            <w14:solidFill>
              <w14:schemeClr w14:val="tx1"/>
            </w14:solidFill>
          </w14:textFill>
        </w:rPr>
        <w:t>（单位名称）</w:t>
      </w:r>
      <w:r>
        <w:rPr>
          <w:rFonts w:hint="eastAsia" w:ascii="宋体" w:hAnsi="宋体"/>
          <w:color w:val="000000" w:themeColor="text1"/>
          <w:sz w:val="24"/>
          <w:highlight w:val="none"/>
          <w14:textFill>
            <w14:solidFill>
              <w14:schemeClr w14:val="tx1"/>
            </w14:solidFill>
          </w14:textFill>
        </w:rPr>
        <w:t>的</w:t>
      </w:r>
      <w:r>
        <w:rPr>
          <w:rFonts w:hint="eastAsia" w:ascii="宋体" w:hAnsi="宋体"/>
          <w:color w:val="000000" w:themeColor="text1"/>
          <w:sz w:val="24"/>
          <w:highlight w:val="none"/>
          <w:u w:val="single"/>
          <w14:textFill>
            <w14:solidFill>
              <w14:schemeClr w14:val="tx1"/>
            </w14:solidFill>
          </w14:textFill>
        </w:rPr>
        <w:t>（项目名称）</w:t>
      </w:r>
      <w:r>
        <w:rPr>
          <w:rFonts w:hint="eastAsia" w:ascii="宋体" w:hAnsi="宋体"/>
          <w:color w:val="000000" w:themeColor="text1"/>
          <w:sz w:val="24"/>
          <w:highlight w:val="none"/>
          <w14:textFill>
            <w14:solidFill>
              <w14:schemeClr w14:val="tx1"/>
            </w14:solidFill>
          </w14:textFill>
        </w:rPr>
        <w:t>采购活动，提供的货物全部由符合政策要求的中小企业制造。相关企业（含联合体中的中小企业、签订分包意向协议的中小企业）的具体情况如下：</w:t>
      </w:r>
    </w:p>
    <w:p w14:paraId="48FA67B1">
      <w:pPr>
        <w:tabs>
          <w:tab w:val="left" w:pos="1384"/>
          <w:tab w:val="left" w:pos="4562"/>
          <w:tab w:val="left" w:pos="6803"/>
        </w:tabs>
        <w:spacing w:line="360" w:lineRule="auto"/>
        <w:ind w:left="-426" w:right="-58" w:firstLine="655"/>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r>
        <w:rPr>
          <w:rFonts w:hint="eastAsia" w:ascii="宋体" w:hAnsi="宋体"/>
          <w:color w:val="000000" w:themeColor="text1"/>
          <w:sz w:val="24"/>
          <w:highlight w:val="none"/>
          <w:u w:val="single"/>
          <w14:textFill>
            <w14:solidFill>
              <w14:schemeClr w14:val="tx1"/>
            </w14:solidFill>
          </w14:textFill>
        </w:rPr>
        <w:t>（标的名称）</w:t>
      </w:r>
      <w:r>
        <w:rPr>
          <w:rFonts w:hint="eastAsia" w:ascii="宋体" w:hAnsi="宋体"/>
          <w:color w:val="000000" w:themeColor="text1"/>
          <w:sz w:val="24"/>
          <w:highlight w:val="none"/>
          <w14:textFill>
            <w14:solidFill>
              <w14:schemeClr w14:val="tx1"/>
            </w14:solidFill>
          </w14:textFill>
        </w:rPr>
        <w:t>，属于</w:t>
      </w:r>
      <w:r>
        <w:rPr>
          <w:rFonts w:hint="eastAsia" w:ascii="宋体" w:hAnsi="宋体"/>
          <w:color w:val="000000" w:themeColor="text1"/>
          <w:sz w:val="24"/>
          <w:highlight w:val="none"/>
          <w:u w:val="single"/>
          <w14:textFill>
            <w14:solidFill>
              <w14:schemeClr w14:val="tx1"/>
            </w14:solidFill>
          </w14:textFill>
        </w:rPr>
        <w:t>（采购文件中明确的所属行业）</w:t>
      </w:r>
      <w:r>
        <w:rPr>
          <w:rFonts w:hint="eastAsia" w:ascii="宋体" w:hAnsi="宋体"/>
          <w:color w:val="000000" w:themeColor="text1"/>
          <w:sz w:val="24"/>
          <w:highlight w:val="none"/>
          <w14:textFill>
            <w14:solidFill>
              <w14:schemeClr w14:val="tx1"/>
            </w14:solidFill>
          </w14:textFill>
        </w:rPr>
        <w:t>行业；制造商为</w:t>
      </w:r>
      <w:r>
        <w:rPr>
          <w:rFonts w:hint="eastAsia" w:ascii="宋体" w:hAnsi="宋体"/>
          <w:color w:val="000000" w:themeColor="text1"/>
          <w:sz w:val="24"/>
          <w:highlight w:val="none"/>
          <w:u w:val="single"/>
          <w14:textFill>
            <w14:solidFill>
              <w14:schemeClr w14:val="tx1"/>
            </w14:solidFill>
          </w14:textFill>
        </w:rPr>
        <w:t>（企业名称）</w:t>
      </w:r>
      <w:r>
        <w:rPr>
          <w:rFonts w:hint="eastAsia" w:ascii="宋体" w:hAnsi="宋体"/>
          <w:color w:val="000000" w:themeColor="text1"/>
          <w:sz w:val="24"/>
          <w:highlight w:val="none"/>
          <w14:textFill>
            <w14:solidFill>
              <w14:schemeClr w14:val="tx1"/>
            </w14:solidFill>
          </w14:textFill>
        </w:rPr>
        <w:t>，从业人员人，营业收入为万元，资产总额为万元，属于</w:t>
      </w:r>
      <w:r>
        <w:rPr>
          <w:rFonts w:hint="eastAsia" w:ascii="宋体" w:hAnsi="宋体"/>
          <w:color w:val="000000" w:themeColor="text1"/>
          <w:sz w:val="24"/>
          <w:highlight w:val="none"/>
          <w:u w:val="single"/>
          <w14:textFill>
            <w14:solidFill>
              <w14:schemeClr w14:val="tx1"/>
            </w14:solidFill>
          </w14:textFill>
        </w:rPr>
        <w:t>（中型企业、小型企业、微型企业）</w:t>
      </w:r>
      <w:r>
        <w:rPr>
          <w:rFonts w:hint="eastAsia" w:ascii="宋体" w:hAnsi="宋体"/>
          <w:color w:val="000000" w:themeColor="text1"/>
          <w:sz w:val="24"/>
          <w:highlight w:val="none"/>
          <w14:textFill>
            <w14:solidFill>
              <w14:schemeClr w14:val="tx1"/>
            </w14:solidFill>
          </w14:textFill>
        </w:rPr>
        <w:t>；</w:t>
      </w:r>
    </w:p>
    <w:p w14:paraId="4968CBF7">
      <w:pPr>
        <w:tabs>
          <w:tab w:val="left" w:pos="1065"/>
          <w:tab w:val="left" w:pos="6477"/>
        </w:tabs>
        <w:spacing w:line="360" w:lineRule="auto"/>
        <w:ind w:left="-426" w:right="-58" w:firstLine="655"/>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u w:val="single"/>
          <w14:textFill>
            <w14:solidFill>
              <w14:schemeClr w14:val="tx1"/>
            </w14:solidFill>
          </w14:textFill>
        </w:rPr>
        <w:t>（标的名称）</w:t>
      </w:r>
      <w:r>
        <w:rPr>
          <w:rFonts w:hint="eastAsia" w:ascii="宋体" w:hAnsi="宋体"/>
          <w:color w:val="000000" w:themeColor="text1"/>
          <w:sz w:val="24"/>
          <w:highlight w:val="none"/>
          <w14:textFill>
            <w14:solidFill>
              <w14:schemeClr w14:val="tx1"/>
            </w14:solidFill>
          </w14:textFill>
        </w:rPr>
        <w:t>，属于</w:t>
      </w:r>
      <w:r>
        <w:rPr>
          <w:rFonts w:hint="eastAsia" w:ascii="宋体" w:hAnsi="宋体"/>
          <w:color w:val="000000" w:themeColor="text1"/>
          <w:sz w:val="24"/>
          <w:highlight w:val="none"/>
          <w:u w:val="single"/>
          <w14:textFill>
            <w14:solidFill>
              <w14:schemeClr w14:val="tx1"/>
            </w14:solidFill>
          </w14:textFill>
        </w:rPr>
        <w:t>（采购文件中明确的所属行业）</w:t>
      </w:r>
      <w:r>
        <w:rPr>
          <w:rFonts w:hint="eastAsia" w:ascii="宋体" w:hAnsi="宋体"/>
          <w:color w:val="000000" w:themeColor="text1"/>
          <w:sz w:val="24"/>
          <w:highlight w:val="none"/>
          <w14:textFill>
            <w14:solidFill>
              <w14:schemeClr w14:val="tx1"/>
            </w14:solidFill>
          </w14:textFill>
        </w:rPr>
        <w:t>行业；制造商为</w:t>
      </w:r>
      <w:r>
        <w:rPr>
          <w:rFonts w:hint="eastAsia" w:ascii="宋体" w:hAnsi="宋体"/>
          <w:color w:val="000000" w:themeColor="text1"/>
          <w:sz w:val="24"/>
          <w:highlight w:val="none"/>
          <w:u w:val="single"/>
          <w14:textFill>
            <w14:solidFill>
              <w14:schemeClr w14:val="tx1"/>
            </w14:solidFill>
          </w14:textFill>
        </w:rPr>
        <w:t>（企业名称）</w:t>
      </w:r>
      <w:r>
        <w:rPr>
          <w:rFonts w:hint="eastAsia" w:ascii="宋体" w:hAnsi="宋体"/>
          <w:color w:val="000000" w:themeColor="text1"/>
          <w:sz w:val="24"/>
          <w:highlight w:val="none"/>
          <w14:textFill>
            <w14:solidFill>
              <w14:schemeClr w14:val="tx1"/>
            </w14:solidFill>
          </w14:textFill>
        </w:rPr>
        <w:t>，从业人员人，营业收入为万元，资产总额为万元，属于</w:t>
      </w:r>
      <w:r>
        <w:rPr>
          <w:rFonts w:hint="eastAsia" w:ascii="宋体" w:hAnsi="宋体"/>
          <w:color w:val="000000" w:themeColor="text1"/>
          <w:sz w:val="24"/>
          <w:highlight w:val="none"/>
          <w:u w:val="single"/>
          <w14:textFill>
            <w14:solidFill>
              <w14:schemeClr w14:val="tx1"/>
            </w14:solidFill>
          </w14:textFill>
        </w:rPr>
        <w:t>（中型企业、小型企业、微型企业）</w:t>
      </w:r>
      <w:r>
        <w:rPr>
          <w:rFonts w:hint="eastAsia" w:ascii="宋体" w:hAnsi="宋体"/>
          <w:color w:val="000000" w:themeColor="text1"/>
          <w:sz w:val="24"/>
          <w:highlight w:val="none"/>
          <w14:textFill>
            <w14:solidFill>
              <w14:schemeClr w14:val="tx1"/>
            </w14:solidFill>
          </w14:textFill>
        </w:rPr>
        <w:t>；</w:t>
      </w:r>
    </w:p>
    <w:p w14:paraId="54659454">
      <w:pPr>
        <w:pStyle w:val="12"/>
        <w:spacing w:after="0" w:line="360" w:lineRule="auto"/>
        <w:ind w:left="142" w:right="142"/>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p>
    <w:p w14:paraId="57F82CF0">
      <w:pPr>
        <w:pStyle w:val="12"/>
        <w:spacing w:after="0" w:line="360" w:lineRule="auto"/>
        <w:ind w:left="-405" w:leftChars="-193" w:right="142" w:firstLine="453" w:firstLineChars="189"/>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66E0C588">
      <w:pPr>
        <w:pStyle w:val="12"/>
        <w:spacing w:after="0" w:line="360" w:lineRule="auto"/>
        <w:ind w:left="-426" w:right="142" w:firstLine="567"/>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本企业对上述声明内容的真实性负责。如有虚假，将依法承担相应责任。</w:t>
      </w:r>
    </w:p>
    <w:p w14:paraId="5806E425">
      <w:pPr>
        <w:pStyle w:val="12"/>
        <w:spacing w:after="0" w:line="360" w:lineRule="auto"/>
        <w:ind w:left="3960" w:right="1808"/>
        <w:contextualSpacing/>
        <w:rPr>
          <w:rFonts w:ascii="宋体" w:hAnsi="宋体"/>
          <w:color w:val="000000" w:themeColor="text1"/>
          <w:sz w:val="24"/>
          <w:highlight w:val="none"/>
          <w14:textFill>
            <w14:solidFill>
              <w14:schemeClr w14:val="tx1"/>
            </w14:solidFill>
          </w14:textFill>
        </w:rPr>
      </w:pPr>
    </w:p>
    <w:p w14:paraId="1B6B554E">
      <w:pPr>
        <w:pStyle w:val="12"/>
        <w:spacing w:after="0" w:line="360" w:lineRule="auto"/>
        <w:ind w:left="3960" w:right="1808"/>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企业名称（章）：</w:t>
      </w:r>
    </w:p>
    <w:p w14:paraId="7FB46075">
      <w:pPr>
        <w:pStyle w:val="12"/>
        <w:spacing w:after="0" w:line="360" w:lineRule="auto"/>
        <w:ind w:left="3960" w:right="1808"/>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w:t>
      </w:r>
    </w:p>
    <w:p w14:paraId="45E56183">
      <w:pPr>
        <w:pStyle w:val="12"/>
        <w:spacing w:after="0" w:line="360" w:lineRule="auto"/>
        <w:ind w:left="3960" w:right="1808"/>
        <w:contextualSpacing/>
        <w:rPr>
          <w:color w:val="000000" w:themeColor="text1"/>
          <w:highlight w:val="none"/>
          <w14:textFill>
            <w14:solidFill>
              <w14:schemeClr w14:val="tx1"/>
            </w14:solidFill>
          </w14:textFill>
        </w:rPr>
      </w:pPr>
    </w:p>
    <w:p w14:paraId="0BDAC5EB">
      <w:pPr>
        <w:spacing w:line="360" w:lineRule="auto"/>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2E78E5A">
      <w:pPr>
        <w:pStyle w:val="12"/>
        <w:rPr>
          <w:color w:val="000000" w:themeColor="text1"/>
          <w:highlight w:val="none"/>
          <w14:textFill>
            <w14:solidFill>
              <w14:schemeClr w14:val="tx1"/>
            </w14:solidFill>
          </w14:textFill>
        </w:rPr>
      </w:pPr>
    </w:p>
    <w:p w14:paraId="684D058F">
      <w:pPr>
        <w:pStyle w:val="24"/>
        <w:rPr>
          <w:color w:val="000000" w:themeColor="text1"/>
          <w:highlight w:val="none"/>
          <w14:textFill>
            <w14:solidFill>
              <w14:schemeClr w14:val="tx1"/>
            </w14:solidFill>
          </w14:textFill>
        </w:rPr>
      </w:pPr>
    </w:p>
    <w:p w14:paraId="6DDB2A3E">
      <w:pPr>
        <w:rPr>
          <w:color w:val="000000" w:themeColor="text1"/>
          <w:highlight w:val="none"/>
          <w14:textFill>
            <w14:solidFill>
              <w14:schemeClr w14:val="tx1"/>
            </w14:solidFill>
          </w14:textFill>
        </w:rPr>
      </w:pPr>
    </w:p>
    <w:p w14:paraId="0BF090ED">
      <w:pPr>
        <w:pStyle w:val="12"/>
        <w:rPr>
          <w:color w:val="000000" w:themeColor="text1"/>
          <w:highlight w:val="none"/>
          <w14:textFill>
            <w14:solidFill>
              <w14:schemeClr w14:val="tx1"/>
            </w14:solidFill>
          </w14:textFill>
        </w:rPr>
      </w:pPr>
    </w:p>
    <w:p w14:paraId="15DD9997">
      <w:pPr>
        <w:rPr>
          <w:color w:val="000000" w:themeColor="text1"/>
          <w:highlight w:val="none"/>
          <w14:textFill>
            <w14:solidFill>
              <w14:schemeClr w14:val="tx1"/>
            </w14:solidFill>
          </w14:textFill>
        </w:rPr>
      </w:pPr>
    </w:p>
    <w:p w14:paraId="7AD5E437">
      <w:pPr>
        <w:rPr>
          <w:color w:val="000000" w:themeColor="text1"/>
          <w:highlight w:val="none"/>
          <w14:textFill>
            <w14:solidFill>
              <w14:schemeClr w14:val="tx1"/>
            </w14:solidFill>
          </w14:textFill>
        </w:rPr>
      </w:pPr>
    </w:p>
    <w:p w14:paraId="750FADF4">
      <w:pPr>
        <w:rPr>
          <w:color w:val="000000" w:themeColor="text1"/>
          <w:highlight w:val="none"/>
          <w14:textFill>
            <w14:solidFill>
              <w14:schemeClr w14:val="tx1"/>
            </w14:solidFill>
          </w14:textFill>
        </w:rPr>
      </w:pPr>
    </w:p>
    <w:p w14:paraId="6A96B178">
      <w:pPr>
        <w:rPr>
          <w:color w:val="000000" w:themeColor="text1"/>
          <w:highlight w:val="none"/>
          <w14:textFill>
            <w14:solidFill>
              <w14:schemeClr w14:val="tx1"/>
            </w14:solidFill>
          </w14:textFill>
        </w:rPr>
      </w:pPr>
    </w:p>
    <w:p w14:paraId="1D9BC984">
      <w:pPr>
        <w:spacing w:line="360" w:lineRule="auto"/>
        <w:jc w:val="center"/>
        <w:rPr>
          <w:rFonts w:hint="eastAsia" w:asciiTheme="minorEastAsia" w:hAnsiTheme="minorEastAsia" w:eastAsiaTheme="minorEastAsia" w:cstheme="minorEastAsia"/>
          <w:b/>
          <w:bCs/>
          <w:color w:val="000000" w:themeColor="text1"/>
          <w:sz w:val="32"/>
          <w:szCs w:val="32"/>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44"/>
          <w:szCs w:val="44"/>
          <w:highlight w:val="none"/>
          <w14:textFill>
            <w14:solidFill>
              <w14:schemeClr w14:val="tx1"/>
            </w14:solidFill>
          </w14:textFill>
        </w:rPr>
        <w:t>残疾人福利性单位声明函</w:t>
      </w:r>
    </w:p>
    <w:p w14:paraId="7C8E9F4C">
      <w:pPr>
        <w:spacing w:line="520" w:lineRule="exact"/>
        <w:rPr>
          <w:rFonts w:ascii="仿宋_GB2312" w:hAnsi="仿宋_GB2312" w:eastAsia="仿宋_GB2312" w:cs="仿宋_GB2312"/>
          <w:color w:val="000000" w:themeColor="text1"/>
          <w:sz w:val="32"/>
          <w:szCs w:val="32"/>
          <w:highlight w:val="none"/>
          <w14:textFill>
            <w14:solidFill>
              <w14:schemeClr w14:val="tx1"/>
            </w14:solidFill>
          </w14:textFill>
        </w:rPr>
      </w:pPr>
    </w:p>
    <w:p w14:paraId="0682185B">
      <w:pPr>
        <w:spacing w:line="360" w:lineRule="auto"/>
        <w:ind w:firstLine="480" w:firstLineChars="200"/>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47ED0458">
      <w:pPr>
        <w:spacing w:line="360" w:lineRule="auto"/>
        <w:ind w:firstLine="480" w:firstLineChars="200"/>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本单位对上述声明的真实性负责。如有虚假，将依法承担相应责任。</w:t>
      </w:r>
    </w:p>
    <w:p w14:paraId="6ACC8107">
      <w:pPr>
        <w:spacing w:line="360" w:lineRule="auto"/>
        <w:rPr>
          <w:rFonts w:ascii="宋体" w:hAnsi="宋体" w:cs="仿宋_GB2312"/>
          <w:color w:val="000000" w:themeColor="text1"/>
          <w:sz w:val="24"/>
          <w:highlight w:val="none"/>
          <w14:textFill>
            <w14:solidFill>
              <w14:schemeClr w14:val="tx1"/>
            </w14:solidFill>
          </w14:textFill>
        </w:rPr>
      </w:pPr>
    </w:p>
    <w:p w14:paraId="427EDA4F">
      <w:pPr>
        <w:spacing w:line="360" w:lineRule="auto"/>
        <w:rPr>
          <w:rFonts w:ascii="宋体" w:hAnsi="宋体" w:cs="仿宋_GB2312"/>
          <w:color w:val="000000" w:themeColor="text1"/>
          <w:sz w:val="24"/>
          <w:highlight w:val="none"/>
          <w14:textFill>
            <w14:solidFill>
              <w14:schemeClr w14:val="tx1"/>
            </w14:solidFill>
          </w14:textFill>
        </w:rPr>
      </w:pPr>
    </w:p>
    <w:p w14:paraId="1789F0C7">
      <w:pPr>
        <w:spacing w:line="360" w:lineRule="auto"/>
        <w:rPr>
          <w:rFonts w:ascii="宋体" w:hAnsi="宋体" w:cs="仿宋_GB2312"/>
          <w:color w:val="000000" w:themeColor="text1"/>
          <w:sz w:val="24"/>
          <w:highlight w:val="none"/>
          <w14:textFill>
            <w14:solidFill>
              <w14:schemeClr w14:val="tx1"/>
            </w14:solidFill>
          </w14:textFill>
        </w:rPr>
      </w:pPr>
    </w:p>
    <w:p w14:paraId="21E6C13C">
      <w:pPr>
        <w:spacing w:line="360" w:lineRule="auto"/>
        <w:ind w:firstLine="2400" w:firstLineChars="1000"/>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单位名称（盖章）：</w:t>
      </w:r>
    </w:p>
    <w:p w14:paraId="2C8FE474">
      <w:pPr>
        <w:spacing w:line="360" w:lineRule="auto"/>
        <w:ind w:firstLine="3600" w:firstLineChars="1500"/>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w:t>
      </w:r>
    </w:p>
    <w:p w14:paraId="273BFED3">
      <w:pPr>
        <w:spacing w:line="360" w:lineRule="auto"/>
        <w:rPr>
          <w:rFonts w:ascii="宋体" w:hAnsi="宋体" w:cs="仿宋_GB2312"/>
          <w:color w:val="000000" w:themeColor="text1"/>
          <w:sz w:val="24"/>
          <w:highlight w:val="none"/>
          <w14:textFill>
            <w14:solidFill>
              <w14:schemeClr w14:val="tx1"/>
            </w14:solidFill>
          </w14:textFill>
        </w:rPr>
      </w:pPr>
    </w:p>
    <w:p w14:paraId="43AB9F79">
      <w:pPr>
        <w:spacing w:line="360" w:lineRule="auto"/>
        <w:rPr>
          <w:rFonts w:ascii="宋体" w:hAnsi="宋体" w:cs="仿宋_GB2312"/>
          <w:color w:val="000000" w:themeColor="text1"/>
          <w:sz w:val="24"/>
          <w:highlight w:val="none"/>
          <w14:textFill>
            <w14:solidFill>
              <w14:schemeClr w14:val="tx1"/>
            </w14:solidFill>
          </w14:textFill>
        </w:rPr>
      </w:pPr>
    </w:p>
    <w:p w14:paraId="2A11AEFD">
      <w:pPr>
        <w:spacing w:line="360" w:lineRule="auto"/>
        <w:rPr>
          <w:rFonts w:ascii="宋体" w:hAnsi="宋体" w:cs="仿宋_GB2312"/>
          <w:color w:val="000000" w:themeColor="text1"/>
          <w:sz w:val="24"/>
          <w:highlight w:val="none"/>
          <w14:textFill>
            <w14:solidFill>
              <w14:schemeClr w14:val="tx1"/>
            </w14:solidFill>
          </w14:textFill>
        </w:rPr>
      </w:pPr>
    </w:p>
    <w:p w14:paraId="0372E513">
      <w:pPr>
        <w:spacing w:line="360" w:lineRule="auto"/>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w:t>
      </w:r>
    </w:p>
    <w:p w14:paraId="69CAB01D">
      <w:pPr>
        <w:pStyle w:val="24"/>
        <w:rPr>
          <w:color w:val="000000" w:themeColor="text1"/>
          <w:highlight w:val="none"/>
          <w14:textFill>
            <w14:solidFill>
              <w14:schemeClr w14:val="tx1"/>
            </w14:solidFill>
          </w14:textFill>
        </w:rPr>
      </w:pPr>
    </w:p>
    <w:p w14:paraId="1FD33ACE">
      <w:pPr>
        <w:rPr>
          <w:color w:val="000000" w:themeColor="text1"/>
          <w:highlight w:val="none"/>
          <w14:textFill>
            <w14:solidFill>
              <w14:schemeClr w14:val="tx1"/>
            </w14:solidFill>
          </w14:textFill>
        </w:rPr>
      </w:pPr>
    </w:p>
    <w:p w14:paraId="0583A464">
      <w:pPr>
        <w:pStyle w:val="12"/>
        <w:rPr>
          <w:color w:val="000000" w:themeColor="text1"/>
          <w:highlight w:val="none"/>
          <w14:textFill>
            <w14:solidFill>
              <w14:schemeClr w14:val="tx1"/>
            </w14:solidFill>
          </w14:textFill>
        </w:rPr>
      </w:pPr>
    </w:p>
    <w:p w14:paraId="2646429B">
      <w:pPr>
        <w:pStyle w:val="24"/>
        <w:rPr>
          <w:color w:val="000000" w:themeColor="text1"/>
          <w:highlight w:val="none"/>
          <w14:textFill>
            <w14:solidFill>
              <w14:schemeClr w14:val="tx1"/>
            </w14:solidFill>
          </w14:textFill>
        </w:rPr>
      </w:pPr>
    </w:p>
    <w:p w14:paraId="70760993">
      <w:pPr>
        <w:rPr>
          <w:color w:val="000000" w:themeColor="text1"/>
          <w:highlight w:val="none"/>
          <w14:textFill>
            <w14:solidFill>
              <w14:schemeClr w14:val="tx1"/>
            </w14:solidFill>
          </w14:textFill>
        </w:rPr>
      </w:pPr>
    </w:p>
    <w:p w14:paraId="704664F0">
      <w:pPr>
        <w:rPr>
          <w:color w:val="000000" w:themeColor="text1"/>
          <w:highlight w:val="none"/>
          <w14:textFill>
            <w14:solidFill>
              <w14:schemeClr w14:val="tx1"/>
            </w14:solidFill>
          </w14:textFill>
        </w:rPr>
      </w:pPr>
    </w:p>
    <w:p w14:paraId="0A6D8932">
      <w:pPr>
        <w:rPr>
          <w:color w:val="000000" w:themeColor="text1"/>
          <w:highlight w:val="none"/>
          <w14:textFill>
            <w14:solidFill>
              <w14:schemeClr w14:val="tx1"/>
            </w14:solidFill>
          </w14:textFill>
        </w:rPr>
      </w:pPr>
    </w:p>
    <w:p w14:paraId="3370FFA1">
      <w:pPr>
        <w:rPr>
          <w:color w:val="000000" w:themeColor="text1"/>
          <w:highlight w:val="none"/>
          <w14:textFill>
            <w14:solidFill>
              <w14:schemeClr w14:val="tx1"/>
            </w14:solidFill>
          </w14:textFill>
        </w:rPr>
      </w:pPr>
    </w:p>
    <w:p w14:paraId="01697BEB">
      <w:pPr>
        <w:rPr>
          <w:color w:val="000000" w:themeColor="text1"/>
          <w:highlight w:val="none"/>
          <w14:textFill>
            <w14:solidFill>
              <w14:schemeClr w14:val="tx1"/>
            </w14:solidFill>
          </w14:textFill>
        </w:rPr>
      </w:pPr>
    </w:p>
    <w:p w14:paraId="284C991A">
      <w:pPr>
        <w:rPr>
          <w:color w:val="000000" w:themeColor="text1"/>
          <w:highlight w:val="none"/>
          <w14:textFill>
            <w14:solidFill>
              <w14:schemeClr w14:val="tx1"/>
            </w14:solidFill>
          </w14:textFill>
        </w:rPr>
      </w:pPr>
    </w:p>
    <w:p w14:paraId="7DB15403">
      <w:pPr>
        <w:rPr>
          <w:color w:val="000000" w:themeColor="text1"/>
          <w:highlight w:val="none"/>
          <w14:textFill>
            <w14:solidFill>
              <w14:schemeClr w14:val="tx1"/>
            </w14:solidFill>
          </w14:textFill>
        </w:rPr>
      </w:pPr>
    </w:p>
    <w:p w14:paraId="47FE21AA">
      <w:pPr>
        <w:rPr>
          <w:color w:val="000000" w:themeColor="text1"/>
          <w:highlight w:val="none"/>
          <w14:textFill>
            <w14:solidFill>
              <w14:schemeClr w14:val="tx1"/>
            </w14:solidFill>
          </w14:textFill>
        </w:rPr>
      </w:pPr>
    </w:p>
    <w:p w14:paraId="7568E1D9">
      <w:pPr>
        <w:pStyle w:val="81"/>
        <w:rPr>
          <w:color w:val="000000" w:themeColor="text1"/>
          <w:highlight w:val="none"/>
          <w14:textFill>
            <w14:solidFill>
              <w14:schemeClr w14:val="tx1"/>
            </w14:solidFill>
          </w14:textFill>
        </w:rPr>
      </w:pPr>
    </w:p>
    <w:p w14:paraId="393D223D">
      <w:pPr>
        <w:pStyle w:val="81"/>
        <w:rPr>
          <w:color w:val="000000" w:themeColor="text1"/>
          <w:highlight w:val="none"/>
          <w14:textFill>
            <w14:solidFill>
              <w14:schemeClr w14:val="tx1"/>
            </w14:solidFill>
          </w14:textFill>
        </w:rPr>
      </w:pPr>
    </w:p>
    <w:p w14:paraId="6B896F72">
      <w:pPr>
        <w:pStyle w:val="81"/>
        <w:rPr>
          <w:color w:val="000000" w:themeColor="text1"/>
          <w:highlight w:val="none"/>
          <w14:textFill>
            <w14:solidFill>
              <w14:schemeClr w14:val="tx1"/>
            </w14:solidFill>
          </w14:textFill>
        </w:rPr>
      </w:pPr>
    </w:p>
    <w:p w14:paraId="70B93CCB">
      <w:pPr>
        <w:rPr>
          <w:color w:val="000000" w:themeColor="text1"/>
          <w:highlight w:val="none"/>
          <w14:textFill>
            <w14:solidFill>
              <w14:schemeClr w14:val="tx1"/>
            </w14:solidFill>
          </w14:textFill>
        </w:rPr>
      </w:pPr>
    </w:p>
    <w:p w14:paraId="1F5FE01B">
      <w:pPr>
        <w:rPr>
          <w:color w:val="000000" w:themeColor="text1"/>
          <w:highlight w:val="none"/>
          <w14:textFill>
            <w14:solidFill>
              <w14:schemeClr w14:val="tx1"/>
            </w14:solidFill>
          </w14:textFill>
        </w:rPr>
      </w:pPr>
    </w:p>
    <w:p w14:paraId="6A42480C">
      <w:pPr>
        <w:adjustRightInd w:val="0"/>
        <w:snapToGrid w:val="0"/>
        <w:spacing w:line="300" w:lineRule="auto"/>
        <w:jc w:val="cente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关于符合本国产品标准的声明函</w:t>
      </w:r>
    </w:p>
    <w:p w14:paraId="0BD2F52A">
      <w:pPr>
        <w:widowControl/>
        <w:shd w:val="clear" w:color="auto" w:fill="FFFFFF"/>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 </w:t>
      </w:r>
    </w:p>
    <w:p w14:paraId="371408F3">
      <w:pPr>
        <w:widowControl/>
        <w:shd w:val="clear" w:color="auto" w:fill="FFFFFF"/>
        <w:spacing w:before="30" w:after="30" w:line="360" w:lineRule="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16A83111">
      <w:pPr>
        <w:widowControl/>
        <w:shd w:val="clear" w:color="auto" w:fill="FFFFFF"/>
        <w:spacing w:line="360" w:lineRule="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i/>
          <w:iCs/>
          <w:color w:val="auto"/>
          <w:kern w:val="0"/>
          <w:sz w:val="24"/>
          <w:highlight w:val="none"/>
          <w:u w:val="single"/>
        </w:rPr>
        <w:t>（产品名称1）</w:t>
      </w:r>
      <w:r>
        <w:rPr>
          <w:rFonts w:hint="eastAsia" w:ascii="宋体" w:hAnsi="宋体" w:cs="宋体"/>
          <w:i/>
          <w:iCs/>
          <w:color w:val="auto"/>
          <w:kern w:val="0"/>
          <w:sz w:val="18"/>
          <w:szCs w:val="18"/>
          <w:highlight w:val="none"/>
          <w:vertAlign w:val="superscript"/>
        </w:rPr>
        <w:t>1</w:t>
      </w:r>
      <w:r>
        <w:rPr>
          <w:rFonts w:hint="eastAsia" w:ascii="宋体" w:hAnsi="宋体" w:cs="宋体"/>
          <w:color w:val="auto"/>
          <w:kern w:val="0"/>
          <w:sz w:val="24"/>
          <w:highlight w:val="none"/>
        </w:rPr>
        <w:t>，生产厂为</w:t>
      </w:r>
      <w:r>
        <w:rPr>
          <w:rFonts w:hint="eastAsia" w:ascii="宋体" w:hAnsi="宋体" w:cs="宋体"/>
          <w:i/>
          <w:iCs/>
          <w:color w:val="auto"/>
          <w:kern w:val="0"/>
          <w:sz w:val="24"/>
          <w:highlight w:val="none"/>
          <w:u w:val="single"/>
        </w:rPr>
        <w:t>（厂名）</w:t>
      </w:r>
      <w:r>
        <w:rPr>
          <w:rFonts w:hint="eastAsia" w:ascii="宋体" w:hAnsi="宋体" w:cs="宋体"/>
          <w:i/>
          <w:iCs/>
          <w:color w:val="auto"/>
          <w:kern w:val="0"/>
          <w:sz w:val="18"/>
          <w:szCs w:val="18"/>
          <w:highlight w:val="none"/>
          <w:vertAlign w:val="superscript"/>
        </w:rPr>
        <w:t>2</w:t>
      </w:r>
      <w:r>
        <w:rPr>
          <w:rFonts w:hint="eastAsia" w:ascii="宋体" w:hAnsi="宋体" w:cs="宋体"/>
          <w:color w:val="auto"/>
          <w:kern w:val="0"/>
          <w:sz w:val="24"/>
          <w:highlight w:val="none"/>
        </w:rPr>
        <w:t>，厂址为</w:t>
      </w:r>
      <w:r>
        <w:rPr>
          <w:rFonts w:hint="eastAsia" w:ascii="宋体" w:hAnsi="宋体" w:cs="宋体"/>
          <w:i/>
          <w:iCs/>
          <w:color w:val="auto"/>
          <w:kern w:val="0"/>
          <w:sz w:val="24"/>
          <w:highlight w:val="none"/>
          <w:u w:val="single"/>
        </w:rPr>
        <w:t>（生产厂址）</w:t>
      </w:r>
      <w:r>
        <w:rPr>
          <w:rFonts w:hint="eastAsia" w:ascii="宋体" w:hAnsi="宋体" w:cs="宋体"/>
          <w:color w:val="auto"/>
          <w:kern w:val="0"/>
          <w:sz w:val="24"/>
          <w:highlight w:val="none"/>
        </w:rPr>
        <w:t>。</w:t>
      </w:r>
      <w:r>
        <w:rPr>
          <w:rFonts w:hint="eastAsia" w:ascii="宋体" w:hAnsi="宋体" w:cs="宋体"/>
          <w:i/>
          <w:iCs/>
          <w:color w:val="auto"/>
          <w:kern w:val="0"/>
          <w:sz w:val="24"/>
          <w:highlight w:val="none"/>
          <w:u w:val="single"/>
        </w:rPr>
        <w:t>（产品名称1）</w:t>
      </w:r>
      <w:r>
        <w:rPr>
          <w:rFonts w:hint="eastAsia" w:ascii="宋体" w:hAnsi="宋体" w:cs="宋体"/>
          <w:color w:val="auto"/>
          <w:kern w:val="0"/>
          <w:sz w:val="24"/>
          <w:highlight w:val="none"/>
        </w:rPr>
        <w:t>的中国境内生产的组件成本占比≥</w:t>
      </w:r>
      <w:r>
        <w:rPr>
          <w:rFonts w:hint="eastAsia" w:ascii="宋体" w:hAnsi="宋体" w:cs="宋体"/>
          <w:i/>
          <w:iCs/>
          <w:color w:val="auto"/>
          <w:kern w:val="0"/>
          <w:sz w:val="24"/>
          <w:highlight w:val="none"/>
          <w:u w:val="single"/>
        </w:rPr>
        <w:t>（规定比例）</w:t>
      </w:r>
      <w:r>
        <w:rPr>
          <w:rFonts w:hint="eastAsia" w:ascii="宋体" w:hAnsi="宋体" w:cs="宋体"/>
          <w:i/>
          <w:iCs/>
          <w:color w:val="auto"/>
          <w:kern w:val="0"/>
          <w:sz w:val="18"/>
          <w:szCs w:val="18"/>
          <w:highlight w:val="none"/>
          <w:vertAlign w:val="superscript"/>
        </w:rPr>
        <w:t>3</w:t>
      </w:r>
      <w:r>
        <w:rPr>
          <w:rFonts w:hint="eastAsia" w:ascii="宋体" w:hAnsi="宋体" w:cs="宋体"/>
          <w:color w:val="auto"/>
          <w:kern w:val="0"/>
          <w:sz w:val="24"/>
          <w:highlight w:val="none"/>
        </w:rPr>
        <w:t>。</w:t>
      </w:r>
      <w:r>
        <w:rPr>
          <w:rFonts w:hint="eastAsia" w:ascii="宋体" w:hAnsi="宋体" w:cs="宋体"/>
          <w:i/>
          <w:iCs/>
          <w:color w:val="auto"/>
          <w:kern w:val="0"/>
          <w:sz w:val="24"/>
          <w:highlight w:val="none"/>
          <w:u w:val="single"/>
        </w:rPr>
        <w:t>（产品名称1）</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u w:val="single"/>
        </w:rPr>
        <w:t>（关键组件）</w:t>
      </w:r>
      <w:r>
        <w:rPr>
          <w:rFonts w:hint="eastAsia" w:ascii="宋体" w:hAnsi="宋体" w:cs="宋体"/>
          <w:i/>
          <w:iCs/>
          <w:color w:val="auto"/>
          <w:kern w:val="0"/>
          <w:sz w:val="18"/>
          <w:szCs w:val="18"/>
          <w:highlight w:val="none"/>
          <w:vertAlign w:val="superscript"/>
        </w:rPr>
        <w:t>4</w:t>
      </w:r>
      <w:r>
        <w:rPr>
          <w:rFonts w:hint="eastAsia" w:ascii="宋体" w:hAnsi="宋体" w:cs="宋体"/>
          <w:color w:val="auto"/>
          <w:kern w:val="0"/>
          <w:sz w:val="24"/>
          <w:highlight w:val="none"/>
        </w:rPr>
        <w:t>在中国境内生产。</w:t>
      </w:r>
      <w:r>
        <w:rPr>
          <w:rFonts w:hint="eastAsia" w:ascii="宋体" w:hAnsi="宋体" w:cs="宋体"/>
          <w:i/>
          <w:iCs/>
          <w:color w:val="auto"/>
          <w:kern w:val="0"/>
          <w:sz w:val="24"/>
          <w:highlight w:val="none"/>
          <w:u w:val="single"/>
        </w:rPr>
        <w:t>（产品名称1）</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u w:val="single"/>
        </w:rPr>
        <w:t>（关键工序）</w:t>
      </w:r>
      <w:r>
        <w:rPr>
          <w:rFonts w:hint="eastAsia" w:ascii="宋体" w:hAnsi="宋体" w:cs="宋体"/>
          <w:i/>
          <w:iCs/>
          <w:color w:val="auto"/>
          <w:kern w:val="0"/>
          <w:sz w:val="18"/>
          <w:szCs w:val="18"/>
          <w:highlight w:val="none"/>
          <w:vertAlign w:val="superscript"/>
        </w:rPr>
        <w:t>5</w:t>
      </w:r>
      <w:r>
        <w:rPr>
          <w:rFonts w:hint="eastAsia" w:ascii="宋体" w:hAnsi="宋体" w:cs="宋体"/>
          <w:color w:val="auto"/>
          <w:kern w:val="0"/>
          <w:sz w:val="24"/>
          <w:highlight w:val="none"/>
        </w:rPr>
        <w:t>在中国境内完成。</w:t>
      </w:r>
    </w:p>
    <w:p w14:paraId="4D6F0409">
      <w:pPr>
        <w:widowControl/>
        <w:shd w:val="clear" w:color="auto" w:fill="FFFFFF"/>
        <w:spacing w:line="360" w:lineRule="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2.</w:t>
      </w:r>
      <w:r>
        <w:rPr>
          <w:rFonts w:hint="eastAsia" w:ascii="宋体" w:hAnsi="宋体" w:cs="宋体"/>
          <w:i/>
          <w:iCs/>
          <w:color w:val="auto"/>
          <w:kern w:val="0"/>
          <w:sz w:val="24"/>
          <w:highlight w:val="none"/>
          <w:u w:val="single"/>
        </w:rPr>
        <w:t>（产品名称2）</w:t>
      </w:r>
      <w:r>
        <w:rPr>
          <w:rFonts w:hint="eastAsia" w:ascii="宋体" w:hAnsi="宋体" w:cs="宋体"/>
          <w:color w:val="auto"/>
          <w:kern w:val="0"/>
          <w:sz w:val="24"/>
          <w:highlight w:val="none"/>
        </w:rPr>
        <w:t>，生产厂为</w:t>
      </w:r>
      <w:r>
        <w:rPr>
          <w:rFonts w:hint="eastAsia" w:ascii="宋体" w:hAnsi="宋体" w:cs="宋体"/>
          <w:i/>
          <w:iCs/>
          <w:color w:val="auto"/>
          <w:kern w:val="0"/>
          <w:sz w:val="24"/>
          <w:highlight w:val="none"/>
          <w:u w:val="single"/>
        </w:rPr>
        <w:t>（厂名）</w:t>
      </w:r>
      <w:r>
        <w:rPr>
          <w:rFonts w:hint="eastAsia" w:ascii="宋体" w:hAnsi="宋体" w:cs="宋体"/>
          <w:color w:val="auto"/>
          <w:kern w:val="0"/>
          <w:sz w:val="24"/>
          <w:highlight w:val="none"/>
        </w:rPr>
        <w:t>，厂址为</w:t>
      </w:r>
      <w:r>
        <w:rPr>
          <w:rFonts w:hint="eastAsia" w:ascii="宋体" w:hAnsi="宋体" w:cs="宋体"/>
          <w:i/>
          <w:iCs/>
          <w:color w:val="auto"/>
          <w:kern w:val="0"/>
          <w:sz w:val="24"/>
          <w:highlight w:val="none"/>
          <w:u w:val="single"/>
        </w:rPr>
        <w:t>（生产厂址）</w:t>
      </w:r>
      <w:r>
        <w:rPr>
          <w:rFonts w:hint="eastAsia" w:ascii="宋体" w:hAnsi="宋体" w:cs="宋体"/>
          <w:color w:val="auto"/>
          <w:kern w:val="0"/>
          <w:sz w:val="24"/>
          <w:highlight w:val="none"/>
        </w:rPr>
        <w:t>。</w:t>
      </w:r>
      <w:r>
        <w:rPr>
          <w:rFonts w:hint="eastAsia" w:ascii="宋体" w:hAnsi="宋体" w:cs="宋体"/>
          <w:i/>
          <w:iCs/>
          <w:color w:val="auto"/>
          <w:kern w:val="0"/>
          <w:sz w:val="24"/>
          <w:highlight w:val="none"/>
          <w:u w:val="single"/>
        </w:rPr>
        <w:t>（产品名称2）</w:t>
      </w:r>
      <w:r>
        <w:rPr>
          <w:rFonts w:hint="eastAsia" w:ascii="宋体" w:hAnsi="宋体" w:cs="宋体"/>
          <w:color w:val="auto"/>
          <w:kern w:val="0"/>
          <w:sz w:val="24"/>
          <w:highlight w:val="none"/>
        </w:rPr>
        <w:t>的中国境内生产的组件成本占比≥</w:t>
      </w:r>
      <w:r>
        <w:rPr>
          <w:rFonts w:hint="eastAsia" w:ascii="宋体" w:hAnsi="宋体" w:cs="宋体"/>
          <w:i/>
          <w:iCs/>
          <w:color w:val="auto"/>
          <w:kern w:val="0"/>
          <w:sz w:val="24"/>
          <w:highlight w:val="none"/>
          <w:u w:val="single"/>
        </w:rPr>
        <w:t>（规定比例）</w:t>
      </w:r>
      <w:r>
        <w:rPr>
          <w:rFonts w:hint="eastAsia" w:ascii="宋体" w:hAnsi="宋体" w:cs="宋体"/>
          <w:color w:val="auto"/>
          <w:kern w:val="0"/>
          <w:sz w:val="24"/>
          <w:highlight w:val="none"/>
        </w:rPr>
        <w:t>。</w:t>
      </w:r>
      <w:r>
        <w:rPr>
          <w:rFonts w:hint="eastAsia" w:ascii="宋体" w:hAnsi="宋体" w:cs="宋体"/>
          <w:i/>
          <w:iCs/>
          <w:color w:val="auto"/>
          <w:kern w:val="0"/>
          <w:sz w:val="24"/>
          <w:highlight w:val="none"/>
          <w:u w:val="single"/>
        </w:rPr>
        <w:t>（产品名称2）</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u w:val="single"/>
        </w:rPr>
        <w:t>（关键组件）</w:t>
      </w:r>
      <w:r>
        <w:rPr>
          <w:rFonts w:hint="eastAsia" w:ascii="宋体" w:hAnsi="宋体" w:cs="宋体"/>
          <w:color w:val="auto"/>
          <w:kern w:val="0"/>
          <w:sz w:val="24"/>
          <w:highlight w:val="none"/>
        </w:rPr>
        <w:t>在中国境内生产。</w:t>
      </w:r>
      <w:r>
        <w:rPr>
          <w:rFonts w:hint="eastAsia" w:ascii="宋体" w:hAnsi="宋体" w:cs="宋体"/>
          <w:i/>
          <w:iCs/>
          <w:color w:val="auto"/>
          <w:kern w:val="0"/>
          <w:sz w:val="24"/>
          <w:highlight w:val="none"/>
          <w:u w:val="single"/>
        </w:rPr>
        <w:t>（产品名称2）</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u w:val="single"/>
        </w:rPr>
        <w:t>（关键工序）</w:t>
      </w:r>
      <w:r>
        <w:rPr>
          <w:rFonts w:hint="eastAsia" w:ascii="宋体" w:hAnsi="宋体" w:cs="宋体"/>
          <w:color w:val="auto"/>
          <w:kern w:val="0"/>
          <w:sz w:val="24"/>
          <w:highlight w:val="none"/>
        </w:rPr>
        <w:t>在中国境内完成。</w:t>
      </w:r>
    </w:p>
    <w:p w14:paraId="36FAA337">
      <w:pPr>
        <w:widowControl/>
        <w:shd w:val="clear" w:color="auto" w:fill="FFFFFF"/>
        <w:spacing w:before="30" w:after="30" w:line="360" w:lineRule="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w:t>
      </w:r>
    </w:p>
    <w:p w14:paraId="48543592">
      <w:pPr>
        <w:widowControl/>
        <w:shd w:val="clear" w:color="auto" w:fill="FFFFFF"/>
        <w:spacing w:before="30" w:after="30" w:line="360" w:lineRule="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本公司（单位）对上述声明内容的真实性负责。如有虚假，愿承担相应法律责任。</w:t>
      </w:r>
    </w:p>
    <w:p w14:paraId="6197EB8B">
      <w:pPr>
        <w:widowControl/>
        <w:shd w:val="clear" w:color="auto" w:fill="FFFFFF"/>
        <w:spacing w:before="30" w:after="30"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 </w:t>
      </w:r>
    </w:p>
    <w:p w14:paraId="1C34149B">
      <w:pPr>
        <w:widowControl/>
        <w:shd w:val="clear" w:color="auto" w:fill="FFFFFF"/>
        <w:spacing w:before="30" w:after="30" w:line="360" w:lineRule="auto"/>
        <w:jc w:val="right"/>
        <w:rPr>
          <w:rFonts w:ascii="宋体" w:hAnsi="宋体" w:cs="宋体"/>
          <w:color w:val="auto"/>
          <w:kern w:val="0"/>
          <w:sz w:val="24"/>
          <w:highlight w:val="none"/>
        </w:rPr>
      </w:pPr>
      <w:r>
        <w:rPr>
          <w:rFonts w:hint="eastAsia" w:ascii="宋体" w:hAnsi="宋体" w:cs="宋体"/>
          <w:color w:val="auto"/>
          <w:kern w:val="0"/>
          <w:sz w:val="24"/>
          <w:highlight w:val="none"/>
        </w:rPr>
        <w:t>公司（单位）名称（盖章）：　        </w:t>
      </w:r>
    </w:p>
    <w:p w14:paraId="1507415F">
      <w:pPr>
        <w:widowControl/>
        <w:shd w:val="clear" w:color="auto" w:fill="FFFFFF"/>
        <w:spacing w:line="360" w:lineRule="auto"/>
        <w:jc w:val="right"/>
        <w:rPr>
          <w:rFonts w:ascii="宋体" w:hAnsi="宋体" w:cs="宋体"/>
          <w:color w:val="auto"/>
          <w:kern w:val="0"/>
          <w:sz w:val="24"/>
          <w:highlight w:val="none"/>
        </w:rPr>
      </w:pPr>
      <w:r>
        <w:rPr>
          <w:rFonts w:hint="eastAsia" w:ascii="宋体" w:hAnsi="宋体" w:cs="宋体"/>
          <w:color w:val="auto"/>
          <w:kern w:val="0"/>
          <w:sz w:val="24"/>
          <w:highlight w:val="none"/>
        </w:rPr>
        <w:t>日期：　     年　  月　  日         </w:t>
      </w:r>
    </w:p>
    <w:p w14:paraId="5263A2CA">
      <w:pPr>
        <w:widowControl/>
        <w:shd w:val="clear" w:color="auto" w:fill="FFFFFF"/>
        <w:spacing w:before="30" w:after="30"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__________________</w:t>
      </w:r>
    </w:p>
    <w:p w14:paraId="536911F3">
      <w:pPr>
        <w:widowControl/>
        <w:shd w:val="clear" w:color="auto" w:fill="FFFFFF"/>
        <w:spacing w:line="360" w:lineRule="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1.产品如有型号，请在“产品名称”栏一并填写。</w:t>
      </w:r>
    </w:p>
    <w:p w14:paraId="00E266B5">
      <w:pPr>
        <w:widowControl/>
        <w:shd w:val="clear" w:color="auto" w:fill="FFFFFF"/>
        <w:spacing w:line="360" w:lineRule="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2.生产厂名与厂址应与生产厂营业执照载明的相关信息保持一致。</w:t>
      </w:r>
    </w:p>
    <w:p w14:paraId="088ACF8D">
      <w:pPr>
        <w:widowControl/>
        <w:shd w:val="clear" w:color="auto" w:fill="FFFFFF"/>
        <w:spacing w:line="360" w:lineRule="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3.该产品的中国境内生产的组件成本占比相关要求实施前，“规定比例”栏可不填，下同。</w:t>
      </w:r>
    </w:p>
    <w:p w14:paraId="504904A0">
      <w:pPr>
        <w:widowControl/>
        <w:shd w:val="clear" w:color="auto" w:fill="FFFFFF"/>
        <w:spacing w:line="360" w:lineRule="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4.该产品的关键组件要求实施前，“关键组件”栏可不填，下同。</w:t>
      </w:r>
    </w:p>
    <w:p w14:paraId="1C436081">
      <w:pPr>
        <w:widowControl/>
        <w:shd w:val="clear" w:color="auto" w:fill="FFFFFF"/>
        <w:spacing w:line="360" w:lineRule="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5.该产品的关键工序要求实施前，“关键工序”栏可不填，下同。</w:t>
      </w:r>
    </w:p>
    <w:p w14:paraId="5FDA0615">
      <w:pPr>
        <w:spacing w:line="360" w:lineRule="auto"/>
        <w:contextualSpacing/>
        <w:rPr>
          <w:rFonts w:ascii="宋体" w:hAnsi="宋体" w:cs="仿宋_GB2312"/>
          <w:color w:val="auto"/>
          <w:sz w:val="24"/>
          <w:highlight w:val="none"/>
        </w:rPr>
      </w:pPr>
    </w:p>
    <w:p w14:paraId="4A284FEF">
      <w:pPr>
        <w:spacing w:line="360" w:lineRule="auto"/>
        <w:contextualSpacing/>
        <w:rPr>
          <w:rFonts w:ascii="宋体" w:hAnsi="宋体" w:cs="仿宋_GB2312"/>
          <w:color w:val="auto"/>
          <w:sz w:val="24"/>
          <w:highlight w:val="none"/>
        </w:rPr>
      </w:pPr>
    </w:p>
    <w:p w14:paraId="7C1260C9">
      <w:pPr>
        <w:pStyle w:val="12"/>
        <w:rPr>
          <w:color w:val="000000" w:themeColor="text1"/>
          <w:highlight w:val="none"/>
          <w14:textFill>
            <w14:solidFill>
              <w14:schemeClr w14:val="tx1"/>
            </w14:solidFill>
          </w14:textFill>
        </w:rPr>
      </w:pPr>
    </w:p>
    <w:p w14:paraId="508A7B74">
      <w:pPr>
        <w:pStyle w:val="24"/>
        <w:rPr>
          <w:color w:val="000000" w:themeColor="text1"/>
          <w:highlight w:val="none"/>
          <w14:textFill>
            <w14:solidFill>
              <w14:schemeClr w14:val="tx1"/>
            </w14:solidFill>
          </w14:textFill>
        </w:rPr>
      </w:pPr>
    </w:p>
    <w:p w14:paraId="6BAEF5EB">
      <w:pPr>
        <w:rPr>
          <w:color w:val="000000" w:themeColor="text1"/>
          <w:highlight w:val="none"/>
          <w14:textFill>
            <w14:solidFill>
              <w14:schemeClr w14:val="tx1"/>
            </w14:solidFill>
          </w14:textFill>
        </w:rPr>
      </w:pPr>
    </w:p>
    <w:p w14:paraId="17AB69B3">
      <w:pPr>
        <w:rPr>
          <w:color w:val="000000" w:themeColor="text1"/>
          <w:highlight w:val="none"/>
          <w14:textFill>
            <w14:solidFill>
              <w14:schemeClr w14:val="tx1"/>
            </w14:solidFill>
          </w14:textFill>
        </w:rPr>
      </w:pPr>
    </w:p>
    <w:p w14:paraId="3C026BF1">
      <w:pPr>
        <w:rPr>
          <w:color w:val="000000" w:themeColor="text1"/>
          <w:highlight w:val="none"/>
          <w14:textFill>
            <w14:solidFill>
              <w14:schemeClr w14:val="tx1"/>
            </w14:solidFill>
          </w14:textFill>
        </w:rPr>
      </w:pPr>
    </w:p>
    <w:p w14:paraId="64D6F321">
      <w:pPr>
        <w:rPr>
          <w:color w:val="000000" w:themeColor="text1"/>
          <w:highlight w:val="none"/>
          <w14:textFill>
            <w14:solidFill>
              <w14:schemeClr w14:val="tx1"/>
            </w14:solidFill>
          </w14:textFill>
        </w:rPr>
      </w:pPr>
    </w:p>
    <w:p w14:paraId="36DAE5D7">
      <w:pPr>
        <w:rPr>
          <w:color w:val="000000" w:themeColor="text1"/>
          <w:highlight w:val="none"/>
          <w14:textFill>
            <w14:solidFill>
              <w14:schemeClr w14:val="tx1"/>
            </w14:solidFill>
          </w14:textFill>
        </w:rPr>
      </w:pPr>
    </w:p>
    <w:p w14:paraId="44CB9D7C">
      <w:pPr>
        <w:rPr>
          <w:color w:val="000000" w:themeColor="text1"/>
          <w:highlight w:val="none"/>
          <w14:textFill>
            <w14:solidFill>
              <w14:schemeClr w14:val="tx1"/>
            </w14:solidFill>
          </w14:textFill>
        </w:rPr>
      </w:pPr>
    </w:p>
    <w:p w14:paraId="7006AFC4">
      <w:pPr>
        <w:rPr>
          <w:color w:val="000000" w:themeColor="text1"/>
          <w:highlight w:val="none"/>
          <w14:textFill>
            <w14:solidFill>
              <w14:schemeClr w14:val="tx1"/>
            </w14:solidFill>
          </w14:textFill>
        </w:rPr>
      </w:pPr>
    </w:p>
    <w:p w14:paraId="496FB6A5">
      <w:pPr>
        <w:spacing w:line="300" w:lineRule="auto"/>
        <w:ind w:firstLine="2640" w:firstLineChars="600"/>
        <w:rPr>
          <w:rFonts w:ascii="宋体" w:hAnsi="宋体"/>
          <w:b/>
          <w:bCs/>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质疑函（格式）</w:t>
      </w:r>
    </w:p>
    <w:p w14:paraId="5DBEAFAE">
      <w:pPr>
        <w:spacing w:line="360" w:lineRule="auto"/>
        <w:jc w:val="center"/>
        <w:rPr>
          <w:rFonts w:ascii="宋体" w:hAnsi="宋体"/>
          <w:b/>
          <w:bCs/>
          <w:color w:val="000000" w:themeColor="text1"/>
          <w:sz w:val="32"/>
          <w:szCs w:val="32"/>
          <w:highlight w:val="none"/>
          <w14:textFill>
            <w14:solidFill>
              <w14:schemeClr w14:val="tx1"/>
            </w14:solidFill>
          </w14:textFill>
        </w:rPr>
      </w:pPr>
    </w:p>
    <w:p w14:paraId="77669AF2">
      <w:pPr>
        <w:pStyle w:val="15"/>
        <w:spacing w:line="360" w:lineRule="auto"/>
        <w:ind w:firstLine="482" w:firstLineChars="200"/>
        <w:contextualSpacing/>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一、质疑供应商基本信息：</w:t>
      </w:r>
    </w:p>
    <w:p w14:paraId="365335F8">
      <w:pPr>
        <w:pStyle w:val="15"/>
        <w:spacing w:line="360" w:lineRule="auto"/>
        <w:ind w:firstLine="480" w:firstLineChars="200"/>
        <w:contextualSpacing/>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质疑供应商：</w:t>
      </w:r>
    </w:p>
    <w:p w14:paraId="314A2EE8">
      <w:pPr>
        <w:pStyle w:val="15"/>
        <w:spacing w:line="360" w:lineRule="auto"/>
        <w:ind w:firstLine="480" w:firstLineChars="200"/>
        <w:contextualSpacing/>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05F63C86">
      <w:pPr>
        <w:pStyle w:val="15"/>
        <w:spacing w:line="360" w:lineRule="auto"/>
        <w:ind w:firstLine="480" w:firstLineChars="200"/>
        <w:contextualSpacing/>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14:textFill>
            <w14:solidFill>
              <w14:schemeClr w14:val="tx1"/>
            </w14:solidFill>
          </w14:textFill>
        </w:rPr>
        <w:t>：</w:t>
      </w:r>
      <w:r>
        <w:rPr>
          <w:rFonts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w:t>
      </w:r>
    </w:p>
    <w:p w14:paraId="527C83AC">
      <w:pPr>
        <w:pStyle w:val="15"/>
        <w:spacing w:line="360" w:lineRule="auto"/>
        <w:ind w:firstLine="480" w:firstLineChars="200"/>
        <w:contextualSpacing/>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p>
    <w:p w14:paraId="0DD430A8">
      <w:pPr>
        <w:pStyle w:val="15"/>
        <w:spacing w:line="360" w:lineRule="auto"/>
        <w:ind w:firstLine="480" w:firstLineChars="200"/>
        <w:contextualSpacing/>
        <w:rPr>
          <w:rFonts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p>
    <w:p w14:paraId="205B6856">
      <w:pPr>
        <w:pStyle w:val="15"/>
        <w:spacing w:line="360" w:lineRule="auto"/>
        <w:ind w:firstLine="480" w:firstLineChars="200"/>
        <w:contextualSpacing/>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6DBE73C5">
      <w:pPr>
        <w:pStyle w:val="15"/>
        <w:spacing w:line="360" w:lineRule="auto"/>
        <w:ind w:firstLine="482" w:firstLineChars="200"/>
        <w:contextualSpacing/>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二、质疑项目基本情况：</w:t>
      </w:r>
    </w:p>
    <w:p w14:paraId="3E6C462D">
      <w:pPr>
        <w:pStyle w:val="15"/>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项目的名称：</w:t>
      </w:r>
    </w:p>
    <w:p w14:paraId="5ACCFEB1">
      <w:pPr>
        <w:pStyle w:val="15"/>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项目的编号：</w:t>
      </w:r>
    </w:p>
    <w:p w14:paraId="0553BE0C">
      <w:pPr>
        <w:pStyle w:val="15"/>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p>
    <w:p w14:paraId="78AE7B7E">
      <w:pPr>
        <w:pStyle w:val="15"/>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w:t>
      </w:r>
    </w:p>
    <w:p w14:paraId="58C48643">
      <w:pPr>
        <w:pStyle w:val="15"/>
        <w:spacing w:line="360" w:lineRule="auto"/>
        <w:ind w:left="25" w:leftChars="12" w:firstLine="352" w:firstLineChars="14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□采购文件采购文件获取日期：</w:t>
      </w:r>
    </w:p>
    <w:p w14:paraId="065F8AFD">
      <w:pPr>
        <w:pStyle w:val="15"/>
        <w:spacing w:line="360" w:lineRule="auto"/>
        <w:ind w:left="25" w:leftChars="12" w:firstLine="352" w:firstLineChars="14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□采购过程</w:t>
      </w:r>
    </w:p>
    <w:p w14:paraId="1A63CCCD">
      <w:pPr>
        <w:pStyle w:val="15"/>
        <w:spacing w:line="360" w:lineRule="auto"/>
        <w:ind w:left="25" w:leftChars="12" w:firstLine="352" w:firstLineChars="147"/>
        <w:contextualSpacing/>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□成交结果</w:t>
      </w:r>
    </w:p>
    <w:p w14:paraId="01B4937E">
      <w:pPr>
        <w:pStyle w:val="15"/>
        <w:spacing w:line="360" w:lineRule="auto"/>
        <w:ind w:left="25" w:leftChars="12" w:firstLine="472" w:firstLineChars="196"/>
        <w:contextualSpacing/>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三、质疑事项具体内容</w:t>
      </w:r>
    </w:p>
    <w:p w14:paraId="078AF309">
      <w:pPr>
        <w:pStyle w:val="15"/>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质疑事项1：</w:t>
      </w:r>
    </w:p>
    <w:p w14:paraId="789A64D4">
      <w:pPr>
        <w:pStyle w:val="15"/>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事实依据：</w:t>
      </w:r>
    </w:p>
    <w:p w14:paraId="561B1191">
      <w:pPr>
        <w:pStyle w:val="15"/>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法律依据：</w:t>
      </w:r>
    </w:p>
    <w:p w14:paraId="677DBC45">
      <w:pPr>
        <w:pStyle w:val="15"/>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质疑事项2</w:t>
      </w:r>
    </w:p>
    <w:p w14:paraId="5DAC7FAD">
      <w:pPr>
        <w:pStyle w:val="15"/>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Ansi="宋体"/>
          <w:color w:val="000000" w:themeColor="text1"/>
          <w:sz w:val="24"/>
          <w:szCs w:val="24"/>
          <w:highlight w:val="none"/>
          <w14:textFill>
            <w14:solidFill>
              <w14:schemeClr w14:val="tx1"/>
            </w14:solidFill>
          </w14:textFill>
        </w:rPr>
        <w:t>……</w:t>
      </w:r>
    </w:p>
    <w:p w14:paraId="3DAAFD2B">
      <w:pPr>
        <w:pStyle w:val="15"/>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四、与质疑事项相关的质疑请求：</w:t>
      </w:r>
    </w:p>
    <w:p w14:paraId="63BF34FC">
      <w:pPr>
        <w:pStyle w:val="15"/>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p>
    <w:p w14:paraId="396083A2">
      <w:pPr>
        <w:pStyle w:val="15"/>
        <w:spacing w:line="360" w:lineRule="auto"/>
        <w:ind w:left="25" w:leftChars="12" w:firstLine="352" w:firstLineChars="147"/>
        <w:contextualSpacing/>
        <w:rPr>
          <w:rFonts w:hAnsi="宋体"/>
          <w:color w:val="000000" w:themeColor="text1"/>
          <w:sz w:val="24"/>
          <w:szCs w:val="24"/>
          <w:highlight w:val="none"/>
          <w14:textFill>
            <w14:solidFill>
              <w14:schemeClr w14:val="tx1"/>
            </w14:solidFill>
          </w14:textFill>
        </w:rPr>
      </w:pPr>
    </w:p>
    <w:p w14:paraId="46A6C0C2">
      <w:pPr>
        <w:pStyle w:val="15"/>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签字（签章）：公章：</w:t>
      </w:r>
    </w:p>
    <w:p w14:paraId="063DA354">
      <w:pPr>
        <w:pStyle w:val="15"/>
        <w:spacing w:line="360" w:lineRule="auto"/>
        <w:ind w:left="25" w:leftChars="12" w:firstLine="352" w:firstLineChars="147"/>
        <w:contextualSpacing/>
        <w:rPr>
          <w:rFonts w:hAnsi="宋体"/>
          <w:color w:val="000000" w:themeColor="text1"/>
          <w:sz w:val="24"/>
          <w:szCs w:val="24"/>
          <w:highlight w:val="none"/>
          <w14:textFill>
            <w14:solidFill>
              <w14:schemeClr w14:val="tx1"/>
            </w14:solidFill>
          </w14:textFill>
        </w:rPr>
      </w:pPr>
    </w:p>
    <w:p w14:paraId="05AF809F">
      <w:pPr>
        <w:pStyle w:val="15"/>
        <w:spacing w:line="360" w:lineRule="auto"/>
        <w:ind w:left="25" w:leftChars="12" w:firstLine="472" w:firstLineChars="197"/>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38E60298">
      <w:pPr>
        <w:pStyle w:val="15"/>
        <w:spacing w:line="360" w:lineRule="auto"/>
        <w:contextualSpacing/>
        <w:rPr>
          <w:rFonts w:hAnsi="宋体"/>
          <w:b/>
          <w:color w:val="000000" w:themeColor="text1"/>
          <w:sz w:val="24"/>
          <w:szCs w:val="24"/>
          <w:highlight w:val="none"/>
          <w14:textFill>
            <w14:solidFill>
              <w14:schemeClr w14:val="tx1"/>
            </w14:solidFill>
          </w14:textFill>
        </w:rPr>
      </w:pPr>
    </w:p>
    <w:p w14:paraId="6AFE48D9">
      <w:pPr>
        <w:pStyle w:val="15"/>
        <w:spacing w:line="360" w:lineRule="auto"/>
        <w:contextualSpacing/>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383D9F8C">
      <w:pPr>
        <w:pStyle w:val="15"/>
        <w:spacing w:line="360" w:lineRule="auto"/>
        <w:ind w:left="25" w:leftChars="12" w:firstLine="354" w:firstLineChars="147"/>
        <w:contextualSpacing/>
        <w:rPr>
          <w:rFonts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1.供应商提出质疑时，应提交质疑函和必要的证明材料</w:t>
      </w:r>
      <w:r>
        <w:rPr>
          <w:rFonts w:hint="eastAsia" w:hAnsi="宋体"/>
          <w:b/>
          <w:bCs/>
          <w:color w:val="000000" w:themeColor="text1"/>
          <w:sz w:val="24"/>
          <w:szCs w:val="24"/>
          <w:highlight w:val="none"/>
          <w14:textFill>
            <w14:solidFill>
              <w14:schemeClr w14:val="tx1"/>
            </w14:solidFill>
          </w14:textFill>
        </w:rPr>
        <w:t>。</w:t>
      </w:r>
    </w:p>
    <w:p w14:paraId="2F1E9B4C">
      <w:pPr>
        <w:pStyle w:val="15"/>
        <w:spacing w:line="360" w:lineRule="auto"/>
        <w:ind w:left="25" w:leftChars="12" w:firstLine="354" w:firstLineChars="147"/>
        <w:contextualSpacing/>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438797E">
      <w:pPr>
        <w:pStyle w:val="15"/>
        <w:spacing w:line="360" w:lineRule="auto"/>
        <w:ind w:left="25" w:leftChars="12" w:firstLine="354" w:firstLineChars="147"/>
        <w:contextualSpacing/>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3.质疑函的质疑事项应具体、明确，并有必要的事实依据和法律依据。</w:t>
      </w:r>
    </w:p>
    <w:p w14:paraId="4599AA2B">
      <w:pPr>
        <w:pStyle w:val="15"/>
        <w:spacing w:line="360" w:lineRule="auto"/>
        <w:ind w:left="25" w:leftChars="12" w:firstLine="354" w:firstLineChars="147"/>
        <w:contextualSpacing/>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4.质疑函的质疑请求应与质疑事项相关。</w:t>
      </w:r>
    </w:p>
    <w:p w14:paraId="332213D5">
      <w:pPr>
        <w:pStyle w:val="15"/>
        <w:spacing w:line="360" w:lineRule="auto"/>
        <w:ind w:left="25" w:leftChars="12" w:firstLine="354" w:firstLineChars="147"/>
        <w:contextualSpacing/>
        <w:rPr>
          <w:rFonts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5.质疑供应商为法人或者其他组织的，质疑函应由法定代表人、主要负责人，或者其授权代表签字或者盖章，并加盖公章。</w:t>
      </w:r>
    </w:p>
    <w:p w14:paraId="3D5F8E8C">
      <w:pPr>
        <w:pStyle w:val="15"/>
        <w:snapToGrid w:val="0"/>
        <w:rPr>
          <w:b/>
          <w:color w:val="000000" w:themeColor="text1"/>
          <w:sz w:val="24"/>
          <w:szCs w:val="24"/>
          <w:highlight w:val="none"/>
          <w14:textFill>
            <w14:solidFill>
              <w14:schemeClr w14:val="tx1"/>
            </w14:solidFill>
          </w14:textFill>
        </w:rPr>
      </w:pPr>
    </w:p>
    <w:p w14:paraId="15EC653B">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28F45024">
      <w:pPr>
        <w:spacing w:line="360" w:lineRule="auto"/>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投诉书（格式）</w:t>
      </w:r>
    </w:p>
    <w:p w14:paraId="3FB34866">
      <w:pPr>
        <w:pStyle w:val="15"/>
        <w:snapToGrid w:val="0"/>
        <w:spacing w:line="360" w:lineRule="auto"/>
        <w:ind w:firstLine="482" w:firstLineChars="200"/>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一、投诉相关主体基本情况：</w:t>
      </w:r>
    </w:p>
    <w:p w14:paraId="5BED4A4B">
      <w:pPr>
        <w:pStyle w:val="15"/>
        <w:snapToGrid w:val="0"/>
        <w:spacing w:line="360" w:lineRule="auto"/>
        <w:ind w:firstLine="480" w:firstLineChars="20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供应商：</w:t>
      </w:r>
    </w:p>
    <w:p w14:paraId="394805E6">
      <w:pPr>
        <w:pStyle w:val="15"/>
        <w:snapToGrid w:val="0"/>
        <w:spacing w:line="360" w:lineRule="auto"/>
        <w:ind w:firstLine="480" w:firstLineChars="20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1B171C8D">
      <w:pPr>
        <w:pStyle w:val="15"/>
        <w:snapToGrid w:val="0"/>
        <w:spacing w:line="360" w:lineRule="auto"/>
        <w:ind w:firstLine="480" w:firstLineChars="20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法定代表人/主要负责人：</w:t>
      </w:r>
    </w:p>
    <w:p w14:paraId="60AF1873">
      <w:pPr>
        <w:pStyle w:val="15"/>
        <w:snapToGrid w:val="0"/>
        <w:spacing w:line="360" w:lineRule="auto"/>
        <w:ind w:firstLine="480" w:firstLineChars="20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w:t>
      </w:r>
    </w:p>
    <w:p w14:paraId="3849DBB4">
      <w:pPr>
        <w:pStyle w:val="15"/>
        <w:snapToGrid w:val="0"/>
        <w:spacing w:line="360" w:lineRule="auto"/>
        <w:ind w:firstLine="480" w:firstLineChars="20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p>
    <w:p w14:paraId="047E5FC3">
      <w:pPr>
        <w:pStyle w:val="15"/>
        <w:snapToGrid w:val="0"/>
        <w:spacing w:line="360" w:lineRule="auto"/>
        <w:ind w:firstLine="480" w:firstLineChars="200"/>
        <w:rPr>
          <w:rFonts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p>
    <w:p w14:paraId="7F2C675F">
      <w:pPr>
        <w:pStyle w:val="15"/>
        <w:snapToGrid w:val="0"/>
        <w:spacing w:line="360" w:lineRule="auto"/>
        <w:ind w:firstLine="480" w:firstLineChars="20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658695CE">
      <w:pPr>
        <w:pStyle w:val="15"/>
        <w:snapToGrid w:val="0"/>
        <w:spacing w:line="360" w:lineRule="auto"/>
        <w:ind w:firstLine="480" w:firstLineChars="200"/>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被投诉人1：</w:t>
      </w:r>
    </w:p>
    <w:p w14:paraId="772DE80F">
      <w:pPr>
        <w:pStyle w:val="15"/>
        <w:snapToGrid w:val="0"/>
        <w:spacing w:line="360" w:lineRule="auto"/>
        <w:ind w:firstLine="480" w:firstLineChars="20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w:t>
      </w:r>
    </w:p>
    <w:p w14:paraId="372C7AB1">
      <w:pPr>
        <w:pStyle w:val="15"/>
        <w:snapToGrid w:val="0"/>
        <w:spacing w:line="360" w:lineRule="auto"/>
        <w:ind w:firstLine="480" w:firstLineChars="20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406B99DD">
      <w:pPr>
        <w:pStyle w:val="15"/>
        <w:snapToGrid w:val="0"/>
        <w:spacing w:line="360" w:lineRule="auto"/>
        <w:ind w:firstLine="480" w:firstLineChars="20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p>
    <w:p w14:paraId="7AFA8AA6">
      <w:pPr>
        <w:pStyle w:val="15"/>
        <w:snapToGrid w:val="0"/>
        <w:spacing w:line="360" w:lineRule="auto"/>
        <w:ind w:firstLine="480" w:firstLineChars="200"/>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被投诉人2：</w:t>
      </w:r>
    </w:p>
    <w:p w14:paraId="78A5FA90">
      <w:pPr>
        <w:pStyle w:val="15"/>
        <w:snapToGrid w:val="0"/>
        <w:spacing w:line="360" w:lineRule="auto"/>
        <w:ind w:firstLine="480" w:firstLineChars="20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w:t>
      </w:r>
    </w:p>
    <w:p w14:paraId="128A54AF">
      <w:pPr>
        <w:pStyle w:val="15"/>
        <w:snapToGrid w:val="0"/>
        <w:spacing w:line="360" w:lineRule="auto"/>
        <w:ind w:firstLine="480" w:firstLineChars="20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相关供应商：</w:t>
      </w:r>
    </w:p>
    <w:p w14:paraId="5FDF867A">
      <w:pPr>
        <w:pStyle w:val="15"/>
        <w:snapToGrid w:val="0"/>
        <w:spacing w:line="360" w:lineRule="auto"/>
        <w:ind w:firstLine="480" w:firstLineChars="200"/>
        <w:rPr>
          <w:rFonts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p>
    <w:p w14:paraId="1D36EC69">
      <w:pPr>
        <w:pStyle w:val="15"/>
        <w:snapToGrid w:val="0"/>
        <w:spacing w:line="360" w:lineRule="auto"/>
        <w:ind w:firstLine="480" w:firstLineChars="200"/>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p>
    <w:p w14:paraId="5F1835CF">
      <w:pPr>
        <w:pStyle w:val="15"/>
        <w:snapToGrid w:val="0"/>
        <w:spacing w:line="360" w:lineRule="auto"/>
        <w:ind w:firstLine="482" w:firstLineChars="200"/>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二、投诉项目基本情况：</w:t>
      </w:r>
    </w:p>
    <w:p w14:paraId="3ED532D8">
      <w:pPr>
        <w:pStyle w:val="15"/>
        <w:spacing w:line="360" w:lineRule="auto"/>
        <w:ind w:left="25" w:leftChars="12" w:firstLine="472" w:firstLineChars="197"/>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w:t>
      </w:r>
      <w:r>
        <w:rPr>
          <w:rFonts w:hint="eastAsia" w:hAnsi="宋体"/>
          <w:color w:val="000000" w:themeColor="text1"/>
          <w:sz w:val="24"/>
          <w:szCs w:val="24"/>
          <w:highlight w:val="none"/>
          <w14:textFill>
            <w14:solidFill>
              <w14:schemeClr w14:val="tx1"/>
            </w14:solidFill>
          </w14:textFill>
        </w:rPr>
        <w:t>项目的名称：</w:t>
      </w:r>
    </w:p>
    <w:p w14:paraId="140C70D9">
      <w:pPr>
        <w:pStyle w:val="15"/>
        <w:spacing w:line="360" w:lineRule="auto"/>
        <w:ind w:left="25" w:leftChars="12" w:firstLine="472" w:firstLineChars="197"/>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w:t>
      </w:r>
      <w:r>
        <w:rPr>
          <w:rFonts w:hint="eastAsia" w:hAnsi="宋体"/>
          <w:color w:val="000000" w:themeColor="text1"/>
          <w:sz w:val="24"/>
          <w:szCs w:val="24"/>
          <w:highlight w:val="none"/>
          <w14:textFill>
            <w14:solidFill>
              <w14:schemeClr w14:val="tx1"/>
            </w14:solidFill>
          </w14:textFill>
        </w:rPr>
        <w:t>项目的编号：</w:t>
      </w:r>
    </w:p>
    <w:p w14:paraId="3C51E948">
      <w:pPr>
        <w:pStyle w:val="15"/>
        <w:spacing w:line="360" w:lineRule="auto"/>
        <w:ind w:left="25" w:leftChars="12" w:firstLine="472" w:firstLineChars="197"/>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p>
    <w:p w14:paraId="2D6F4EB1">
      <w:pPr>
        <w:pStyle w:val="15"/>
        <w:spacing w:line="360" w:lineRule="auto"/>
        <w:ind w:left="25" w:leftChars="12" w:firstLine="472" w:firstLineChars="197"/>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代理机构名称：</w:t>
      </w:r>
    </w:p>
    <w:p w14:paraId="222AA67B">
      <w:pPr>
        <w:pStyle w:val="15"/>
        <w:spacing w:line="360" w:lineRule="auto"/>
        <w:ind w:left="25" w:leftChars="12" w:firstLine="472" w:firstLineChars="197"/>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采购文件公告：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p>
    <w:p w14:paraId="59418FC7">
      <w:pPr>
        <w:pStyle w:val="15"/>
        <w:spacing w:line="360" w:lineRule="auto"/>
        <w:ind w:left="25" w:leftChars="12" w:firstLine="472" w:firstLineChars="197"/>
        <w:rPr>
          <w:rFonts w:hAnsi="宋体"/>
          <w:b/>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采购结果公告：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p>
    <w:p w14:paraId="4335AFFE">
      <w:pPr>
        <w:pStyle w:val="15"/>
        <w:spacing w:line="360" w:lineRule="auto"/>
        <w:ind w:left="25" w:leftChars="12" w:firstLine="472" w:firstLineChars="196"/>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三、质疑基本情况</w:t>
      </w:r>
    </w:p>
    <w:p w14:paraId="7DAD6FEC">
      <w:pPr>
        <w:pStyle w:val="15"/>
        <w:spacing w:line="360" w:lineRule="auto"/>
        <w:ind w:left="23" w:leftChars="11" w:firstLine="540" w:firstLineChars="225"/>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投诉人于年月日，向提出质疑，质疑事项为：</w:t>
      </w:r>
    </w:p>
    <w:p w14:paraId="01ABA9F9">
      <w:pPr>
        <w:pStyle w:val="15"/>
        <w:spacing w:line="360" w:lineRule="auto"/>
        <w:ind w:left="23" w:leftChars="11" w:firstLine="540" w:firstLineChars="225"/>
        <w:rPr>
          <w:rFonts w:hAnsi="宋体"/>
          <w:bCs/>
          <w:color w:val="000000" w:themeColor="text1"/>
          <w:sz w:val="24"/>
          <w:szCs w:val="24"/>
          <w:highlight w:val="none"/>
          <w:u w:val="single"/>
          <w14:textFill>
            <w14:solidFill>
              <w14:schemeClr w14:val="tx1"/>
            </w14:solidFill>
          </w14:textFill>
        </w:rPr>
      </w:pPr>
    </w:p>
    <w:p w14:paraId="31A4650A">
      <w:pPr>
        <w:pStyle w:val="15"/>
        <w:spacing w:line="360" w:lineRule="auto"/>
        <w:ind w:left="23" w:leftChars="11" w:firstLine="540" w:firstLineChars="225"/>
        <w:rPr>
          <w:rFonts w:hAnsi="宋体"/>
          <w:bCs/>
          <w:color w:val="000000" w:themeColor="text1"/>
          <w:sz w:val="24"/>
          <w:szCs w:val="24"/>
          <w:highlight w:val="none"/>
          <w:u w:val="single"/>
          <w14:textFill>
            <w14:solidFill>
              <w14:schemeClr w14:val="tx1"/>
            </w14:solidFill>
          </w14:textFill>
        </w:rPr>
      </w:pPr>
    </w:p>
    <w:p w14:paraId="0AC4F13A">
      <w:pPr>
        <w:pStyle w:val="15"/>
        <w:spacing w:line="360" w:lineRule="auto"/>
        <w:ind w:left="23" w:leftChars="11" w:firstLine="540" w:firstLineChars="225"/>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u w:val="single"/>
          <w14:textFill>
            <w14:solidFill>
              <w14:schemeClr w14:val="tx1"/>
            </w14:solidFill>
          </w14:textFill>
        </w:rPr>
        <w:t>采购人/代理机构</w:t>
      </w:r>
      <w:r>
        <w:rPr>
          <w:rFonts w:hint="eastAsia" w:hAnsi="宋体"/>
          <w:bCs/>
          <w:color w:val="000000" w:themeColor="text1"/>
          <w:sz w:val="24"/>
          <w:szCs w:val="24"/>
          <w:highlight w:val="none"/>
          <w14:textFill>
            <w14:solidFill>
              <w14:schemeClr w14:val="tx1"/>
            </w14:solidFill>
          </w14:textFill>
        </w:rPr>
        <w:t>于</w:t>
      </w:r>
      <w:r>
        <w:rPr>
          <w:rFonts w:hint="eastAsia" w:hAnsi="宋体"/>
          <w:color w:val="000000" w:themeColor="text1"/>
          <w:sz w:val="24"/>
          <w:szCs w:val="24"/>
          <w:highlight w:val="none"/>
          <w14:textFill>
            <w14:solidFill>
              <w14:schemeClr w14:val="tx1"/>
            </w14:solidFill>
          </w14:textFill>
        </w:rPr>
        <w:t>年月日，</w:t>
      </w:r>
      <w:r>
        <w:rPr>
          <w:rFonts w:hint="eastAsia" w:hAnsi="宋体"/>
          <w:bCs/>
          <w:color w:val="000000" w:themeColor="text1"/>
          <w:sz w:val="24"/>
          <w:szCs w:val="24"/>
          <w:highlight w:val="none"/>
          <w14:textFill>
            <w14:solidFill>
              <w14:schemeClr w14:val="tx1"/>
            </w14:solidFill>
          </w14:textFill>
        </w:rPr>
        <w:t>就质疑事项作出了答复/没有在法定期限内作出答复。</w:t>
      </w:r>
    </w:p>
    <w:p w14:paraId="4066F837">
      <w:pPr>
        <w:pStyle w:val="15"/>
        <w:spacing w:line="360" w:lineRule="auto"/>
        <w:ind w:left="25" w:leftChars="12" w:firstLine="472" w:firstLineChars="196"/>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四、投诉事项具体内容</w:t>
      </w:r>
    </w:p>
    <w:p w14:paraId="494D2E05">
      <w:pPr>
        <w:pStyle w:val="15"/>
        <w:spacing w:line="360" w:lineRule="auto"/>
        <w:ind w:left="25" w:leftChars="12" w:firstLine="472" w:firstLineChars="197"/>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投诉事项1：</w:t>
      </w:r>
    </w:p>
    <w:p w14:paraId="30EB6011">
      <w:pPr>
        <w:pStyle w:val="15"/>
        <w:spacing w:line="360" w:lineRule="auto"/>
        <w:ind w:firstLine="480" w:firstLineChars="20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事实依据：</w:t>
      </w:r>
    </w:p>
    <w:p w14:paraId="50D13561">
      <w:pPr>
        <w:pStyle w:val="15"/>
        <w:spacing w:line="360" w:lineRule="auto"/>
        <w:ind w:left="25" w:leftChars="12" w:firstLine="472" w:firstLineChars="197"/>
        <w:rPr>
          <w:rFonts w:hAnsi="宋体"/>
          <w:color w:val="000000" w:themeColor="text1"/>
          <w:sz w:val="24"/>
          <w:szCs w:val="24"/>
          <w:highlight w:val="none"/>
          <w14:textFill>
            <w14:solidFill>
              <w14:schemeClr w14:val="tx1"/>
            </w14:solidFill>
          </w14:textFill>
        </w:rPr>
      </w:pPr>
    </w:p>
    <w:p w14:paraId="04F9B5D7">
      <w:pPr>
        <w:pStyle w:val="15"/>
        <w:spacing w:line="360" w:lineRule="auto"/>
        <w:ind w:firstLine="480" w:firstLineChars="20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法律依据：</w:t>
      </w:r>
    </w:p>
    <w:p w14:paraId="7AC1A649">
      <w:pPr>
        <w:pStyle w:val="15"/>
        <w:spacing w:line="360" w:lineRule="auto"/>
        <w:ind w:left="25" w:leftChars="12" w:firstLine="352" w:firstLineChars="147"/>
        <w:rPr>
          <w:rFonts w:hAnsi="宋体"/>
          <w:bCs/>
          <w:color w:val="000000" w:themeColor="text1"/>
          <w:sz w:val="24"/>
          <w:szCs w:val="24"/>
          <w:highlight w:val="none"/>
          <w:u w:val="single"/>
          <w14:textFill>
            <w14:solidFill>
              <w14:schemeClr w14:val="tx1"/>
            </w14:solidFill>
          </w14:textFill>
        </w:rPr>
      </w:pPr>
    </w:p>
    <w:p w14:paraId="72152CA9">
      <w:pPr>
        <w:pStyle w:val="15"/>
        <w:spacing w:line="360" w:lineRule="auto"/>
        <w:ind w:left="25" w:leftChars="12" w:firstLine="472" w:firstLineChars="197"/>
        <w:rPr>
          <w:rFonts w:hAnsi="宋体"/>
          <w:bCs/>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投诉事项2  </w:t>
      </w:r>
    </w:p>
    <w:p w14:paraId="315F5033">
      <w:pPr>
        <w:pStyle w:val="15"/>
        <w:spacing w:line="360" w:lineRule="auto"/>
        <w:ind w:left="25" w:leftChars="12" w:firstLine="472" w:firstLineChars="197"/>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w:t>
      </w:r>
    </w:p>
    <w:p w14:paraId="3094714C">
      <w:pPr>
        <w:pStyle w:val="15"/>
        <w:spacing w:line="360" w:lineRule="auto"/>
        <w:ind w:left="25" w:leftChars="12" w:firstLine="472" w:firstLineChars="196"/>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五、与投诉事项相关的投诉请求：</w:t>
      </w:r>
    </w:p>
    <w:p w14:paraId="49CB3000">
      <w:pPr>
        <w:pStyle w:val="15"/>
        <w:spacing w:line="360" w:lineRule="auto"/>
        <w:ind w:left="25" w:leftChars="12" w:firstLine="472" w:firstLineChars="197"/>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p>
    <w:p w14:paraId="12FD3D1B">
      <w:pPr>
        <w:pStyle w:val="15"/>
        <w:spacing w:line="360" w:lineRule="auto"/>
        <w:ind w:left="25" w:leftChars="12" w:firstLine="352" w:firstLineChars="147"/>
        <w:rPr>
          <w:rFonts w:hAnsi="宋体"/>
          <w:color w:val="000000" w:themeColor="text1"/>
          <w:sz w:val="24"/>
          <w:szCs w:val="24"/>
          <w:highlight w:val="none"/>
          <w14:textFill>
            <w14:solidFill>
              <w14:schemeClr w14:val="tx1"/>
            </w14:solidFill>
          </w14:textFill>
        </w:rPr>
      </w:pPr>
    </w:p>
    <w:p w14:paraId="181DE4C4">
      <w:pPr>
        <w:pStyle w:val="15"/>
        <w:spacing w:line="360" w:lineRule="auto"/>
        <w:ind w:left="25" w:leftChars="12" w:firstLine="472" w:firstLineChars="197"/>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签字（签章）：公章：</w:t>
      </w:r>
    </w:p>
    <w:p w14:paraId="4DDDF045">
      <w:pPr>
        <w:pStyle w:val="15"/>
        <w:spacing w:line="360" w:lineRule="auto"/>
        <w:ind w:left="25" w:leftChars="12" w:firstLine="352" w:firstLineChars="147"/>
        <w:rPr>
          <w:rFonts w:hAnsi="宋体"/>
          <w:color w:val="000000" w:themeColor="text1"/>
          <w:sz w:val="24"/>
          <w:szCs w:val="24"/>
          <w:highlight w:val="none"/>
          <w14:textFill>
            <w14:solidFill>
              <w14:schemeClr w14:val="tx1"/>
            </w14:solidFill>
          </w14:textFill>
        </w:rPr>
      </w:pPr>
    </w:p>
    <w:p w14:paraId="56576254">
      <w:pPr>
        <w:pStyle w:val="15"/>
        <w:spacing w:line="360" w:lineRule="auto"/>
        <w:ind w:left="25" w:leftChars="12" w:firstLine="472" w:firstLineChars="197"/>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7164137E">
      <w:pPr>
        <w:pStyle w:val="15"/>
        <w:spacing w:line="360" w:lineRule="auto"/>
        <w:ind w:left="25" w:leftChars="12" w:firstLine="472" w:firstLineChars="197"/>
        <w:rPr>
          <w:rFonts w:hAnsi="宋体"/>
          <w:color w:val="000000" w:themeColor="text1"/>
          <w:sz w:val="24"/>
          <w:szCs w:val="24"/>
          <w:highlight w:val="none"/>
          <w14:textFill>
            <w14:solidFill>
              <w14:schemeClr w14:val="tx1"/>
            </w14:solidFill>
          </w14:textFill>
        </w:rPr>
      </w:pPr>
    </w:p>
    <w:p w14:paraId="274CC6F4">
      <w:pPr>
        <w:pStyle w:val="15"/>
        <w:snapToGrid w:val="0"/>
        <w:spacing w:line="360" w:lineRule="auto"/>
        <w:rPr>
          <w:rFonts w:hAnsi="宋体"/>
          <w:b/>
          <w:color w:val="000000" w:themeColor="text1"/>
          <w:sz w:val="24"/>
          <w:szCs w:val="24"/>
          <w:highlight w:val="none"/>
          <w14:textFill>
            <w14:solidFill>
              <w14:schemeClr w14:val="tx1"/>
            </w14:solidFill>
          </w14:textFill>
        </w:rPr>
      </w:pPr>
    </w:p>
    <w:p w14:paraId="477953FC">
      <w:pPr>
        <w:pStyle w:val="15"/>
        <w:snapToGrid w:val="0"/>
        <w:spacing w:line="360" w:lineRule="auto"/>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1497C01E">
      <w:pPr>
        <w:pStyle w:val="15"/>
        <w:spacing w:line="360" w:lineRule="auto"/>
        <w:ind w:left="25" w:leftChars="12" w:firstLine="354" w:firstLineChars="147"/>
        <w:rPr>
          <w:rFonts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b/>
          <w:bCs/>
          <w:color w:val="000000" w:themeColor="text1"/>
          <w:sz w:val="24"/>
          <w:szCs w:val="24"/>
          <w:highlight w:val="none"/>
          <w14:textFill>
            <w14:solidFill>
              <w14:schemeClr w14:val="tx1"/>
            </w14:solidFill>
          </w14:textFill>
        </w:rPr>
        <w:t>。</w:t>
      </w:r>
    </w:p>
    <w:p w14:paraId="1CB20303">
      <w:pPr>
        <w:pStyle w:val="15"/>
        <w:spacing w:line="360" w:lineRule="auto"/>
        <w:ind w:left="25" w:leftChars="12" w:firstLine="354" w:firstLineChars="147"/>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42A41D5">
      <w:pPr>
        <w:pStyle w:val="15"/>
        <w:spacing w:line="360" w:lineRule="auto"/>
        <w:ind w:left="25" w:leftChars="12" w:firstLine="354" w:firstLineChars="147"/>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3.投诉书应简要列明质疑事项，质疑函、质疑答复等作为附件材料提供。</w:t>
      </w:r>
    </w:p>
    <w:p w14:paraId="142C8DFB">
      <w:pPr>
        <w:pStyle w:val="15"/>
        <w:spacing w:line="360" w:lineRule="auto"/>
        <w:ind w:left="25" w:leftChars="12" w:firstLine="354" w:firstLineChars="147"/>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4.投诉书的投诉事项应具体、明确，并有必要的事实依据和法律依据。</w:t>
      </w:r>
    </w:p>
    <w:p w14:paraId="0C4F8491">
      <w:pPr>
        <w:pStyle w:val="15"/>
        <w:spacing w:line="360" w:lineRule="auto"/>
        <w:ind w:left="25" w:leftChars="12" w:firstLine="354" w:firstLineChars="147"/>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5.投诉书的投诉请求应与投诉事项相关。</w:t>
      </w:r>
    </w:p>
    <w:p w14:paraId="619D72DC">
      <w:pPr>
        <w:pStyle w:val="15"/>
        <w:spacing w:line="360" w:lineRule="auto"/>
        <w:ind w:left="25" w:leftChars="12" w:firstLine="354" w:firstLineChars="147"/>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6.投诉人为法人或者其他组织的，投诉书应由法定代表人、主要负责人，或者其授权代表签字或者盖章，并加盖公章。</w:t>
      </w:r>
    </w:p>
    <w:p w14:paraId="704C46FF">
      <w:pPr>
        <w:pStyle w:val="2"/>
        <w:jc w:val="center"/>
        <w:rPr>
          <w:color w:val="000000" w:themeColor="text1"/>
          <w:highlight w:val="none"/>
          <w14:textFill>
            <w14:solidFill>
              <w14:schemeClr w14:val="tx1"/>
            </w14:solidFill>
          </w14:textFill>
        </w:rPr>
      </w:pPr>
    </w:p>
    <w:p w14:paraId="18353EFA">
      <w:pPr>
        <w:rPr>
          <w:color w:val="000000" w:themeColor="text1"/>
          <w:highlight w:val="none"/>
          <w14:textFill>
            <w14:solidFill>
              <w14:schemeClr w14:val="tx1"/>
            </w14:solidFill>
          </w14:textFill>
        </w:rPr>
      </w:pPr>
    </w:p>
    <w:p w14:paraId="41A21165">
      <w:pPr>
        <w:pStyle w:val="34"/>
        <w:rPr>
          <w:highlight w:val="none"/>
        </w:rPr>
      </w:pPr>
    </w:p>
    <w:p w14:paraId="394CA61D">
      <w:pPr>
        <w:pStyle w:val="2"/>
        <w:jc w:val="center"/>
        <w:rPr>
          <w:color w:val="000000" w:themeColor="text1"/>
          <w:highlight w:val="none"/>
          <w14:textFill>
            <w14:solidFill>
              <w14:schemeClr w14:val="tx1"/>
            </w14:solidFill>
          </w14:textFill>
        </w:rPr>
      </w:pPr>
    </w:p>
    <w:p w14:paraId="4C8D7B94">
      <w:pPr>
        <w:pStyle w:val="2"/>
        <w:jc w:val="center"/>
        <w:rPr>
          <w:color w:val="000000" w:themeColor="text1"/>
          <w:highlight w:val="none"/>
          <w14:textFill>
            <w14:solidFill>
              <w14:schemeClr w14:val="tx1"/>
            </w14:solidFill>
          </w14:textFill>
        </w:rPr>
      </w:pPr>
    </w:p>
    <w:p w14:paraId="119C387B">
      <w:pPr>
        <w:rPr>
          <w:color w:val="000000" w:themeColor="text1"/>
          <w:highlight w:val="none"/>
          <w14:textFill>
            <w14:solidFill>
              <w14:schemeClr w14:val="tx1"/>
            </w14:solidFill>
          </w14:textFill>
        </w:rPr>
      </w:pPr>
    </w:p>
    <w:p w14:paraId="1EF51CDD">
      <w:pPr>
        <w:pStyle w:val="34"/>
        <w:rPr>
          <w:color w:val="000000" w:themeColor="text1"/>
          <w:highlight w:val="none"/>
          <w14:textFill>
            <w14:solidFill>
              <w14:schemeClr w14:val="tx1"/>
            </w14:solidFill>
          </w14:textFill>
        </w:rPr>
      </w:pPr>
    </w:p>
    <w:p w14:paraId="1A1E51AD">
      <w:pPr>
        <w:pStyle w:val="34"/>
        <w:rPr>
          <w:color w:val="000000" w:themeColor="text1"/>
          <w:highlight w:val="none"/>
          <w14:textFill>
            <w14:solidFill>
              <w14:schemeClr w14:val="tx1"/>
            </w14:solidFill>
          </w14:textFill>
        </w:rPr>
      </w:pPr>
    </w:p>
    <w:p w14:paraId="6D281E29">
      <w:pPr>
        <w:pStyle w:val="34"/>
        <w:rPr>
          <w:color w:val="000000" w:themeColor="text1"/>
          <w:highlight w:val="none"/>
          <w14:textFill>
            <w14:solidFill>
              <w14:schemeClr w14:val="tx1"/>
            </w14:solidFill>
          </w14:textFill>
        </w:rPr>
      </w:pPr>
    </w:p>
    <w:p w14:paraId="6ACABCD2">
      <w:pPr>
        <w:pStyle w:val="2"/>
        <w:jc w:val="center"/>
        <w:rPr>
          <w:color w:val="000000" w:themeColor="text1"/>
          <w:highlight w:val="none"/>
          <w14:textFill>
            <w14:solidFill>
              <w14:schemeClr w14:val="tx1"/>
            </w14:solidFill>
          </w14:textFill>
        </w:rPr>
      </w:pPr>
      <w:bookmarkStart w:id="87" w:name="_Toc31695"/>
      <w:r>
        <w:rPr>
          <w:rFonts w:hint="eastAsia"/>
          <w:color w:val="000000" w:themeColor="text1"/>
          <w:highlight w:val="none"/>
          <w14:textFill>
            <w14:solidFill>
              <w14:schemeClr w14:val="tx1"/>
            </w14:solidFill>
          </w14:textFill>
        </w:rPr>
        <w:t>第六章</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合同文本</w:t>
      </w:r>
      <w:bookmarkEnd w:id="87"/>
    </w:p>
    <w:p w14:paraId="7EBABF3E">
      <w:pPr>
        <w:adjustRightInd w:val="0"/>
        <w:snapToGrid w:val="0"/>
        <w:spacing w:line="380" w:lineRule="exact"/>
        <w:ind w:firstLine="420" w:firstLineChars="200"/>
        <w:rPr>
          <w:rFonts w:ascii="宋体" w:hAnsi="宋体"/>
          <w:color w:val="000000" w:themeColor="text1"/>
          <w:szCs w:val="21"/>
          <w:highlight w:val="none"/>
          <w14:textFill>
            <w14:solidFill>
              <w14:schemeClr w14:val="tx1"/>
            </w14:solidFill>
          </w14:textFill>
        </w:rPr>
      </w:pPr>
    </w:p>
    <w:p w14:paraId="5D47B092">
      <w:pPr>
        <w:adjustRightInd w:val="0"/>
        <w:snapToGrid w:val="0"/>
        <w:spacing w:line="380" w:lineRule="exact"/>
        <w:ind w:firstLine="420" w:firstLineChars="200"/>
        <w:rPr>
          <w:rFonts w:ascii="宋体" w:hAnsi="宋体"/>
          <w:color w:val="000000" w:themeColor="text1"/>
          <w:szCs w:val="21"/>
          <w:highlight w:val="none"/>
          <w14:textFill>
            <w14:solidFill>
              <w14:schemeClr w14:val="tx1"/>
            </w14:solidFill>
          </w14:textFill>
        </w:rPr>
      </w:pPr>
    </w:p>
    <w:p w14:paraId="224DC568">
      <w:pPr>
        <w:adjustRightInd w:val="0"/>
        <w:snapToGrid w:val="0"/>
        <w:spacing w:line="380" w:lineRule="exact"/>
        <w:ind w:firstLine="420" w:firstLineChars="200"/>
        <w:rPr>
          <w:rFonts w:ascii="宋体" w:hAnsi="宋体"/>
          <w:color w:val="000000" w:themeColor="text1"/>
          <w:szCs w:val="21"/>
          <w:highlight w:val="none"/>
          <w14:textFill>
            <w14:solidFill>
              <w14:schemeClr w14:val="tx1"/>
            </w14:solidFill>
          </w14:textFill>
        </w:rPr>
      </w:pPr>
    </w:p>
    <w:p w14:paraId="1C9ADDA2">
      <w:pPr>
        <w:adjustRightInd w:val="0"/>
        <w:snapToGrid w:val="0"/>
        <w:spacing w:line="380" w:lineRule="exact"/>
        <w:ind w:firstLine="420" w:firstLineChars="200"/>
        <w:rPr>
          <w:rFonts w:ascii="宋体" w:hAnsi="宋体"/>
          <w:color w:val="000000" w:themeColor="text1"/>
          <w:szCs w:val="21"/>
          <w:highlight w:val="none"/>
          <w14:textFill>
            <w14:solidFill>
              <w14:schemeClr w14:val="tx1"/>
            </w14:solidFill>
          </w14:textFill>
        </w:rPr>
      </w:pPr>
    </w:p>
    <w:p w14:paraId="7C3541D3">
      <w:pPr>
        <w:adjustRightInd w:val="0"/>
        <w:snapToGrid w:val="0"/>
        <w:spacing w:line="380" w:lineRule="exact"/>
        <w:ind w:firstLine="420" w:firstLineChars="200"/>
        <w:rPr>
          <w:rFonts w:ascii="宋体" w:hAnsi="宋体"/>
          <w:color w:val="000000" w:themeColor="text1"/>
          <w:szCs w:val="21"/>
          <w:highlight w:val="none"/>
          <w14:textFill>
            <w14:solidFill>
              <w14:schemeClr w14:val="tx1"/>
            </w14:solidFill>
          </w14:textFill>
        </w:rPr>
      </w:pPr>
    </w:p>
    <w:p w14:paraId="222B41C7">
      <w:pPr>
        <w:adjustRightInd w:val="0"/>
        <w:snapToGrid w:val="0"/>
        <w:spacing w:line="380" w:lineRule="exact"/>
        <w:ind w:firstLine="420" w:firstLineChars="200"/>
        <w:rPr>
          <w:rFonts w:ascii="宋体" w:hAnsi="宋体"/>
          <w:color w:val="000000" w:themeColor="text1"/>
          <w:szCs w:val="21"/>
          <w:highlight w:val="none"/>
          <w14:textFill>
            <w14:solidFill>
              <w14:schemeClr w14:val="tx1"/>
            </w14:solidFill>
          </w14:textFill>
        </w:rPr>
      </w:pPr>
    </w:p>
    <w:p w14:paraId="70872829">
      <w:pPr>
        <w:adjustRightInd w:val="0"/>
        <w:snapToGrid w:val="0"/>
        <w:spacing w:line="380" w:lineRule="exact"/>
        <w:ind w:firstLine="420" w:firstLineChars="200"/>
        <w:rPr>
          <w:rFonts w:ascii="宋体" w:hAnsi="宋体"/>
          <w:color w:val="000000" w:themeColor="text1"/>
          <w:szCs w:val="21"/>
          <w:highlight w:val="none"/>
          <w14:textFill>
            <w14:solidFill>
              <w14:schemeClr w14:val="tx1"/>
            </w14:solidFill>
          </w14:textFill>
        </w:rPr>
      </w:pPr>
    </w:p>
    <w:p w14:paraId="0C1CA7EE">
      <w:pPr>
        <w:adjustRightInd w:val="0"/>
        <w:snapToGrid w:val="0"/>
        <w:spacing w:line="380" w:lineRule="exact"/>
        <w:ind w:firstLine="420" w:firstLineChars="200"/>
        <w:rPr>
          <w:rFonts w:ascii="宋体" w:hAnsi="宋体"/>
          <w:color w:val="000000" w:themeColor="text1"/>
          <w:szCs w:val="21"/>
          <w:highlight w:val="none"/>
          <w14:textFill>
            <w14:solidFill>
              <w14:schemeClr w14:val="tx1"/>
            </w14:solidFill>
          </w14:textFill>
        </w:rPr>
      </w:pPr>
    </w:p>
    <w:p w14:paraId="426312D4">
      <w:pPr>
        <w:adjustRightInd w:val="0"/>
        <w:snapToGrid w:val="0"/>
        <w:spacing w:line="380" w:lineRule="exact"/>
        <w:ind w:firstLine="420" w:firstLineChars="200"/>
        <w:rPr>
          <w:rFonts w:ascii="宋体" w:hAnsi="宋体"/>
          <w:color w:val="000000" w:themeColor="text1"/>
          <w:szCs w:val="21"/>
          <w:highlight w:val="none"/>
          <w14:textFill>
            <w14:solidFill>
              <w14:schemeClr w14:val="tx1"/>
            </w14:solidFill>
          </w14:textFill>
        </w:rPr>
      </w:pPr>
    </w:p>
    <w:p w14:paraId="6DD61FC9">
      <w:pPr>
        <w:adjustRightInd w:val="0"/>
        <w:snapToGrid w:val="0"/>
        <w:spacing w:line="380" w:lineRule="exact"/>
        <w:ind w:firstLine="420" w:firstLineChars="200"/>
        <w:rPr>
          <w:rFonts w:ascii="宋体" w:hAnsi="宋体"/>
          <w:color w:val="000000" w:themeColor="text1"/>
          <w:szCs w:val="21"/>
          <w:highlight w:val="none"/>
          <w14:textFill>
            <w14:solidFill>
              <w14:schemeClr w14:val="tx1"/>
            </w14:solidFill>
          </w14:textFill>
        </w:rPr>
      </w:pPr>
    </w:p>
    <w:p w14:paraId="4A8E5AE1">
      <w:pPr>
        <w:adjustRightInd w:val="0"/>
        <w:snapToGrid w:val="0"/>
        <w:spacing w:line="380" w:lineRule="exact"/>
        <w:ind w:firstLine="420" w:firstLineChars="200"/>
        <w:rPr>
          <w:rFonts w:ascii="宋体" w:hAnsi="宋体"/>
          <w:color w:val="000000" w:themeColor="text1"/>
          <w:szCs w:val="21"/>
          <w:highlight w:val="none"/>
          <w14:textFill>
            <w14:solidFill>
              <w14:schemeClr w14:val="tx1"/>
            </w14:solidFill>
          </w14:textFill>
        </w:rPr>
      </w:pPr>
    </w:p>
    <w:p w14:paraId="52414320">
      <w:pPr>
        <w:adjustRightInd w:val="0"/>
        <w:snapToGrid w:val="0"/>
        <w:spacing w:line="380" w:lineRule="exact"/>
        <w:ind w:firstLine="420" w:firstLineChars="200"/>
        <w:rPr>
          <w:rFonts w:ascii="宋体" w:hAnsi="宋体"/>
          <w:color w:val="000000" w:themeColor="text1"/>
          <w:szCs w:val="21"/>
          <w:highlight w:val="none"/>
          <w14:textFill>
            <w14:solidFill>
              <w14:schemeClr w14:val="tx1"/>
            </w14:solidFill>
          </w14:textFill>
        </w:rPr>
      </w:pPr>
    </w:p>
    <w:p w14:paraId="2CB91737">
      <w:pPr>
        <w:adjustRightInd w:val="0"/>
        <w:snapToGrid w:val="0"/>
        <w:spacing w:line="380" w:lineRule="exact"/>
        <w:ind w:firstLine="420" w:firstLineChars="200"/>
        <w:rPr>
          <w:rFonts w:ascii="宋体" w:hAnsi="宋体"/>
          <w:color w:val="000000" w:themeColor="text1"/>
          <w:szCs w:val="21"/>
          <w:highlight w:val="none"/>
          <w14:textFill>
            <w14:solidFill>
              <w14:schemeClr w14:val="tx1"/>
            </w14:solidFill>
          </w14:textFill>
        </w:rPr>
      </w:pPr>
    </w:p>
    <w:p w14:paraId="53BC64BB">
      <w:pPr>
        <w:adjustRightInd w:val="0"/>
        <w:snapToGrid w:val="0"/>
        <w:spacing w:line="380" w:lineRule="exact"/>
        <w:ind w:firstLine="420" w:firstLineChars="200"/>
        <w:rPr>
          <w:rFonts w:ascii="宋体" w:hAnsi="宋体"/>
          <w:color w:val="000000" w:themeColor="text1"/>
          <w:szCs w:val="21"/>
          <w:highlight w:val="none"/>
          <w14:textFill>
            <w14:solidFill>
              <w14:schemeClr w14:val="tx1"/>
            </w14:solidFill>
          </w14:textFill>
        </w:rPr>
      </w:pPr>
    </w:p>
    <w:p w14:paraId="7D714C45">
      <w:pPr>
        <w:adjustRightInd w:val="0"/>
        <w:snapToGrid w:val="0"/>
        <w:spacing w:line="380" w:lineRule="exact"/>
        <w:ind w:firstLine="420" w:firstLineChars="200"/>
        <w:rPr>
          <w:rFonts w:ascii="宋体" w:hAnsi="宋体"/>
          <w:color w:val="000000" w:themeColor="text1"/>
          <w:szCs w:val="21"/>
          <w:highlight w:val="none"/>
          <w14:textFill>
            <w14:solidFill>
              <w14:schemeClr w14:val="tx1"/>
            </w14:solidFill>
          </w14:textFill>
        </w:rPr>
      </w:pPr>
    </w:p>
    <w:p w14:paraId="55EE1574">
      <w:pPr>
        <w:pStyle w:val="15"/>
        <w:jc w:val="center"/>
        <w:rPr>
          <w:rFonts w:hint="eastAsia" w:ascii="宋体" w:hAnsi="宋体" w:eastAsia="宋体" w:cs="宋体"/>
          <w:color w:val="auto"/>
          <w:sz w:val="84"/>
          <w:highlight w:val="none"/>
        </w:rPr>
      </w:pPr>
      <w:r>
        <w:rPr>
          <w:rFonts w:hint="eastAsia" w:ascii="宋体" w:hAnsi="宋体" w:eastAsia="宋体" w:cs="宋体"/>
          <w:color w:val="auto"/>
          <w:sz w:val="72"/>
          <w:szCs w:val="18"/>
          <w:highlight w:val="none"/>
        </w:rPr>
        <w:t>贺州学院政府采购合同</w:t>
      </w:r>
    </w:p>
    <w:p w14:paraId="3CC690E5">
      <w:pPr>
        <w:pStyle w:val="15"/>
        <w:ind w:firstLine="640"/>
        <w:jc w:val="center"/>
        <w:rPr>
          <w:rFonts w:hint="eastAsia" w:ascii="宋体" w:hAnsi="宋体" w:eastAsia="宋体" w:cs="宋体"/>
          <w:color w:val="auto"/>
          <w:sz w:val="32"/>
          <w:highlight w:val="none"/>
        </w:rPr>
      </w:pPr>
    </w:p>
    <w:p w14:paraId="75B88381">
      <w:pPr>
        <w:pStyle w:val="15"/>
        <w:ind w:firstLine="640"/>
        <w:jc w:val="center"/>
        <w:rPr>
          <w:rFonts w:hint="eastAsia" w:ascii="宋体" w:hAnsi="宋体" w:eastAsia="宋体" w:cs="宋体"/>
          <w:color w:val="auto"/>
          <w:sz w:val="32"/>
          <w:highlight w:val="none"/>
        </w:rPr>
      </w:pPr>
    </w:p>
    <w:p w14:paraId="0E55F1B3">
      <w:pPr>
        <w:pStyle w:val="15"/>
        <w:ind w:firstLine="640"/>
        <w:jc w:val="center"/>
        <w:rPr>
          <w:rFonts w:hint="eastAsia" w:ascii="宋体" w:hAnsi="宋体" w:eastAsia="宋体" w:cs="宋体"/>
          <w:color w:val="auto"/>
          <w:sz w:val="32"/>
          <w:highlight w:val="none"/>
        </w:rPr>
      </w:pPr>
    </w:p>
    <w:p w14:paraId="2A98D147">
      <w:pPr>
        <w:pStyle w:val="8"/>
        <w:rPr>
          <w:rFonts w:hint="eastAsia" w:ascii="宋体" w:hAnsi="宋体" w:eastAsia="宋体" w:cs="宋体"/>
          <w:color w:val="auto"/>
          <w:sz w:val="32"/>
          <w:highlight w:val="none"/>
        </w:rPr>
      </w:pPr>
    </w:p>
    <w:p w14:paraId="1F582D30">
      <w:pPr>
        <w:rPr>
          <w:rFonts w:hint="eastAsia" w:ascii="宋体" w:hAnsi="宋体" w:eastAsia="宋体" w:cs="宋体"/>
          <w:color w:val="auto"/>
          <w:sz w:val="32"/>
          <w:highlight w:val="none"/>
        </w:rPr>
      </w:pPr>
    </w:p>
    <w:p w14:paraId="06AE6637">
      <w:pPr>
        <w:pStyle w:val="75"/>
        <w:rPr>
          <w:rFonts w:hint="eastAsia" w:ascii="宋体" w:hAnsi="宋体" w:eastAsia="宋体" w:cs="宋体"/>
          <w:color w:val="auto"/>
          <w:sz w:val="32"/>
          <w:highlight w:val="none"/>
        </w:rPr>
      </w:pPr>
    </w:p>
    <w:p w14:paraId="5FDE1901">
      <w:pPr>
        <w:rPr>
          <w:rFonts w:hint="eastAsia" w:ascii="宋体" w:hAnsi="宋体" w:eastAsia="宋体" w:cs="宋体"/>
          <w:color w:val="auto"/>
          <w:highlight w:val="none"/>
        </w:rPr>
      </w:pPr>
    </w:p>
    <w:p w14:paraId="1FC3DC6D">
      <w:pPr>
        <w:pStyle w:val="8"/>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color w:val="auto"/>
          <w:highlight w:val="none"/>
        </w:rPr>
      </w:pPr>
    </w:p>
    <w:p w14:paraId="0D313566">
      <w:pPr>
        <w:pStyle w:val="15"/>
        <w:keepNext w:val="0"/>
        <w:keepLines w:val="0"/>
        <w:pageBreakBefore w:val="0"/>
        <w:widowControl w:val="0"/>
        <w:kinsoku/>
        <w:wordWrap/>
        <w:overflowPunct/>
        <w:topLinePunct w:val="0"/>
        <w:autoSpaceDE/>
        <w:autoSpaceDN/>
        <w:bidi w:val="0"/>
        <w:adjustRightInd/>
        <w:snapToGrid/>
        <w:spacing w:line="480" w:lineRule="auto"/>
        <w:ind w:firstLine="1818" w:firstLineChars="503"/>
        <w:textAlignment w:val="auto"/>
        <w:rPr>
          <w:rFonts w:hint="eastAsia" w:ascii="宋体" w:hAnsi="宋体" w:eastAsia="宋体" w:cs="宋体"/>
          <w:color w:val="auto"/>
          <w:sz w:val="32"/>
          <w:highlight w:val="none"/>
        </w:rPr>
      </w:pPr>
      <w:r>
        <w:rPr>
          <w:rFonts w:hint="eastAsia" w:ascii="宋体" w:hAnsi="宋体" w:eastAsia="宋体" w:cs="宋体"/>
          <w:b/>
          <w:bCs/>
          <w:color w:val="auto"/>
          <w:sz w:val="36"/>
          <w:szCs w:val="40"/>
          <w:highlight w:val="none"/>
        </w:rPr>
        <w:t>项目名称：</w:t>
      </w:r>
    </w:p>
    <w:p w14:paraId="1AFC66D9">
      <w:pPr>
        <w:pStyle w:val="15"/>
        <w:keepNext w:val="0"/>
        <w:keepLines w:val="0"/>
        <w:pageBreakBefore w:val="0"/>
        <w:widowControl w:val="0"/>
        <w:kinsoku/>
        <w:wordWrap/>
        <w:overflowPunct/>
        <w:topLinePunct w:val="0"/>
        <w:autoSpaceDE/>
        <w:autoSpaceDN/>
        <w:bidi w:val="0"/>
        <w:adjustRightInd/>
        <w:snapToGrid/>
        <w:spacing w:line="480" w:lineRule="auto"/>
        <w:ind w:firstLine="1818" w:firstLineChars="503"/>
        <w:textAlignment w:val="auto"/>
        <w:rPr>
          <w:rFonts w:hint="eastAsia" w:ascii="宋体" w:hAnsi="宋体" w:eastAsia="宋体" w:cs="宋体"/>
          <w:b/>
          <w:bCs/>
          <w:color w:val="auto"/>
          <w:sz w:val="36"/>
          <w:szCs w:val="40"/>
          <w:highlight w:val="none"/>
        </w:rPr>
      </w:pPr>
      <w:r>
        <w:rPr>
          <w:rFonts w:hint="eastAsia" w:ascii="宋体" w:hAnsi="宋体" w:eastAsia="宋体" w:cs="宋体"/>
          <w:b/>
          <w:bCs/>
          <w:color w:val="auto"/>
          <w:sz w:val="36"/>
          <w:szCs w:val="40"/>
          <w:highlight w:val="none"/>
        </w:rPr>
        <w:t>项目编号：</w:t>
      </w:r>
    </w:p>
    <w:p w14:paraId="79EF7810">
      <w:pPr>
        <w:pStyle w:val="15"/>
        <w:ind w:firstLine="640"/>
        <w:jc w:val="center"/>
        <w:rPr>
          <w:rFonts w:hint="eastAsia" w:ascii="宋体" w:hAnsi="宋体" w:eastAsia="宋体" w:cs="宋体"/>
          <w:color w:val="auto"/>
          <w:sz w:val="32"/>
          <w:highlight w:val="none"/>
        </w:rPr>
      </w:pPr>
    </w:p>
    <w:p w14:paraId="746719CF">
      <w:pPr>
        <w:pStyle w:val="9"/>
        <w:numPr>
          <w:ilvl w:val="0"/>
          <w:numId w:val="0"/>
        </w:numPr>
        <w:rPr>
          <w:rFonts w:hint="eastAsia" w:ascii="宋体" w:hAnsi="宋体" w:eastAsia="宋体" w:cs="宋体"/>
          <w:color w:val="auto"/>
          <w:highlight w:val="none"/>
        </w:rPr>
      </w:pPr>
    </w:p>
    <w:p w14:paraId="728BF5BA">
      <w:pPr>
        <w:pStyle w:val="15"/>
        <w:ind w:firstLine="640"/>
        <w:rPr>
          <w:rFonts w:hint="eastAsia" w:ascii="宋体" w:hAnsi="宋体" w:eastAsia="宋体" w:cs="宋体"/>
          <w:color w:val="auto"/>
          <w:sz w:val="32"/>
          <w:highlight w:val="none"/>
        </w:rPr>
      </w:pPr>
    </w:p>
    <w:p w14:paraId="138BD2B2">
      <w:pPr>
        <w:pStyle w:val="8"/>
        <w:rPr>
          <w:rFonts w:hint="eastAsia" w:ascii="宋体" w:hAnsi="宋体" w:eastAsia="宋体" w:cs="宋体"/>
          <w:color w:val="auto"/>
          <w:sz w:val="32"/>
          <w:highlight w:val="none"/>
        </w:rPr>
      </w:pPr>
    </w:p>
    <w:p w14:paraId="79092CE5">
      <w:pPr>
        <w:rPr>
          <w:rFonts w:hint="eastAsia" w:ascii="宋体" w:hAnsi="宋体" w:eastAsia="宋体" w:cs="宋体"/>
          <w:color w:val="auto"/>
          <w:highlight w:val="none"/>
        </w:rPr>
      </w:pPr>
    </w:p>
    <w:p w14:paraId="5809A1EB">
      <w:pPr>
        <w:pStyle w:val="8"/>
        <w:rPr>
          <w:rFonts w:hint="eastAsia" w:ascii="宋体" w:hAnsi="宋体" w:eastAsia="宋体" w:cs="宋体"/>
          <w:color w:val="auto"/>
          <w:sz w:val="32"/>
          <w:highlight w:val="none"/>
        </w:rPr>
      </w:pPr>
    </w:p>
    <w:p w14:paraId="4DFFDCE0">
      <w:pPr>
        <w:pStyle w:val="9"/>
        <w:numPr>
          <w:ilvl w:val="0"/>
          <w:numId w:val="0"/>
        </w:numPr>
        <w:rPr>
          <w:rFonts w:hint="eastAsia" w:ascii="宋体" w:hAnsi="宋体" w:eastAsia="宋体" w:cs="宋体"/>
          <w:color w:val="auto"/>
          <w:highlight w:val="none"/>
        </w:rPr>
      </w:pPr>
    </w:p>
    <w:p w14:paraId="05578E16">
      <w:pPr>
        <w:tabs>
          <w:tab w:val="left" w:pos="7200"/>
        </w:tabs>
        <w:snapToGrid w:val="0"/>
        <w:ind w:firstLine="1205" w:firstLineChars="300"/>
        <w:jc w:val="left"/>
        <w:rPr>
          <w:rFonts w:hint="eastAsia" w:ascii="宋体" w:hAnsi="宋体" w:eastAsia="宋体" w:cs="宋体"/>
          <w:b/>
          <w:bCs/>
          <w:color w:val="auto"/>
          <w:sz w:val="40"/>
          <w:szCs w:val="40"/>
          <w:highlight w:val="none"/>
        </w:rPr>
      </w:pPr>
      <w:r>
        <w:rPr>
          <w:rFonts w:hint="eastAsia" w:ascii="宋体" w:hAnsi="宋体" w:eastAsia="宋体" w:cs="宋体"/>
          <w:b/>
          <w:bCs/>
          <w:color w:val="auto"/>
          <w:sz w:val="40"/>
          <w:szCs w:val="40"/>
          <w:highlight w:val="none"/>
        </w:rPr>
        <w:t>采  购  人：</w:t>
      </w:r>
      <w:r>
        <w:rPr>
          <w:rFonts w:hint="eastAsia" w:ascii="宋体" w:hAnsi="宋体" w:eastAsia="宋体" w:cs="宋体"/>
          <w:b/>
          <w:bCs/>
          <w:color w:val="auto"/>
          <w:sz w:val="40"/>
          <w:szCs w:val="40"/>
          <w:highlight w:val="none"/>
          <w:u w:val="single"/>
        </w:rPr>
        <w:t>贺州学院</w:t>
      </w:r>
    </w:p>
    <w:p w14:paraId="41538128">
      <w:pPr>
        <w:snapToGrid w:val="0"/>
        <w:ind w:left="567" w:leftChars="270"/>
        <w:jc w:val="left"/>
        <w:rPr>
          <w:rFonts w:hint="eastAsia" w:ascii="宋体" w:hAnsi="宋体" w:eastAsia="宋体" w:cs="宋体"/>
          <w:b/>
          <w:bCs/>
          <w:color w:val="auto"/>
          <w:sz w:val="40"/>
          <w:szCs w:val="40"/>
          <w:highlight w:val="none"/>
        </w:rPr>
      </w:pPr>
    </w:p>
    <w:p w14:paraId="15B21BCA">
      <w:pPr>
        <w:tabs>
          <w:tab w:val="left" w:pos="7380"/>
        </w:tabs>
        <w:snapToGrid w:val="0"/>
        <w:ind w:firstLine="1205" w:firstLineChars="300"/>
        <w:jc w:val="left"/>
        <w:rPr>
          <w:rFonts w:hint="eastAsia" w:ascii="宋体" w:hAnsi="宋体" w:eastAsia="宋体" w:cs="宋体"/>
          <w:b/>
          <w:color w:val="auto"/>
          <w:sz w:val="40"/>
          <w:szCs w:val="40"/>
          <w:highlight w:val="none"/>
        </w:rPr>
      </w:pPr>
      <w:r>
        <w:rPr>
          <w:rFonts w:hint="eastAsia" w:ascii="宋体" w:hAnsi="宋体" w:eastAsia="宋体" w:cs="宋体"/>
          <w:b/>
          <w:bCs/>
          <w:color w:val="auto"/>
          <w:sz w:val="40"/>
          <w:szCs w:val="40"/>
          <w:highlight w:val="none"/>
          <w:lang w:val="en-US" w:eastAsia="zh-CN"/>
        </w:rPr>
        <w:t>成交</w:t>
      </w:r>
      <w:r>
        <w:rPr>
          <w:rFonts w:hint="eastAsia" w:ascii="宋体" w:hAnsi="宋体" w:eastAsia="宋体" w:cs="宋体"/>
          <w:b/>
          <w:bCs/>
          <w:color w:val="auto"/>
          <w:sz w:val="40"/>
          <w:szCs w:val="40"/>
          <w:highlight w:val="none"/>
        </w:rPr>
        <w:t>供应商：</w:t>
      </w:r>
      <w:r>
        <w:rPr>
          <w:rFonts w:hint="eastAsia" w:ascii="宋体" w:hAnsi="宋体" w:eastAsia="宋体" w:cs="宋体"/>
          <w:b/>
          <w:bCs/>
          <w:color w:val="auto"/>
          <w:sz w:val="40"/>
          <w:szCs w:val="40"/>
          <w:highlight w:val="none"/>
          <w:u w:val="single"/>
        </w:rPr>
        <w:t xml:space="preserve">               </w:t>
      </w:r>
    </w:p>
    <w:p w14:paraId="6AC59E2A">
      <w:pPr>
        <w:tabs>
          <w:tab w:val="left" w:pos="7380"/>
        </w:tabs>
        <w:snapToGrid w:val="0"/>
        <w:ind w:left="567" w:leftChars="270"/>
        <w:jc w:val="left"/>
        <w:rPr>
          <w:rFonts w:hint="eastAsia" w:ascii="宋体" w:hAnsi="宋体" w:eastAsia="宋体" w:cs="宋体"/>
          <w:b/>
          <w:color w:val="auto"/>
          <w:sz w:val="40"/>
          <w:szCs w:val="40"/>
          <w:highlight w:val="none"/>
        </w:rPr>
      </w:pPr>
    </w:p>
    <w:p w14:paraId="48EC5202">
      <w:pPr>
        <w:tabs>
          <w:tab w:val="left" w:pos="7380"/>
        </w:tabs>
        <w:snapToGrid w:val="0"/>
        <w:ind w:firstLine="1205" w:firstLineChars="300"/>
        <w:jc w:val="left"/>
        <w:rPr>
          <w:rFonts w:hint="eastAsia" w:ascii="宋体" w:hAnsi="宋体" w:eastAsia="宋体" w:cs="宋体"/>
          <w:b/>
          <w:color w:val="auto"/>
          <w:sz w:val="40"/>
          <w:szCs w:val="40"/>
          <w:highlight w:val="none"/>
          <w:u w:val="single"/>
        </w:rPr>
      </w:pPr>
      <w:r>
        <w:rPr>
          <w:rFonts w:hint="eastAsia" w:ascii="宋体" w:hAnsi="宋体" w:eastAsia="宋体" w:cs="宋体"/>
          <w:b/>
          <w:color w:val="auto"/>
          <w:sz w:val="40"/>
          <w:szCs w:val="40"/>
          <w:highlight w:val="none"/>
        </w:rPr>
        <w:t>签订时间：</w:t>
      </w:r>
      <w:r>
        <w:rPr>
          <w:rFonts w:hint="eastAsia" w:ascii="宋体" w:hAnsi="宋体" w:eastAsia="宋体" w:cs="宋体"/>
          <w:b/>
          <w:color w:val="auto"/>
          <w:sz w:val="40"/>
          <w:szCs w:val="40"/>
          <w:highlight w:val="none"/>
          <w:u w:val="single"/>
        </w:rPr>
        <w:t xml:space="preserve">      年   月   日</w:t>
      </w:r>
    </w:p>
    <w:p w14:paraId="02C7C54A">
      <w:pPr>
        <w:rPr>
          <w:rFonts w:hint="eastAsia" w:ascii="宋体" w:hAnsi="宋体" w:eastAsia="宋体" w:cs="宋体"/>
          <w:color w:val="auto"/>
          <w:highlight w:val="none"/>
        </w:rPr>
      </w:pPr>
    </w:p>
    <w:p w14:paraId="279FBBDA">
      <w:pPr>
        <w:snapToGrid w:val="0"/>
        <w:spacing w:line="400" w:lineRule="exact"/>
        <w:jc w:val="center"/>
        <w:rPr>
          <w:rFonts w:hint="eastAsia" w:ascii="宋体" w:hAnsi="宋体" w:eastAsia="宋体" w:cs="宋体"/>
          <w:b/>
          <w:bCs/>
          <w:color w:val="auto"/>
          <w:sz w:val="32"/>
          <w:szCs w:val="32"/>
          <w:highlight w:val="none"/>
        </w:rPr>
      </w:pPr>
    </w:p>
    <w:p w14:paraId="3BB29B0F">
      <w:pPr>
        <w:snapToGrid w:val="0"/>
        <w:spacing w:line="400" w:lineRule="exact"/>
        <w:jc w:val="center"/>
        <w:rPr>
          <w:rFonts w:hint="eastAsia" w:ascii="宋体" w:hAnsi="宋体" w:eastAsia="宋体" w:cs="宋体"/>
          <w:b/>
          <w:bCs/>
          <w:color w:val="auto"/>
          <w:sz w:val="32"/>
          <w:szCs w:val="32"/>
          <w:highlight w:val="none"/>
        </w:rPr>
      </w:pPr>
    </w:p>
    <w:p w14:paraId="6CB808E0">
      <w:pPr>
        <w:pStyle w:val="75"/>
        <w:rPr>
          <w:rFonts w:hint="eastAsia"/>
          <w:highlight w:val="none"/>
        </w:rPr>
      </w:pPr>
    </w:p>
    <w:p w14:paraId="20714864">
      <w:pPr>
        <w:snapToGrid w:val="0"/>
        <w:spacing w:line="40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《政府采购合同》</w:t>
      </w:r>
    </w:p>
    <w:p w14:paraId="7D4446BF">
      <w:pPr>
        <w:snapToGrid w:val="0"/>
        <w:spacing w:line="400" w:lineRule="exact"/>
        <w:ind w:right="480" w:firstLine="5250" w:firstLineChars="2500"/>
        <w:rPr>
          <w:rFonts w:hint="eastAsia" w:ascii="宋体" w:hAnsi="宋体" w:eastAsia="宋体" w:cs="宋体"/>
          <w:bCs/>
          <w:color w:val="auto"/>
          <w:szCs w:val="21"/>
          <w:highlight w:val="none"/>
        </w:rPr>
      </w:pPr>
    </w:p>
    <w:p w14:paraId="0539740B">
      <w:pPr>
        <w:snapToGrid w:val="0"/>
        <w:spacing w:line="400" w:lineRule="exact"/>
        <w:ind w:right="480" w:firstLine="5250" w:firstLineChars="2500"/>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合同编号：</w:t>
      </w:r>
      <w:r>
        <w:rPr>
          <w:rFonts w:hint="eastAsia" w:ascii="宋体" w:hAnsi="宋体" w:eastAsia="宋体" w:cs="宋体"/>
          <w:bCs/>
          <w:color w:val="auto"/>
          <w:sz w:val="32"/>
          <w:szCs w:val="32"/>
          <w:highlight w:val="none"/>
          <w:u w:val="single"/>
          <w:lang w:val="en-US" w:eastAsia="zh-CN"/>
        </w:rPr>
        <w:t xml:space="preserve">            </w:t>
      </w:r>
    </w:p>
    <w:p w14:paraId="338085DF">
      <w:pPr>
        <w:snapToGrid w:val="0"/>
        <w:spacing w:line="400" w:lineRule="exact"/>
        <w:rPr>
          <w:rFonts w:hint="eastAsia" w:ascii="宋体" w:hAnsi="宋体" w:eastAsia="宋体" w:cs="宋体"/>
          <w:color w:val="auto"/>
          <w:szCs w:val="21"/>
          <w:highlight w:val="none"/>
        </w:rPr>
      </w:pPr>
    </w:p>
    <w:p w14:paraId="191D1EBC">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采购人（甲方）：</w:t>
      </w:r>
      <w:r>
        <w:rPr>
          <w:rFonts w:hint="eastAsia" w:ascii="宋体" w:hAnsi="宋体" w:eastAsia="宋体" w:cs="宋体"/>
          <w:bCs/>
          <w:color w:val="auto"/>
          <w:sz w:val="32"/>
          <w:szCs w:val="32"/>
          <w:highlight w:val="none"/>
          <w:u w:val="single"/>
          <w:lang w:val="en-US" w:eastAsia="zh-CN"/>
        </w:rPr>
        <w:t xml:space="preserve">            </w:t>
      </w:r>
      <w:r>
        <w:rPr>
          <w:rFonts w:hint="eastAsia" w:ascii="宋体" w:hAnsi="宋体" w:eastAsia="宋体" w:cs="宋体"/>
          <w:color w:val="auto"/>
          <w:sz w:val="24"/>
          <w:highlight w:val="none"/>
        </w:rPr>
        <w:t xml:space="preserve">  采购计划号：</w:t>
      </w:r>
      <w:r>
        <w:rPr>
          <w:rFonts w:hint="eastAsia" w:ascii="宋体" w:hAnsi="宋体" w:eastAsia="宋体" w:cs="宋体"/>
          <w:bCs/>
          <w:color w:val="auto"/>
          <w:sz w:val="32"/>
          <w:szCs w:val="32"/>
          <w:highlight w:val="none"/>
          <w:u w:val="single"/>
          <w:lang w:val="en-US" w:eastAsia="zh-CN"/>
        </w:rPr>
        <w:t xml:space="preserve">      </w:t>
      </w:r>
    </w:p>
    <w:p w14:paraId="45F8D701">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供应商（乙方）：</w:t>
      </w:r>
      <w:r>
        <w:rPr>
          <w:rFonts w:hint="eastAsia" w:ascii="宋体" w:hAnsi="宋体" w:eastAsia="宋体" w:cs="宋体"/>
          <w:bCs/>
          <w:color w:val="auto"/>
          <w:sz w:val="32"/>
          <w:szCs w:val="32"/>
          <w:highlight w:val="none"/>
          <w:u w:val="single"/>
          <w:lang w:val="en-US" w:eastAsia="zh-CN"/>
        </w:rPr>
        <w:t xml:space="preserve">            </w:t>
      </w:r>
    </w:p>
    <w:p w14:paraId="08524069">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bCs/>
          <w:color w:val="auto"/>
          <w:sz w:val="32"/>
          <w:szCs w:val="32"/>
          <w:highlight w:val="none"/>
          <w:u w:val="single"/>
          <w:lang w:val="en-US" w:eastAsia="zh-CN"/>
        </w:rPr>
        <w:t xml:space="preserve">            </w:t>
      </w:r>
      <w:r>
        <w:rPr>
          <w:rFonts w:hint="eastAsia" w:ascii="宋体" w:hAnsi="宋体" w:eastAsia="宋体" w:cs="宋体"/>
          <w:color w:val="auto"/>
          <w:sz w:val="24"/>
          <w:highlight w:val="none"/>
        </w:rPr>
        <w:t xml:space="preserve">  项目编号：</w:t>
      </w:r>
      <w:r>
        <w:rPr>
          <w:rFonts w:hint="eastAsia" w:ascii="宋体" w:hAnsi="宋体" w:eastAsia="宋体" w:cs="宋体"/>
          <w:bCs/>
          <w:color w:val="auto"/>
          <w:sz w:val="32"/>
          <w:szCs w:val="32"/>
          <w:highlight w:val="none"/>
          <w:u w:val="single"/>
          <w:lang w:val="en-US" w:eastAsia="zh-CN"/>
        </w:rPr>
        <w:t xml:space="preserve">            </w:t>
      </w:r>
    </w:p>
    <w:p w14:paraId="702AF817">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签订地点：</w:t>
      </w:r>
      <w:r>
        <w:rPr>
          <w:rFonts w:hint="eastAsia" w:ascii="宋体" w:hAnsi="宋体" w:eastAsia="宋体" w:cs="宋体"/>
          <w:bCs/>
          <w:color w:val="auto"/>
          <w:sz w:val="32"/>
          <w:szCs w:val="32"/>
          <w:highlight w:val="none"/>
          <w:u w:val="single"/>
          <w:lang w:val="en-US" w:eastAsia="zh-CN"/>
        </w:rPr>
        <w:t xml:space="preserve">            </w:t>
      </w:r>
      <w:r>
        <w:rPr>
          <w:rFonts w:hint="eastAsia" w:ascii="宋体" w:hAnsi="宋体" w:eastAsia="宋体" w:cs="宋体"/>
          <w:color w:val="auto"/>
          <w:sz w:val="24"/>
          <w:highlight w:val="none"/>
        </w:rPr>
        <w:t xml:space="preserve">  签订时间：</w:t>
      </w:r>
      <w:r>
        <w:rPr>
          <w:rFonts w:hint="eastAsia" w:ascii="宋体" w:hAnsi="宋体" w:eastAsia="宋体" w:cs="宋体"/>
          <w:bCs/>
          <w:color w:val="auto"/>
          <w:sz w:val="32"/>
          <w:szCs w:val="32"/>
          <w:highlight w:val="none"/>
          <w:u w:val="single"/>
          <w:lang w:val="en-US" w:eastAsia="zh-CN"/>
        </w:rPr>
        <w:t xml:space="preserve">            </w:t>
      </w:r>
    </w:p>
    <w:p w14:paraId="60FCAA9C">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本合同为中小企业预留合同：</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（是/否）</w:t>
      </w:r>
    </w:p>
    <w:p w14:paraId="48B7D40E">
      <w:pPr>
        <w:snapToGrid w:val="0"/>
        <w:spacing w:line="360" w:lineRule="auto"/>
        <w:ind w:firstLine="480" w:firstLineChars="200"/>
        <w:rPr>
          <w:rFonts w:hint="eastAsia" w:ascii="宋体" w:hAnsi="宋体" w:eastAsia="宋体" w:cs="宋体"/>
          <w:color w:val="auto"/>
          <w:sz w:val="24"/>
          <w:highlight w:val="none"/>
        </w:rPr>
      </w:pPr>
    </w:p>
    <w:p w14:paraId="00D8EEC5">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根据《中华人民共和国政府采购法》、《中华人民共和国民法典》等法律、法规规定，按照竞争性谈判文件规定条款和</w:t>
      </w:r>
      <w:r>
        <w:rPr>
          <w:rFonts w:hint="eastAsia" w:ascii="宋体" w:hAnsi="宋体" w:eastAsia="宋体" w:cs="宋体"/>
          <w:color w:val="auto"/>
          <w:sz w:val="24"/>
          <w:highlight w:val="none"/>
          <w:lang w:val="en-US" w:eastAsia="zh-CN"/>
        </w:rPr>
        <w:t>成交</w:t>
      </w:r>
      <w:r>
        <w:rPr>
          <w:rFonts w:hint="eastAsia" w:ascii="宋体" w:hAnsi="宋体" w:eastAsia="宋体" w:cs="宋体"/>
          <w:color w:val="auto"/>
          <w:sz w:val="24"/>
          <w:highlight w:val="none"/>
        </w:rPr>
        <w:t>供应商响应文件及其承诺，甲乙双方签订本合同。</w:t>
      </w:r>
    </w:p>
    <w:p w14:paraId="29B5093D">
      <w:pPr>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第一条　合同标的</w:t>
      </w:r>
    </w:p>
    <w:p w14:paraId="32AE02A3">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1.供货一览表</w:t>
      </w:r>
    </w:p>
    <w:tbl>
      <w:tblPr>
        <w:tblStyle w:val="28"/>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737"/>
        <w:gridCol w:w="735"/>
        <w:gridCol w:w="1095"/>
        <w:gridCol w:w="1145"/>
      </w:tblGrid>
      <w:tr w14:paraId="2BDBC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noWrap w:val="0"/>
            <w:vAlign w:val="center"/>
          </w:tcPr>
          <w:p w14:paraId="663BA7DD">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1233" w:type="dxa"/>
            <w:noWrap w:val="0"/>
            <w:vAlign w:val="center"/>
          </w:tcPr>
          <w:p w14:paraId="01412E79">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产品名称</w:t>
            </w:r>
          </w:p>
        </w:tc>
        <w:tc>
          <w:tcPr>
            <w:tcW w:w="1059" w:type="dxa"/>
            <w:noWrap w:val="0"/>
            <w:vAlign w:val="center"/>
          </w:tcPr>
          <w:p w14:paraId="33B84A8D">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商标品牌</w:t>
            </w:r>
          </w:p>
        </w:tc>
        <w:tc>
          <w:tcPr>
            <w:tcW w:w="1233" w:type="dxa"/>
            <w:noWrap w:val="0"/>
            <w:vAlign w:val="center"/>
          </w:tcPr>
          <w:p w14:paraId="574B3034">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规格型号</w:t>
            </w:r>
          </w:p>
        </w:tc>
        <w:tc>
          <w:tcPr>
            <w:tcW w:w="1210" w:type="dxa"/>
            <w:noWrap w:val="0"/>
            <w:vAlign w:val="center"/>
          </w:tcPr>
          <w:p w14:paraId="688DE837">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生产厂家/服务商</w:t>
            </w:r>
          </w:p>
        </w:tc>
        <w:tc>
          <w:tcPr>
            <w:tcW w:w="737" w:type="dxa"/>
            <w:noWrap w:val="0"/>
            <w:vAlign w:val="center"/>
          </w:tcPr>
          <w:p w14:paraId="49C5A28D">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数量</w:t>
            </w:r>
          </w:p>
        </w:tc>
        <w:tc>
          <w:tcPr>
            <w:tcW w:w="735" w:type="dxa"/>
            <w:noWrap w:val="0"/>
            <w:vAlign w:val="center"/>
          </w:tcPr>
          <w:p w14:paraId="0FC86EA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单位</w:t>
            </w:r>
          </w:p>
        </w:tc>
        <w:tc>
          <w:tcPr>
            <w:tcW w:w="1095" w:type="dxa"/>
            <w:noWrap w:val="0"/>
            <w:vAlign w:val="center"/>
          </w:tcPr>
          <w:p w14:paraId="57A30F0D">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单价（元）</w:t>
            </w:r>
          </w:p>
        </w:tc>
        <w:tc>
          <w:tcPr>
            <w:tcW w:w="1145" w:type="dxa"/>
            <w:noWrap w:val="0"/>
            <w:vAlign w:val="center"/>
          </w:tcPr>
          <w:p w14:paraId="1AD63278">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金额（元）</w:t>
            </w:r>
          </w:p>
        </w:tc>
      </w:tr>
      <w:tr w14:paraId="3202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30BFBE8C">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233" w:type="dxa"/>
            <w:noWrap w:val="0"/>
            <w:vAlign w:val="center"/>
          </w:tcPr>
          <w:p w14:paraId="3AF1E0C8">
            <w:pPr>
              <w:snapToGrid w:val="0"/>
              <w:spacing w:line="360" w:lineRule="auto"/>
              <w:jc w:val="center"/>
              <w:rPr>
                <w:rFonts w:hint="eastAsia" w:ascii="宋体" w:hAnsi="宋体" w:eastAsia="宋体" w:cs="宋体"/>
                <w:color w:val="auto"/>
                <w:sz w:val="24"/>
                <w:highlight w:val="none"/>
              </w:rPr>
            </w:pPr>
          </w:p>
        </w:tc>
        <w:tc>
          <w:tcPr>
            <w:tcW w:w="1059" w:type="dxa"/>
            <w:noWrap w:val="0"/>
            <w:vAlign w:val="center"/>
          </w:tcPr>
          <w:p w14:paraId="2DC857D9">
            <w:pPr>
              <w:snapToGrid w:val="0"/>
              <w:spacing w:line="360" w:lineRule="auto"/>
              <w:jc w:val="center"/>
              <w:rPr>
                <w:rFonts w:hint="eastAsia" w:ascii="宋体" w:hAnsi="宋体" w:eastAsia="宋体" w:cs="宋体"/>
                <w:color w:val="auto"/>
                <w:sz w:val="24"/>
                <w:highlight w:val="none"/>
              </w:rPr>
            </w:pPr>
          </w:p>
        </w:tc>
        <w:tc>
          <w:tcPr>
            <w:tcW w:w="1233" w:type="dxa"/>
            <w:noWrap w:val="0"/>
            <w:vAlign w:val="center"/>
          </w:tcPr>
          <w:p w14:paraId="7322B12B">
            <w:pPr>
              <w:snapToGrid w:val="0"/>
              <w:spacing w:line="360" w:lineRule="auto"/>
              <w:jc w:val="center"/>
              <w:rPr>
                <w:rFonts w:hint="eastAsia" w:ascii="宋体" w:hAnsi="宋体" w:eastAsia="宋体" w:cs="宋体"/>
                <w:color w:val="auto"/>
                <w:sz w:val="24"/>
                <w:highlight w:val="none"/>
              </w:rPr>
            </w:pPr>
          </w:p>
        </w:tc>
        <w:tc>
          <w:tcPr>
            <w:tcW w:w="1210" w:type="dxa"/>
            <w:noWrap w:val="0"/>
            <w:vAlign w:val="top"/>
          </w:tcPr>
          <w:p w14:paraId="10FD1C7F">
            <w:pPr>
              <w:snapToGrid w:val="0"/>
              <w:spacing w:line="360" w:lineRule="auto"/>
              <w:jc w:val="center"/>
              <w:rPr>
                <w:rFonts w:hint="eastAsia" w:ascii="宋体" w:hAnsi="宋体" w:eastAsia="宋体" w:cs="宋体"/>
                <w:color w:val="auto"/>
                <w:sz w:val="24"/>
                <w:highlight w:val="none"/>
              </w:rPr>
            </w:pPr>
          </w:p>
        </w:tc>
        <w:tc>
          <w:tcPr>
            <w:tcW w:w="737" w:type="dxa"/>
            <w:noWrap w:val="0"/>
            <w:vAlign w:val="top"/>
          </w:tcPr>
          <w:p w14:paraId="0ECA4C78">
            <w:pPr>
              <w:snapToGrid w:val="0"/>
              <w:spacing w:line="360" w:lineRule="auto"/>
              <w:jc w:val="center"/>
              <w:rPr>
                <w:rFonts w:hint="eastAsia" w:ascii="宋体" w:hAnsi="宋体" w:eastAsia="宋体" w:cs="宋体"/>
                <w:color w:val="auto"/>
                <w:sz w:val="24"/>
                <w:highlight w:val="none"/>
              </w:rPr>
            </w:pPr>
          </w:p>
        </w:tc>
        <w:tc>
          <w:tcPr>
            <w:tcW w:w="735" w:type="dxa"/>
            <w:noWrap w:val="0"/>
            <w:vAlign w:val="top"/>
          </w:tcPr>
          <w:p w14:paraId="41652547">
            <w:pPr>
              <w:snapToGrid w:val="0"/>
              <w:spacing w:line="360" w:lineRule="auto"/>
              <w:jc w:val="center"/>
              <w:rPr>
                <w:rFonts w:hint="eastAsia" w:ascii="宋体" w:hAnsi="宋体" w:eastAsia="宋体" w:cs="宋体"/>
                <w:color w:val="auto"/>
                <w:sz w:val="24"/>
                <w:highlight w:val="none"/>
              </w:rPr>
            </w:pPr>
          </w:p>
        </w:tc>
        <w:tc>
          <w:tcPr>
            <w:tcW w:w="1095" w:type="dxa"/>
            <w:noWrap w:val="0"/>
            <w:vAlign w:val="center"/>
          </w:tcPr>
          <w:p w14:paraId="052CC88E">
            <w:pPr>
              <w:snapToGrid w:val="0"/>
              <w:spacing w:line="360" w:lineRule="auto"/>
              <w:jc w:val="center"/>
              <w:rPr>
                <w:rFonts w:hint="eastAsia" w:ascii="宋体" w:hAnsi="宋体" w:eastAsia="宋体" w:cs="宋体"/>
                <w:color w:val="auto"/>
                <w:sz w:val="24"/>
                <w:highlight w:val="none"/>
              </w:rPr>
            </w:pPr>
          </w:p>
        </w:tc>
        <w:tc>
          <w:tcPr>
            <w:tcW w:w="1145" w:type="dxa"/>
            <w:noWrap w:val="0"/>
            <w:vAlign w:val="center"/>
          </w:tcPr>
          <w:p w14:paraId="2DE675EA">
            <w:pPr>
              <w:snapToGrid w:val="0"/>
              <w:spacing w:line="360" w:lineRule="auto"/>
              <w:jc w:val="center"/>
              <w:rPr>
                <w:rFonts w:hint="eastAsia" w:ascii="宋体" w:hAnsi="宋体" w:eastAsia="宋体" w:cs="宋体"/>
                <w:color w:val="auto"/>
                <w:sz w:val="24"/>
                <w:highlight w:val="none"/>
              </w:rPr>
            </w:pPr>
          </w:p>
        </w:tc>
      </w:tr>
      <w:tr w14:paraId="1889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4727E0A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233" w:type="dxa"/>
            <w:noWrap w:val="0"/>
            <w:vAlign w:val="center"/>
          </w:tcPr>
          <w:p w14:paraId="47FAFAC1">
            <w:pPr>
              <w:snapToGrid w:val="0"/>
              <w:spacing w:line="360" w:lineRule="auto"/>
              <w:jc w:val="center"/>
              <w:rPr>
                <w:rFonts w:hint="eastAsia" w:ascii="宋体" w:hAnsi="宋体" w:eastAsia="宋体" w:cs="宋体"/>
                <w:color w:val="auto"/>
                <w:sz w:val="24"/>
                <w:highlight w:val="none"/>
              </w:rPr>
            </w:pPr>
          </w:p>
        </w:tc>
        <w:tc>
          <w:tcPr>
            <w:tcW w:w="1059" w:type="dxa"/>
            <w:noWrap w:val="0"/>
            <w:vAlign w:val="center"/>
          </w:tcPr>
          <w:p w14:paraId="63424C3B">
            <w:pPr>
              <w:snapToGrid w:val="0"/>
              <w:spacing w:line="360" w:lineRule="auto"/>
              <w:jc w:val="center"/>
              <w:rPr>
                <w:rFonts w:hint="eastAsia" w:ascii="宋体" w:hAnsi="宋体" w:eastAsia="宋体" w:cs="宋体"/>
                <w:color w:val="auto"/>
                <w:sz w:val="24"/>
                <w:highlight w:val="none"/>
              </w:rPr>
            </w:pPr>
          </w:p>
        </w:tc>
        <w:tc>
          <w:tcPr>
            <w:tcW w:w="1233" w:type="dxa"/>
            <w:noWrap w:val="0"/>
            <w:vAlign w:val="center"/>
          </w:tcPr>
          <w:p w14:paraId="4E734FE7">
            <w:pPr>
              <w:snapToGrid w:val="0"/>
              <w:spacing w:line="360" w:lineRule="auto"/>
              <w:jc w:val="center"/>
              <w:rPr>
                <w:rFonts w:hint="eastAsia" w:ascii="宋体" w:hAnsi="宋体" w:eastAsia="宋体" w:cs="宋体"/>
                <w:color w:val="auto"/>
                <w:sz w:val="24"/>
                <w:highlight w:val="none"/>
              </w:rPr>
            </w:pPr>
          </w:p>
        </w:tc>
        <w:tc>
          <w:tcPr>
            <w:tcW w:w="1210" w:type="dxa"/>
            <w:noWrap w:val="0"/>
            <w:vAlign w:val="top"/>
          </w:tcPr>
          <w:p w14:paraId="52212C82">
            <w:pPr>
              <w:snapToGrid w:val="0"/>
              <w:spacing w:line="360" w:lineRule="auto"/>
              <w:jc w:val="center"/>
              <w:rPr>
                <w:rFonts w:hint="eastAsia" w:ascii="宋体" w:hAnsi="宋体" w:eastAsia="宋体" w:cs="宋体"/>
                <w:color w:val="auto"/>
                <w:sz w:val="24"/>
                <w:highlight w:val="none"/>
              </w:rPr>
            </w:pPr>
          </w:p>
        </w:tc>
        <w:tc>
          <w:tcPr>
            <w:tcW w:w="737" w:type="dxa"/>
            <w:noWrap w:val="0"/>
            <w:vAlign w:val="top"/>
          </w:tcPr>
          <w:p w14:paraId="05E9A2BC">
            <w:pPr>
              <w:snapToGrid w:val="0"/>
              <w:spacing w:line="360" w:lineRule="auto"/>
              <w:jc w:val="center"/>
              <w:rPr>
                <w:rFonts w:hint="eastAsia" w:ascii="宋体" w:hAnsi="宋体" w:eastAsia="宋体" w:cs="宋体"/>
                <w:color w:val="auto"/>
                <w:sz w:val="24"/>
                <w:highlight w:val="none"/>
              </w:rPr>
            </w:pPr>
          </w:p>
        </w:tc>
        <w:tc>
          <w:tcPr>
            <w:tcW w:w="735" w:type="dxa"/>
            <w:noWrap w:val="0"/>
            <w:vAlign w:val="top"/>
          </w:tcPr>
          <w:p w14:paraId="1E0C91D9">
            <w:pPr>
              <w:snapToGrid w:val="0"/>
              <w:spacing w:line="360" w:lineRule="auto"/>
              <w:jc w:val="center"/>
              <w:rPr>
                <w:rFonts w:hint="eastAsia" w:ascii="宋体" w:hAnsi="宋体" w:eastAsia="宋体" w:cs="宋体"/>
                <w:color w:val="auto"/>
                <w:sz w:val="24"/>
                <w:highlight w:val="none"/>
              </w:rPr>
            </w:pPr>
          </w:p>
        </w:tc>
        <w:tc>
          <w:tcPr>
            <w:tcW w:w="1095" w:type="dxa"/>
            <w:noWrap w:val="0"/>
            <w:vAlign w:val="center"/>
          </w:tcPr>
          <w:p w14:paraId="37FDDB56">
            <w:pPr>
              <w:snapToGrid w:val="0"/>
              <w:spacing w:line="360" w:lineRule="auto"/>
              <w:jc w:val="center"/>
              <w:rPr>
                <w:rFonts w:hint="eastAsia" w:ascii="宋体" w:hAnsi="宋体" w:eastAsia="宋体" w:cs="宋体"/>
                <w:color w:val="auto"/>
                <w:sz w:val="24"/>
                <w:highlight w:val="none"/>
              </w:rPr>
            </w:pPr>
          </w:p>
        </w:tc>
        <w:tc>
          <w:tcPr>
            <w:tcW w:w="1145" w:type="dxa"/>
            <w:noWrap w:val="0"/>
            <w:vAlign w:val="center"/>
          </w:tcPr>
          <w:p w14:paraId="202EEF54">
            <w:pPr>
              <w:snapToGrid w:val="0"/>
              <w:spacing w:line="360" w:lineRule="auto"/>
              <w:jc w:val="center"/>
              <w:rPr>
                <w:rFonts w:hint="eastAsia" w:ascii="宋体" w:hAnsi="宋体" w:eastAsia="宋体" w:cs="宋体"/>
                <w:color w:val="auto"/>
                <w:sz w:val="24"/>
                <w:highlight w:val="none"/>
              </w:rPr>
            </w:pPr>
          </w:p>
        </w:tc>
      </w:tr>
      <w:tr w14:paraId="1374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293FC75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233" w:type="dxa"/>
            <w:noWrap w:val="0"/>
            <w:vAlign w:val="center"/>
          </w:tcPr>
          <w:p w14:paraId="409D882C">
            <w:pPr>
              <w:snapToGrid w:val="0"/>
              <w:spacing w:line="360" w:lineRule="auto"/>
              <w:jc w:val="center"/>
              <w:rPr>
                <w:rFonts w:hint="eastAsia" w:ascii="宋体" w:hAnsi="宋体" w:eastAsia="宋体" w:cs="宋体"/>
                <w:color w:val="auto"/>
                <w:sz w:val="24"/>
                <w:highlight w:val="none"/>
              </w:rPr>
            </w:pPr>
          </w:p>
        </w:tc>
        <w:tc>
          <w:tcPr>
            <w:tcW w:w="1059" w:type="dxa"/>
            <w:noWrap w:val="0"/>
            <w:vAlign w:val="center"/>
          </w:tcPr>
          <w:p w14:paraId="496673A4">
            <w:pPr>
              <w:snapToGrid w:val="0"/>
              <w:spacing w:line="360" w:lineRule="auto"/>
              <w:jc w:val="center"/>
              <w:rPr>
                <w:rFonts w:hint="eastAsia" w:ascii="宋体" w:hAnsi="宋体" w:eastAsia="宋体" w:cs="宋体"/>
                <w:color w:val="auto"/>
                <w:sz w:val="24"/>
                <w:highlight w:val="none"/>
              </w:rPr>
            </w:pPr>
          </w:p>
        </w:tc>
        <w:tc>
          <w:tcPr>
            <w:tcW w:w="1233" w:type="dxa"/>
            <w:noWrap w:val="0"/>
            <w:vAlign w:val="center"/>
          </w:tcPr>
          <w:p w14:paraId="4737CD63">
            <w:pPr>
              <w:snapToGrid w:val="0"/>
              <w:spacing w:line="360" w:lineRule="auto"/>
              <w:jc w:val="center"/>
              <w:rPr>
                <w:rFonts w:hint="eastAsia" w:ascii="宋体" w:hAnsi="宋体" w:eastAsia="宋体" w:cs="宋体"/>
                <w:color w:val="auto"/>
                <w:sz w:val="24"/>
                <w:highlight w:val="none"/>
              </w:rPr>
            </w:pPr>
          </w:p>
        </w:tc>
        <w:tc>
          <w:tcPr>
            <w:tcW w:w="1210" w:type="dxa"/>
            <w:noWrap w:val="0"/>
            <w:vAlign w:val="top"/>
          </w:tcPr>
          <w:p w14:paraId="37177D25">
            <w:pPr>
              <w:snapToGrid w:val="0"/>
              <w:spacing w:line="360" w:lineRule="auto"/>
              <w:jc w:val="center"/>
              <w:rPr>
                <w:rFonts w:hint="eastAsia" w:ascii="宋体" w:hAnsi="宋体" w:eastAsia="宋体" w:cs="宋体"/>
                <w:color w:val="auto"/>
                <w:sz w:val="24"/>
                <w:highlight w:val="none"/>
              </w:rPr>
            </w:pPr>
          </w:p>
        </w:tc>
        <w:tc>
          <w:tcPr>
            <w:tcW w:w="737" w:type="dxa"/>
            <w:noWrap w:val="0"/>
            <w:vAlign w:val="top"/>
          </w:tcPr>
          <w:p w14:paraId="50DF3C50">
            <w:pPr>
              <w:snapToGrid w:val="0"/>
              <w:spacing w:line="360" w:lineRule="auto"/>
              <w:jc w:val="center"/>
              <w:rPr>
                <w:rFonts w:hint="eastAsia" w:ascii="宋体" w:hAnsi="宋体" w:eastAsia="宋体" w:cs="宋体"/>
                <w:color w:val="auto"/>
                <w:sz w:val="24"/>
                <w:highlight w:val="none"/>
              </w:rPr>
            </w:pPr>
          </w:p>
        </w:tc>
        <w:tc>
          <w:tcPr>
            <w:tcW w:w="735" w:type="dxa"/>
            <w:noWrap w:val="0"/>
            <w:vAlign w:val="top"/>
          </w:tcPr>
          <w:p w14:paraId="587A1B78">
            <w:pPr>
              <w:snapToGrid w:val="0"/>
              <w:spacing w:line="360" w:lineRule="auto"/>
              <w:jc w:val="center"/>
              <w:rPr>
                <w:rFonts w:hint="eastAsia" w:ascii="宋体" w:hAnsi="宋体" w:eastAsia="宋体" w:cs="宋体"/>
                <w:color w:val="auto"/>
                <w:sz w:val="24"/>
                <w:highlight w:val="none"/>
              </w:rPr>
            </w:pPr>
          </w:p>
        </w:tc>
        <w:tc>
          <w:tcPr>
            <w:tcW w:w="1095" w:type="dxa"/>
            <w:noWrap w:val="0"/>
            <w:vAlign w:val="center"/>
          </w:tcPr>
          <w:p w14:paraId="2BB3737B">
            <w:pPr>
              <w:snapToGrid w:val="0"/>
              <w:spacing w:line="360" w:lineRule="auto"/>
              <w:jc w:val="center"/>
              <w:rPr>
                <w:rFonts w:hint="eastAsia" w:ascii="宋体" w:hAnsi="宋体" w:eastAsia="宋体" w:cs="宋体"/>
                <w:color w:val="auto"/>
                <w:sz w:val="24"/>
                <w:highlight w:val="none"/>
              </w:rPr>
            </w:pPr>
          </w:p>
        </w:tc>
        <w:tc>
          <w:tcPr>
            <w:tcW w:w="1145" w:type="dxa"/>
            <w:noWrap w:val="0"/>
            <w:vAlign w:val="center"/>
          </w:tcPr>
          <w:p w14:paraId="559E2C3B">
            <w:pPr>
              <w:snapToGrid w:val="0"/>
              <w:spacing w:line="360" w:lineRule="auto"/>
              <w:jc w:val="center"/>
              <w:rPr>
                <w:rFonts w:hint="eastAsia" w:ascii="宋体" w:hAnsi="宋体" w:eastAsia="宋体" w:cs="宋体"/>
                <w:color w:val="auto"/>
                <w:sz w:val="24"/>
                <w:highlight w:val="none"/>
              </w:rPr>
            </w:pPr>
          </w:p>
        </w:tc>
      </w:tr>
      <w:tr w14:paraId="726F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5D828BA0">
            <w:pPr>
              <w:snapToGrid w:val="0"/>
              <w:spacing w:line="360" w:lineRule="auto"/>
              <w:jc w:val="center"/>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w:t>
            </w:r>
          </w:p>
        </w:tc>
        <w:tc>
          <w:tcPr>
            <w:tcW w:w="1233" w:type="dxa"/>
            <w:noWrap w:val="0"/>
            <w:vAlign w:val="center"/>
          </w:tcPr>
          <w:p w14:paraId="5B646A69">
            <w:pPr>
              <w:snapToGrid w:val="0"/>
              <w:spacing w:line="360" w:lineRule="auto"/>
              <w:jc w:val="center"/>
              <w:rPr>
                <w:rFonts w:hint="eastAsia" w:ascii="宋体" w:hAnsi="宋体" w:eastAsia="宋体" w:cs="宋体"/>
                <w:color w:val="auto"/>
                <w:sz w:val="24"/>
                <w:highlight w:val="none"/>
              </w:rPr>
            </w:pPr>
          </w:p>
        </w:tc>
        <w:tc>
          <w:tcPr>
            <w:tcW w:w="1059" w:type="dxa"/>
            <w:noWrap w:val="0"/>
            <w:vAlign w:val="center"/>
          </w:tcPr>
          <w:p w14:paraId="04961395">
            <w:pPr>
              <w:snapToGrid w:val="0"/>
              <w:spacing w:line="360" w:lineRule="auto"/>
              <w:jc w:val="center"/>
              <w:rPr>
                <w:rFonts w:hint="eastAsia" w:ascii="宋体" w:hAnsi="宋体" w:eastAsia="宋体" w:cs="宋体"/>
                <w:color w:val="auto"/>
                <w:sz w:val="24"/>
                <w:highlight w:val="none"/>
              </w:rPr>
            </w:pPr>
          </w:p>
        </w:tc>
        <w:tc>
          <w:tcPr>
            <w:tcW w:w="1233" w:type="dxa"/>
            <w:noWrap w:val="0"/>
            <w:vAlign w:val="center"/>
          </w:tcPr>
          <w:p w14:paraId="62AED947">
            <w:pPr>
              <w:snapToGrid w:val="0"/>
              <w:spacing w:line="360" w:lineRule="auto"/>
              <w:jc w:val="center"/>
              <w:rPr>
                <w:rFonts w:hint="eastAsia" w:ascii="宋体" w:hAnsi="宋体" w:eastAsia="宋体" w:cs="宋体"/>
                <w:color w:val="auto"/>
                <w:sz w:val="24"/>
                <w:highlight w:val="none"/>
              </w:rPr>
            </w:pPr>
          </w:p>
        </w:tc>
        <w:tc>
          <w:tcPr>
            <w:tcW w:w="1210" w:type="dxa"/>
            <w:noWrap w:val="0"/>
            <w:vAlign w:val="top"/>
          </w:tcPr>
          <w:p w14:paraId="242CA8E6">
            <w:pPr>
              <w:snapToGrid w:val="0"/>
              <w:spacing w:line="360" w:lineRule="auto"/>
              <w:jc w:val="center"/>
              <w:rPr>
                <w:rFonts w:hint="eastAsia" w:ascii="宋体" w:hAnsi="宋体" w:eastAsia="宋体" w:cs="宋体"/>
                <w:color w:val="auto"/>
                <w:sz w:val="24"/>
                <w:highlight w:val="none"/>
              </w:rPr>
            </w:pPr>
          </w:p>
        </w:tc>
        <w:tc>
          <w:tcPr>
            <w:tcW w:w="737" w:type="dxa"/>
            <w:noWrap w:val="0"/>
            <w:vAlign w:val="top"/>
          </w:tcPr>
          <w:p w14:paraId="4C172479">
            <w:pPr>
              <w:snapToGrid w:val="0"/>
              <w:spacing w:line="360" w:lineRule="auto"/>
              <w:jc w:val="center"/>
              <w:rPr>
                <w:rFonts w:hint="eastAsia" w:ascii="宋体" w:hAnsi="宋体" w:eastAsia="宋体" w:cs="宋体"/>
                <w:color w:val="auto"/>
                <w:sz w:val="24"/>
                <w:highlight w:val="none"/>
              </w:rPr>
            </w:pPr>
          </w:p>
        </w:tc>
        <w:tc>
          <w:tcPr>
            <w:tcW w:w="735" w:type="dxa"/>
            <w:noWrap w:val="0"/>
            <w:vAlign w:val="top"/>
          </w:tcPr>
          <w:p w14:paraId="7004123D">
            <w:pPr>
              <w:snapToGrid w:val="0"/>
              <w:spacing w:line="360" w:lineRule="auto"/>
              <w:jc w:val="center"/>
              <w:rPr>
                <w:rFonts w:hint="eastAsia" w:ascii="宋体" w:hAnsi="宋体" w:eastAsia="宋体" w:cs="宋体"/>
                <w:color w:val="auto"/>
                <w:sz w:val="24"/>
                <w:highlight w:val="none"/>
              </w:rPr>
            </w:pPr>
          </w:p>
        </w:tc>
        <w:tc>
          <w:tcPr>
            <w:tcW w:w="1095" w:type="dxa"/>
            <w:noWrap w:val="0"/>
            <w:vAlign w:val="center"/>
          </w:tcPr>
          <w:p w14:paraId="139871CD">
            <w:pPr>
              <w:snapToGrid w:val="0"/>
              <w:spacing w:line="360" w:lineRule="auto"/>
              <w:jc w:val="center"/>
              <w:rPr>
                <w:rFonts w:hint="eastAsia" w:ascii="宋体" w:hAnsi="宋体" w:eastAsia="宋体" w:cs="宋体"/>
                <w:color w:val="auto"/>
                <w:sz w:val="24"/>
                <w:highlight w:val="none"/>
              </w:rPr>
            </w:pPr>
          </w:p>
        </w:tc>
        <w:tc>
          <w:tcPr>
            <w:tcW w:w="1145" w:type="dxa"/>
            <w:noWrap w:val="0"/>
            <w:vAlign w:val="center"/>
          </w:tcPr>
          <w:p w14:paraId="7B876631">
            <w:pPr>
              <w:snapToGrid w:val="0"/>
              <w:spacing w:line="360" w:lineRule="auto"/>
              <w:jc w:val="center"/>
              <w:rPr>
                <w:rFonts w:hint="eastAsia" w:ascii="宋体" w:hAnsi="宋体" w:eastAsia="宋体" w:cs="宋体"/>
                <w:color w:val="auto"/>
                <w:sz w:val="24"/>
                <w:highlight w:val="none"/>
              </w:rPr>
            </w:pPr>
          </w:p>
        </w:tc>
      </w:tr>
    </w:tbl>
    <w:p w14:paraId="7794B62E">
      <w:pPr>
        <w:snapToGrid w:val="0"/>
        <w:spacing w:line="360" w:lineRule="auto"/>
        <w:ind w:right="420" w:firstLine="480" w:firstLineChars="200"/>
        <w:rPr>
          <w:rFonts w:hint="eastAsia" w:ascii="宋体" w:hAnsi="宋体" w:eastAsia="宋体" w:cs="宋体"/>
          <w:color w:val="auto"/>
          <w:sz w:val="24"/>
          <w:highlight w:val="none"/>
          <w:lang w:val="en-US" w:eastAsia="zh-CN"/>
        </w:rPr>
      </w:pPr>
    </w:p>
    <w:p w14:paraId="120851A5">
      <w:pPr>
        <w:snapToGrid w:val="0"/>
        <w:spacing w:line="360" w:lineRule="auto"/>
        <w:ind w:right="420"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合同总金额（大写）：</w:t>
      </w:r>
      <w:r>
        <w:rPr>
          <w:rFonts w:hint="eastAsia" w:ascii="宋体" w:hAnsi="宋体" w:eastAsia="宋体" w:cs="宋体"/>
          <w:b/>
          <w:bCs/>
          <w:color w:val="auto"/>
          <w:sz w:val="24"/>
          <w:highlight w:val="none"/>
          <w:u w:val="single"/>
        </w:rPr>
        <w:t xml:space="preserve">             （¥      ）</w:t>
      </w:r>
      <w:r>
        <w:rPr>
          <w:rFonts w:hint="eastAsia" w:ascii="宋体" w:hAnsi="宋体" w:eastAsia="宋体" w:cs="宋体"/>
          <w:color w:val="auto"/>
          <w:sz w:val="24"/>
          <w:highlight w:val="none"/>
        </w:rPr>
        <w:t>。</w:t>
      </w:r>
    </w:p>
    <w:p w14:paraId="010F6151">
      <w:pPr>
        <w:snapToGrid w:val="0"/>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合同合计金额包括竞标货物（包括备品备件、专用工具等）的价格（包括已在中国境内的进口货物完税后的仓库交货价、展室交货价或者货架交货价），竞标货物运输（含保险）、安装（如有）、调试、检验、技术服务、培训和竞争性谈判文件要求提供的所有伴随服务、工程等费用和税费。</w:t>
      </w:r>
    </w:p>
    <w:p w14:paraId="7ADB1851">
      <w:pPr>
        <w:snapToGrid w:val="0"/>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第二条　质量要求</w:t>
      </w:r>
    </w:p>
    <w:p w14:paraId="42A2B5D5">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1.乙方所提供的产品名称、商标品牌、生产厂家/服务商、规格型号、技术参数等质量必须与竞争性谈判文件规定及响应文件承诺相一致。乙方提供的节能和环保产品必须是列入政府采购品目清单的产品。</w:t>
      </w:r>
    </w:p>
    <w:p w14:paraId="0756282C">
      <w:pPr>
        <w:snapToGrid w:val="0"/>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2.乙方所提供的货物必须是全新、未使用的原装产品，且在正常安装、使用和保养条件下，其使用寿命期内各项指标均达到竞争性谈判文件规定或者响应文件承诺的质量要求。</w:t>
      </w:r>
    </w:p>
    <w:p w14:paraId="3DF05A30">
      <w:pPr>
        <w:snapToGrid w:val="0"/>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第三条　权利保证</w:t>
      </w:r>
    </w:p>
    <w:p w14:paraId="62A28D1E">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1.乙方应保证所提供货物在使用时不会侵犯任何第三方的专利权、商标权、工业设计权或者其他权利。</w:t>
      </w:r>
    </w:p>
    <w:p w14:paraId="44869888">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2.乙方应按竞争性谈判文件规定或者响应文件承诺的时间向甲方提供使用货物的有关技术资料。</w:t>
      </w:r>
    </w:p>
    <w:p w14:paraId="7C7B20F0">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14:paraId="390D7D81">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4.乙方保证将要交付的货物的所有权完全属于乙方且无任何抵押、质押、查封等产权瑕疵。</w:t>
      </w:r>
    </w:p>
    <w:p w14:paraId="1F027819">
      <w:pPr>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第四条　包装和运输</w:t>
      </w:r>
    </w:p>
    <w:p w14:paraId="6CFA9487">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1.乙方提供的货物均应按竞争性谈判文件规定或者响应文件承诺的要求的包装材料、包装标准、包装方式进行包装，每一包装单元内应附详细的装箱单和质量合格证。</w:t>
      </w:r>
    </w:p>
    <w:p w14:paraId="3EEDD0D0">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2.货物的运输方式：</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1A27045D">
      <w:pPr>
        <w:snapToGrid w:val="0"/>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3.乙方负责货物运输，货物运输合理损耗及计算方法：</w:t>
      </w:r>
      <w:r>
        <w:rPr>
          <w:rFonts w:hint="eastAsia" w:ascii="宋体" w:hAnsi="宋体" w:eastAsia="宋体" w:cs="宋体"/>
          <w:color w:val="auto"/>
          <w:sz w:val="24"/>
          <w:highlight w:val="none"/>
          <w:u w:val="single"/>
          <w:lang w:val="en-US" w:eastAsia="zh-CN"/>
        </w:rPr>
        <w:t xml:space="preserve"> 由乙方承担 </w:t>
      </w:r>
      <w:r>
        <w:rPr>
          <w:rFonts w:hint="eastAsia" w:ascii="宋体" w:hAnsi="宋体" w:eastAsia="宋体" w:cs="宋体"/>
          <w:color w:val="auto"/>
          <w:sz w:val="24"/>
          <w:highlight w:val="none"/>
        </w:rPr>
        <w:t>。</w:t>
      </w:r>
    </w:p>
    <w:p w14:paraId="540F15BF">
      <w:pPr>
        <w:snapToGrid w:val="0"/>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第五条　交付和验收</w:t>
      </w:r>
    </w:p>
    <w:p w14:paraId="4A0E7E5B">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1.交付时间：</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；交付地点：</w:t>
      </w:r>
      <w:r>
        <w:rPr>
          <w:rFonts w:hint="eastAsia" w:ascii="宋体" w:hAnsi="宋体" w:eastAsia="宋体" w:cs="宋体"/>
          <w:color w:val="auto"/>
          <w:sz w:val="24"/>
          <w:highlight w:val="none"/>
          <w:u w:val="single"/>
          <w:lang w:val="en-US" w:eastAsia="zh-CN"/>
        </w:rPr>
        <w:t xml:space="preserve"> 采购人指定地点 </w:t>
      </w:r>
      <w:r>
        <w:rPr>
          <w:rFonts w:hint="eastAsia" w:ascii="宋体" w:hAnsi="宋体" w:eastAsia="宋体" w:cs="宋体"/>
          <w:color w:val="auto"/>
          <w:sz w:val="24"/>
          <w:highlight w:val="none"/>
        </w:rPr>
        <w:t>。</w:t>
      </w:r>
    </w:p>
    <w:p w14:paraId="241A1DA9">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2.乙方提供不符合竞争性谈判文件规定或者响应文件承诺的和本合同规定的货物，甲方有权拒绝接受。</w:t>
      </w:r>
    </w:p>
    <w:p w14:paraId="38A699A0">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7C9F7F7C">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4.甲方应当在到货（安装、调试完）后七个工作日内进行验收，逾期不验收的，乙方可视同验收合格。验收合格后由甲乙双方签署货物验收单并加盖甲方公章，甲乙双方各执一份。</w:t>
      </w:r>
    </w:p>
    <w:p w14:paraId="78D08728">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2F8764A8">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6.甲方对验收有异议的，在验收后五个工作日内以书面形式向乙方提出，乙方应自收到甲方书面异议后日内及时予以解决。</w:t>
      </w:r>
    </w:p>
    <w:p w14:paraId="683BB095">
      <w:pPr>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第六条　安装和培训</w:t>
      </w:r>
    </w:p>
    <w:p w14:paraId="65A2805C">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1.甲方应提供必要安装条件（如场地、电源、水源等）。</w:t>
      </w:r>
    </w:p>
    <w:p w14:paraId="10A81E5A">
      <w:pPr>
        <w:snapToGrid w:val="0"/>
        <w:spacing w:line="360" w:lineRule="auto"/>
        <w:ind w:firstLine="436" w:firstLineChars="200"/>
        <w:rPr>
          <w:rFonts w:hint="eastAsia" w:ascii="宋体" w:hAnsi="宋体" w:eastAsia="宋体" w:cs="宋体"/>
          <w:color w:val="auto"/>
          <w:spacing w:val="-11"/>
          <w:sz w:val="24"/>
          <w:highlight w:val="none"/>
          <w:u w:val="single"/>
        </w:rPr>
      </w:pPr>
      <w:r>
        <w:rPr>
          <w:rFonts w:hint="eastAsia" w:ascii="宋体" w:hAnsi="宋体" w:eastAsia="宋体" w:cs="宋体"/>
          <w:color w:val="auto"/>
          <w:spacing w:val="-11"/>
          <w:sz w:val="24"/>
          <w:highlight w:val="none"/>
        </w:rPr>
        <w:t>2.乙方响应文件承诺负责甲方有关人员的培训。培训时间、地点：</w:t>
      </w:r>
      <w:r>
        <w:rPr>
          <w:rFonts w:hint="eastAsia" w:ascii="宋体" w:hAnsi="宋体" w:eastAsia="宋体" w:cs="宋体"/>
          <w:color w:val="auto"/>
          <w:sz w:val="24"/>
          <w:highlight w:val="none"/>
          <w:u w:val="single"/>
          <w:lang w:val="en-US" w:eastAsia="zh-CN"/>
        </w:rPr>
        <w:t xml:space="preserve"> 采购人指定时间、地点 </w:t>
      </w:r>
      <w:r>
        <w:rPr>
          <w:rFonts w:hint="eastAsia" w:ascii="宋体" w:hAnsi="宋体" w:eastAsia="宋体" w:cs="宋体"/>
          <w:color w:val="auto"/>
          <w:spacing w:val="-11"/>
          <w:sz w:val="24"/>
          <w:highlight w:val="none"/>
        </w:rPr>
        <w:t>。</w:t>
      </w:r>
    </w:p>
    <w:p w14:paraId="4C16E97B">
      <w:pPr>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第七条  售后服务、保修期</w:t>
      </w:r>
    </w:p>
    <w:p w14:paraId="6047F868">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1.乙方应按照国家有关法律法规和“三包”规定以及本合同所附的《服务承诺》，为甲方提供售后服务。</w:t>
      </w:r>
    </w:p>
    <w:p w14:paraId="7A07A8FF">
      <w:pPr>
        <w:snapToGrid w:val="0"/>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2.货物保修期：</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414352A9">
      <w:pPr>
        <w:snapToGrid w:val="0"/>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3.乙方提供的服务承诺和售后服务及保修期责任等其它具体约定事项。（见合同附件）</w:t>
      </w:r>
    </w:p>
    <w:p w14:paraId="51F4867D">
      <w:pPr>
        <w:snapToGrid w:val="0"/>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第八条　付款方式</w:t>
      </w:r>
    </w:p>
    <w:p w14:paraId="7A7536E2">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color w:val="auto"/>
          <w:sz w:val="24"/>
          <w:szCs w:val="24"/>
          <w:highlight w:val="none"/>
        </w:rPr>
        <w:t>.当采购数量与实际使用数量不一致时，乙方应根据实际使用量供货，合同的最终结算金额按实际使用量乘以成交单价进行计算，但不得超出合同价的10%。</w:t>
      </w:r>
    </w:p>
    <w:p w14:paraId="48F0109E">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color w:val="auto"/>
          <w:sz w:val="24"/>
          <w:szCs w:val="24"/>
          <w:highlight w:val="none"/>
        </w:rPr>
        <w:t>付款方式：签订合同后，</w:t>
      </w:r>
      <w:r>
        <w:rPr>
          <w:rFonts w:hint="default" w:ascii="宋体" w:hAnsi="宋体" w:eastAsia="宋体" w:cs="宋体"/>
          <w:color w:val="auto"/>
          <w:sz w:val="24"/>
          <w:szCs w:val="24"/>
          <w:highlight w:val="none"/>
          <w:lang w:val="en" w:eastAsia="zh-CN"/>
        </w:rPr>
        <w:t>成交</w:t>
      </w:r>
      <w:r>
        <w:rPr>
          <w:rFonts w:hint="eastAsia" w:ascii="宋体" w:hAnsi="宋体" w:eastAsia="宋体" w:cs="宋体"/>
          <w:color w:val="auto"/>
          <w:sz w:val="24"/>
          <w:szCs w:val="24"/>
          <w:highlight w:val="none"/>
        </w:rPr>
        <w:t>供应商完成项目且验收合格后，</w:t>
      </w:r>
      <w:r>
        <w:rPr>
          <w:rFonts w:hint="default" w:ascii="宋体" w:hAnsi="宋体" w:eastAsia="宋体" w:cs="宋体"/>
          <w:color w:val="auto"/>
          <w:sz w:val="24"/>
          <w:szCs w:val="24"/>
          <w:highlight w:val="none"/>
          <w:lang w:val="en" w:eastAsia="zh-CN"/>
        </w:rPr>
        <w:t>成交</w:t>
      </w:r>
      <w:r>
        <w:rPr>
          <w:rFonts w:hint="eastAsia" w:ascii="宋体" w:hAnsi="宋体" w:eastAsia="宋体" w:cs="宋体"/>
          <w:color w:val="auto"/>
          <w:sz w:val="24"/>
          <w:szCs w:val="24"/>
          <w:highlight w:val="none"/>
        </w:rPr>
        <w:t>供应商开具合格发票并提供履约保证金转账凭证后一次性支付。</w:t>
      </w:r>
    </w:p>
    <w:p w14:paraId="078322B7">
      <w:pPr>
        <w:snapToGrid w:val="0"/>
        <w:spacing w:line="360" w:lineRule="auto"/>
        <w:ind w:left="-61" w:firstLine="514"/>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第九条  履约保证金</w:t>
      </w:r>
    </w:p>
    <w:p w14:paraId="6523E20A">
      <w:pPr>
        <w:pStyle w:val="15"/>
        <w:keepNext w:val="0"/>
        <w:keepLines w:val="0"/>
        <w:pageBreakBefore w:val="0"/>
        <w:widowControl w:val="0"/>
        <w:kinsoku/>
        <w:wordWrap/>
        <w:overflowPunct/>
        <w:topLinePunct w:val="0"/>
        <w:autoSpaceDE/>
        <w:autoSpaceDN/>
        <w:bidi w:val="0"/>
        <w:adjustRightInd/>
        <w:snapToGrid w:val="0"/>
        <w:spacing w:line="360" w:lineRule="auto"/>
        <w:ind w:left="0" w:leftChars="0" w:right="0" w:firstLine="480" w:firstLineChars="200"/>
        <w:textAlignment w:val="auto"/>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pacing w:val="0"/>
          <w:sz w:val="24"/>
          <w:szCs w:val="24"/>
          <w:highlight w:val="none"/>
        </w:rPr>
        <w:t>.本合同签订后，乙方应向甲方支付</w:t>
      </w:r>
      <w:r>
        <w:rPr>
          <w:rFonts w:hint="eastAsia" w:asciiTheme="minorEastAsia" w:hAnsiTheme="minorEastAsia" w:eastAsiaTheme="minorEastAsia" w:cstheme="minorEastAsia"/>
          <w:color w:val="auto"/>
          <w:spacing w:val="0"/>
          <w:sz w:val="24"/>
          <w:szCs w:val="24"/>
          <w:highlight w:val="none"/>
          <w:lang w:eastAsia="zh-CN"/>
        </w:rPr>
        <w:t>合同合计金额</w:t>
      </w:r>
      <w:r>
        <w:rPr>
          <w:rFonts w:hint="eastAsia" w:asciiTheme="minorEastAsia" w:hAnsiTheme="minorEastAsia" w:eastAsiaTheme="minorEastAsia" w:cstheme="minorEastAsia"/>
          <w:color w:val="auto"/>
          <w:spacing w:val="0"/>
          <w:sz w:val="24"/>
          <w:szCs w:val="24"/>
          <w:highlight w:val="none"/>
          <w:u w:val="single"/>
          <w:lang w:val="en-US" w:eastAsia="zh-CN"/>
        </w:rPr>
        <w:t xml:space="preserve"> </w:t>
      </w:r>
      <w:r>
        <w:rPr>
          <w:rFonts w:hint="eastAsia" w:asciiTheme="minorEastAsia" w:hAnsiTheme="minorEastAsia" w:eastAsiaTheme="minorEastAsia" w:cstheme="minorEastAsia"/>
          <w:b/>
          <w:bCs/>
          <w:color w:val="auto"/>
          <w:spacing w:val="0"/>
          <w:sz w:val="24"/>
          <w:szCs w:val="24"/>
          <w:highlight w:val="none"/>
          <w:u w:val="single"/>
          <w:lang w:val="en-US" w:eastAsia="zh-CN"/>
        </w:rPr>
        <w:t xml:space="preserve">   </w:t>
      </w:r>
      <w:r>
        <w:rPr>
          <w:rFonts w:hint="eastAsia" w:asciiTheme="minorEastAsia" w:hAnsiTheme="minorEastAsia" w:eastAsiaTheme="minorEastAsia" w:cstheme="minorEastAsia"/>
          <w:b/>
          <w:bCs/>
          <w:color w:val="auto"/>
          <w:spacing w:val="0"/>
          <w:sz w:val="24"/>
          <w:szCs w:val="24"/>
          <w:highlight w:val="none"/>
          <w:u w:val="single"/>
        </w:rPr>
        <w:t>%</w:t>
      </w:r>
      <w:r>
        <w:rPr>
          <w:rFonts w:hint="eastAsia" w:asciiTheme="minorEastAsia" w:hAnsiTheme="minorEastAsia" w:eastAsiaTheme="minorEastAsia" w:cstheme="minorEastAsia"/>
          <w:b/>
          <w:bCs/>
          <w:color w:val="auto"/>
          <w:spacing w:val="0"/>
          <w:sz w:val="24"/>
          <w:szCs w:val="24"/>
          <w:highlight w:val="none"/>
          <w:u w:val="single"/>
          <w:lang w:val="en-US" w:eastAsia="zh-CN"/>
        </w:rPr>
        <w:t xml:space="preserve"> </w:t>
      </w:r>
      <w:r>
        <w:rPr>
          <w:rFonts w:hint="eastAsia" w:asciiTheme="minorEastAsia" w:hAnsiTheme="minorEastAsia" w:eastAsiaTheme="minorEastAsia" w:cstheme="minorEastAsia"/>
          <w:color w:val="auto"/>
          <w:spacing w:val="0"/>
          <w:sz w:val="24"/>
          <w:szCs w:val="24"/>
          <w:highlight w:val="none"/>
        </w:rPr>
        <w:t xml:space="preserve">的履约保证金，作为乙方认真履行合同条款的保证。 </w:t>
      </w:r>
    </w:p>
    <w:p w14:paraId="11B081AF">
      <w:pPr>
        <w:pStyle w:val="15"/>
        <w:keepNext w:val="0"/>
        <w:keepLines w:val="0"/>
        <w:pageBreakBefore w:val="0"/>
        <w:widowControl w:val="0"/>
        <w:kinsoku/>
        <w:wordWrap/>
        <w:overflowPunct/>
        <w:topLinePunct w:val="0"/>
        <w:autoSpaceDE/>
        <w:autoSpaceDN/>
        <w:bidi w:val="0"/>
        <w:adjustRightInd/>
        <w:snapToGrid w:val="0"/>
        <w:spacing w:line="360" w:lineRule="auto"/>
        <w:ind w:left="0" w:leftChars="0" w:right="0" w:firstLine="480" w:firstLineChars="200"/>
        <w:textAlignment w:val="auto"/>
        <w:rPr>
          <w:rFonts w:hint="eastAsia" w:asciiTheme="minorEastAsia" w:hAnsiTheme="minorEastAsia" w:eastAsiaTheme="minorEastAsia" w:cstheme="minorEastAsia"/>
          <w:color w:val="auto"/>
          <w:spacing w:val="0"/>
          <w:sz w:val="24"/>
          <w:szCs w:val="24"/>
          <w:highlight w:val="none"/>
        </w:rPr>
      </w:pPr>
      <w:r>
        <w:rPr>
          <w:rFonts w:hint="eastAsia" w:asciiTheme="minorEastAsia" w:hAnsiTheme="minorEastAsia" w:eastAsiaTheme="minorEastAsia" w:cstheme="minorEastAsia"/>
          <w:color w:val="auto"/>
          <w:spacing w:val="0"/>
          <w:sz w:val="24"/>
          <w:szCs w:val="24"/>
          <w:highlight w:val="none"/>
        </w:rPr>
        <w:t>2.</w:t>
      </w:r>
      <w:r>
        <w:rPr>
          <w:rFonts w:hint="eastAsia" w:asciiTheme="minorEastAsia" w:hAnsiTheme="minorEastAsia" w:eastAsiaTheme="minorEastAsia" w:cstheme="minorEastAsia"/>
          <w:b w:val="0"/>
          <w:bCs w:val="0"/>
          <w:color w:val="auto"/>
          <w:sz w:val="24"/>
          <w:szCs w:val="24"/>
          <w:highlight w:val="none"/>
        </w:rPr>
        <w:t>乙方未完全履行本合同约定义务的，履约保证金不予退还。乙方完全履行合同义务后，仍应对项目出现的质量、安全及服务问题负责整改，并承担由此产生的一切费用。项目在验收合格且质保期满后，甲方凭乙方提交的退款申请书及履约保证金汇款（转账）凭证复印件，无息退还履约保证金。</w:t>
      </w:r>
    </w:p>
    <w:p w14:paraId="552C1EFD">
      <w:pPr>
        <w:snapToGrid w:val="0"/>
        <w:spacing w:line="360" w:lineRule="auto"/>
        <w:ind w:left="-61" w:firstLine="514"/>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第十条  税费</w:t>
      </w:r>
    </w:p>
    <w:p w14:paraId="1AB820F3">
      <w:pPr>
        <w:snapToGrid w:val="0"/>
        <w:spacing w:line="360" w:lineRule="auto"/>
        <w:ind w:left="-61" w:firstLine="514"/>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本合同执行中相关的一切税费均由乙方负担，合同另有约定的除外。</w:t>
      </w:r>
    </w:p>
    <w:p w14:paraId="3B5AC1DB">
      <w:pPr>
        <w:snapToGrid w:val="0"/>
        <w:spacing w:line="360" w:lineRule="auto"/>
        <w:ind w:left="-61" w:firstLine="514"/>
        <w:rPr>
          <w:rFonts w:hint="eastAsia" w:ascii="宋体" w:hAnsi="宋体" w:eastAsia="宋体" w:cs="宋体"/>
          <w:color w:val="auto"/>
          <w:sz w:val="24"/>
          <w:highlight w:val="none"/>
        </w:rPr>
      </w:pPr>
      <w:r>
        <w:rPr>
          <w:rFonts w:hint="eastAsia" w:ascii="宋体" w:hAnsi="宋体" w:eastAsia="宋体" w:cs="宋体"/>
          <w:b/>
          <w:color w:val="auto"/>
          <w:sz w:val="24"/>
          <w:highlight w:val="none"/>
        </w:rPr>
        <w:t>第十一条  质量保证及售后服务</w:t>
      </w:r>
    </w:p>
    <w:p w14:paraId="6809ECE6">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color w:val="auto"/>
          <w:sz w:val="24"/>
          <w:szCs w:val="24"/>
          <w:highlight w:val="none"/>
        </w:rPr>
        <w:t>乙方应按竞争性谈判文件规定的产品名称、商标品牌、生产厂家、规格型号、技术参数、质量标准向甲方提供未经使用的全新产品。不符合要求的，根据实际情况，经双方协商，可按以下办法处理：</w:t>
      </w:r>
    </w:p>
    <w:p w14:paraId="2432CD2E">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⑴更换：由乙方承担所发生的全部费用。</w:t>
      </w:r>
    </w:p>
    <w:p w14:paraId="51C792C2">
      <w:pPr>
        <w:pStyle w:val="15"/>
        <w:snapToGrid w:val="0"/>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⑵贬值处理：由甲乙双方合议定价。</w:t>
      </w:r>
    </w:p>
    <w:p w14:paraId="114256A2">
      <w:pPr>
        <w:pStyle w:val="15"/>
        <w:snapToGrid w:val="0"/>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⑶退货处理：乙方应退还甲方支付的合同款，同时应承担该货物的直接费用（运输、保险、检验、货款利息及银行手续费等）。</w:t>
      </w:r>
    </w:p>
    <w:p w14:paraId="03E673A7">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2.如在使用过程中发生质量问题，乙方在接到甲方通知后到达甲方现场处理的时间（</w:t>
      </w:r>
      <w:r>
        <w:rPr>
          <w:rFonts w:hint="eastAsia" w:ascii="宋体" w:hAnsi="宋体" w:eastAsia="宋体" w:cs="宋体"/>
          <w:color w:val="auto"/>
          <w:sz w:val="24"/>
          <w:szCs w:val="24"/>
          <w:highlight w:val="none"/>
          <w:u w:val="single"/>
        </w:rPr>
        <w:t>按响应文件承诺的数据填写</w:t>
      </w:r>
      <w:r>
        <w:rPr>
          <w:rFonts w:hint="eastAsia" w:ascii="宋体" w:hAnsi="宋体" w:eastAsia="宋体" w:cs="宋体"/>
          <w:color w:val="auto"/>
          <w:sz w:val="24"/>
          <w:szCs w:val="24"/>
          <w:highlight w:val="none"/>
        </w:rPr>
        <w:t>）小时内。</w:t>
      </w:r>
    </w:p>
    <w:p w14:paraId="49AF613A">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3.在保修期内，乙方应对货物出现的质量及安全问题负责处理解决并承担一切费用。</w:t>
      </w:r>
    </w:p>
    <w:p w14:paraId="730E5618">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4.上述的货物保修期为年，因人为因素出现的故障不在免费保修范围内。超过保修期的机器设备，终生维修，维修时只收部件成本费。</w:t>
      </w:r>
    </w:p>
    <w:p w14:paraId="70C9CE46">
      <w:pPr>
        <w:snapToGrid w:val="0"/>
        <w:spacing w:line="360" w:lineRule="auto"/>
        <w:ind w:left="-61" w:firstLine="514"/>
        <w:rPr>
          <w:rFonts w:hint="eastAsia" w:ascii="宋体" w:hAnsi="宋体" w:eastAsia="宋体" w:cs="宋体"/>
          <w:color w:val="auto"/>
          <w:sz w:val="24"/>
          <w:highlight w:val="none"/>
        </w:rPr>
      </w:pPr>
      <w:r>
        <w:rPr>
          <w:rFonts w:hint="eastAsia" w:ascii="宋体" w:hAnsi="宋体" w:eastAsia="宋体" w:cs="宋体"/>
          <w:b/>
          <w:color w:val="auto"/>
          <w:sz w:val="24"/>
          <w:highlight w:val="none"/>
        </w:rPr>
        <w:t>第十二条  调试和验收</w:t>
      </w:r>
    </w:p>
    <w:p w14:paraId="3F384C2C">
      <w:pPr>
        <w:pStyle w:val="15"/>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对乙方提交的货物依据竞争性谈判文件上的技术规格要求和国家有关质量标准进行现场初步验收，外观、说明书符合竞争性谈判文件技术要求的，给予签收，初步验收不合格的不予签收。货到后，甲方应当在到货（安装、调试完）后七个工作日内进行验收。</w:t>
      </w:r>
    </w:p>
    <w:p w14:paraId="289137C3">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2.乙方交货前应对产品作出全面检查和对验收文件进行整理，并列出清单，作为甲方收货验收和使用的技术条件依据，检验的结果应随货物交甲方。</w:t>
      </w:r>
    </w:p>
    <w:p w14:paraId="26ADBB39">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3.甲方对乙方提供的货物在使用前进行调试时，乙方需负责安装并培训甲方的使用操作人员，并协助甲方一起调试，直到符合技术要求，甲方才做最终验收。</w:t>
      </w:r>
    </w:p>
    <w:p w14:paraId="3959E89C">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4.对技术复杂的货物，甲方应请国家认可的专业检测机构参与初步验收及最终验收，并由其出具质量检测报告。</w:t>
      </w:r>
    </w:p>
    <w:p w14:paraId="6A8585B1">
      <w:pPr>
        <w:snapToGrid w:val="0"/>
        <w:spacing w:line="360" w:lineRule="auto"/>
        <w:ind w:left="-61" w:firstLine="514"/>
        <w:rPr>
          <w:rFonts w:hint="eastAsia" w:ascii="宋体" w:hAnsi="宋体" w:eastAsia="宋体" w:cs="宋体"/>
          <w:color w:val="auto"/>
          <w:sz w:val="24"/>
          <w:highlight w:val="none"/>
        </w:rPr>
      </w:pPr>
      <w:r>
        <w:rPr>
          <w:rFonts w:hint="eastAsia" w:ascii="宋体" w:hAnsi="宋体" w:eastAsia="宋体" w:cs="宋体"/>
          <w:color w:val="auto"/>
          <w:sz w:val="24"/>
          <w:highlight w:val="none"/>
        </w:rPr>
        <w:t>5.验收时乙方必须在现场，验收完毕后作出验收结果报告；验收费用按竞争性谈判文件约定承担方负责。</w:t>
      </w:r>
    </w:p>
    <w:p w14:paraId="15EBD65B">
      <w:pPr>
        <w:pStyle w:val="15"/>
        <w:snapToGrid w:val="0"/>
        <w:spacing w:line="360" w:lineRule="auto"/>
        <w:ind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第十三条  货物包装、发运及运输</w:t>
      </w:r>
    </w:p>
    <w:p w14:paraId="5F657439">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1.乙方应在货物发运前对其进行满足运输距离、防潮、防震、防锈和防破损装卸等要求包装，以保证货物安全运达甲方指定地点。</w:t>
      </w:r>
    </w:p>
    <w:p w14:paraId="68E58DE9">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2.使用说明书（货物属于进口产品的，供货时应同时附上中文使用说明书）、质量检验证明书、随配附件和工具以及清单一并附于货物内。</w:t>
      </w:r>
    </w:p>
    <w:p w14:paraId="0789796F">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3.乙方在货物发运手续办理完毕后二十四小时内或者货到甲方四十八小时前通知甲方，以准备接货。</w:t>
      </w:r>
    </w:p>
    <w:p w14:paraId="331F1F24">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4.货物在交付甲方前发生的风险均由乙方负责。</w:t>
      </w:r>
    </w:p>
    <w:p w14:paraId="3CC9D531">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5.货物在规定的交付期限内由乙方送达甲方指定的地点视为交付，乙方同时需通知甲方货物已送达。</w:t>
      </w:r>
    </w:p>
    <w:p w14:paraId="3B35554F">
      <w:pPr>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第十四条　违约责任</w:t>
      </w:r>
    </w:p>
    <w:p w14:paraId="6404F6E1">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乙方所提供的产品名称、商标品牌、生产厂家、规格型号、技术参数等质量不合格的，应及时更换，更换不及时的按逾期交货处罚；因质量问题甲方不同意接收的或者特殊情况甲方同意接收的，乙方应向甲方支付违约货款额 5%违约金并赔偿甲方经济损失。                                       </w:t>
      </w:r>
    </w:p>
    <w:p w14:paraId="5C3D6FC0">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2.乙方提供的货物如侵犯了第三方合法权益而引发的任何纠纷或者诉讼，均由乙方负责交涉并承担全部责任。</w:t>
      </w:r>
    </w:p>
    <w:p w14:paraId="10941B60">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3.因包装、运输引起的货物损坏，按质量不合格处罚。</w:t>
      </w:r>
    </w:p>
    <w:p w14:paraId="04C15DDE">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甲方无故延期接收货物、乙方逾期交货的，每天向对方偿付违约货款额3‰违约金，但违约金累计不得超过违约货款额5%，超过天对方有权解除合同，违约方承担因此给对方造成经济损失；甲方延期付货款的，每天向乙方偿付延期货款额3‰滞纳金，但滞纳金累计不得超过延期货款额5%。甲方无故延期退付履约保证金的，每天向对方偿付未退付履约保证金3‰的违约金。</w:t>
      </w:r>
    </w:p>
    <w:p w14:paraId="6B1C47DA">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5.乙方未按本合同和响应文件中规定的服务承诺提供售后服务的，乙方应按本合同合计金额 5%向甲方支付违约金。</w:t>
      </w:r>
    </w:p>
    <w:p w14:paraId="4464E3E1">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6.乙方提供的货物在保修期内，因设计、工艺或者材料的缺陷和其它质量原因造成的问题，由乙方负责，费用从余款或者履约保证金中扣除，不足另补。</w:t>
      </w:r>
    </w:p>
    <w:p w14:paraId="1BFA42DE">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7.甲乙双方有其它违约行为的，由违约方向对方支付违约内容涉及货款额的5%，违约内容涉及货款额的5%不足以赔偿经济损失的按实际赔偿。</w:t>
      </w:r>
    </w:p>
    <w:p w14:paraId="0473E3FE">
      <w:pPr>
        <w:pStyle w:val="15"/>
        <w:snapToGrid w:val="0"/>
        <w:spacing w:line="360" w:lineRule="auto"/>
        <w:ind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第十五条  不可抗力事件处理</w:t>
      </w:r>
    </w:p>
    <w:p w14:paraId="42C8B37D">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1.在合同有效期内，任何一方因不可抗力事件导致不能履行合同，则合同履行期可延长，其延长期与不可抗力影响期相同。</w:t>
      </w:r>
    </w:p>
    <w:p w14:paraId="029AA2A8">
      <w:pPr>
        <w:pStyle w:val="15"/>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2.不可抗力事件发生后，应立即通知对方，并寄送有关权威机构出具的证明。</w:t>
      </w:r>
    </w:p>
    <w:p w14:paraId="0402D43E">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3.不可抗力事件延续一百二十天以上，双方应通过友好协商，确定是否继续履行合同。</w:t>
      </w:r>
    </w:p>
    <w:p w14:paraId="1185BCB5">
      <w:pPr>
        <w:snapToGrid w:val="0"/>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第十六条  合同争议解决</w:t>
      </w:r>
    </w:p>
    <w:p w14:paraId="0A1327C0">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1.因货物质量问题发生争议的，应邀请国家认可的质量检测机构对货物质量进行鉴定。货物符合标准的，鉴定费由甲方承担；货物不符合标准的，鉴定费由乙方承担。</w:t>
      </w:r>
    </w:p>
    <w:p w14:paraId="36FA2465">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2.因履行本合同引起的或者与本合同有关的争议，甲乙双方应首先通过友好协商解决，如果协商不能解决，可向甲方所在地人民法院提起诉讼。</w:t>
      </w:r>
    </w:p>
    <w:p w14:paraId="6938BDC1">
      <w:pPr>
        <w:snapToGrid w:val="0"/>
        <w:spacing w:line="360" w:lineRule="auto"/>
        <w:ind w:left="-61" w:firstLine="514"/>
        <w:rPr>
          <w:rFonts w:hint="eastAsia" w:ascii="宋体" w:hAnsi="宋体" w:eastAsia="宋体" w:cs="宋体"/>
          <w:color w:val="auto"/>
          <w:sz w:val="24"/>
          <w:highlight w:val="none"/>
        </w:rPr>
      </w:pPr>
      <w:r>
        <w:rPr>
          <w:rFonts w:hint="eastAsia" w:ascii="宋体" w:hAnsi="宋体" w:eastAsia="宋体" w:cs="宋体"/>
          <w:color w:val="auto"/>
          <w:sz w:val="24"/>
          <w:highlight w:val="none"/>
        </w:rPr>
        <w:t>3.诉讼期间，本合同继续履行。</w:t>
      </w:r>
    </w:p>
    <w:p w14:paraId="6A2931A4">
      <w:pPr>
        <w:pStyle w:val="15"/>
        <w:snapToGrid w:val="0"/>
        <w:spacing w:line="360" w:lineRule="auto"/>
        <w:ind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第十七条  合同生效及其它</w:t>
      </w:r>
    </w:p>
    <w:p w14:paraId="4D7851F0">
      <w:pPr>
        <w:pStyle w:val="15"/>
        <w:snapToGrid w:val="0"/>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 合同经双方法定代表人或者委托代理人签字并加盖单位公章后生效（委托代理人签字的需后附授权委托书，格式自拟）。</w:t>
      </w:r>
    </w:p>
    <w:p w14:paraId="6947F183">
      <w:pPr>
        <w:pStyle w:val="15"/>
        <w:snapToGrid w:val="0"/>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2.合同执行中涉及采购资金和采购内容修改或者补充的，须经财政部门审批，并签书面补充协议报财政部门备案，方可作为主合同不可分割的一部分。</w:t>
      </w:r>
    </w:p>
    <w:p w14:paraId="6D136963">
      <w:pPr>
        <w:pStyle w:val="15"/>
        <w:snapToGrid w:val="0"/>
        <w:spacing w:line="360" w:lineRule="auto"/>
        <w:ind w:left="283" w:leftChars="135" w:firstLine="143"/>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3.本合同未尽事宜，遵照《中华人民共和国民法典》有关条文执行。</w:t>
      </w:r>
    </w:p>
    <w:p w14:paraId="1256C6B9">
      <w:pPr>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第十八条　合同的变更、终止与转让</w:t>
      </w:r>
    </w:p>
    <w:p w14:paraId="5D0ACFAE">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1.除《中华人民共和国政府采购法》第五十条规定的情形外，本合同一经签订，甲乙双方不得擅自变更、中止或者终止。</w:t>
      </w:r>
    </w:p>
    <w:p w14:paraId="52E08129">
      <w:pPr>
        <w:snapToGrid w:val="0"/>
        <w:spacing w:line="360" w:lineRule="auto"/>
        <w:ind w:left="-61" w:firstLine="514"/>
        <w:rPr>
          <w:rFonts w:hint="eastAsia" w:ascii="宋体" w:hAnsi="宋体" w:eastAsia="宋体" w:cs="宋体"/>
          <w:color w:val="auto"/>
          <w:sz w:val="24"/>
          <w:highlight w:val="none"/>
        </w:rPr>
      </w:pPr>
      <w:r>
        <w:rPr>
          <w:rFonts w:hint="eastAsia" w:ascii="宋体" w:hAnsi="宋体" w:eastAsia="宋体" w:cs="宋体"/>
          <w:color w:val="auto"/>
          <w:sz w:val="24"/>
          <w:highlight w:val="none"/>
        </w:rPr>
        <w:t>2.乙方不得擅自转让（无进口资格的供应商委托进口货物除外）其应履行的合同义务。</w:t>
      </w:r>
    </w:p>
    <w:p w14:paraId="5277E665">
      <w:pPr>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第十九条　</w:t>
      </w:r>
      <w:r>
        <w:rPr>
          <w:rFonts w:hint="eastAsia" w:ascii="宋体" w:hAnsi="宋体" w:eastAsia="宋体" w:cs="宋体"/>
          <w:b/>
          <w:bCs/>
          <w:color w:val="auto"/>
          <w:kern w:val="0"/>
          <w:sz w:val="24"/>
          <w:highlight w:val="none"/>
        </w:rPr>
        <w:t>本合同书与下列文件一起构成合同文件</w:t>
      </w:r>
    </w:p>
    <w:p w14:paraId="6B67F43F">
      <w:pPr>
        <w:pStyle w:val="15"/>
        <w:snapToGrid w:val="0"/>
        <w:spacing w:line="360" w:lineRule="auto"/>
        <w:ind w:left="420" w:left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1.成交通知书；</w:t>
      </w:r>
    </w:p>
    <w:p w14:paraId="5B8F2192">
      <w:pPr>
        <w:pStyle w:val="15"/>
        <w:snapToGrid w:val="0"/>
        <w:spacing w:line="360" w:lineRule="auto"/>
        <w:ind w:left="420" w:left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2.竞标声明书；</w:t>
      </w:r>
    </w:p>
    <w:p w14:paraId="59513118">
      <w:pPr>
        <w:pStyle w:val="15"/>
        <w:snapToGrid w:val="0"/>
        <w:spacing w:line="360" w:lineRule="auto"/>
        <w:ind w:left="420" w:left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3.商务要求偏离表和技术要求偏离表；</w:t>
      </w:r>
    </w:p>
    <w:p w14:paraId="4E9238BA">
      <w:pPr>
        <w:pStyle w:val="15"/>
        <w:snapToGrid w:val="0"/>
        <w:spacing w:line="360" w:lineRule="auto"/>
        <w:ind w:left="420" w:left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4.采购需求；</w:t>
      </w:r>
    </w:p>
    <w:p w14:paraId="73F8D125">
      <w:pPr>
        <w:pStyle w:val="15"/>
        <w:snapToGrid w:val="0"/>
        <w:spacing w:line="360" w:lineRule="auto"/>
        <w:ind w:left="420" w:left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5.竞标报价表；</w:t>
      </w:r>
    </w:p>
    <w:p w14:paraId="6359FD1D">
      <w:pPr>
        <w:pStyle w:val="15"/>
        <w:snapToGrid w:val="0"/>
        <w:spacing w:line="360" w:lineRule="auto"/>
        <w:ind w:left="420" w:left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6.其他合同文件。</w:t>
      </w:r>
    </w:p>
    <w:p w14:paraId="0F6DBE73">
      <w:pPr>
        <w:pStyle w:val="15"/>
        <w:snapToGrid w:val="0"/>
        <w:spacing w:line="360" w:lineRule="auto"/>
        <w:ind w:firstLine="424" w:firstLineChars="177"/>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7.上述合同文件互相补充和解释。如果合同文件之间存在矛盾或者不一致之处，以上述文件的排列顺序在先者为准。</w:t>
      </w:r>
    </w:p>
    <w:p w14:paraId="07B7E6AC">
      <w:pPr>
        <w:snapToGrid w:val="0"/>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第二十条　</w:t>
      </w:r>
      <w:r>
        <w:rPr>
          <w:rFonts w:hint="eastAsia" w:ascii="宋体" w:hAnsi="宋体" w:eastAsia="宋体" w:cs="宋体"/>
          <w:color w:val="auto"/>
          <w:sz w:val="24"/>
          <w:highlight w:val="none"/>
        </w:rPr>
        <w:t>本合同一式</w:t>
      </w:r>
      <w:r>
        <w:rPr>
          <w:rFonts w:hint="eastAsia" w:ascii="宋体" w:hAnsi="宋体" w:eastAsia="宋体" w:cs="宋体"/>
          <w:color w:val="auto"/>
          <w:sz w:val="24"/>
          <w:highlight w:val="none"/>
          <w:lang w:val="en-US" w:eastAsia="zh-CN"/>
        </w:rPr>
        <w:t>六</w:t>
      </w:r>
      <w:r>
        <w:rPr>
          <w:rFonts w:hint="eastAsia" w:ascii="宋体" w:hAnsi="宋体" w:eastAsia="宋体" w:cs="宋体"/>
          <w:color w:val="auto"/>
          <w:sz w:val="24"/>
          <w:highlight w:val="none"/>
        </w:rPr>
        <w:t>份，具有同等法律效力，财政部门（政府采购监管部门）、采购代理机构各一份，甲乙双方各</w:t>
      </w:r>
      <w:r>
        <w:rPr>
          <w:rFonts w:hint="eastAsia" w:ascii="宋体" w:hAnsi="宋体" w:eastAsia="宋体" w:cs="宋体"/>
          <w:color w:val="auto"/>
          <w:sz w:val="24"/>
          <w:highlight w:val="none"/>
          <w:lang w:val="en-US" w:eastAsia="zh-CN"/>
        </w:rPr>
        <w:t>二</w:t>
      </w:r>
      <w:r>
        <w:rPr>
          <w:rFonts w:hint="eastAsia" w:ascii="宋体" w:hAnsi="宋体" w:eastAsia="宋体" w:cs="宋体"/>
          <w:color w:val="auto"/>
          <w:sz w:val="24"/>
          <w:highlight w:val="none"/>
        </w:rPr>
        <w:t>份（可根据需要另增加）。</w:t>
      </w:r>
    </w:p>
    <w:p w14:paraId="167F3587">
      <w:pPr>
        <w:snapToGrid w:val="0"/>
        <w:spacing w:line="360" w:lineRule="auto"/>
        <w:ind w:left="-61" w:firstLine="514"/>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本合同甲乙双方签字盖章后生效，自签订之日起七个工作日内，甲方应当将合同副本报同级财政部门备案。</w:t>
      </w:r>
    </w:p>
    <w:p w14:paraId="2C81723F">
      <w:pPr>
        <w:spacing w:line="360" w:lineRule="auto"/>
        <w:ind w:firstLine="480" w:firstLineChars="200"/>
        <w:rPr>
          <w:rFonts w:hint="eastAsia" w:ascii="宋体" w:hAnsi="宋体" w:eastAsia="宋体" w:cs="宋体"/>
          <w:color w:val="auto"/>
          <w:szCs w:val="21"/>
          <w:highlight w:val="none"/>
        </w:rPr>
      </w:pPr>
      <w:r>
        <w:rPr>
          <w:rFonts w:hint="eastAsia" w:ascii="宋体" w:hAnsi="宋体" w:eastAsia="宋体" w:cs="宋体"/>
          <w:color w:val="auto"/>
          <w:sz w:val="24"/>
          <w:highlight w:val="none"/>
        </w:rPr>
        <w:t>本合同自签订之日起2个工作日内，甲方应当将采购合同在同级财政部门指定的媒体上公告。</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08845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noWrap w:val="0"/>
            <w:vAlign w:val="center"/>
          </w:tcPr>
          <w:p w14:paraId="5C933417">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甲方（</w:t>
            </w:r>
            <w:r>
              <w:rPr>
                <w:rFonts w:hint="eastAsia" w:ascii="宋体" w:hAnsi="宋体" w:eastAsia="宋体" w:cs="宋体"/>
                <w:color w:val="auto"/>
                <w:sz w:val="24"/>
                <w:highlight w:val="none"/>
                <w:lang w:val="en-US" w:eastAsia="zh-CN"/>
              </w:rPr>
              <w:t>盖</w:t>
            </w:r>
            <w:r>
              <w:rPr>
                <w:rFonts w:hint="eastAsia" w:ascii="宋体" w:hAnsi="宋体" w:eastAsia="宋体" w:cs="宋体"/>
                <w:color w:val="auto"/>
                <w:sz w:val="24"/>
                <w:highlight w:val="none"/>
              </w:rPr>
              <w:t xml:space="preserve">章）           </w:t>
            </w:r>
          </w:p>
          <w:p w14:paraId="5F88E4CD">
            <w:pPr>
              <w:snapToGrid w:val="0"/>
              <w:spacing w:line="360" w:lineRule="auto"/>
              <w:rPr>
                <w:rFonts w:hint="eastAsia" w:ascii="宋体" w:hAnsi="宋体" w:eastAsia="宋体" w:cs="宋体"/>
                <w:color w:val="auto"/>
                <w:sz w:val="24"/>
                <w:highlight w:val="none"/>
              </w:rPr>
            </w:pPr>
          </w:p>
          <w:p w14:paraId="55AFDF41">
            <w:pPr>
              <w:snapToGrid w:val="0"/>
              <w:spacing w:line="360" w:lineRule="auto"/>
              <w:ind w:firstLine="1080" w:firstLineChars="45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tc>
        <w:tc>
          <w:tcPr>
            <w:tcW w:w="4517" w:type="dxa"/>
            <w:noWrap w:val="0"/>
            <w:vAlign w:val="center"/>
          </w:tcPr>
          <w:p w14:paraId="157FA906">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lang w:val="en-US" w:eastAsia="zh-CN"/>
              </w:rPr>
              <w:t>盖</w:t>
            </w:r>
            <w:r>
              <w:rPr>
                <w:rFonts w:hint="eastAsia" w:ascii="宋体" w:hAnsi="宋体" w:eastAsia="宋体" w:cs="宋体"/>
                <w:color w:val="auto"/>
                <w:sz w:val="24"/>
                <w:highlight w:val="none"/>
              </w:rPr>
              <w:t xml:space="preserve">章）              </w:t>
            </w:r>
          </w:p>
          <w:p w14:paraId="1EC11768">
            <w:pPr>
              <w:snapToGrid w:val="0"/>
              <w:spacing w:line="360" w:lineRule="auto"/>
              <w:rPr>
                <w:rFonts w:hint="eastAsia" w:ascii="宋体" w:hAnsi="宋体" w:eastAsia="宋体" w:cs="宋体"/>
                <w:color w:val="auto"/>
                <w:sz w:val="24"/>
                <w:highlight w:val="none"/>
              </w:rPr>
            </w:pPr>
          </w:p>
          <w:p w14:paraId="6115B13D">
            <w:pPr>
              <w:snapToGrid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14:paraId="24E4F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noWrap w:val="0"/>
            <w:vAlign w:val="center"/>
          </w:tcPr>
          <w:p w14:paraId="4574E754">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单位地址：</w:t>
            </w:r>
          </w:p>
        </w:tc>
        <w:tc>
          <w:tcPr>
            <w:tcW w:w="4517" w:type="dxa"/>
            <w:noWrap w:val="0"/>
            <w:vAlign w:val="center"/>
          </w:tcPr>
          <w:p w14:paraId="2EC326EB">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单位地址：</w:t>
            </w:r>
          </w:p>
        </w:tc>
      </w:tr>
      <w:tr w14:paraId="7DD8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noWrap w:val="0"/>
            <w:vAlign w:val="top"/>
          </w:tcPr>
          <w:p w14:paraId="37E13AF8">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法定代表人或者委托代理人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签字或盖章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t>
            </w:r>
          </w:p>
        </w:tc>
        <w:tc>
          <w:tcPr>
            <w:tcW w:w="4517" w:type="dxa"/>
            <w:noWrap w:val="0"/>
            <w:vAlign w:val="top"/>
          </w:tcPr>
          <w:p w14:paraId="0D74F780">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法定代表人或者委托代理人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签字或盖章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t>
            </w:r>
          </w:p>
        </w:tc>
      </w:tr>
      <w:tr w14:paraId="6A5C2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noWrap w:val="0"/>
            <w:vAlign w:val="center"/>
          </w:tcPr>
          <w:p w14:paraId="757AFE56">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电话：</w:t>
            </w:r>
          </w:p>
        </w:tc>
        <w:tc>
          <w:tcPr>
            <w:tcW w:w="4517" w:type="dxa"/>
            <w:noWrap w:val="0"/>
            <w:vAlign w:val="center"/>
          </w:tcPr>
          <w:p w14:paraId="2D8EA65E">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电话：</w:t>
            </w:r>
          </w:p>
        </w:tc>
      </w:tr>
      <w:tr w14:paraId="7F7F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noWrap w:val="0"/>
            <w:vAlign w:val="center"/>
          </w:tcPr>
          <w:p w14:paraId="06494BEF">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电子邮箱：</w:t>
            </w:r>
          </w:p>
        </w:tc>
        <w:tc>
          <w:tcPr>
            <w:tcW w:w="4517" w:type="dxa"/>
            <w:noWrap w:val="0"/>
            <w:vAlign w:val="center"/>
          </w:tcPr>
          <w:p w14:paraId="532AF98F">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电子邮箱：</w:t>
            </w:r>
          </w:p>
        </w:tc>
      </w:tr>
      <w:tr w14:paraId="007B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noWrap w:val="0"/>
            <w:vAlign w:val="center"/>
          </w:tcPr>
          <w:p w14:paraId="1F1ED699">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tc>
        <w:tc>
          <w:tcPr>
            <w:tcW w:w="4517" w:type="dxa"/>
            <w:noWrap w:val="0"/>
            <w:vAlign w:val="center"/>
          </w:tcPr>
          <w:p w14:paraId="0FA310BE">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tc>
      </w:tr>
      <w:tr w14:paraId="7886D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noWrap w:val="0"/>
            <w:vAlign w:val="center"/>
          </w:tcPr>
          <w:p w14:paraId="124EE72A">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账号：</w:t>
            </w:r>
          </w:p>
        </w:tc>
        <w:tc>
          <w:tcPr>
            <w:tcW w:w="4517" w:type="dxa"/>
            <w:noWrap w:val="0"/>
            <w:vAlign w:val="center"/>
          </w:tcPr>
          <w:p w14:paraId="34830571">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账号：</w:t>
            </w:r>
          </w:p>
        </w:tc>
      </w:tr>
      <w:tr w14:paraId="23FCF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noWrap w:val="0"/>
            <w:vAlign w:val="center"/>
          </w:tcPr>
          <w:p w14:paraId="090CE2DE">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4517" w:type="dxa"/>
            <w:noWrap w:val="0"/>
            <w:vAlign w:val="center"/>
          </w:tcPr>
          <w:p w14:paraId="79937DDC">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r>
    </w:tbl>
    <w:p w14:paraId="39BAA33C">
      <w:pPr>
        <w:spacing w:line="480" w:lineRule="auto"/>
        <w:jc w:val="center"/>
        <w:rPr>
          <w:rFonts w:hint="eastAsia" w:ascii="宋体" w:hAnsi="宋体" w:eastAsia="宋体" w:cs="宋体"/>
          <w:b/>
          <w:color w:val="auto"/>
          <w:kern w:val="1"/>
          <w:sz w:val="28"/>
          <w:szCs w:val="28"/>
          <w:highlight w:val="none"/>
        </w:rPr>
      </w:pPr>
    </w:p>
    <w:p w14:paraId="53AFE009">
      <w:pPr>
        <w:snapToGrid w:val="0"/>
        <w:spacing w:line="360" w:lineRule="exact"/>
        <w:jc w:val="center"/>
        <w:rPr>
          <w:rFonts w:hint="eastAsia" w:ascii="宋体" w:hAnsi="宋体"/>
          <w:b/>
          <w:szCs w:val="21"/>
          <w:highlight w:val="none"/>
        </w:rPr>
      </w:pPr>
    </w:p>
    <w:p w14:paraId="7F230C9D">
      <w:pPr>
        <w:snapToGrid w:val="0"/>
        <w:spacing w:line="360" w:lineRule="exact"/>
        <w:jc w:val="center"/>
        <w:rPr>
          <w:rFonts w:hint="eastAsia" w:ascii="宋体" w:hAnsi="宋体"/>
          <w:b/>
          <w:szCs w:val="21"/>
          <w:highlight w:val="none"/>
        </w:rPr>
      </w:pPr>
    </w:p>
    <w:p w14:paraId="7BD007C0">
      <w:pPr>
        <w:snapToGrid w:val="0"/>
        <w:spacing w:line="360" w:lineRule="exact"/>
        <w:jc w:val="center"/>
        <w:rPr>
          <w:rFonts w:hint="eastAsia" w:ascii="宋体" w:hAnsi="宋体"/>
          <w:b/>
          <w:szCs w:val="21"/>
          <w:highlight w:val="none"/>
        </w:rPr>
      </w:pPr>
    </w:p>
    <w:p w14:paraId="798A4C67">
      <w:pPr>
        <w:snapToGrid w:val="0"/>
        <w:spacing w:line="360" w:lineRule="exact"/>
        <w:jc w:val="center"/>
        <w:rPr>
          <w:rFonts w:hint="eastAsia" w:ascii="宋体" w:hAnsi="宋体"/>
          <w:b/>
          <w:szCs w:val="21"/>
          <w:highlight w:val="none"/>
        </w:rPr>
      </w:pPr>
    </w:p>
    <w:p w14:paraId="3EFEA9B4">
      <w:pPr>
        <w:snapToGrid w:val="0"/>
        <w:spacing w:line="360" w:lineRule="exact"/>
        <w:jc w:val="center"/>
        <w:rPr>
          <w:rFonts w:hint="eastAsia" w:ascii="宋体" w:hAnsi="宋体"/>
          <w:b/>
          <w:szCs w:val="21"/>
          <w:highlight w:val="none"/>
        </w:rPr>
      </w:pPr>
    </w:p>
    <w:p w14:paraId="46C1470F">
      <w:pPr>
        <w:snapToGrid w:val="0"/>
        <w:spacing w:line="360" w:lineRule="exact"/>
        <w:jc w:val="center"/>
        <w:rPr>
          <w:rFonts w:hint="eastAsia" w:ascii="宋体" w:hAnsi="宋体"/>
          <w:b/>
          <w:szCs w:val="21"/>
          <w:highlight w:val="none"/>
        </w:rPr>
      </w:pPr>
    </w:p>
    <w:p w14:paraId="092207A7">
      <w:pPr>
        <w:snapToGrid w:val="0"/>
        <w:spacing w:line="360" w:lineRule="exact"/>
        <w:jc w:val="center"/>
        <w:rPr>
          <w:rFonts w:hint="eastAsia" w:ascii="宋体" w:hAnsi="宋体"/>
          <w:b/>
          <w:szCs w:val="21"/>
          <w:highlight w:val="none"/>
        </w:rPr>
      </w:pPr>
    </w:p>
    <w:p w14:paraId="29284BA3">
      <w:pPr>
        <w:snapToGrid w:val="0"/>
        <w:spacing w:line="360" w:lineRule="exact"/>
        <w:jc w:val="center"/>
        <w:rPr>
          <w:rFonts w:hint="eastAsia" w:ascii="宋体" w:hAnsi="宋体"/>
          <w:b/>
          <w:szCs w:val="21"/>
          <w:highlight w:val="none"/>
        </w:rPr>
      </w:pPr>
    </w:p>
    <w:p w14:paraId="6EAD1836">
      <w:pPr>
        <w:snapToGrid w:val="0"/>
        <w:spacing w:line="360" w:lineRule="exact"/>
        <w:jc w:val="center"/>
        <w:rPr>
          <w:rFonts w:hint="eastAsia" w:ascii="宋体" w:hAnsi="宋体"/>
          <w:b/>
          <w:szCs w:val="21"/>
          <w:highlight w:val="none"/>
        </w:rPr>
      </w:pPr>
    </w:p>
    <w:p w14:paraId="47ADC93C">
      <w:pPr>
        <w:snapToGrid w:val="0"/>
        <w:spacing w:line="360" w:lineRule="exact"/>
        <w:jc w:val="center"/>
        <w:rPr>
          <w:rFonts w:hint="eastAsia" w:ascii="宋体" w:hAnsi="宋体"/>
          <w:b/>
          <w:szCs w:val="21"/>
          <w:highlight w:val="none"/>
        </w:rPr>
      </w:pPr>
    </w:p>
    <w:p w14:paraId="2113DEBC">
      <w:pPr>
        <w:snapToGrid w:val="0"/>
        <w:spacing w:line="360" w:lineRule="exact"/>
        <w:jc w:val="center"/>
        <w:rPr>
          <w:rFonts w:hint="eastAsia" w:ascii="宋体" w:hAnsi="宋体"/>
          <w:b/>
          <w:szCs w:val="21"/>
          <w:highlight w:val="none"/>
        </w:rPr>
      </w:pPr>
    </w:p>
    <w:p w14:paraId="5D2B4A32">
      <w:pPr>
        <w:snapToGrid w:val="0"/>
        <w:spacing w:line="360" w:lineRule="exact"/>
        <w:jc w:val="center"/>
        <w:rPr>
          <w:rFonts w:hint="eastAsia" w:ascii="宋体" w:hAnsi="宋体"/>
          <w:b/>
          <w:szCs w:val="21"/>
          <w:highlight w:val="none"/>
        </w:rPr>
      </w:pPr>
    </w:p>
    <w:p w14:paraId="54DEF7E3">
      <w:pPr>
        <w:snapToGrid w:val="0"/>
        <w:spacing w:line="360" w:lineRule="exact"/>
        <w:jc w:val="center"/>
        <w:rPr>
          <w:rFonts w:hint="eastAsia" w:ascii="宋体" w:hAnsi="宋体"/>
          <w:b/>
          <w:szCs w:val="21"/>
          <w:highlight w:val="none"/>
        </w:rPr>
      </w:pPr>
    </w:p>
    <w:p w14:paraId="44EA89BF">
      <w:pPr>
        <w:snapToGrid w:val="0"/>
        <w:spacing w:line="360" w:lineRule="exact"/>
        <w:jc w:val="center"/>
        <w:rPr>
          <w:rFonts w:hint="eastAsia" w:ascii="宋体" w:hAnsi="宋体"/>
          <w:b/>
          <w:szCs w:val="21"/>
          <w:highlight w:val="none"/>
        </w:rPr>
      </w:pPr>
    </w:p>
    <w:p w14:paraId="5AD18F75">
      <w:pPr>
        <w:snapToGrid w:val="0"/>
        <w:spacing w:line="360" w:lineRule="exact"/>
        <w:jc w:val="center"/>
        <w:rPr>
          <w:rFonts w:hint="eastAsia" w:ascii="宋体" w:hAnsi="宋体"/>
          <w:b/>
          <w:szCs w:val="21"/>
          <w:highlight w:val="none"/>
        </w:rPr>
      </w:pPr>
    </w:p>
    <w:p w14:paraId="7DA0E51C">
      <w:pPr>
        <w:snapToGrid w:val="0"/>
        <w:spacing w:line="360" w:lineRule="exact"/>
        <w:jc w:val="center"/>
        <w:rPr>
          <w:rFonts w:hint="eastAsia" w:ascii="宋体" w:hAnsi="宋体"/>
          <w:b/>
          <w:szCs w:val="21"/>
          <w:highlight w:val="none"/>
        </w:rPr>
      </w:pPr>
    </w:p>
    <w:p w14:paraId="48382C49">
      <w:pPr>
        <w:snapToGrid w:val="0"/>
        <w:spacing w:line="360" w:lineRule="exact"/>
        <w:jc w:val="center"/>
        <w:rPr>
          <w:rFonts w:hint="eastAsia" w:ascii="宋体" w:hAnsi="宋体"/>
          <w:b/>
          <w:szCs w:val="21"/>
          <w:highlight w:val="none"/>
        </w:rPr>
      </w:pPr>
    </w:p>
    <w:p w14:paraId="0E3B8A33">
      <w:pPr>
        <w:snapToGrid w:val="0"/>
        <w:spacing w:line="360" w:lineRule="exact"/>
        <w:jc w:val="center"/>
        <w:rPr>
          <w:rFonts w:hint="eastAsia" w:ascii="宋体" w:hAnsi="宋体"/>
          <w:b/>
          <w:szCs w:val="21"/>
          <w:highlight w:val="none"/>
        </w:rPr>
      </w:pPr>
    </w:p>
    <w:p w14:paraId="52626F87">
      <w:pPr>
        <w:snapToGrid w:val="0"/>
        <w:spacing w:line="360" w:lineRule="exact"/>
        <w:jc w:val="center"/>
        <w:rPr>
          <w:rFonts w:hint="eastAsia" w:ascii="宋体" w:hAnsi="宋体"/>
          <w:b/>
          <w:szCs w:val="21"/>
          <w:highlight w:val="none"/>
        </w:rPr>
      </w:pPr>
    </w:p>
    <w:p w14:paraId="3ECFF2D7">
      <w:pPr>
        <w:snapToGrid w:val="0"/>
        <w:spacing w:line="360" w:lineRule="exact"/>
        <w:jc w:val="center"/>
        <w:rPr>
          <w:rFonts w:hint="eastAsia" w:ascii="宋体" w:hAnsi="宋体"/>
          <w:b/>
          <w:szCs w:val="21"/>
          <w:highlight w:val="none"/>
        </w:rPr>
      </w:pPr>
    </w:p>
    <w:p w14:paraId="665BB883">
      <w:pPr>
        <w:snapToGrid w:val="0"/>
        <w:spacing w:line="360" w:lineRule="exact"/>
        <w:jc w:val="center"/>
        <w:rPr>
          <w:rFonts w:hint="eastAsia" w:ascii="宋体" w:hAnsi="宋体"/>
          <w:b/>
          <w:szCs w:val="21"/>
          <w:highlight w:val="none"/>
        </w:rPr>
      </w:pPr>
    </w:p>
    <w:p w14:paraId="4AE86E2D">
      <w:pPr>
        <w:snapToGrid w:val="0"/>
        <w:spacing w:line="360" w:lineRule="exact"/>
        <w:jc w:val="center"/>
        <w:rPr>
          <w:rFonts w:hint="eastAsia" w:ascii="宋体" w:hAnsi="宋体"/>
          <w:b/>
          <w:szCs w:val="21"/>
          <w:highlight w:val="none"/>
        </w:rPr>
      </w:pPr>
    </w:p>
    <w:p w14:paraId="64C8DF9E">
      <w:pPr>
        <w:snapToGrid w:val="0"/>
        <w:spacing w:line="360" w:lineRule="exact"/>
        <w:jc w:val="center"/>
        <w:rPr>
          <w:rFonts w:hint="eastAsia" w:ascii="宋体" w:hAnsi="宋体"/>
          <w:b/>
          <w:sz w:val="28"/>
          <w:szCs w:val="28"/>
          <w:highlight w:val="none"/>
        </w:rPr>
      </w:pPr>
      <w:r>
        <w:rPr>
          <w:rFonts w:hint="eastAsia" w:ascii="宋体" w:hAnsi="宋体"/>
          <w:b/>
          <w:sz w:val="28"/>
          <w:szCs w:val="28"/>
          <w:highlight w:val="none"/>
        </w:rPr>
        <w:t>合 同 附 件</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72"/>
        <w:gridCol w:w="4174"/>
      </w:tblGrid>
      <w:tr w14:paraId="21511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5000" w:type="pct"/>
            <w:gridSpan w:val="2"/>
            <w:tcBorders>
              <w:top w:val="single" w:color="auto" w:sz="4" w:space="0"/>
              <w:left w:val="single" w:color="auto" w:sz="4" w:space="0"/>
              <w:bottom w:val="single" w:color="auto" w:sz="4" w:space="0"/>
              <w:right w:val="single" w:color="auto" w:sz="4" w:space="0"/>
            </w:tcBorders>
            <w:noWrap w:val="0"/>
            <w:vAlign w:val="top"/>
          </w:tcPr>
          <w:p w14:paraId="7B913852">
            <w:pPr>
              <w:snapToGrid w:val="0"/>
              <w:spacing w:line="36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1、供应商承诺具体事项：</w:t>
            </w:r>
          </w:p>
          <w:p w14:paraId="0B3E6C94">
            <w:pPr>
              <w:snapToGrid w:val="0"/>
              <w:spacing w:line="360" w:lineRule="exact"/>
              <w:rPr>
                <w:rFonts w:hint="eastAsia" w:asciiTheme="minorEastAsia" w:hAnsiTheme="minorEastAsia" w:eastAsiaTheme="minorEastAsia" w:cstheme="minorEastAsia"/>
                <w:sz w:val="24"/>
                <w:szCs w:val="24"/>
                <w:highlight w:val="none"/>
              </w:rPr>
            </w:pPr>
          </w:p>
          <w:p w14:paraId="40CB7A23">
            <w:pPr>
              <w:snapToGrid w:val="0"/>
              <w:spacing w:line="360" w:lineRule="exact"/>
              <w:rPr>
                <w:rFonts w:hint="eastAsia" w:asciiTheme="minorEastAsia" w:hAnsiTheme="minorEastAsia" w:eastAsiaTheme="minorEastAsia" w:cstheme="minorEastAsia"/>
                <w:sz w:val="24"/>
                <w:szCs w:val="24"/>
                <w:highlight w:val="none"/>
              </w:rPr>
            </w:pPr>
          </w:p>
          <w:p w14:paraId="5279ED9E">
            <w:pPr>
              <w:snapToGrid w:val="0"/>
              <w:spacing w:line="360" w:lineRule="exact"/>
              <w:rPr>
                <w:rFonts w:hint="eastAsia" w:asciiTheme="minorEastAsia" w:hAnsiTheme="minorEastAsia" w:eastAsiaTheme="minorEastAsia" w:cstheme="minorEastAsia"/>
                <w:sz w:val="24"/>
                <w:szCs w:val="24"/>
                <w:highlight w:val="none"/>
              </w:rPr>
            </w:pPr>
          </w:p>
          <w:p w14:paraId="54DB1188">
            <w:pPr>
              <w:snapToGrid w:val="0"/>
              <w:spacing w:line="360" w:lineRule="exact"/>
              <w:rPr>
                <w:rFonts w:hint="eastAsia" w:asciiTheme="minorEastAsia" w:hAnsiTheme="minorEastAsia" w:eastAsiaTheme="minorEastAsia" w:cstheme="minorEastAsia"/>
                <w:sz w:val="24"/>
                <w:szCs w:val="24"/>
                <w:highlight w:val="none"/>
              </w:rPr>
            </w:pPr>
          </w:p>
          <w:p w14:paraId="5B301F75">
            <w:pPr>
              <w:snapToGrid w:val="0"/>
              <w:spacing w:line="360" w:lineRule="exact"/>
              <w:rPr>
                <w:rFonts w:hint="eastAsia" w:asciiTheme="minorEastAsia" w:hAnsiTheme="minorEastAsia" w:eastAsiaTheme="minorEastAsia" w:cstheme="minorEastAsia"/>
                <w:sz w:val="24"/>
                <w:szCs w:val="24"/>
                <w:highlight w:val="none"/>
              </w:rPr>
            </w:pPr>
          </w:p>
        </w:tc>
      </w:tr>
      <w:tr w14:paraId="1B195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5000" w:type="pct"/>
            <w:gridSpan w:val="2"/>
            <w:tcBorders>
              <w:top w:val="single" w:color="auto" w:sz="4" w:space="0"/>
              <w:left w:val="single" w:color="auto" w:sz="4" w:space="0"/>
              <w:bottom w:val="single" w:color="auto" w:sz="4" w:space="0"/>
              <w:right w:val="single" w:color="auto" w:sz="4" w:space="0"/>
            </w:tcBorders>
            <w:noWrap w:val="0"/>
            <w:vAlign w:val="top"/>
          </w:tcPr>
          <w:p w14:paraId="132FCFA0">
            <w:pPr>
              <w:snapToGrid w:val="0"/>
              <w:spacing w:line="36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2、售后服务具体事项：</w:t>
            </w:r>
          </w:p>
          <w:p w14:paraId="6BCCFA24">
            <w:pPr>
              <w:snapToGrid w:val="0"/>
              <w:spacing w:line="360" w:lineRule="exact"/>
              <w:rPr>
                <w:rFonts w:hint="eastAsia" w:asciiTheme="minorEastAsia" w:hAnsiTheme="minorEastAsia" w:eastAsiaTheme="minorEastAsia" w:cstheme="minorEastAsia"/>
                <w:sz w:val="24"/>
                <w:szCs w:val="24"/>
                <w:highlight w:val="none"/>
              </w:rPr>
            </w:pPr>
          </w:p>
          <w:p w14:paraId="0AFE0D39">
            <w:pPr>
              <w:snapToGrid w:val="0"/>
              <w:spacing w:line="360" w:lineRule="exact"/>
              <w:rPr>
                <w:rFonts w:hint="eastAsia" w:asciiTheme="minorEastAsia" w:hAnsiTheme="minorEastAsia" w:eastAsiaTheme="minorEastAsia" w:cstheme="minorEastAsia"/>
                <w:sz w:val="24"/>
                <w:szCs w:val="24"/>
                <w:highlight w:val="none"/>
              </w:rPr>
            </w:pPr>
          </w:p>
          <w:p w14:paraId="0005410F">
            <w:pPr>
              <w:snapToGrid w:val="0"/>
              <w:spacing w:line="360" w:lineRule="exact"/>
              <w:rPr>
                <w:rFonts w:hint="eastAsia" w:asciiTheme="minorEastAsia" w:hAnsiTheme="minorEastAsia" w:eastAsiaTheme="minorEastAsia" w:cstheme="minorEastAsia"/>
                <w:sz w:val="24"/>
                <w:szCs w:val="24"/>
                <w:highlight w:val="none"/>
              </w:rPr>
            </w:pPr>
          </w:p>
          <w:p w14:paraId="2E146483">
            <w:pPr>
              <w:snapToGrid w:val="0"/>
              <w:spacing w:line="360" w:lineRule="exact"/>
              <w:rPr>
                <w:rFonts w:hint="eastAsia" w:asciiTheme="minorEastAsia" w:hAnsiTheme="minorEastAsia" w:eastAsiaTheme="minorEastAsia" w:cstheme="minorEastAsia"/>
                <w:sz w:val="24"/>
                <w:szCs w:val="24"/>
                <w:highlight w:val="none"/>
              </w:rPr>
            </w:pPr>
          </w:p>
          <w:p w14:paraId="2D74F111">
            <w:pPr>
              <w:snapToGrid w:val="0"/>
              <w:spacing w:line="360" w:lineRule="exact"/>
              <w:rPr>
                <w:rFonts w:hint="eastAsia" w:asciiTheme="minorEastAsia" w:hAnsiTheme="minorEastAsia" w:eastAsiaTheme="minorEastAsia" w:cstheme="minorEastAsia"/>
                <w:sz w:val="24"/>
                <w:szCs w:val="24"/>
                <w:highlight w:val="none"/>
              </w:rPr>
            </w:pPr>
          </w:p>
        </w:tc>
      </w:tr>
      <w:tr w14:paraId="361F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trPr>
        <w:tc>
          <w:tcPr>
            <w:tcW w:w="5000" w:type="pct"/>
            <w:gridSpan w:val="2"/>
            <w:tcBorders>
              <w:top w:val="single" w:color="auto" w:sz="4" w:space="0"/>
              <w:left w:val="single" w:color="auto" w:sz="4" w:space="0"/>
              <w:bottom w:val="single" w:color="auto" w:sz="4" w:space="0"/>
              <w:right w:val="single" w:color="auto" w:sz="4" w:space="0"/>
            </w:tcBorders>
            <w:noWrap w:val="0"/>
            <w:vAlign w:val="top"/>
          </w:tcPr>
          <w:p w14:paraId="29685460">
            <w:pPr>
              <w:snapToGrid w:val="0"/>
              <w:spacing w:line="36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3、保修期责任：</w:t>
            </w:r>
          </w:p>
          <w:p w14:paraId="2712EE28">
            <w:pPr>
              <w:snapToGrid w:val="0"/>
              <w:spacing w:line="360" w:lineRule="exact"/>
              <w:rPr>
                <w:rFonts w:hint="eastAsia" w:asciiTheme="minorEastAsia" w:hAnsiTheme="minorEastAsia" w:eastAsiaTheme="minorEastAsia" w:cstheme="minorEastAsia"/>
                <w:sz w:val="24"/>
                <w:szCs w:val="24"/>
                <w:highlight w:val="none"/>
              </w:rPr>
            </w:pPr>
          </w:p>
          <w:p w14:paraId="0AB5AF15">
            <w:pPr>
              <w:snapToGrid w:val="0"/>
              <w:spacing w:line="360" w:lineRule="exact"/>
              <w:rPr>
                <w:rFonts w:hint="eastAsia" w:asciiTheme="minorEastAsia" w:hAnsiTheme="minorEastAsia" w:eastAsiaTheme="minorEastAsia" w:cstheme="minorEastAsia"/>
                <w:sz w:val="24"/>
                <w:szCs w:val="24"/>
                <w:highlight w:val="none"/>
              </w:rPr>
            </w:pPr>
          </w:p>
          <w:p w14:paraId="067CD3F8">
            <w:pPr>
              <w:snapToGrid w:val="0"/>
              <w:spacing w:line="360" w:lineRule="exact"/>
              <w:rPr>
                <w:rFonts w:hint="eastAsia" w:asciiTheme="minorEastAsia" w:hAnsiTheme="minorEastAsia" w:eastAsiaTheme="minorEastAsia" w:cstheme="minorEastAsia"/>
                <w:sz w:val="24"/>
                <w:szCs w:val="24"/>
                <w:highlight w:val="none"/>
              </w:rPr>
            </w:pPr>
          </w:p>
          <w:p w14:paraId="3001462F">
            <w:pPr>
              <w:snapToGrid w:val="0"/>
              <w:spacing w:line="360" w:lineRule="exact"/>
              <w:rPr>
                <w:rFonts w:hint="eastAsia" w:asciiTheme="minorEastAsia" w:hAnsiTheme="minorEastAsia" w:eastAsiaTheme="minorEastAsia" w:cstheme="minorEastAsia"/>
                <w:sz w:val="24"/>
                <w:szCs w:val="24"/>
                <w:highlight w:val="none"/>
              </w:rPr>
            </w:pPr>
          </w:p>
          <w:p w14:paraId="7597B24B">
            <w:pPr>
              <w:snapToGrid w:val="0"/>
              <w:spacing w:line="360" w:lineRule="exact"/>
              <w:rPr>
                <w:rFonts w:hint="eastAsia" w:asciiTheme="minorEastAsia" w:hAnsiTheme="minorEastAsia" w:eastAsiaTheme="minorEastAsia" w:cstheme="minorEastAsia"/>
                <w:sz w:val="24"/>
                <w:szCs w:val="24"/>
                <w:highlight w:val="none"/>
              </w:rPr>
            </w:pPr>
          </w:p>
        </w:tc>
      </w:tr>
      <w:tr w14:paraId="2797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trPr>
        <w:tc>
          <w:tcPr>
            <w:tcW w:w="5000" w:type="pct"/>
            <w:gridSpan w:val="2"/>
            <w:tcBorders>
              <w:top w:val="single" w:color="auto" w:sz="4" w:space="0"/>
              <w:left w:val="single" w:color="auto" w:sz="4" w:space="0"/>
              <w:bottom w:val="single" w:color="auto" w:sz="4" w:space="0"/>
              <w:right w:val="single" w:color="auto" w:sz="4" w:space="0"/>
            </w:tcBorders>
            <w:noWrap w:val="0"/>
            <w:vAlign w:val="top"/>
          </w:tcPr>
          <w:p w14:paraId="2B54A0F4">
            <w:pPr>
              <w:snapToGrid w:val="0"/>
              <w:spacing w:line="36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4、其他具体事项：</w:t>
            </w:r>
          </w:p>
          <w:p w14:paraId="6643AA68">
            <w:pPr>
              <w:snapToGrid w:val="0"/>
              <w:spacing w:line="360" w:lineRule="exact"/>
              <w:rPr>
                <w:rFonts w:hint="eastAsia" w:asciiTheme="minorEastAsia" w:hAnsiTheme="minorEastAsia" w:eastAsiaTheme="minorEastAsia" w:cstheme="minorEastAsia"/>
                <w:sz w:val="24"/>
                <w:szCs w:val="24"/>
                <w:highlight w:val="none"/>
              </w:rPr>
            </w:pPr>
          </w:p>
          <w:p w14:paraId="62F3F830">
            <w:pPr>
              <w:snapToGrid w:val="0"/>
              <w:spacing w:line="360" w:lineRule="exact"/>
              <w:rPr>
                <w:rFonts w:hint="eastAsia" w:asciiTheme="minorEastAsia" w:hAnsiTheme="minorEastAsia" w:eastAsiaTheme="minorEastAsia" w:cstheme="minorEastAsia"/>
                <w:sz w:val="24"/>
                <w:szCs w:val="24"/>
                <w:highlight w:val="none"/>
              </w:rPr>
            </w:pPr>
          </w:p>
          <w:p w14:paraId="139006EB">
            <w:pPr>
              <w:snapToGrid w:val="0"/>
              <w:spacing w:line="360" w:lineRule="exact"/>
              <w:rPr>
                <w:rFonts w:hint="eastAsia" w:asciiTheme="minorEastAsia" w:hAnsiTheme="minorEastAsia" w:eastAsiaTheme="minorEastAsia" w:cstheme="minorEastAsia"/>
                <w:sz w:val="24"/>
                <w:szCs w:val="24"/>
                <w:highlight w:val="none"/>
              </w:rPr>
            </w:pPr>
          </w:p>
          <w:p w14:paraId="5D70B799">
            <w:pPr>
              <w:snapToGrid w:val="0"/>
              <w:spacing w:line="360" w:lineRule="exact"/>
              <w:rPr>
                <w:rFonts w:hint="eastAsia" w:asciiTheme="minorEastAsia" w:hAnsiTheme="minorEastAsia" w:eastAsiaTheme="minorEastAsia" w:cstheme="minorEastAsia"/>
                <w:sz w:val="24"/>
                <w:szCs w:val="24"/>
                <w:highlight w:val="none"/>
              </w:rPr>
            </w:pPr>
          </w:p>
          <w:p w14:paraId="63CB0459">
            <w:pPr>
              <w:snapToGrid w:val="0"/>
              <w:spacing w:line="360" w:lineRule="exact"/>
              <w:rPr>
                <w:rFonts w:hint="eastAsia" w:asciiTheme="minorEastAsia" w:hAnsiTheme="minorEastAsia" w:eastAsiaTheme="minorEastAsia" w:cstheme="minorEastAsia"/>
                <w:sz w:val="24"/>
                <w:szCs w:val="24"/>
                <w:highlight w:val="none"/>
              </w:rPr>
            </w:pPr>
          </w:p>
        </w:tc>
      </w:tr>
      <w:tr w14:paraId="1CE96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5" w:hRule="atLeast"/>
        </w:trPr>
        <w:tc>
          <w:tcPr>
            <w:tcW w:w="2667" w:type="pct"/>
            <w:tcBorders>
              <w:top w:val="single" w:color="auto" w:sz="4" w:space="0"/>
              <w:left w:val="single" w:color="auto" w:sz="4" w:space="0"/>
              <w:bottom w:val="single" w:color="auto" w:sz="4" w:space="0"/>
              <w:right w:val="single" w:color="auto" w:sz="4" w:space="0"/>
            </w:tcBorders>
            <w:noWrap w:val="0"/>
            <w:vAlign w:val="center"/>
          </w:tcPr>
          <w:p w14:paraId="5D77E260">
            <w:pPr>
              <w:snapToGrid w:val="0"/>
              <w:spacing w:line="360" w:lineRule="exact"/>
              <w:ind w:firstLine="42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甲方（章）</w:t>
            </w:r>
          </w:p>
          <w:p w14:paraId="21A948C2">
            <w:pPr>
              <w:wordWrap w:val="0"/>
              <w:snapToGrid w:val="0"/>
              <w:spacing w:line="360" w:lineRule="exact"/>
              <w:ind w:firstLine="422"/>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p>
          <w:p w14:paraId="1F129BEE">
            <w:pPr>
              <w:snapToGrid w:val="0"/>
              <w:spacing w:line="360" w:lineRule="exact"/>
              <w:ind w:firstLine="422"/>
              <w:jc w:val="right"/>
              <w:rPr>
                <w:rFonts w:hint="eastAsia" w:asciiTheme="minorEastAsia" w:hAnsiTheme="minorEastAsia" w:eastAsiaTheme="minorEastAsia" w:cstheme="minorEastAsia"/>
                <w:sz w:val="24"/>
                <w:szCs w:val="24"/>
                <w:highlight w:val="none"/>
              </w:rPr>
            </w:pPr>
          </w:p>
          <w:p w14:paraId="64E0DC86">
            <w:pPr>
              <w:snapToGrid w:val="0"/>
              <w:spacing w:line="360" w:lineRule="exact"/>
              <w:ind w:firstLine="422"/>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p>
          <w:p w14:paraId="0C1090D8">
            <w:pPr>
              <w:snapToGrid w:val="0"/>
              <w:spacing w:line="360" w:lineRule="exact"/>
              <w:ind w:firstLine="422"/>
              <w:jc w:val="right"/>
              <w:rPr>
                <w:rFonts w:hint="eastAsia" w:asciiTheme="minorEastAsia" w:hAnsiTheme="minorEastAsia" w:eastAsiaTheme="minorEastAsia" w:cstheme="minorEastAsia"/>
                <w:sz w:val="24"/>
                <w:szCs w:val="24"/>
                <w:highlight w:val="none"/>
              </w:rPr>
            </w:pPr>
          </w:p>
          <w:p w14:paraId="16C0312B">
            <w:pPr>
              <w:snapToGrid w:val="0"/>
              <w:spacing w:line="360" w:lineRule="exact"/>
              <w:ind w:firstLine="422"/>
              <w:jc w:val="right"/>
              <w:rPr>
                <w:rFonts w:hint="eastAsia" w:asciiTheme="minorEastAsia" w:hAnsiTheme="minorEastAsia" w:eastAsiaTheme="minorEastAsia" w:cstheme="minorEastAsia"/>
                <w:sz w:val="24"/>
                <w:szCs w:val="24"/>
                <w:highlight w:val="none"/>
              </w:rPr>
            </w:pPr>
          </w:p>
          <w:p w14:paraId="65D78E51">
            <w:pPr>
              <w:snapToGrid w:val="0"/>
              <w:spacing w:line="360" w:lineRule="exact"/>
              <w:ind w:firstLine="422"/>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年   月   日 </w:t>
            </w:r>
          </w:p>
        </w:tc>
        <w:tc>
          <w:tcPr>
            <w:tcW w:w="2332" w:type="pct"/>
            <w:tcBorders>
              <w:top w:val="single" w:color="auto" w:sz="4" w:space="0"/>
              <w:left w:val="single" w:color="auto" w:sz="4" w:space="0"/>
              <w:bottom w:val="single" w:color="auto" w:sz="4" w:space="0"/>
              <w:right w:val="single" w:color="auto" w:sz="4" w:space="0"/>
            </w:tcBorders>
            <w:noWrap w:val="0"/>
            <w:vAlign w:val="center"/>
          </w:tcPr>
          <w:p w14:paraId="199AF5B5">
            <w:pPr>
              <w:snapToGrid w:val="0"/>
              <w:spacing w:line="360" w:lineRule="exact"/>
              <w:ind w:firstLine="42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乙方（章）</w:t>
            </w:r>
          </w:p>
          <w:p w14:paraId="1ECE87BE">
            <w:pPr>
              <w:snapToGrid w:val="0"/>
              <w:spacing w:line="360" w:lineRule="exact"/>
              <w:ind w:firstLine="422"/>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w:t>
            </w:r>
          </w:p>
          <w:p w14:paraId="6DA30097">
            <w:pPr>
              <w:snapToGrid w:val="0"/>
              <w:spacing w:line="360" w:lineRule="exact"/>
              <w:ind w:firstLine="422"/>
              <w:jc w:val="right"/>
              <w:rPr>
                <w:rFonts w:hint="eastAsia" w:asciiTheme="minorEastAsia" w:hAnsiTheme="minorEastAsia" w:eastAsiaTheme="minorEastAsia" w:cstheme="minorEastAsia"/>
                <w:sz w:val="24"/>
                <w:szCs w:val="24"/>
                <w:highlight w:val="none"/>
              </w:rPr>
            </w:pPr>
          </w:p>
          <w:p w14:paraId="159CA22E">
            <w:pPr>
              <w:snapToGrid w:val="0"/>
              <w:spacing w:line="360" w:lineRule="exact"/>
              <w:ind w:firstLine="422"/>
              <w:jc w:val="right"/>
              <w:rPr>
                <w:rFonts w:hint="eastAsia" w:asciiTheme="minorEastAsia" w:hAnsiTheme="minorEastAsia" w:eastAsiaTheme="minorEastAsia" w:cstheme="minorEastAsia"/>
                <w:sz w:val="24"/>
                <w:szCs w:val="24"/>
                <w:highlight w:val="none"/>
              </w:rPr>
            </w:pPr>
          </w:p>
          <w:p w14:paraId="547BAB4B">
            <w:pPr>
              <w:snapToGrid w:val="0"/>
              <w:spacing w:line="360" w:lineRule="exact"/>
              <w:ind w:firstLine="422"/>
              <w:jc w:val="right"/>
              <w:rPr>
                <w:rFonts w:hint="eastAsia" w:asciiTheme="minorEastAsia" w:hAnsiTheme="minorEastAsia" w:eastAsiaTheme="minorEastAsia" w:cstheme="minorEastAsia"/>
                <w:sz w:val="24"/>
                <w:szCs w:val="24"/>
                <w:highlight w:val="none"/>
              </w:rPr>
            </w:pPr>
          </w:p>
          <w:p w14:paraId="3BC5534B">
            <w:pPr>
              <w:snapToGrid w:val="0"/>
              <w:spacing w:line="360" w:lineRule="exact"/>
              <w:ind w:firstLine="422"/>
              <w:jc w:val="righ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年   月   日</w:t>
            </w:r>
          </w:p>
        </w:tc>
      </w:tr>
    </w:tbl>
    <w:p w14:paraId="2BCCFBEE">
      <w:pPr>
        <w:snapToGrid w:val="0"/>
        <w:spacing w:line="360" w:lineRule="exact"/>
        <w:jc w:val="left"/>
        <w:rPr>
          <w:rFonts w:hint="eastAsia" w:ascii="宋体" w:hAnsi="宋体"/>
          <w:szCs w:val="21"/>
          <w:highlight w:val="none"/>
        </w:rPr>
      </w:pPr>
      <w:r>
        <w:rPr>
          <w:rFonts w:hint="eastAsia" w:ascii="宋体" w:hAnsi="宋体"/>
          <w:szCs w:val="21"/>
          <w:highlight w:val="none"/>
        </w:rPr>
        <w:t xml:space="preserve">    注：售后服务事项填不下时可另加附页</w:t>
      </w:r>
    </w:p>
    <w:p w14:paraId="648540B7">
      <w:pPr>
        <w:adjustRightInd w:val="0"/>
        <w:snapToGrid w:val="0"/>
        <w:spacing w:line="380" w:lineRule="exact"/>
        <w:ind w:firstLine="420" w:firstLineChars="200"/>
        <w:rPr>
          <w:rFonts w:ascii="宋体" w:hAnsi="宋体"/>
          <w:color w:val="000000" w:themeColor="text1"/>
          <w:szCs w:val="21"/>
          <w:highlight w:val="none"/>
          <w14:textFill>
            <w14:solidFill>
              <w14:schemeClr w14:val="tx1"/>
            </w14:solidFill>
          </w14:textFill>
        </w:rPr>
      </w:pPr>
    </w:p>
    <w:p w14:paraId="69EBF034">
      <w:pPr>
        <w:rPr>
          <w:highlight w:val="none"/>
        </w:rPr>
      </w:pPr>
      <w:bookmarkStart w:id="88" w:name="_Toc8279"/>
      <w:bookmarkStart w:id="89" w:name="_Toc29743"/>
    </w:p>
    <w:bookmarkEnd w:id="88"/>
    <w:bookmarkEnd w:id="89"/>
    <w:p w14:paraId="3FDC9275">
      <w:pPr>
        <w:rPr>
          <w:rFonts w:hint="eastAsia"/>
          <w:highlight w:val="none"/>
          <w:lang w:val="en-US" w:eastAsia="zh-CN"/>
        </w:rPr>
      </w:pPr>
    </w:p>
    <w:sectPr>
      <w:footerReference r:id="rId9" w:type="first"/>
      <w:headerReference r:id="rId7" w:type="default"/>
      <w:footerReference r:id="rId8" w:type="default"/>
      <w:pgSz w:w="11910" w:h="16840"/>
      <w:pgMar w:top="1340" w:right="1500" w:bottom="280" w:left="168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EB23199-7AB7-4935-9169-9C48A72674D3}"/>
  </w:font>
  <w:font w:name="黑体">
    <w:panose1 w:val="02010609060101010101"/>
    <w:charset w:val="86"/>
    <w:family w:val="auto"/>
    <w:pitch w:val="default"/>
    <w:sig w:usb0="800002BF" w:usb1="38CF7CFA" w:usb2="00000016" w:usb3="00000000" w:csb0="00040001" w:csb1="00000000"/>
    <w:embedRegular r:id="rId2" w:fontKey="{E5C3DDD1-8142-44AC-988F-66B2FABDF7B4}"/>
  </w:font>
  <w:font w:name="Courier New">
    <w:panose1 w:val="02070309020205020404"/>
    <w:charset w:val="01"/>
    <w:family w:val="modern"/>
    <w:pitch w:val="default"/>
    <w:sig w:usb0="E0002EFF" w:usb1="C0007843" w:usb2="00000009" w:usb3="00000000" w:csb0="400001FF" w:csb1="FFFF0000"/>
    <w:embedRegular r:id="rId3" w:fontKey="{0F90583B-488D-4B64-B1D2-FBE697DFED0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2C5122EF-78DA-491C-B757-084C98F4BB05}"/>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5" w:fontKey="{AE57E8A1-1AB9-45D8-9211-285A732E44D9}"/>
  </w:font>
  <w:font w:name="仿宋">
    <w:panose1 w:val="02010609060101010101"/>
    <w:charset w:val="86"/>
    <w:family w:val="modern"/>
    <w:pitch w:val="default"/>
    <w:sig w:usb0="800002BF" w:usb1="38CF7CFA" w:usb2="00000016" w:usb3="00000000" w:csb0="00040001" w:csb1="00000000"/>
    <w:embedRegular r:id="rId6" w:fontKey="{983312CA-5C43-43F3-82A4-91B5D3A1ACCC}"/>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7" w:fontKey="{ADA37752-F9A3-4458-B8CE-3E96090E0E6E}"/>
  </w:font>
  <w:font w:name="方正小标宋简体">
    <w:altName w:val="Arial Unicode MS"/>
    <w:panose1 w:val="03000509000000000000"/>
    <w:charset w:val="86"/>
    <w:family w:val="script"/>
    <w:pitch w:val="default"/>
    <w:sig w:usb0="00000000" w:usb1="00000000" w:usb2="00000000" w:usb3="00000000" w:csb0="00040000" w:csb1="00000000"/>
    <w:embedRegular r:id="rId8" w:fontKey="{73E24E4E-ECB1-47BE-A0F5-69D1D508EC6F}"/>
  </w:font>
  <w:font w:name="Arial Unicode MS">
    <w:panose1 w:val="020B0604020202020204"/>
    <w:charset w:val="86"/>
    <w:family w:val="swiss"/>
    <w:pitch w:val="default"/>
    <w:sig w:usb0="FFFFFFFF" w:usb1="E9FFFFFF" w:usb2="0000003F" w:usb3="00000000" w:csb0="603F01FF" w:csb1="FFFF0000"/>
    <w:embedRegular r:id="rId9" w:fontKey="{E28AAEB7-D20E-4A3F-BB35-174708FB043D}"/>
  </w:font>
  <w:font w:name="华文新魏">
    <w:panose1 w:val="02010800040101010101"/>
    <w:charset w:val="86"/>
    <w:family w:val="auto"/>
    <w:pitch w:val="default"/>
    <w:sig w:usb0="00000001" w:usb1="080F0000" w:usb2="00000000" w:usb3="00000000" w:csb0="00040000" w:csb1="00000000"/>
    <w:embedRegular r:id="rId10" w:fontKey="{4375F103-ED0B-4350-8119-29D62964DF5E}"/>
  </w:font>
  <w:font w:name="Segoe UI Symbol">
    <w:panose1 w:val="020B0502040204020203"/>
    <w:charset w:val="00"/>
    <w:family w:val="swiss"/>
    <w:pitch w:val="default"/>
    <w:sig w:usb0="800001E3" w:usb1="1200FFEF" w:usb2="00040000" w:usb3="04000000" w:csb0="00000001" w:csb1="40000000"/>
    <w:embedRegular r:id="rId11" w:fontKey="{89F54F7F-57A0-4421-8738-D19DBD320262}"/>
  </w:font>
  <w:font w:name="Wingdings 2">
    <w:panose1 w:val="05020102010507070707"/>
    <w:charset w:val="02"/>
    <w:family w:val="roman"/>
    <w:pitch w:val="default"/>
    <w:sig w:usb0="00000000" w:usb1="00000000" w:usb2="00000000" w:usb3="00000000" w:csb0="80000000" w:csb1="00000000"/>
    <w:embedRegular r:id="rId12" w:fontKey="{01004DBC-8B75-443A-93A4-AA949888E2D3}"/>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BFAD2">
    <w:pPr>
      <w:pStyle w:val="18"/>
      <w:jc w:val="center"/>
    </w:pPr>
    <w:r>
      <w:fldChar w:fldCharType="begin"/>
    </w:r>
    <w:r>
      <w:instrText xml:space="preserve"> PAGE   \* MERGEFORMAT </w:instrText>
    </w:r>
    <w:r>
      <w:fldChar w:fldCharType="separate"/>
    </w:r>
    <w:r>
      <w:rPr>
        <w:lang w:val="zh-CN"/>
      </w:rPr>
      <w:t>20</w:t>
    </w:r>
    <w:r>
      <w:rPr>
        <w:lang w:val="zh-CN"/>
      </w:rPr>
      <w:fldChar w:fldCharType="end"/>
    </w:r>
  </w:p>
  <w:p w14:paraId="0CD2410E">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FD4A0">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D7268">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029F4">
    <w:pPr>
      <w:pStyle w:val="18"/>
      <w:jc w:val="center"/>
    </w:pPr>
    <w:r>
      <w:rPr>
        <w:sz w:val="18"/>
      </w:rPr>
      <mc:AlternateContent>
        <mc:Choice Requires="wps">
          <w:drawing>
            <wp:anchor distT="0" distB="0" distL="114300" distR="114300" simplePos="0" relativeHeight="251660288" behindDoc="0" locked="0" layoutInCell="1" allowOverlap="1">
              <wp:simplePos x="0" y="0"/>
              <wp:positionH relativeFrom="margin">
                <wp:posOffset>2711450</wp:posOffset>
              </wp:positionH>
              <wp:positionV relativeFrom="paragraph">
                <wp:posOffset>0</wp:posOffset>
              </wp:positionV>
              <wp:extent cx="191770" cy="12573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91770" cy="1257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106D61">
                          <w:pPr>
                            <w:pStyle w:val="18"/>
                            <w:jc w:val="center"/>
                          </w:pPr>
                          <w:r>
                            <w:fldChar w:fldCharType="begin"/>
                          </w:r>
                          <w:r>
                            <w:instrText xml:space="preserve"> PAGE   \* MERGEFORMAT </w:instrText>
                          </w:r>
                          <w:r>
                            <w:fldChar w:fldCharType="separate"/>
                          </w:r>
                          <w:r>
                            <w:rPr>
                              <w:lang w:val="zh-CN"/>
                            </w:rPr>
                            <w:t>20</w:t>
                          </w:r>
                          <w:r>
                            <w:rPr>
                              <w:lang w:val="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13.5pt;margin-top:0pt;height:9.9pt;width:15.1pt;mso-position-horizontal-relative:margin;z-index:251660288;mso-width-relative:page;mso-height-relative:page;" filled="f" stroked="f" coordsize="21600,21600" o:gfxdata="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MPADM1wAAAAcBAAAPAAAAAAAAAAEAIAAAACIAAABkcnMvZG93bnJl&#10;di54bWxQSwECFAAUAAAACACHTuJAVzsoYDcCAABhBAAADgAAAAAAAAABACAAAAAmAQAAZHJzL2Uy&#10;b0RvYy54bWxQSwUGAAAAAAYABgBZAQAAzwUAAAAA&#10;">
              <v:fill on="f" focussize="0,0"/>
              <v:stroke on="f" weight="0.5pt"/>
              <v:imagedata o:title=""/>
              <o:lock v:ext="edit" aspectratio="f"/>
              <v:textbox inset="0mm,0mm,0mm,0mm">
                <w:txbxContent>
                  <w:p w14:paraId="47106D61">
                    <w:pPr>
                      <w:pStyle w:val="18"/>
                      <w:jc w:val="center"/>
                    </w:pPr>
                    <w:r>
                      <w:fldChar w:fldCharType="begin"/>
                    </w:r>
                    <w:r>
                      <w:instrText xml:space="preserve"> PAGE   \* MERGEFORMAT </w:instrText>
                    </w:r>
                    <w:r>
                      <w:fldChar w:fldCharType="separate"/>
                    </w:r>
                    <w:r>
                      <w:rPr>
                        <w:lang w:val="zh-CN"/>
                      </w:rPr>
                      <w:t>20</w:t>
                    </w:r>
                    <w:r>
                      <w:rPr>
                        <w:lang w:val="zh-CN"/>
                      </w:rPr>
                      <w:fldChar w:fldCharType="end"/>
                    </w:r>
                  </w:p>
                </w:txbxContent>
              </v:textbox>
            </v:shape>
          </w:pict>
        </mc:Fallback>
      </mc:AlternateContent>
    </w:r>
  </w:p>
  <w:p w14:paraId="1BD57536">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CD173">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1D89AE">
                          <w:pPr>
                            <w:pStyle w:val="18"/>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TJPj8zAEAAJwDAAAOAAAAAAAAAAEAIAAAAB4BAABkcnMvZTJv&#10;RG9jLnhtbFBLBQYAAAAABgAGAFkBAABcBQAAAAA=&#10;">
              <v:fill on="f" focussize="0,0"/>
              <v:stroke on="f"/>
              <v:imagedata o:title=""/>
              <o:lock v:ext="edit" aspectratio="f"/>
              <v:textbox inset="0mm,0mm,0mm,0mm" style="mso-fit-shape-to-text:t;">
                <w:txbxContent>
                  <w:p w14:paraId="341D89AE">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40240">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1ABC0">
    <w:pPr>
      <w:pStyle w:val="19"/>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B8F1EE"/>
    <w:multiLevelType w:val="singleLevel"/>
    <w:tmpl w:val="89B8F1EE"/>
    <w:lvl w:ilvl="0" w:tentative="0">
      <w:start w:val="4"/>
      <w:numFmt w:val="decimal"/>
      <w:suff w:val="nothing"/>
      <w:lvlText w:val="（%1）"/>
      <w:lvlJc w:val="left"/>
    </w:lvl>
  </w:abstractNum>
  <w:abstractNum w:abstractNumId="1">
    <w:nsid w:val="9F5E5D89"/>
    <w:multiLevelType w:val="singleLevel"/>
    <w:tmpl w:val="9F5E5D89"/>
    <w:lvl w:ilvl="0" w:tentative="0">
      <w:start w:val="1"/>
      <w:numFmt w:val="decimal"/>
      <w:lvlText w:val="%1."/>
      <w:lvlJc w:val="left"/>
      <w:pPr>
        <w:tabs>
          <w:tab w:val="left" w:pos="312"/>
        </w:tabs>
      </w:pPr>
    </w:lvl>
  </w:abstractNum>
  <w:abstractNum w:abstractNumId="2">
    <w:nsid w:val="B9B286D0"/>
    <w:multiLevelType w:val="singleLevel"/>
    <w:tmpl w:val="B9B286D0"/>
    <w:lvl w:ilvl="0" w:tentative="0">
      <w:start w:val="1"/>
      <w:numFmt w:val="decimal"/>
      <w:suff w:val="nothing"/>
      <w:lvlText w:val="（%1）"/>
      <w:lvlJc w:val="left"/>
    </w:lvl>
  </w:abstractNum>
  <w:abstractNum w:abstractNumId="3">
    <w:nsid w:val="D2ED657F"/>
    <w:multiLevelType w:val="multilevel"/>
    <w:tmpl w:val="D2ED657F"/>
    <w:lvl w:ilvl="0" w:tentative="0">
      <w:start w:val="1"/>
      <w:numFmt w:val="decimal"/>
      <w:suff w:val="nothing"/>
      <w:lvlText w:val="%1."/>
      <w:lvlJc w:val="left"/>
      <w:pPr>
        <w:ind w:left="422" w:hanging="420"/>
      </w:pPr>
    </w:lvl>
    <w:lvl w:ilvl="1" w:tentative="0">
      <w:start w:val="1"/>
      <w:numFmt w:val="decimal"/>
      <w:lvlText w:val="%2."/>
      <w:lvlJc w:val="left"/>
      <w:pPr>
        <w:ind w:left="782" w:hanging="360"/>
      </w:pPr>
      <w:rPr>
        <w:rFonts w:hint="default"/>
      </w:rPr>
    </w:lvl>
    <w:lvl w:ilvl="2" w:tentative="0">
      <w:start w:val="1"/>
      <w:numFmt w:val="lowerRoman"/>
      <w:lvlText w:val="%3."/>
      <w:lvlJc w:val="right"/>
      <w:pPr>
        <w:ind w:left="1262" w:hanging="420"/>
      </w:pPr>
    </w:lvl>
    <w:lvl w:ilvl="3" w:tentative="0">
      <w:start w:val="1"/>
      <w:numFmt w:val="decimal"/>
      <w:lvlText w:val="%4."/>
      <w:lvlJc w:val="left"/>
      <w:pPr>
        <w:ind w:left="1682" w:hanging="420"/>
      </w:pPr>
    </w:lvl>
    <w:lvl w:ilvl="4" w:tentative="0">
      <w:start w:val="1"/>
      <w:numFmt w:val="lowerLetter"/>
      <w:lvlText w:val="%5)"/>
      <w:lvlJc w:val="left"/>
      <w:pPr>
        <w:ind w:left="2102" w:hanging="420"/>
      </w:pPr>
    </w:lvl>
    <w:lvl w:ilvl="5" w:tentative="0">
      <w:start w:val="1"/>
      <w:numFmt w:val="lowerRoman"/>
      <w:lvlText w:val="%6."/>
      <w:lvlJc w:val="right"/>
      <w:pPr>
        <w:ind w:left="2522" w:hanging="420"/>
      </w:pPr>
    </w:lvl>
    <w:lvl w:ilvl="6" w:tentative="0">
      <w:start w:val="1"/>
      <w:numFmt w:val="decimal"/>
      <w:lvlText w:val="%7."/>
      <w:lvlJc w:val="left"/>
      <w:pPr>
        <w:ind w:left="2942" w:hanging="420"/>
      </w:pPr>
    </w:lvl>
    <w:lvl w:ilvl="7" w:tentative="0">
      <w:start w:val="1"/>
      <w:numFmt w:val="lowerLetter"/>
      <w:lvlText w:val="%8)"/>
      <w:lvlJc w:val="left"/>
      <w:pPr>
        <w:ind w:left="3362" w:hanging="420"/>
      </w:pPr>
    </w:lvl>
    <w:lvl w:ilvl="8" w:tentative="0">
      <w:start w:val="1"/>
      <w:numFmt w:val="lowerRoman"/>
      <w:lvlText w:val="%9."/>
      <w:lvlJc w:val="right"/>
      <w:pPr>
        <w:ind w:left="3782" w:hanging="420"/>
      </w:pPr>
    </w:lvl>
  </w:abstractNum>
  <w:abstractNum w:abstractNumId="4">
    <w:nsid w:val="F33ED925"/>
    <w:multiLevelType w:val="singleLevel"/>
    <w:tmpl w:val="F33ED925"/>
    <w:lvl w:ilvl="0" w:tentative="0">
      <w:start w:val="1"/>
      <w:numFmt w:val="chineseCounting"/>
      <w:suff w:val="nothing"/>
      <w:lvlText w:val="%1、"/>
      <w:lvlJc w:val="left"/>
      <w:rPr>
        <w:rFonts w:hint="eastAsia"/>
      </w:rPr>
    </w:lvl>
  </w:abstractNum>
  <w:abstractNum w:abstractNumId="5">
    <w:nsid w:val="11F81844"/>
    <w:multiLevelType w:val="singleLevel"/>
    <w:tmpl w:val="11F81844"/>
    <w:lvl w:ilvl="0" w:tentative="0">
      <w:start w:val="1"/>
      <w:numFmt w:val="decimal"/>
      <w:suff w:val="nothing"/>
      <w:lvlText w:val="%1"/>
      <w:lvlJc w:val="left"/>
      <w:pPr>
        <w:ind w:left="425" w:leftChars="0" w:hanging="425" w:firstLineChars="0"/>
      </w:pPr>
      <w:rPr>
        <w:rFonts w:hint="default"/>
      </w:rPr>
    </w:lvl>
  </w:abstractNum>
  <w:abstractNum w:abstractNumId="6">
    <w:nsid w:val="13E0EACD"/>
    <w:multiLevelType w:val="singleLevel"/>
    <w:tmpl w:val="13E0EACD"/>
    <w:lvl w:ilvl="0" w:tentative="0">
      <w:start w:val="1"/>
      <w:numFmt w:val="decimal"/>
      <w:lvlText w:val="%1."/>
      <w:lvlJc w:val="left"/>
      <w:pPr>
        <w:tabs>
          <w:tab w:val="left" w:pos="312"/>
        </w:tabs>
      </w:pPr>
    </w:lvl>
  </w:abstractNum>
  <w:abstractNum w:abstractNumId="7">
    <w:nsid w:val="22EED63E"/>
    <w:multiLevelType w:val="singleLevel"/>
    <w:tmpl w:val="22EED63E"/>
    <w:lvl w:ilvl="0" w:tentative="0">
      <w:start w:val="1"/>
      <w:numFmt w:val="decimal"/>
      <w:suff w:val="space"/>
      <w:lvlText w:val="%1."/>
      <w:lvlJc w:val="left"/>
    </w:lvl>
  </w:abstractNum>
  <w:abstractNum w:abstractNumId="8">
    <w:nsid w:val="4B564191"/>
    <w:multiLevelType w:val="singleLevel"/>
    <w:tmpl w:val="4B564191"/>
    <w:lvl w:ilvl="0" w:tentative="0">
      <w:start w:val="1"/>
      <w:numFmt w:val="chineseCounting"/>
      <w:suff w:val="nothing"/>
      <w:lvlText w:val="%1、"/>
      <w:lvlJc w:val="left"/>
      <w:rPr>
        <w:rFonts w:hint="eastAsia"/>
      </w:rPr>
    </w:lvl>
  </w:abstractNum>
  <w:abstractNum w:abstractNumId="9">
    <w:nsid w:val="4DB39113"/>
    <w:multiLevelType w:val="multilevel"/>
    <w:tmpl w:val="4DB39113"/>
    <w:lvl w:ilvl="0" w:tentative="0">
      <w:start w:val="1"/>
      <w:numFmt w:val="decimal"/>
      <w:suff w:val="nothing"/>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95B5A9E"/>
    <w:multiLevelType w:val="singleLevel"/>
    <w:tmpl w:val="595B5A9E"/>
    <w:lvl w:ilvl="0" w:tentative="0">
      <w:start w:val="2"/>
      <w:numFmt w:val="chineseCounting"/>
      <w:suff w:val="nothing"/>
      <w:lvlText w:val="%1、"/>
      <w:lvlJc w:val="left"/>
    </w:lvl>
  </w:abstractNum>
  <w:abstractNum w:abstractNumId="11">
    <w:nsid w:val="70638747"/>
    <w:multiLevelType w:val="singleLevel"/>
    <w:tmpl w:val="70638747"/>
    <w:lvl w:ilvl="0" w:tentative="0">
      <w:start w:val="5"/>
      <w:numFmt w:val="chineseCounting"/>
      <w:suff w:val="nothing"/>
      <w:lvlText w:val="%1、"/>
      <w:lvlJc w:val="left"/>
      <w:rPr>
        <w:rFonts w:hint="eastAsia"/>
      </w:rPr>
    </w:lvl>
  </w:abstractNum>
  <w:num w:numId="1">
    <w:abstractNumId w:val="0"/>
  </w:num>
  <w:num w:numId="2">
    <w:abstractNumId w:val="9"/>
  </w:num>
  <w:num w:numId="3">
    <w:abstractNumId w:val="5"/>
  </w:num>
  <w:num w:numId="4">
    <w:abstractNumId w:val="10"/>
  </w:num>
  <w:num w:numId="5">
    <w:abstractNumId w:val="3"/>
  </w:num>
  <w:num w:numId="6">
    <w:abstractNumId w:val="8"/>
  </w:num>
  <w:num w:numId="7">
    <w:abstractNumId w:val="7"/>
  </w:num>
  <w:num w:numId="8">
    <w:abstractNumId w:val="4"/>
  </w:num>
  <w:num w:numId="9">
    <w:abstractNumId w:val="2"/>
  </w:num>
  <w:num w:numId="10">
    <w:abstractNumId w:val="11"/>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Q4YzI5MTI4YWUyZGY5NTI2NmRlOWNkYjUyOWM3ZGQifQ=="/>
  </w:docVars>
  <w:rsids>
    <w:rsidRoot w:val="00F34B14"/>
    <w:rsid w:val="00000672"/>
    <w:rsid w:val="00001799"/>
    <w:rsid w:val="0000234D"/>
    <w:rsid w:val="00002D29"/>
    <w:rsid w:val="000040C5"/>
    <w:rsid w:val="00004514"/>
    <w:rsid w:val="00004A8A"/>
    <w:rsid w:val="00005E55"/>
    <w:rsid w:val="00005FDF"/>
    <w:rsid w:val="00006586"/>
    <w:rsid w:val="00010D39"/>
    <w:rsid w:val="000112BB"/>
    <w:rsid w:val="0001149B"/>
    <w:rsid w:val="0001172C"/>
    <w:rsid w:val="00011E6E"/>
    <w:rsid w:val="00012854"/>
    <w:rsid w:val="00012EA6"/>
    <w:rsid w:val="000139DC"/>
    <w:rsid w:val="00013D8C"/>
    <w:rsid w:val="00013DFE"/>
    <w:rsid w:val="000141EA"/>
    <w:rsid w:val="00014385"/>
    <w:rsid w:val="00014B02"/>
    <w:rsid w:val="000166C4"/>
    <w:rsid w:val="00016960"/>
    <w:rsid w:val="00017287"/>
    <w:rsid w:val="00017396"/>
    <w:rsid w:val="000177DB"/>
    <w:rsid w:val="00020227"/>
    <w:rsid w:val="000203E4"/>
    <w:rsid w:val="00020455"/>
    <w:rsid w:val="00022731"/>
    <w:rsid w:val="00022792"/>
    <w:rsid w:val="0002392D"/>
    <w:rsid w:val="00024B43"/>
    <w:rsid w:val="00024FEB"/>
    <w:rsid w:val="00025382"/>
    <w:rsid w:val="00025636"/>
    <w:rsid w:val="00025E36"/>
    <w:rsid w:val="00026627"/>
    <w:rsid w:val="00026886"/>
    <w:rsid w:val="00030496"/>
    <w:rsid w:val="000307C5"/>
    <w:rsid w:val="000329A1"/>
    <w:rsid w:val="000329E0"/>
    <w:rsid w:val="000333A0"/>
    <w:rsid w:val="000352E9"/>
    <w:rsid w:val="00036A07"/>
    <w:rsid w:val="00036E33"/>
    <w:rsid w:val="00037E2D"/>
    <w:rsid w:val="00040571"/>
    <w:rsid w:val="0004156E"/>
    <w:rsid w:val="00041597"/>
    <w:rsid w:val="0004440C"/>
    <w:rsid w:val="00045880"/>
    <w:rsid w:val="00045F6D"/>
    <w:rsid w:val="000462CB"/>
    <w:rsid w:val="00046B5E"/>
    <w:rsid w:val="0004783A"/>
    <w:rsid w:val="000509D9"/>
    <w:rsid w:val="00051AF5"/>
    <w:rsid w:val="00054B2D"/>
    <w:rsid w:val="000552A6"/>
    <w:rsid w:val="00055D41"/>
    <w:rsid w:val="00057CEC"/>
    <w:rsid w:val="0006076C"/>
    <w:rsid w:val="00060DCE"/>
    <w:rsid w:val="000623B4"/>
    <w:rsid w:val="000634A7"/>
    <w:rsid w:val="00063E85"/>
    <w:rsid w:val="00063F81"/>
    <w:rsid w:val="00064847"/>
    <w:rsid w:val="0006484B"/>
    <w:rsid w:val="00065BBC"/>
    <w:rsid w:val="000673E2"/>
    <w:rsid w:val="00067AE6"/>
    <w:rsid w:val="000711E4"/>
    <w:rsid w:val="00072AED"/>
    <w:rsid w:val="00073F47"/>
    <w:rsid w:val="00075B7E"/>
    <w:rsid w:val="00077C70"/>
    <w:rsid w:val="00080B57"/>
    <w:rsid w:val="000817D1"/>
    <w:rsid w:val="00081BA3"/>
    <w:rsid w:val="00081D2E"/>
    <w:rsid w:val="0008267B"/>
    <w:rsid w:val="00082D02"/>
    <w:rsid w:val="00083B91"/>
    <w:rsid w:val="0008520B"/>
    <w:rsid w:val="000871B8"/>
    <w:rsid w:val="00087DB6"/>
    <w:rsid w:val="00090639"/>
    <w:rsid w:val="000913BE"/>
    <w:rsid w:val="000918F8"/>
    <w:rsid w:val="00091A51"/>
    <w:rsid w:val="00092442"/>
    <w:rsid w:val="0009588E"/>
    <w:rsid w:val="000959EE"/>
    <w:rsid w:val="00095B2F"/>
    <w:rsid w:val="00095B51"/>
    <w:rsid w:val="00097DA0"/>
    <w:rsid w:val="000A0D6B"/>
    <w:rsid w:val="000A0EEE"/>
    <w:rsid w:val="000A1389"/>
    <w:rsid w:val="000A166E"/>
    <w:rsid w:val="000A17D0"/>
    <w:rsid w:val="000A2B0E"/>
    <w:rsid w:val="000A398F"/>
    <w:rsid w:val="000A4AEE"/>
    <w:rsid w:val="000A509C"/>
    <w:rsid w:val="000A6007"/>
    <w:rsid w:val="000A65A6"/>
    <w:rsid w:val="000A7275"/>
    <w:rsid w:val="000A7A12"/>
    <w:rsid w:val="000A7CA5"/>
    <w:rsid w:val="000B039A"/>
    <w:rsid w:val="000B1801"/>
    <w:rsid w:val="000B19B3"/>
    <w:rsid w:val="000B1D0C"/>
    <w:rsid w:val="000B2D03"/>
    <w:rsid w:val="000B3815"/>
    <w:rsid w:val="000B3C7B"/>
    <w:rsid w:val="000B6619"/>
    <w:rsid w:val="000B6C95"/>
    <w:rsid w:val="000B7B5F"/>
    <w:rsid w:val="000C0C58"/>
    <w:rsid w:val="000C1679"/>
    <w:rsid w:val="000C2898"/>
    <w:rsid w:val="000C2F89"/>
    <w:rsid w:val="000C435F"/>
    <w:rsid w:val="000C4635"/>
    <w:rsid w:val="000C548E"/>
    <w:rsid w:val="000C6DE4"/>
    <w:rsid w:val="000D01EB"/>
    <w:rsid w:val="000D056E"/>
    <w:rsid w:val="000D0675"/>
    <w:rsid w:val="000D0A89"/>
    <w:rsid w:val="000D1389"/>
    <w:rsid w:val="000D1798"/>
    <w:rsid w:val="000D1A2A"/>
    <w:rsid w:val="000D2626"/>
    <w:rsid w:val="000D441F"/>
    <w:rsid w:val="000D4A06"/>
    <w:rsid w:val="000D54D4"/>
    <w:rsid w:val="000D73DD"/>
    <w:rsid w:val="000D75B8"/>
    <w:rsid w:val="000D7D9B"/>
    <w:rsid w:val="000E18E2"/>
    <w:rsid w:val="000E28AB"/>
    <w:rsid w:val="000E2E3E"/>
    <w:rsid w:val="000E33C5"/>
    <w:rsid w:val="000E3583"/>
    <w:rsid w:val="000E3AF0"/>
    <w:rsid w:val="000E3D53"/>
    <w:rsid w:val="000E4E04"/>
    <w:rsid w:val="000E6EC9"/>
    <w:rsid w:val="000E70B4"/>
    <w:rsid w:val="000F0E62"/>
    <w:rsid w:val="000F3281"/>
    <w:rsid w:val="000F3733"/>
    <w:rsid w:val="000F4D88"/>
    <w:rsid w:val="000F5B1B"/>
    <w:rsid w:val="000F64AA"/>
    <w:rsid w:val="000F7AF4"/>
    <w:rsid w:val="000F7C33"/>
    <w:rsid w:val="000F7F0C"/>
    <w:rsid w:val="00100246"/>
    <w:rsid w:val="001004D6"/>
    <w:rsid w:val="00100D90"/>
    <w:rsid w:val="00103918"/>
    <w:rsid w:val="00104324"/>
    <w:rsid w:val="00104889"/>
    <w:rsid w:val="00104897"/>
    <w:rsid w:val="00104EDE"/>
    <w:rsid w:val="00105372"/>
    <w:rsid w:val="00106BEE"/>
    <w:rsid w:val="00113134"/>
    <w:rsid w:val="00113AC0"/>
    <w:rsid w:val="00113E75"/>
    <w:rsid w:val="00114851"/>
    <w:rsid w:val="00115E11"/>
    <w:rsid w:val="00115F56"/>
    <w:rsid w:val="001165AA"/>
    <w:rsid w:val="00117CBD"/>
    <w:rsid w:val="0012006A"/>
    <w:rsid w:val="00120990"/>
    <w:rsid w:val="001217B5"/>
    <w:rsid w:val="00121979"/>
    <w:rsid w:val="00122064"/>
    <w:rsid w:val="00122A79"/>
    <w:rsid w:val="00125004"/>
    <w:rsid w:val="001263B8"/>
    <w:rsid w:val="00126763"/>
    <w:rsid w:val="001271B8"/>
    <w:rsid w:val="00130217"/>
    <w:rsid w:val="00130783"/>
    <w:rsid w:val="00131228"/>
    <w:rsid w:val="001312CB"/>
    <w:rsid w:val="001317DD"/>
    <w:rsid w:val="00131B75"/>
    <w:rsid w:val="00131B78"/>
    <w:rsid w:val="00132B47"/>
    <w:rsid w:val="00132E64"/>
    <w:rsid w:val="001342F1"/>
    <w:rsid w:val="001351CB"/>
    <w:rsid w:val="001359A2"/>
    <w:rsid w:val="00135E37"/>
    <w:rsid w:val="00136020"/>
    <w:rsid w:val="00136445"/>
    <w:rsid w:val="00140132"/>
    <w:rsid w:val="001401F0"/>
    <w:rsid w:val="00141C9C"/>
    <w:rsid w:val="00142642"/>
    <w:rsid w:val="001434BE"/>
    <w:rsid w:val="0014479F"/>
    <w:rsid w:val="001452B4"/>
    <w:rsid w:val="0014550E"/>
    <w:rsid w:val="00146EC6"/>
    <w:rsid w:val="001478D2"/>
    <w:rsid w:val="00147CD3"/>
    <w:rsid w:val="00150CC9"/>
    <w:rsid w:val="00152A87"/>
    <w:rsid w:val="00152FA4"/>
    <w:rsid w:val="00153562"/>
    <w:rsid w:val="001535F8"/>
    <w:rsid w:val="00154486"/>
    <w:rsid w:val="00156D0E"/>
    <w:rsid w:val="0016086E"/>
    <w:rsid w:val="00160D0C"/>
    <w:rsid w:val="00161172"/>
    <w:rsid w:val="0016139E"/>
    <w:rsid w:val="00161E65"/>
    <w:rsid w:val="001622E6"/>
    <w:rsid w:val="00162597"/>
    <w:rsid w:val="001629AF"/>
    <w:rsid w:val="001637DD"/>
    <w:rsid w:val="00163BF0"/>
    <w:rsid w:val="0016428A"/>
    <w:rsid w:val="001647C9"/>
    <w:rsid w:val="001661A3"/>
    <w:rsid w:val="0016782B"/>
    <w:rsid w:val="00173256"/>
    <w:rsid w:val="001733E1"/>
    <w:rsid w:val="00173F74"/>
    <w:rsid w:val="00175086"/>
    <w:rsid w:val="00175BA6"/>
    <w:rsid w:val="00176CA7"/>
    <w:rsid w:val="001778C5"/>
    <w:rsid w:val="00177E56"/>
    <w:rsid w:val="00177F0A"/>
    <w:rsid w:val="00180669"/>
    <w:rsid w:val="00182B6B"/>
    <w:rsid w:val="00183088"/>
    <w:rsid w:val="00185617"/>
    <w:rsid w:val="00186AC5"/>
    <w:rsid w:val="00186E89"/>
    <w:rsid w:val="00187F62"/>
    <w:rsid w:val="0019171E"/>
    <w:rsid w:val="00192044"/>
    <w:rsid w:val="0019220F"/>
    <w:rsid w:val="001928B1"/>
    <w:rsid w:val="00194ED5"/>
    <w:rsid w:val="00195424"/>
    <w:rsid w:val="001955FF"/>
    <w:rsid w:val="0019652A"/>
    <w:rsid w:val="001976A9"/>
    <w:rsid w:val="00197A07"/>
    <w:rsid w:val="00197C93"/>
    <w:rsid w:val="00197EDD"/>
    <w:rsid w:val="001A02B3"/>
    <w:rsid w:val="001A04BB"/>
    <w:rsid w:val="001A08D0"/>
    <w:rsid w:val="001A14B1"/>
    <w:rsid w:val="001A1B39"/>
    <w:rsid w:val="001A2492"/>
    <w:rsid w:val="001A2E69"/>
    <w:rsid w:val="001A3377"/>
    <w:rsid w:val="001A3C34"/>
    <w:rsid w:val="001A3EDE"/>
    <w:rsid w:val="001A4222"/>
    <w:rsid w:val="001A50EA"/>
    <w:rsid w:val="001A5AB8"/>
    <w:rsid w:val="001A5E24"/>
    <w:rsid w:val="001A6D8B"/>
    <w:rsid w:val="001B079E"/>
    <w:rsid w:val="001B0CDA"/>
    <w:rsid w:val="001B0E26"/>
    <w:rsid w:val="001B125A"/>
    <w:rsid w:val="001B1E05"/>
    <w:rsid w:val="001B1EBA"/>
    <w:rsid w:val="001B2142"/>
    <w:rsid w:val="001B26CF"/>
    <w:rsid w:val="001B2F2B"/>
    <w:rsid w:val="001B327A"/>
    <w:rsid w:val="001B35DE"/>
    <w:rsid w:val="001B3A13"/>
    <w:rsid w:val="001B59FF"/>
    <w:rsid w:val="001B636D"/>
    <w:rsid w:val="001B65D7"/>
    <w:rsid w:val="001B6752"/>
    <w:rsid w:val="001B6768"/>
    <w:rsid w:val="001B6F1F"/>
    <w:rsid w:val="001B7ECC"/>
    <w:rsid w:val="001C1AED"/>
    <w:rsid w:val="001C25A7"/>
    <w:rsid w:val="001C318C"/>
    <w:rsid w:val="001C4287"/>
    <w:rsid w:val="001C4479"/>
    <w:rsid w:val="001C76B7"/>
    <w:rsid w:val="001C76FB"/>
    <w:rsid w:val="001D2764"/>
    <w:rsid w:val="001D3697"/>
    <w:rsid w:val="001D51DE"/>
    <w:rsid w:val="001D540E"/>
    <w:rsid w:val="001D58A1"/>
    <w:rsid w:val="001D5A8A"/>
    <w:rsid w:val="001D709B"/>
    <w:rsid w:val="001D735E"/>
    <w:rsid w:val="001D73C8"/>
    <w:rsid w:val="001D74D4"/>
    <w:rsid w:val="001D7E1F"/>
    <w:rsid w:val="001E0756"/>
    <w:rsid w:val="001E0A8D"/>
    <w:rsid w:val="001E0FFB"/>
    <w:rsid w:val="001E129E"/>
    <w:rsid w:val="001E2B9F"/>
    <w:rsid w:val="001E4A8D"/>
    <w:rsid w:val="001E544F"/>
    <w:rsid w:val="001E5A94"/>
    <w:rsid w:val="001E7648"/>
    <w:rsid w:val="001F127B"/>
    <w:rsid w:val="001F208B"/>
    <w:rsid w:val="001F2A2E"/>
    <w:rsid w:val="001F2E3D"/>
    <w:rsid w:val="001F3B72"/>
    <w:rsid w:val="001F3C63"/>
    <w:rsid w:val="001F4460"/>
    <w:rsid w:val="001F5DAF"/>
    <w:rsid w:val="001F637C"/>
    <w:rsid w:val="001F6A09"/>
    <w:rsid w:val="001F6B6C"/>
    <w:rsid w:val="001F711A"/>
    <w:rsid w:val="001F75B0"/>
    <w:rsid w:val="001F7686"/>
    <w:rsid w:val="00200CE5"/>
    <w:rsid w:val="00201297"/>
    <w:rsid w:val="002014DB"/>
    <w:rsid w:val="00201E12"/>
    <w:rsid w:val="002022C7"/>
    <w:rsid w:val="002031E2"/>
    <w:rsid w:val="002033B5"/>
    <w:rsid w:val="0020382C"/>
    <w:rsid w:val="00203A5E"/>
    <w:rsid w:val="00203CB0"/>
    <w:rsid w:val="0020437A"/>
    <w:rsid w:val="00204B5F"/>
    <w:rsid w:val="0020532C"/>
    <w:rsid w:val="00205A13"/>
    <w:rsid w:val="00205D23"/>
    <w:rsid w:val="0020691E"/>
    <w:rsid w:val="0021064F"/>
    <w:rsid w:val="002114C7"/>
    <w:rsid w:val="002118F3"/>
    <w:rsid w:val="00212756"/>
    <w:rsid w:val="0021302C"/>
    <w:rsid w:val="00213045"/>
    <w:rsid w:val="00213483"/>
    <w:rsid w:val="00213B1C"/>
    <w:rsid w:val="00214202"/>
    <w:rsid w:val="002146F3"/>
    <w:rsid w:val="002148E3"/>
    <w:rsid w:val="00215373"/>
    <w:rsid w:val="0021552D"/>
    <w:rsid w:val="002156AE"/>
    <w:rsid w:val="00217749"/>
    <w:rsid w:val="00217861"/>
    <w:rsid w:val="002204C9"/>
    <w:rsid w:val="0022054D"/>
    <w:rsid w:val="002209DE"/>
    <w:rsid w:val="002210DA"/>
    <w:rsid w:val="0022290A"/>
    <w:rsid w:val="00224DE1"/>
    <w:rsid w:val="00225664"/>
    <w:rsid w:val="002269DC"/>
    <w:rsid w:val="00227ADE"/>
    <w:rsid w:val="00227F2D"/>
    <w:rsid w:val="0023089D"/>
    <w:rsid w:val="00231851"/>
    <w:rsid w:val="002319FB"/>
    <w:rsid w:val="00231B89"/>
    <w:rsid w:val="002355BE"/>
    <w:rsid w:val="00236DE9"/>
    <w:rsid w:val="00237D5A"/>
    <w:rsid w:val="00237EA9"/>
    <w:rsid w:val="00241300"/>
    <w:rsid w:val="00241D3C"/>
    <w:rsid w:val="0024274D"/>
    <w:rsid w:val="002439AB"/>
    <w:rsid w:val="002450D5"/>
    <w:rsid w:val="00245587"/>
    <w:rsid w:val="00245F2B"/>
    <w:rsid w:val="00246F95"/>
    <w:rsid w:val="00247F3A"/>
    <w:rsid w:val="00250122"/>
    <w:rsid w:val="00250755"/>
    <w:rsid w:val="00250AE3"/>
    <w:rsid w:val="00251C4A"/>
    <w:rsid w:val="0025271C"/>
    <w:rsid w:val="002527ED"/>
    <w:rsid w:val="00252A91"/>
    <w:rsid w:val="00252ECA"/>
    <w:rsid w:val="002533CD"/>
    <w:rsid w:val="002544C1"/>
    <w:rsid w:val="00254EAB"/>
    <w:rsid w:val="002557AF"/>
    <w:rsid w:val="002561FA"/>
    <w:rsid w:val="00256474"/>
    <w:rsid w:val="002566B1"/>
    <w:rsid w:val="002575E3"/>
    <w:rsid w:val="002603C1"/>
    <w:rsid w:val="002609A1"/>
    <w:rsid w:val="002612B1"/>
    <w:rsid w:val="00266165"/>
    <w:rsid w:val="0027125E"/>
    <w:rsid w:val="00271767"/>
    <w:rsid w:val="00272293"/>
    <w:rsid w:val="002723C8"/>
    <w:rsid w:val="00272676"/>
    <w:rsid w:val="00273CBE"/>
    <w:rsid w:val="00274E60"/>
    <w:rsid w:val="00276793"/>
    <w:rsid w:val="00277441"/>
    <w:rsid w:val="00277E44"/>
    <w:rsid w:val="002802D7"/>
    <w:rsid w:val="00281B5A"/>
    <w:rsid w:val="0028232C"/>
    <w:rsid w:val="002827F1"/>
    <w:rsid w:val="00282EC3"/>
    <w:rsid w:val="002835B0"/>
    <w:rsid w:val="0028407E"/>
    <w:rsid w:val="0028410F"/>
    <w:rsid w:val="00286603"/>
    <w:rsid w:val="00286A98"/>
    <w:rsid w:val="00286FB5"/>
    <w:rsid w:val="00287763"/>
    <w:rsid w:val="00290606"/>
    <w:rsid w:val="00290F9D"/>
    <w:rsid w:val="002918A7"/>
    <w:rsid w:val="00291C88"/>
    <w:rsid w:val="00291D6D"/>
    <w:rsid w:val="00291FF1"/>
    <w:rsid w:val="002923F6"/>
    <w:rsid w:val="00293101"/>
    <w:rsid w:val="0029322B"/>
    <w:rsid w:val="00293361"/>
    <w:rsid w:val="00293770"/>
    <w:rsid w:val="00295287"/>
    <w:rsid w:val="002952B1"/>
    <w:rsid w:val="00295D11"/>
    <w:rsid w:val="00295FA0"/>
    <w:rsid w:val="00297A7A"/>
    <w:rsid w:val="002A035B"/>
    <w:rsid w:val="002A0C3A"/>
    <w:rsid w:val="002A10FB"/>
    <w:rsid w:val="002A1130"/>
    <w:rsid w:val="002A14D3"/>
    <w:rsid w:val="002A1880"/>
    <w:rsid w:val="002A1D47"/>
    <w:rsid w:val="002A23B7"/>
    <w:rsid w:val="002A2D3E"/>
    <w:rsid w:val="002A3A57"/>
    <w:rsid w:val="002A6D22"/>
    <w:rsid w:val="002A6DEF"/>
    <w:rsid w:val="002A71AC"/>
    <w:rsid w:val="002A7411"/>
    <w:rsid w:val="002A7C24"/>
    <w:rsid w:val="002B013E"/>
    <w:rsid w:val="002B038B"/>
    <w:rsid w:val="002B058D"/>
    <w:rsid w:val="002B0C16"/>
    <w:rsid w:val="002B11C9"/>
    <w:rsid w:val="002B169E"/>
    <w:rsid w:val="002B2621"/>
    <w:rsid w:val="002B2AC5"/>
    <w:rsid w:val="002B3528"/>
    <w:rsid w:val="002B3539"/>
    <w:rsid w:val="002B3B2B"/>
    <w:rsid w:val="002B6D17"/>
    <w:rsid w:val="002B7BBC"/>
    <w:rsid w:val="002C0C1C"/>
    <w:rsid w:val="002C184E"/>
    <w:rsid w:val="002C29C1"/>
    <w:rsid w:val="002C54C2"/>
    <w:rsid w:val="002C58F6"/>
    <w:rsid w:val="002C5D34"/>
    <w:rsid w:val="002C5EA7"/>
    <w:rsid w:val="002C661A"/>
    <w:rsid w:val="002C730C"/>
    <w:rsid w:val="002D01A2"/>
    <w:rsid w:val="002D0AF5"/>
    <w:rsid w:val="002D1C54"/>
    <w:rsid w:val="002D2231"/>
    <w:rsid w:val="002D25ED"/>
    <w:rsid w:val="002D25FC"/>
    <w:rsid w:val="002D318B"/>
    <w:rsid w:val="002D3380"/>
    <w:rsid w:val="002D4925"/>
    <w:rsid w:val="002D4AC6"/>
    <w:rsid w:val="002D5024"/>
    <w:rsid w:val="002D5C7B"/>
    <w:rsid w:val="002D6DFC"/>
    <w:rsid w:val="002D71A1"/>
    <w:rsid w:val="002D7648"/>
    <w:rsid w:val="002D7909"/>
    <w:rsid w:val="002D7E56"/>
    <w:rsid w:val="002E109C"/>
    <w:rsid w:val="002E115E"/>
    <w:rsid w:val="002E193E"/>
    <w:rsid w:val="002E1D76"/>
    <w:rsid w:val="002E2245"/>
    <w:rsid w:val="002E243C"/>
    <w:rsid w:val="002E26C4"/>
    <w:rsid w:val="002E4B37"/>
    <w:rsid w:val="002E4BF9"/>
    <w:rsid w:val="002E599A"/>
    <w:rsid w:val="002E6F5B"/>
    <w:rsid w:val="002F0631"/>
    <w:rsid w:val="002F16DD"/>
    <w:rsid w:val="002F199D"/>
    <w:rsid w:val="002F2234"/>
    <w:rsid w:val="002F23B2"/>
    <w:rsid w:val="002F2AC5"/>
    <w:rsid w:val="002F3DA7"/>
    <w:rsid w:val="002F3E26"/>
    <w:rsid w:val="002F4082"/>
    <w:rsid w:val="002F4084"/>
    <w:rsid w:val="002F4672"/>
    <w:rsid w:val="002F4A08"/>
    <w:rsid w:val="002F4ADB"/>
    <w:rsid w:val="002F50E5"/>
    <w:rsid w:val="002F531E"/>
    <w:rsid w:val="002F5ACC"/>
    <w:rsid w:val="002F6C2C"/>
    <w:rsid w:val="002F704B"/>
    <w:rsid w:val="002F70A6"/>
    <w:rsid w:val="002F72C3"/>
    <w:rsid w:val="002F768C"/>
    <w:rsid w:val="002F7D1E"/>
    <w:rsid w:val="002F7FC5"/>
    <w:rsid w:val="00300F92"/>
    <w:rsid w:val="00301839"/>
    <w:rsid w:val="00302929"/>
    <w:rsid w:val="00302F0F"/>
    <w:rsid w:val="00303243"/>
    <w:rsid w:val="00303BCC"/>
    <w:rsid w:val="00303F2B"/>
    <w:rsid w:val="00303F8D"/>
    <w:rsid w:val="00304541"/>
    <w:rsid w:val="00304580"/>
    <w:rsid w:val="0030586A"/>
    <w:rsid w:val="00306340"/>
    <w:rsid w:val="003074C5"/>
    <w:rsid w:val="00307A3C"/>
    <w:rsid w:val="00307FA4"/>
    <w:rsid w:val="00310CC1"/>
    <w:rsid w:val="0031202C"/>
    <w:rsid w:val="003129E1"/>
    <w:rsid w:val="00313026"/>
    <w:rsid w:val="0031421F"/>
    <w:rsid w:val="00314B31"/>
    <w:rsid w:val="00314B36"/>
    <w:rsid w:val="00315158"/>
    <w:rsid w:val="00315346"/>
    <w:rsid w:val="00315A65"/>
    <w:rsid w:val="00316CEC"/>
    <w:rsid w:val="00317BA7"/>
    <w:rsid w:val="00320331"/>
    <w:rsid w:val="00320BE2"/>
    <w:rsid w:val="00321886"/>
    <w:rsid w:val="00321902"/>
    <w:rsid w:val="00322F03"/>
    <w:rsid w:val="00323694"/>
    <w:rsid w:val="00324D63"/>
    <w:rsid w:val="003255AF"/>
    <w:rsid w:val="003256EB"/>
    <w:rsid w:val="003259DB"/>
    <w:rsid w:val="0032710C"/>
    <w:rsid w:val="003274AD"/>
    <w:rsid w:val="00331060"/>
    <w:rsid w:val="00331A48"/>
    <w:rsid w:val="00332FEA"/>
    <w:rsid w:val="003330C9"/>
    <w:rsid w:val="0033364C"/>
    <w:rsid w:val="00334415"/>
    <w:rsid w:val="00334F92"/>
    <w:rsid w:val="0033691E"/>
    <w:rsid w:val="00336CCB"/>
    <w:rsid w:val="0033745F"/>
    <w:rsid w:val="00337631"/>
    <w:rsid w:val="00337F44"/>
    <w:rsid w:val="003411D1"/>
    <w:rsid w:val="003416BA"/>
    <w:rsid w:val="00341BD6"/>
    <w:rsid w:val="00342A8A"/>
    <w:rsid w:val="00342F99"/>
    <w:rsid w:val="00344726"/>
    <w:rsid w:val="003454A4"/>
    <w:rsid w:val="00350E6C"/>
    <w:rsid w:val="003518A6"/>
    <w:rsid w:val="00351CB0"/>
    <w:rsid w:val="00351E7F"/>
    <w:rsid w:val="00352953"/>
    <w:rsid w:val="00354062"/>
    <w:rsid w:val="00355C0D"/>
    <w:rsid w:val="003566A9"/>
    <w:rsid w:val="00356988"/>
    <w:rsid w:val="00356B20"/>
    <w:rsid w:val="00356E94"/>
    <w:rsid w:val="00357128"/>
    <w:rsid w:val="0035755E"/>
    <w:rsid w:val="00357A80"/>
    <w:rsid w:val="00357C88"/>
    <w:rsid w:val="00361B8B"/>
    <w:rsid w:val="00361B95"/>
    <w:rsid w:val="00363F39"/>
    <w:rsid w:val="00364AB0"/>
    <w:rsid w:val="003667B0"/>
    <w:rsid w:val="003667DD"/>
    <w:rsid w:val="00366B48"/>
    <w:rsid w:val="00367764"/>
    <w:rsid w:val="00370316"/>
    <w:rsid w:val="00370429"/>
    <w:rsid w:val="00370DC7"/>
    <w:rsid w:val="0037156C"/>
    <w:rsid w:val="00371CBD"/>
    <w:rsid w:val="00373CBE"/>
    <w:rsid w:val="003740CC"/>
    <w:rsid w:val="0037435E"/>
    <w:rsid w:val="00374E79"/>
    <w:rsid w:val="00375388"/>
    <w:rsid w:val="00375FB9"/>
    <w:rsid w:val="00376851"/>
    <w:rsid w:val="00376FA2"/>
    <w:rsid w:val="00377A3B"/>
    <w:rsid w:val="00377E3C"/>
    <w:rsid w:val="00380BBE"/>
    <w:rsid w:val="00381775"/>
    <w:rsid w:val="00381D70"/>
    <w:rsid w:val="00382128"/>
    <w:rsid w:val="0038235E"/>
    <w:rsid w:val="003829D0"/>
    <w:rsid w:val="00382FBA"/>
    <w:rsid w:val="0038444F"/>
    <w:rsid w:val="00384E83"/>
    <w:rsid w:val="00385FA5"/>
    <w:rsid w:val="00387051"/>
    <w:rsid w:val="00387712"/>
    <w:rsid w:val="00387ECF"/>
    <w:rsid w:val="0039021B"/>
    <w:rsid w:val="00390429"/>
    <w:rsid w:val="00392A7A"/>
    <w:rsid w:val="0039327C"/>
    <w:rsid w:val="003933A2"/>
    <w:rsid w:val="0039366C"/>
    <w:rsid w:val="003938F3"/>
    <w:rsid w:val="00393EC8"/>
    <w:rsid w:val="00394BC6"/>
    <w:rsid w:val="00395E42"/>
    <w:rsid w:val="00396052"/>
    <w:rsid w:val="00396A2D"/>
    <w:rsid w:val="00396FC3"/>
    <w:rsid w:val="003A0B61"/>
    <w:rsid w:val="003A1554"/>
    <w:rsid w:val="003A1A94"/>
    <w:rsid w:val="003A1B8E"/>
    <w:rsid w:val="003A204E"/>
    <w:rsid w:val="003A2799"/>
    <w:rsid w:val="003A2D25"/>
    <w:rsid w:val="003A39B2"/>
    <w:rsid w:val="003A4DDB"/>
    <w:rsid w:val="003A60E7"/>
    <w:rsid w:val="003A63DD"/>
    <w:rsid w:val="003A6E03"/>
    <w:rsid w:val="003B0B6A"/>
    <w:rsid w:val="003B0F79"/>
    <w:rsid w:val="003B117E"/>
    <w:rsid w:val="003B1483"/>
    <w:rsid w:val="003B1CFD"/>
    <w:rsid w:val="003B29CF"/>
    <w:rsid w:val="003B370C"/>
    <w:rsid w:val="003B4127"/>
    <w:rsid w:val="003B41B5"/>
    <w:rsid w:val="003B54DF"/>
    <w:rsid w:val="003B5BC1"/>
    <w:rsid w:val="003B5F96"/>
    <w:rsid w:val="003B6659"/>
    <w:rsid w:val="003B7733"/>
    <w:rsid w:val="003C0166"/>
    <w:rsid w:val="003C1582"/>
    <w:rsid w:val="003C350C"/>
    <w:rsid w:val="003C3903"/>
    <w:rsid w:val="003C3BA0"/>
    <w:rsid w:val="003C4580"/>
    <w:rsid w:val="003C52D8"/>
    <w:rsid w:val="003C5C5E"/>
    <w:rsid w:val="003C6746"/>
    <w:rsid w:val="003C7133"/>
    <w:rsid w:val="003C7555"/>
    <w:rsid w:val="003C7898"/>
    <w:rsid w:val="003D010A"/>
    <w:rsid w:val="003D0FAF"/>
    <w:rsid w:val="003D0FF5"/>
    <w:rsid w:val="003D205F"/>
    <w:rsid w:val="003D2D1B"/>
    <w:rsid w:val="003D30AB"/>
    <w:rsid w:val="003D3D94"/>
    <w:rsid w:val="003D48C7"/>
    <w:rsid w:val="003D4B26"/>
    <w:rsid w:val="003D4C08"/>
    <w:rsid w:val="003D51ED"/>
    <w:rsid w:val="003D5243"/>
    <w:rsid w:val="003D7CE8"/>
    <w:rsid w:val="003E1032"/>
    <w:rsid w:val="003E1904"/>
    <w:rsid w:val="003E285E"/>
    <w:rsid w:val="003E3300"/>
    <w:rsid w:val="003E5E29"/>
    <w:rsid w:val="003E65AC"/>
    <w:rsid w:val="003E6E24"/>
    <w:rsid w:val="003E72B9"/>
    <w:rsid w:val="003E7ED4"/>
    <w:rsid w:val="003F0E52"/>
    <w:rsid w:val="003F0EF2"/>
    <w:rsid w:val="003F0F6B"/>
    <w:rsid w:val="003F1F40"/>
    <w:rsid w:val="003F1FE3"/>
    <w:rsid w:val="003F3865"/>
    <w:rsid w:val="003F3A0A"/>
    <w:rsid w:val="003F4632"/>
    <w:rsid w:val="003F47BA"/>
    <w:rsid w:val="003F6617"/>
    <w:rsid w:val="00402332"/>
    <w:rsid w:val="004025C2"/>
    <w:rsid w:val="00403E55"/>
    <w:rsid w:val="00404532"/>
    <w:rsid w:val="00404681"/>
    <w:rsid w:val="0040496D"/>
    <w:rsid w:val="00405010"/>
    <w:rsid w:val="0040595A"/>
    <w:rsid w:val="00406923"/>
    <w:rsid w:val="0040713A"/>
    <w:rsid w:val="0040763D"/>
    <w:rsid w:val="004105B0"/>
    <w:rsid w:val="00410624"/>
    <w:rsid w:val="00410EC5"/>
    <w:rsid w:val="0041250F"/>
    <w:rsid w:val="004133A8"/>
    <w:rsid w:val="00413821"/>
    <w:rsid w:val="00413D43"/>
    <w:rsid w:val="004141A3"/>
    <w:rsid w:val="00414909"/>
    <w:rsid w:val="00415E66"/>
    <w:rsid w:val="00416112"/>
    <w:rsid w:val="00416DF0"/>
    <w:rsid w:val="00417AE0"/>
    <w:rsid w:val="00417BAA"/>
    <w:rsid w:val="00420BA9"/>
    <w:rsid w:val="00420D7A"/>
    <w:rsid w:val="004223DE"/>
    <w:rsid w:val="0042293E"/>
    <w:rsid w:val="00422A10"/>
    <w:rsid w:val="00423D86"/>
    <w:rsid w:val="00424D17"/>
    <w:rsid w:val="0042511F"/>
    <w:rsid w:val="00425DFD"/>
    <w:rsid w:val="004263A3"/>
    <w:rsid w:val="00427713"/>
    <w:rsid w:val="00427803"/>
    <w:rsid w:val="00427CCC"/>
    <w:rsid w:val="0043013A"/>
    <w:rsid w:val="00430421"/>
    <w:rsid w:val="00430896"/>
    <w:rsid w:val="00430B4F"/>
    <w:rsid w:val="004314B1"/>
    <w:rsid w:val="00431E65"/>
    <w:rsid w:val="004320AB"/>
    <w:rsid w:val="00432589"/>
    <w:rsid w:val="00432A94"/>
    <w:rsid w:val="00432E83"/>
    <w:rsid w:val="0043366D"/>
    <w:rsid w:val="00433827"/>
    <w:rsid w:val="004360C8"/>
    <w:rsid w:val="0044006B"/>
    <w:rsid w:val="0044033F"/>
    <w:rsid w:val="00440630"/>
    <w:rsid w:val="00441123"/>
    <w:rsid w:val="00442095"/>
    <w:rsid w:val="00442965"/>
    <w:rsid w:val="00444157"/>
    <w:rsid w:val="0044417C"/>
    <w:rsid w:val="00444DB3"/>
    <w:rsid w:val="004452B9"/>
    <w:rsid w:val="00445A2F"/>
    <w:rsid w:val="00446328"/>
    <w:rsid w:val="00446341"/>
    <w:rsid w:val="00446648"/>
    <w:rsid w:val="0044684E"/>
    <w:rsid w:val="00446DEC"/>
    <w:rsid w:val="004479CA"/>
    <w:rsid w:val="004503A4"/>
    <w:rsid w:val="00450555"/>
    <w:rsid w:val="00450DC6"/>
    <w:rsid w:val="004516A5"/>
    <w:rsid w:val="00451FE8"/>
    <w:rsid w:val="00452179"/>
    <w:rsid w:val="00452E99"/>
    <w:rsid w:val="0045320B"/>
    <w:rsid w:val="004535AE"/>
    <w:rsid w:val="00453698"/>
    <w:rsid w:val="00453C42"/>
    <w:rsid w:val="0045463A"/>
    <w:rsid w:val="00454AC9"/>
    <w:rsid w:val="00454E26"/>
    <w:rsid w:val="004554A3"/>
    <w:rsid w:val="00455A6E"/>
    <w:rsid w:val="004565C8"/>
    <w:rsid w:val="00456758"/>
    <w:rsid w:val="004569CD"/>
    <w:rsid w:val="004578EB"/>
    <w:rsid w:val="00460303"/>
    <w:rsid w:val="00460697"/>
    <w:rsid w:val="0046204A"/>
    <w:rsid w:val="00462593"/>
    <w:rsid w:val="00465EEF"/>
    <w:rsid w:val="00466D03"/>
    <w:rsid w:val="0046711B"/>
    <w:rsid w:val="00467312"/>
    <w:rsid w:val="00471156"/>
    <w:rsid w:val="00472429"/>
    <w:rsid w:val="004725E5"/>
    <w:rsid w:val="004726FE"/>
    <w:rsid w:val="00472751"/>
    <w:rsid w:val="00473128"/>
    <w:rsid w:val="00475078"/>
    <w:rsid w:val="00475226"/>
    <w:rsid w:val="004775E9"/>
    <w:rsid w:val="004779A0"/>
    <w:rsid w:val="004800D6"/>
    <w:rsid w:val="004808E3"/>
    <w:rsid w:val="00481016"/>
    <w:rsid w:val="004814D3"/>
    <w:rsid w:val="0048204C"/>
    <w:rsid w:val="004821BB"/>
    <w:rsid w:val="00482233"/>
    <w:rsid w:val="0048261A"/>
    <w:rsid w:val="004826FE"/>
    <w:rsid w:val="004827D5"/>
    <w:rsid w:val="004830C9"/>
    <w:rsid w:val="00483347"/>
    <w:rsid w:val="00483E2E"/>
    <w:rsid w:val="00484B69"/>
    <w:rsid w:val="00485406"/>
    <w:rsid w:val="00485893"/>
    <w:rsid w:val="0048590F"/>
    <w:rsid w:val="004867A5"/>
    <w:rsid w:val="00486D60"/>
    <w:rsid w:val="00487C87"/>
    <w:rsid w:val="0049080F"/>
    <w:rsid w:val="00490BB8"/>
    <w:rsid w:val="00492A25"/>
    <w:rsid w:val="004939F1"/>
    <w:rsid w:val="0049474A"/>
    <w:rsid w:val="00495853"/>
    <w:rsid w:val="004961EA"/>
    <w:rsid w:val="00496350"/>
    <w:rsid w:val="00496F91"/>
    <w:rsid w:val="00497274"/>
    <w:rsid w:val="004973AA"/>
    <w:rsid w:val="00497633"/>
    <w:rsid w:val="00497708"/>
    <w:rsid w:val="0049797C"/>
    <w:rsid w:val="00497C2C"/>
    <w:rsid w:val="00497E9D"/>
    <w:rsid w:val="004A07AC"/>
    <w:rsid w:val="004A1032"/>
    <w:rsid w:val="004A120E"/>
    <w:rsid w:val="004A1405"/>
    <w:rsid w:val="004A1FC6"/>
    <w:rsid w:val="004A3725"/>
    <w:rsid w:val="004A3C03"/>
    <w:rsid w:val="004A3DB7"/>
    <w:rsid w:val="004A3E1A"/>
    <w:rsid w:val="004A3FB3"/>
    <w:rsid w:val="004A5088"/>
    <w:rsid w:val="004A5255"/>
    <w:rsid w:val="004A6097"/>
    <w:rsid w:val="004A6CB0"/>
    <w:rsid w:val="004A70FF"/>
    <w:rsid w:val="004A7CCC"/>
    <w:rsid w:val="004B1B84"/>
    <w:rsid w:val="004B29AC"/>
    <w:rsid w:val="004B35DF"/>
    <w:rsid w:val="004B3627"/>
    <w:rsid w:val="004B3F3A"/>
    <w:rsid w:val="004B4779"/>
    <w:rsid w:val="004B4922"/>
    <w:rsid w:val="004B57DF"/>
    <w:rsid w:val="004C03A0"/>
    <w:rsid w:val="004C04AB"/>
    <w:rsid w:val="004C2138"/>
    <w:rsid w:val="004C2ED0"/>
    <w:rsid w:val="004C32D4"/>
    <w:rsid w:val="004C3940"/>
    <w:rsid w:val="004C51FD"/>
    <w:rsid w:val="004C534B"/>
    <w:rsid w:val="004C65A8"/>
    <w:rsid w:val="004C6F74"/>
    <w:rsid w:val="004C786C"/>
    <w:rsid w:val="004C7963"/>
    <w:rsid w:val="004C7E79"/>
    <w:rsid w:val="004D2F63"/>
    <w:rsid w:val="004D35BA"/>
    <w:rsid w:val="004D4701"/>
    <w:rsid w:val="004D47C7"/>
    <w:rsid w:val="004D618D"/>
    <w:rsid w:val="004D62A9"/>
    <w:rsid w:val="004D6AEE"/>
    <w:rsid w:val="004D6FC3"/>
    <w:rsid w:val="004D71A3"/>
    <w:rsid w:val="004D7476"/>
    <w:rsid w:val="004E0306"/>
    <w:rsid w:val="004E0572"/>
    <w:rsid w:val="004E06B4"/>
    <w:rsid w:val="004E0F39"/>
    <w:rsid w:val="004E25A8"/>
    <w:rsid w:val="004E2AA0"/>
    <w:rsid w:val="004E3930"/>
    <w:rsid w:val="004E3ED9"/>
    <w:rsid w:val="004E5866"/>
    <w:rsid w:val="004E5D94"/>
    <w:rsid w:val="004E6097"/>
    <w:rsid w:val="004E61EF"/>
    <w:rsid w:val="004E6772"/>
    <w:rsid w:val="004E76A7"/>
    <w:rsid w:val="004E7736"/>
    <w:rsid w:val="004E7B03"/>
    <w:rsid w:val="004F0064"/>
    <w:rsid w:val="004F06AC"/>
    <w:rsid w:val="004F0D5B"/>
    <w:rsid w:val="004F1AE6"/>
    <w:rsid w:val="004F243F"/>
    <w:rsid w:val="004F299A"/>
    <w:rsid w:val="004F2B26"/>
    <w:rsid w:val="004F2F64"/>
    <w:rsid w:val="004F3E0C"/>
    <w:rsid w:val="004F4A07"/>
    <w:rsid w:val="004F581A"/>
    <w:rsid w:val="004F5F0B"/>
    <w:rsid w:val="004F6A2D"/>
    <w:rsid w:val="004F7160"/>
    <w:rsid w:val="004F766E"/>
    <w:rsid w:val="00500258"/>
    <w:rsid w:val="0050175E"/>
    <w:rsid w:val="00501A99"/>
    <w:rsid w:val="00502918"/>
    <w:rsid w:val="00503180"/>
    <w:rsid w:val="0050417C"/>
    <w:rsid w:val="00504218"/>
    <w:rsid w:val="00504B47"/>
    <w:rsid w:val="00505450"/>
    <w:rsid w:val="005100B7"/>
    <w:rsid w:val="005113C9"/>
    <w:rsid w:val="0051280C"/>
    <w:rsid w:val="00512842"/>
    <w:rsid w:val="005128BE"/>
    <w:rsid w:val="00512B7B"/>
    <w:rsid w:val="00512E6C"/>
    <w:rsid w:val="0051356F"/>
    <w:rsid w:val="00513E7C"/>
    <w:rsid w:val="005140BB"/>
    <w:rsid w:val="005143C2"/>
    <w:rsid w:val="0051454F"/>
    <w:rsid w:val="00514FD9"/>
    <w:rsid w:val="00515530"/>
    <w:rsid w:val="0051608F"/>
    <w:rsid w:val="005210F7"/>
    <w:rsid w:val="00521753"/>
    <w:rsid w:val="00521A44"/>
    <w:rsid w:val="00521D16"/>
    <w:rsid w:val="005222BE"/>
    <w:rsid w:val="005224EE"/>
    <w:rsid w:val="00523BB1"/>
    <w:rsid w:val="00523EB0"/>
    <w:rsid w:val="0052451A"/>
    <w:rsid w:val="00524737"/>
    <w:rsid w:val="005257EE"/>
    <w:rsid w:val="00526265"/>
    <w:rsid w:val="0052649E"/>
    <w:rsid w:val="0052652D"/>
    <w:rsid w:val="0052655D"/>
    <w:rsid w:val="005265E0"/>
    <w:rsid w:val="00526BC3"/>
    <w:rsid w:val="00530856"/>
    <w:rsid w:val="00530F9E"/>
    <w:rsid w:val="0053274E"/>
    <w:rsid w:val="0053358A"/>
    <w:rsid w:val="00534668"/>
    <w:rsid w:val="00534DDD"/>
    <w:rsid w:val="00535291"/>
    <w:rsid w:val="00535A94"/>
    <w:rsid w:val="00537874"/>
    <w:rsid w:val="00540204"/>
    <w:rsid w:val="00540578"/>
    <w:rsid w:val="005407D2"/>
    <w:rsid w:val="00540808"/>
    <w:rsid w:val="0054080E"/>
    <w:rsid w:val="00540EA1"/>
    <w:rsid w:val="00541913"/>
    <w:rsid w:val="00541F62"/>
    <w:rsid w:val="00542AD8"/>
    <w:rsid w:val="0054358E"/>
    <w:rsid w:val="00543AF4"/>
    <w:rsid w:val="00544191"/>
    <w:rsid w:val="00544486"/>
    <w:rsid w:val="00544F39"/>
    <w:rsid w:val="0054515D"/>
    <w:rsid w:val="00547EFB"/>
    <w:rsid w:val="00552563"/>
    <w:rsid w:val="005531DF"/>
    <w:rsid w:val="00553874"/>
    <w:rsid w:val="00553ACC"/>
    <w:rsid w:val="00553B92"/>
    <w:rsid w:val="00554AD8"/>
    <w:rsid w:val="00554F78"/>
    <w:rsid w:val="005556A5"/>
    <w:rsid w:val="00556BF7"/>
    <w:rsid w:val="00562149"/>
    <w:rsid w:val="00562FF0"/>
    <w:rsid w:val="005630D8"/>
    <w:rsid w:val="0056354B"/>
    <w:rsid w:val="00563FFD"/>
    <w:rsid w:val="00565855"/>
    <w:rsid w:val="005677CE"/>
    <w:rsid w:val="00567B5D"/>
    <w:rsid w:val="00573733"/>
    <w:rsid w:val="00574554"/>
    <w:rsid w:val="00576089"/>
    <w:rsid w:val="005764B1"/>
    <w:rsid w:val="00576A56"/>
    <w:rsid w:val="00576D06"/>
    <w:rsid w:val="005779E4"/>
    <w:rsid w:val="00580AC5"/>
    <w:rsid w:val="00580EB3"/>
    <w:rsid w:val="00581A2A"/>
    <w:rsid w:val="0058289C"/>
    <w:rsid w:val="00582C35"/>
    <w:rsid w:val="00582DC6"/>
    <w:rsid w:val="005836C7"/>
    <w:rsid w:val="00583E30"/>
    <w:rsid w:val="0058408E"/>
    <w:rsid w:val="00585374"/>
    <w:rsid w:val="00586BB8"/>
    <w:rsid w:val="00586F3C"/>
    <w:rsid w:val="00590B77"/>
    <w:rsid w:val="005913A3"/>
    <w:rsid w:val="00591DCD"/>
    <w:rsid w:val="00591E6C"/>
    <w:rsid w:val="00593BD6"/>
    <w:rsid w:val="0059460E"/>
    <w:rsid w:val="00594A7B"/>
    <w:rsid w:val="00594AFA"/>
    <w:rsid w:val="005950B0"/>
    <w:rsid w:val="0059580E"/>
    <w:rsid w:val="00596A6F"/>
    <w:rsid w:val="005976E1"/>
    <w:rsid w:val="00597929"/>
    <w:rsid w:val="005A0541"/>
    <w:rsid w:val="005A055B"/>
    <w:rsid w:val="005A1525"/>
    <w:rsid w:val="005A1CA9"/>
    <w:rsid w:val="005A1EC3"/>
    <w:rsid w:val="005A252B"/>
    <w:rsid w:val="005A2A71"/>
    <w:rsid w:val="005A3204"/>
    <w:rsid w:val="005A3341"/>
    <w:rsid w:val="005A3FA1"/>
    <w:rsid w:val="005A46EC"/>
    <w:rsid w:val="005A4847"/>
    <w:rsid w:val="005A494F"/>
    <w:rsid w:val="005A7A9A"/>
    <w:rsid w:val="005B0160"/>
    <w:rsid w:val="005B0185"/>
    <w:rsid w:val="005B04F1"/>
    <w:rsid w:val="005B07EC"/>
    <w:rsid w:val="005B09D8"/>
    <w:rsid w:val="005B120C"/>
    <w:rsid w:val="005B24F3"/>
    <w:rsid w:val="005B2B11"/>
    <w:rsid w:val="005B2E00"/>
    <w:rsid w:val="005B3054"/>
    <w:rsid w:val="005B370E"/>
    <w:rsid w:val="005B4DA3"/>
    <w:rsid w:val="005B5BEE"/>
    <w:rsid w:val="005B77D2"/>
    <w:rsid w:val="005C019B"/>
    <w:rsid w:val="005C144E"/>
    <w:rsid w:val="005C14A8"/>
    <w:rsid w:val="005C30F5"/>
    <w:rsid w:val="005C357E"/>
    <w:rsid w:val="005C3951"/>
    <w:rsid w:val="005C51A5"/>
    <w:rsid w:val="005C557A"/>
    <w:rsid w:val="005C61DD"/>
    <w:rsid w:val="005C6438"/>
    <w:rsid w:val="005C6B8B"/>
    <w:rsid w:val="005D02E3"/>
    <w:rsid w:val="005D0310"/>
    <w:rsid w:val="005D039C"/>
    <w:rsid w:val="005D1804"/>
    <w:rsid w:val="005D1F34"/>
    <w:rsid w:val="005D2529"/>
    <w:rsid w:val="005D2565"/>
    <w:rsid w:val="005D2C1F"/>
    <w:rsid w:val="005D34B2"/>
    <w:rsid w:val="005D3B54"/>
    <w:rsid w:val="005D40CD"/>
    <w:rsid w:val="005D6B59"/>
    <w:rsid w:val="005D7037"/>
    <w:rsid w:val="005E03E4"/>
    <w:rsid w:val="005E0454"/>
    <w:rsid w:val="005E171D"/>
    <w:rsid w:val="005E2E8F"/>
    <w:rsid w:val="005E34C2"/>
    <w:rsid w:val="005E35C6"/>
    <w:rsid w:val="005E4DD2"/>
    <w:rsid w:val="005E5B01"/>
    <w:rsid w:val="005E7933"/>
    <w:rsid w:val="005E797C"/>
    <w:rsid w:val="005E7E0B"/>
    <w:rsid w:val="005F009E"/>
    <w:rsid w:val="005F0A88"/>
    <w:rsid w:val="005F0DF1"/>
    <w:rsid w:val="005F1516"/>
    <w:rsid w:val="005F1936"/>
    <w:rsid w:val="005F229E"/>
    <w:rsid w:val="005F2564"/>
    <w:rsid w:val="005F3694"/>
    <w:rsid w:val="005F3822"/>
    <w:rsid w:val="005F3DAC"/>
    <w:rsid w:val="005F3E0B"/>
    <w:rsid w:val="005F4D16"/>
    <w:rsid w:val="005F4E52"/>
    <w:rsid w:val="005F5590"/>
    <w:rsid w:val="005F5967"/>
    <w:rsid w:val="005F6A62"/>
    <w:rsid w:val="005F75A1"/>
    <w:rsid w:val="005F77C8"/>
    <w:rsid w:val="0060058E"/>
    <w:rsid w:val="00602A3C"/>
    <w:rsid w:val="00603EFD"/>
    <w:rsid w:val="006041DF"/>
    <w:rsid w:val="0060475B"/>
    <w:rsid w:val="00604FB6"/>
    <w:rsid w:val="00605387"/>
    <w:rsid w:val="00605C1C"/>
    <w:rsid w:val="00606302"/>
    <w:rsid w:val="006072EF"/>
    <w:rsid w:val="006076FD"/>
    <w:rsid w:val="00607BA3"/>
    <w:rsid w:val="0061143F"/>
    <w:rsid w:val="006114D8"/>
    <w:rsid w:val="00611585"/>
    <w:rsid w:val="006120E1"/>
    <w:rsid w:val="00612931"/>
    <w:rsid w:val="00613601"/>
    <w:rsid w:val="00613791"/>
    <w:rsid w:val="00613AAB"/>
    <w:rsid w:val="00614505"/>
    <w:rsid w:val="006148C7"/>
    <w:rsid w:val="00614CCF"/>
    <w:rsid w:val="006150D6"/>
    <w:rsid w:val="00615E89"/>
    <w:rsid w:val="00617EEE"/>
    <w:rsid w:val="006210FE"/>
    <w:rsid w:val="0062145C"/>
    <w:rsid w:val="00622811"/>
    <w:rsid w:val="00622894"/>
    <w:rsid w:val="00622BB7"/>
    <w:rsid w:val="00622F3B"/>
    <w:rsid w:val="00623389"/>
    <w:rsid w:val="0062352A"/>
    <w:rsid w:val="0062398A"/>
    <w:rsid w:val="00625E45"/>
    <w:rsid w:val="006265C4"/>
    <w:rsid w:val="00627383"/>
    <w:rsid w:val="00627733"/>
    <w:rsid w:val="006301BB"/>
    <w:rsid w:val="006308D8"/>
    <w:rsid w:val="00632605"/>
    <w:rsid w:val="00633F8D"/>
    <w:rsid w:val="006341EF"/>
    <w:rsid w:val="00634932"/>
    <w:rsid w:val="00634BED"/>
    <w:rsid w:val="00635A4A"/>
    <w:rsid w:val="00635FB9"/>
    <w:rsid w:val="00636148"/>
    <w:rsid w:val="00637774"/>
    <w:rsid w:val="0064024C"/>
    <w:rsid w:val="00640291"/>
    <w:rsid w:val="00641EF5"/>
    <w:rsid w:val="00641FAC"/>
    <w:rsid w:val="006432A5"/>
    <w:rsid w:val="00643664"/>
    <w:rsid w:val="00643CAA"/>
    <w:rsid w:val="00644CE3"/>
    <w:rsid w:val="00645B8C"/>
    <w:rsid w:val="006516D9"/>
    <w:rsid w:val="00652137"/>
    <w:rsid w:val="00652680"/>
    <w:rsid w:val="006529E7"/>
    <w:rsid w:val="00652A09"/>
    <w:rsid w:val="00652A5E"/>
    <w:rsid w:val="00652E39"/>
    <w:rsid w:val="006530A1"/>
    <w:rsid w:val="006531DD"/>
    <w:rsid w:val="00653CDE"/>
    <w:rsid w:val="006540B4"/>
    <w:rsid w:val="0065636A"/>
    <w:rsid w:val="006565BB"/>
    <w:rsid w:val="00656C3C"/>
    <w:rsid w:val="00657003"/>
    <w:rsid w:val="00657126"/>
    <w:rsid w:val="006572C1"/>
    <w:rsid w:val="00657930"/>
    <w:rsid w:val="00660238"/>
    <w:rsid w:val="006602EF"/>
    <w:rsid w:val="0066052A"/>
    <w:rsid w:val="00660F41"/>
    <w:rsid w:val="00661277"/>
    <w:rsid w:val="006616FE"/>
    <w:rsid w:val="006619D1"/>
    <w:rsid w:val="00662076"/>
    <w:rsid w:val="00663FEA"/>
    <w:rsid w:val="00664253"/>
    <w:rsid w:val="006647AE"/>
    <w:rsid w:val="00664803"/>
    <w:rsid w:val="006661A4"/>
    <w:rsid w:val="006670E0"/>
    <w:rsid w:val="00667532"/>
    <w:rsid w:val="006704FD"/>
    <w:rsid w:val="00671F65"/>
    <w:rsid w:val="0067294B"/>
    <w:rsid w:val="00673AA4"/>
    <w:rsid w:val="00674187"/>
    <w:rsid w:val="0067508F"/>
    <w:rsid w:val="00675349"/>
    <w:rsid w:val="00675E7E"/>
    <w:rsid w:val="0068051E"/>
    <w:rsid w:val="00680B9D"/>
    <w:rsid w:val="00681F13"/>
    <w:rsid w:val="0068231C"/>
    <w:rsid w:val="00682344"/>
    <w:rsid w:val="00682F28"/>
    <w:rsid w:val="00684842"/>
    <w:rsid w:val="00685BD6"/>
    <w:rsid w:val="006878A6"/>
    <w:rsid w:val="00690437"/>
    <w:rsid w:val="00690E65"/>
    <w:rsid w:val="0069188E"/>
    <w:rsid w:val="00691974"/>
    <w:rsid w:val="00692CE6"/>
    <w:rsid w:val="00693B6C"/>
    <w:rsid w:val="00694202"/>
    <w:rsid w:val="006942AE"/>
    <w:rsid w:val="0069483C"/>
    <w:rsid w:val="00695421"/>
    <w:rsid w:val="00696D4B"/>
    <w:rsid w:val="006970CA"/>
    <w:rsid w:val="00697BD3"/>
    <w:rsid w:val="00697DFA"/>
    <w:rsid w:val="006A0C53"/>
    <w:rsid w:val="006A10F3"/>
    <w:rsid w:val="006A16D5"/>
    <w:rsid w:val="006A1772"/>
    <w:rsid w:val="006A1780"/>
    <w:rsid w:val="006A25A5"/>
    <w:rsid w:val="006A2790"/>
    <w:rsid w:val="006A3CEC"/>
    <w:rsid w:val="006A3F75"/>
    <w:rsid w:val="006A4170"/>
    <w:rsid w:val="006A4945"/>
    <w:rsid w:val="006A4FB3"/>
    <w:rsid w:val="006A52C6"/>
    <w:rsid w:val="006A5A3E"/>
    <w:rsid w:val="006A6CA7"/>
    <w:rsid w:val="006A703E"/>
    <w:rsid w:val="006A7BE3"/>
    <w:rsid w:val="006B01D1"/>
    <w:rsid w:val="006B16EA"/>
    <w:rsid w:val="006B1780"/>
    <w:rsid w:val="006B224E"/>
    <w:rsid w:val="006B376E"/>
    <w:rsid w:val="006B4589"/>
    <w:rsid w:val="006B62C4"/>
    <w:rsid w:val="006B6805"/>
    <w:rsid w:val="006B6BBE"/>
    <w:rsid w:val="006B6DE0"/>
    <w:rsid w:val="006B7D5F"/>
    <w:rsid w:val="006C32F4"/>
    <w:rsid w:val="006C3C54"/>
    <w:rsid w:val="006C40F4"/>
    <w:rsid w:val="006C427B"/>
    <w:rsid w:val="006C4D5D"/>
    <w:rsid w:val="006C4E5A"/>
    <w:rsid w:val="006C4F9F"/>
    <w:rsid w:val="006C61AB"/>
    <w:rsid w:val="006C650D"/>
    <w:rsid w:val="006C6B24"/>
    <w:rsid w:val="006C700D"/>
    <w:rsid w:val="006C748D"/>
    <w:rsid w:val="006C74E2"/>
    <w:rsid w:val="006D0C1D"/>
    <w:rsid w:val="006D0CE1"/>
    <w:rsid w:val="006D2004"/>
    <w:rsid w:val="006D2A8C"/>
    <w:rsid w:val="006D2E9D"/>
    <w:rsid w:val="006D4C1E"/>
    <w:rsid w:val="006D4C42"/>
    <w:rsid w:val="006D5809"/>
    <w:rsid w:val="006D630A"/>
    <w:rsid w:val="006D6373"/>
    <w:rsid w:val="006D668D"/>
    <w:rsid w:val="006D6D1E"/>
    <w:rsid w:val="006D7363"/>
    <w:rsid w:val="006D74F2"/>
    <w:rsid w:val="006D7B53"/>
    <w:rsid w:val="006E04C8"/>
    <w:rsid w:val="006E0712"/>
    <w:rsid w:val="006E0754"/>
    <w:rsid w:val="006E246B"/>
    <w:rsid w:val="006E2668"/>
    <w:rsid w:val="006E2B8D"/>
    <w:rsid w:val="006E2D39"/>
    <w:rsid w:val="006E2EA4"/>
    <w:rsid w:val="006E32B0"/>
    <w:rsid w:val="006E36D8"/>
    <w:rsid w:val="006E396A"/>
    <w:rsid w:val="006E3A73"/>
    <w:rsid w:val="006E5DD8"/>
    <w:rsid w:val="006E5EA1"/>
    <w:rsid w:val="006E7ABC"/>
    <w:rsid w:val="006F0760"/>
    <w:rsid w:val="006F0FF1"/>
    <w:rsid w:val="006F11E2"/>
    <w:rsid w:val="006F12F5"/>
    <w:rsid w:val="006F2574"/>
    <w:rsid w:val="006F3231"/>
    <w:rsid w:val="006F3DE3"/>
    <w:rsid w:val="006F511F"/>
    <w:rsid w:val="006F54B3"/>
    <w:rsid w:val="006F60E2"/>
    <w:rsid w:val="006F61D8"/>
    <w:rsid w:val="006F62B7"/>
    <w:rsid w:val="006F70BC"/>
    <w:rsid w:val="006F713A"/>
    <w:rsid w:val="006F76BF"/>
    <w:rsid w:val="00700077"/>
    <w:rsid w:val="00703577"/>
    <w:rsid w:val="00703B68"/>
    <w:rsid w:val="007055E7"/>
    <w:rsid w:val="007066A4"/>
    <w:rsid w:val="00706F37"/>
    <w:rsid w:val="00707D09"/>
    <w:rsid w:val="00711208"/>
    <w:rsid w:val="00711BA9"/>
    <w:rsid w:val="0071209F"/>
    <w:rsid w:val="007125A2"/>
    <w:rsid w:val="00712DA3"/>
    <w:rsid w:val="00713F79"/>
    <w:rsid w:val="007148A8"/>
    <w:rsid w:val="00714A2B"/>
    <w:rsid w:val="00714AA4"/>
    <w:rsid w:val="00715DBA"/>
    <w:rsid w:val="007171E0"/>
    <w:rsid w:val="0072033C"/>
    <w:rsid w:val="00720B1B"/>
    <w:rsid w:val="00720EC1"/>
    <w:rsid w:val="00721062"/>
    <w:rsid w:val="00721E5D"/>
    <w:rsid w:val="007229D4"/>
    <w:rsid w:val="00722CD9"/>
    <w:rsid w:val="007230F8"/>
    <w:rsid w:val="007233F4"/>
    <w:rsid w:val="00724044"/>
    <w:rsid w:val="007244E1"/>
    <w:rsid w:val="007248D3"/>
    <w:rsid w:val="00725137"/>
    <w:rsid w:val="007263ED"/>
    <w:rsid w:val="00727A43"/>
    <w:rsid w:val="00727FF2"/>
    <w:rsid w:val="007323E0"/>
    <w:rsid w:val="00733791"/>
    <w:rsid w:val="0073391B"/>
    <w:rsid w:val="00733DE2"/>
    <w:rsid w:val="007352EA"/>
    <w:rsid w:val="00735CD2"/>
    <w:rsid w:val="007364E5"/>
    <w:rsid w:val="0073792F"/>
    <w:rsid w:val="00737CC5"/>
    <w:rsid w:val="00740DA6"/>
    <w:rsid w:val="00741A0E"/>
    <w:rsid w:val="00741D1E"/>
    <w:rsid w:val="00741EE2"/>
    <w:rsid w:val="00742367"/>
    <w:rsid w:val="00742EAA"/>
    <w:rsid w:val="00743818"/>
    <w:rsid w:val="0074394E"/>
    <w:rsid w:val="007439E2"/>
    <w:rsid w:val="00743D6F"/>
    <w:rsid w:val="00743DD8"/>
    <w:rsid w:val="007441FB"/>
    <w:rsid w:val="00744517"/>
    <w:rsid w:val="00744810"/>
    <w:rsid w:val="00745D9D"/>
    <w:rsid w:val="00747DE2"/>
    <w:rsid w:val="007504BF"/>
    <w:rsid w:val="007506CD"/>
    <w:rsid w:val="0075267F"/>
    <w:rsid w:val="007526EC"/>
    <w:rsid w:val="007530C2"/>
    <w:rsid w:val="0075310C"/>
    <w:rsid w:val="00753347"/>
    <w:rsid w:val="00753359"/>
    <w:rsid w:val="00753C48"/>
    <w:rsid w:val="00754C97"/>
    <w:rsid w:val="00754FE4"/>
    <w:rsid w:val="00755538"/>
    <w:rsid w:val="00756236"/>
    <w:rsid w:val="00756271"/>
    <w:rsid w:val="00756521"/>
    <w:rsid w:val="00756AB7"/>
    <w:rsid w:val="00760477"/>
    <w:rsid w:val="00761AF4"/>
    <w:rsid w:val="00761CCC"/>
    <w:rsid w:val="00762071"/>
    <w:rsid w:val="007623FB"/>
    <w:rsid w:val="0076376A"/>
    <w:rsid w:val="0076500F"/>
    <w:rsid w:val="0076504E"/>
    <w:rsid w:val="00765E6A"/>
    <w:rsid w:val="00767EA0"/>
    <w:rsid w:val="0077068F"/>
    <w:rsid w:val="0077408D"/>
    <w:rsid w:val="00774270"/>
    <w:rsid w:val="00775679"/>
    <w:rsid w:val="007757C7"/>
    <w:rsid w:val="00775803"/>
    <w:rsid w:val="0077686A"/>
    <w:rsid w:val="00777B32"/>
    <w:rsid w:val="0078051E"/>
    <w:rsid w:val="00781FDD"/>
    <w:rsid w:val="00782A9F"/>
    <w:rsid w:val="0078508A"/>
    <w:rsid w:val="00786D54"/>
    <w:rsid w:val="00786D5C"/>
    <w:rsid w:val="00786E96"/>
    <w:rsid w:val="00787F93"/>
    <w:rsid w:val="007907CA"/>
    <w:rsid w:val="007913A1"/>
    <w:rsid w:val="00791E6D"/>
    <w:rsid w:val="007928DC"/>
    <w:rsid w:val="007939CC"/>
    <w:rsid w:val="00794AD7"/>
    <w:rsid w:val="00796FB8"/>
    <w:rsid w:val="007A03CC"/>
    <w:rsid w:val="007A0A5E"/>
    <w:rsid w:val="007A11C2"/>
    <w:rsid w:val="007A186A"/>
    <w:rsid w:val="007A2367"/>
    <w:rsid w:val="007A2B5B"/>
    <w:rsid w:val="007A41BF"/>
    <w:rsid w:val="007A490A"/>
    <w:rsid w:val="007A4DBD"/>
    <w:rsid w:val="007A581D"/>
    <w:rsid w:val="007A5E49"/>
    <w:rsid w:val="007A7B95"/>
    <w:rsid w:val="007B0297"/>
    <w:rsid w:val="007B0B47"/>
    <w:rsid w:val="007B0CF7"/>
    <w:rsid w:val="007B0F53"/>
    <w:rsid w:val="007B1B87"/>
    <w:rsid w:val="007B1DD8"/>
    <w:rsid w:val="007B21AE"/>
    <w:rsid w:val="007B2570"/>
    <w:rsid w:val="007B3113"/>
    <w:rsid w:val="007B3304"/>
    <w:rsid w:val="007B332B"/>
    <w:rsid w:val="007B394D"/>
    <w:rsid w:val="007B56F5"/>
    <w:rsid w:val="007B5DB0"/>
    <w:rsid w:val="007B7490"/>
    <w:rsid w:val="007B774A"/>
    <w:rsid w:val="007C0525"/>
    <w:rsid w:val="007C0B56"/>
    <w:rsid w:val="007C13F7"/>
    <w:rsid w:val="007C218D"/>
    <w:rsid w:val="007C2D28"/>
    <w:rsid w:val="007C3E22"/>
    <w:rsid w:val="007C5153"/>
    <w:rsid w:val="007C67C6"/>
    <w:rsid w:val="007C707A"/>
    <w:rsid w:val="007C7E59"/>
    <w:rsid w:val="007D0B91"/>
    <w:rsid w:val="007D0F53"/>
    <w:rsid w:val="007D1452"/>
    <w:rsid w:val="007D1C77"/>
    <w:rsid w:val="007D1E29"/>
    <w:rsid w:val="007D460C"/>
    <w:rsid w:val="007D4AD3"/>
    <w:rsid w:val="007D4C8D"/>
    <w:rsid w:val="007D5D19"/>
    <w:rsid w:val="007D5FDC"/>
    <w:rsid w:val="007D6232"/>
    <w:rsid w:val="007D6D68"/>
    <w:rsid w:val="007D7252"/>
    <w:rsid w:val="007E01DA"/>
    <w:rsid w:val="007E1603"/>
    <w:rsid w:val="007E32DA"/>
    <w:rsid w:val="007E4998"/>
    <w:rsid w:val="007E4A9C"/>
    <w:rsid w:val="007E68E4"/>
    <w:rsid w:val="007E6914"/>
    <w:rsid w:val="007E7F78"/>
    <w:rsid w:val="007F0C8B"/>
    <w:rsid w:val="007F1517"/>
    <w:rsid w:val="007F1D44"/>
    <w:rsid w:val="007F2C13"/>
    <w:rsid w:val="007F2CEC"/>
    <w:rsid w:val="007F2D8A"/>
    <w:rsid w:val="007F5065"/>
    <w:rsid w:val="007F557F"/>
    <w:rsid w:val="007F55DE"/>
    <w:rsid w:val="007F5605"/>
    <w:rsid w:val="007F57F9"/>
    <w:rsid w:val="007F6147"/>
    <w:rsid w:val="007F6FCD"/>
    <w:rsid w:val="007F78FF"/>
    <w:rsid w:val="00800F6C"/>
    <w:rsid w:val="008025BE"/>
    <w:rsid w:val="00804C86"/>
    <w:rsid w:val="008051FC"/>
    <w:rsid w:val="008055A9"/>
    <w:rsid w:val="008070EB"/>
    <w:rsid w:val="00807376"/>
    <w:rsid w:val="00807B30"/>
    <w:rsid w:val="00810E8E"/>
    <w:rsid w:val="0081142D"/>
    <w:rsid w:val="00812462"/>
    <w:rsid w:val="008131C3"/>
    <w:rsid w:val="008140A5"/>
    <w:rsid w:val="0081481D"/>
    <w:rsid w:val="00814BE8"/>
    <w:rsid w:val="00814F6E"/>
    <w:rsid w:val="00815B84"/>
    <w:rsid w:val="0081683F"/>
    <w:rsid w:val="00821A3D"/>
    <w:rsid w:val="00821B36"/>
    <w:rsid w:val="00822037"/>
    <w:rsid w:val="00823E0A"/>
    <w:rsid w:val="00823FC6"/>
    <w:rsid w:val="00823FFC"/>
    <w:rsid w:val="00824811"/>
    <w:rsid w:val="00825C74"/>
    <w:rsid w:val="00826AB9"/>
    <w:rsid w:val="00826E0E"/>
    <w:rsid w:val="0082731F"/>
    <w:rsid w:val="00827BC1"/>
    <w:rsid w:val="00827D11"/>
    <w:rsid w:val="00827E0F"/>
    <w:rsid w:val="00827F6E"/>
    <w:rsid w:val="00830401"/>
    <w:rsid w:val="008304CD"/>
    <w:rsid w:val="00831758"/>
    <w:rsid w:val="00832364"/>
    <w:rsid w:val="0083279F"/>
    <w:rsid w:val="00833B7F"/>
    <w:rsid w:val="00834906"/>
    <w:rsid w:val="00836075"/>
    <w:rsid w:val="00836417"/>
    <w:rsid w:val="008411F9"/>
    <w:rsid w:val="008413AB"/>
    <w:rsid w:val="00842D10"/>
    <w:rsid w:val="0084322B"/>
    <w:rsid w:val="00843B93"/>
    <w:rsid w:val="00843F81"/>
    <w:rsid w:val="00844087"/>
    <w:rsid w:val="0084519E"/>
    <w:rsid w:val="00846370"/>
    <w:rsid w:val="008477F2"/>
    <w:rsid w:val="00847C2B"/>
    <w:rsid w:val="00850C81"/>
    <w:rsid w:val="0085270D"/>
    <w:rsid w:val="008532BF"/>
    <w:rsid w:val="00853BF4"/>
    <w:rsid w:val="00854294"/>
    <w:rsid w:val="0085595B"/>
    <w:rsid w:val="00855F80"/>
    <w:rsid w:val="008566B8"/>
    <w:rsid w:val="0085788B"/>
    <w:rsid w:val="00857A9E"/>
    <w:rsid w:val="00857DE2"/>
    <w:rsid w:val="00862DCF"/>
    <w:rsid w:val="00863333"/>
    <w:rsid w:val="0086353C"/>
    <w:rsid w:val="0086407F"/>
    <w:rsid w:val="00864E79"/>
    <w:rsid w:val="00865D08"/>
    <w:rsid w:val="00866111"/>
    <w:rsid w:val="0086661F"/>
    <w:rsid w:val="00866A0D"/>
    <w:rsid w:val="00866DB5"/>
    <w:rsid w:val="0086784E"/>
    <w:rsid w:val="00867AF1"/>
    <w:rsid w:val="00870445"/>
    <w:rsid w:val="00870BF3"/>
    <w:rsid w:val="008718E4"/>
    <w:rsid w:val="00872118"/>
    <w:rsid w:val="00872827"/>
    <w:rsid w:val="00872888"/>
    <w:rsid w:val="00872A32"/>
    <w:rsid w:val="00872D92"/>
    <w:rsid w:val="00872E21"/>
    <w:rsid w:val="008733E2"/>
    <w:rsid w:val="008737A0"/>
    <w:rsid w:val="00874ECA"/>
    <w:rsid w:val="00876EAE"/>
    <w:rsid w:val="00880F95"/>
    <w:rsid w:val="008819C6"/>
    <w:rsid w:val="00882B44"/>
    <w:rsid w:val="00882E36"/>
    <w:rsid w:val="00882FE5"/>
    <w:rsid w:val="008845A4"/>
    <w:rsid w:val="00886138"/>
    <w:rsid w:val="00886E66"/>
    <w:rsid w:val="008871B0"/>
    <w:rsid w:val="00887565"/>
    <w:rsid w:val="008920AA"/>
    <w:rsid w:val="0089217C"/>
    <w:rsid w:val="008928A1"/>
    <w:rsid w:val="00893671"/>
    <w:rsid w:val="00895838"/>
    <w:rsid w:val="00895A72"/>
    <w:rsid w:val="00895CDF"/>
    <w:rsid w:val="008968C7"/>
    <w:rsid w:val="00897A55"/>
    <w:rsid w:val="008A0FC9"/>
    <w:rsid w:val="008A1956"/>
    <w:rsid w:val="008A3FF7"/>
    <w:rsid w:val="008A40D3"/>
    <w:rsid w:val="008A469C"/>
    <w:rsid w:val="008A484A"/>
    <w:rsid w:val="008A5877"/>
    <w:rsid w:val="008A6539"/>
    <w:rsid w:val="008A701C"/>
    <w:rsid w:val="008A7593"/>
    <w:rsid w:val="008B05DD"/>
    <w:rsid w:val="008B1236"/>
    <w:rsid w:val="008B17E8"/>
    <w:rsid w:val="008B1925"/>
    <w:rsid w:val="008B266C"/>
    <w:rsid w:val="008B2D03"/>
    <w:rsid w:val="008B2E7C"/>
    <w:rsid w:val="008B42EB"/>
    <w:rsid w:val="008B43A1"/>
    <w:rsid w:val="008B45A7"/>
    <w:rsid w:val="008B4A70"/>
    <w:rsid w:val="008B502F"/>
    <w:rsid w:val="008B5A88"/>
    <w:rsid w:val="008B6401"/>
    <w:rsid w:val="008B6527"/>
    <w:rsid w:val="008B6AFE"/>
    <w:rsid w:val="008B7034"/>
    <w:rsid w:val="008B7227"/>
    <w:rsid w:val="008C191C"/>
    <w:rsid w:val="008C1DA4"/>
    <w:rsid w:val="008C2CD5"/>
    <w:rsid w:val="008C3618"/>
    <w:rsid w:val="008C37C2"/>
    <w:rsid w:val="008C3F20"/>
    <w:rsid w:val="008C43AD"/>
    <w:rsid w:val="008C4D89"/>
    <w:rsid w:val="008C59FB"/>
    <w:rsid w:val="008C605A"/>
    <w:rsid w:val="008C6687"/>
    <w:rsid w:val="008C6793"/>
    <w:rsid w:val="008C68F0"/>
    <w:rsid w:val="008C6F92"/>
    <w:rsid w:val="008C731F"/>
    <w:rsid w:val="008C74D9"/>
    <w:rsid w:val="008D01FF"/>
    <w:rsid w:val="008D1052"/>
    <w:rsid w:val="008D124C"/>
    <w:rsid w:val="008D1BB3"/>
    <w:rsid w:val="008D1CF9"/>
    <w:rsid w:val="008D22AE"/>
    <w:rsid w:val="008D234A"/>
    <w:rsid w:val="008D2600"/>
    <w:rsid w:val="008D387A"/>
    <w:rsid w:val="008D4408"/>
    <w:rsid w:val="008D566C"/>
    <w:rsid w:val="008D58D9"/>
    <w:rsid w:val="008D6426"/>
    <w:rsid w:val="008D66EA"/>
    <w:rsid w:val="008D6E59"/>
    <w:rsid w:val="008D7155"/>
    <w:rsid w:val="008D7DE4"/>
    <w:rsid w:val="008E09B3"/>
    <w:rsid w:val="008E141A"/>
    <w:rsid w:val="008E19FD"/>
    <w:rsid w:val="008E1A44"/>
    <w:rsid w:val="008E28E6"/>
    <w:rsid w:val="008E2A6C"/>
    <w:rsid w:val="008E2B60"/>
    <w:rsid w:val="008E3232"/>
    <w:rsid w:val="008E3674"/>
    <w:rsid w:val="008E3B6C"/>
    <w:rsid w:val="008E3C1C"/>
    <w:rsid w:val="008E68BB"/>
    <w:rsid w:val="008E6C9B"/>
    <w:rsid w:val="008E77D4"/>
    <w:rsid w:val="008F0981"/>
    <w:rsid w:val="008F0AFD"/>
    <w:rsid w:val="008F0DDE"/>
    <w:rsid w:val="008F17B2"/>
    <w:rsid w:val="008F1A11"/>
    <w:rsid w:val="008F28EE"/>
    <w:rsid w:val="008F357B"/>
    <w:rsid w:val="008F44CA"/>
    <w:rsid w:val="008F49B9"/>
    <w:rsid w:val="008F49D3"/>
    <w:rsid w:val="008F6519"/>
    <w:rsid w:val="008F7012"/>
    <w:rsid w:val="008F7B17"/>
    <w:rsid w:val="00900042"/>
    <w:rsid w:val="0090034B"/>
    <w:rsid w:val="009019F4"/>
    <w:rsid w:val="00901DFA"/>
    <w:rsid w:val="00902623"/>
    <w:rsid w:val="00902890"/>
    <w:rsid w:val="00904BE4"/>
    <w:rsid w:val="0090504A"/>
    <w:rsid w:val="00905D7E"/>
    <w:rsid w:val="009063B7"/>
    <w:rsid w:val="00906B83"/>
    <w:rsid w:val="00907037"/>
    <w:rsid w:val="0091114B"/>
    <w:rsid w:val="0091160A"/>
    <w:rsid w:val="00913258"/>
    <w:rsid w:val="009136CF"/>
    <w:rsid w:val="0091564D"/>
    <w:rsid w:val="009156DA"/>
    <w:rsid w:val="0091647E"/>
    <w:rsid w:val="00916BC5"/>
    <w:rsid w:val="0091726A"/>
    <w:rsid w:val="00920184"/>
    <w:rsid w:val="00920A19"/>
    <w:rsid w:val="00920EA4"/>
    <w:rsid w:val="00921792"/>
    <w:rsid w:val="00921BEA"/>
    <w:rsid w:val="00923998"/>
    <w:rsid w:val="00923BC9"/>
    <w:rsid w:val="00923DB4"/>
    <w:rsid w:val="0092430E"/>
    <w:rsid w:val="0092450B"/>
    <w:rsid w:val="009249D7"/>
    <w:rsid w:val="00925E43"/>
    <w:rsid w:val="0092625F"/>
    <w:rsid w:val="009268A9"/>
    <w:rsid w:val="00927B37"/>
    <w:rsid w:val="009301B2"/>
    <w:rsid w:val="009313DD"/>
    <w:rsid w:val="00931BDE"/>
    <w:rsid w:val="009321B1"/>
    <w:rsid w:val="00932ED7"/>
    <w:rsid w:val="00932F9D"/>
    <w:rsid w:val="0093357E"/>
    <w:rsid w:val="0093422D"/>
    <w:rsid w:val="00934325"/>
    <w:rsid w:val="00934DD7"/>
    <w:rsid w:val="00935CC6"/>
    <w:rsid w:val="009369A9"/>
    <w:rsid w:val="00936CF7"/>
    <w:rsid w:val="00937201"/>
    <w:rsid w:val="0093734A"/>
    <w:rsid w:val="00937783"/>
    <w:rsid w:val="00937A4C"/>
    <w:rsid w:val="009408AA"/>
    <w:rsid w:val="00940CD1"/>
    <w:rsid w:val="00940FE1"/>
    <w:rsid w:val="00941BCB"/>
    <w:rsid w:val="00942306"/>
    <w:rsid w:val="009424B8"/>
    <w:rsid w:val="009433A4"/>
    <w:rsid w:val="0094435B"/>
    <w:rsid w:val="00944668"/>
    <w:rsid w:val="00944DC6"/>
    <w:rsid w:val="0094515F"/>
    <w:rsid w:val="0094537D"/>
    <w:rsid w:val="0094573F"/>
    <w:rsid w:val="009458B0"/>
    <w:rsid w:val="00945B52"/>
    <w:rsid w:val="00945DC0"/>
    <w:rsid w:val="00945F05"/>
    <w:rsid w:val="00946348"/>
    <w:rsid w:val="009471AD"/>
    <w:rsid w:val="009478A2"/>
    <w:rsid w:val="00950404"/>
    <w:rsid w:val="00952060"/>
    <w:rsid w:val="00954800"/>
    <w:rsid w:val="00955643"/>
    <w:rsid w:val="00955F1A"/>
    <w:rsid w:val="00955FBB"/>
    <w:rsid w:val="009561B5"/>
    <w:rsid w:val="0095694B"/>
    <w:rsid w:val="00956BD5"/>
    <w:rsid w:val="009574BB"/>
    <w:rsid w:val="009577B5"/>
    <w:rsid w:val="009608E6"/>
    <w:rsid w:val="00960A0D"/>
    <w:rsid w:val="00961779"/>
    <w:rsid w:val="00962EAA"/>
    <w:rsid w:val="00962EB1"/>
    <w:rsid w:val="0096476F"/>
    <w:rsid w:val="00966522"/>
    <w:rsid w:val="00967D3F"/>
    <w:rsid w:val="00967E78"/>
    <w:rsid w:val="00970500"/>
    <w:rsid w:val="00970D7E"/>
    <w:rsid w:val="00970F18"/>
    <w:rsid w:val="00971CF1"/>
    <w:rsid w:val="009721E9"/>
    <w:rsid w:val="00972A58"/>
    <w:rsid w:val="00973772"/>
    <w:rsid w:val="009738FC"/>
    <w:rsid w:val="009750B5"/>
    <w:rsid w:val="00975E1E"/>
    <w:rsid w:val="00975E70"/>
    <w:rsid w:val="00976D8F"/>
    <w:rsid w:val="00977CD6"/>
    <w:rsid w:val="00982481"/>
    <w:rsid w:val="00982D26"/>
    <w:rsid w:val="0098330E"/>
    <w:rsid w:val="009833DD"/>
    <w:rsid w:val="009840AB"/>
    <w:rsid w:val="009849E9"/>
    <w:rsid w:val="009866F3"/>
    <w:rsid w:val="00986A9D"/>
    <w:rsid w:val="00986F34"/>
    <w:rsid w:val="00987812"/>
    <w:rsid w:val="00990225"/>
    <w:rsid w:val="0099244B"/>
    <w:rsid w:val="00993186"/>
    <w:rsid w:val="009947B6"/>
    <w:rsid w:val="00994FCC"/>
    <w:rsid w:val="00995150"/>
    <w:rsid w:val="009957F3"/>
    <w:rsid w:val="00995D67"/>
    <w:rsid w:val="00996B4F"/>
    <w:rsid w:val="009970BF"/>
    <w:rsid w:val="00997422"/>
    <w:rsid w:val="009A013B"/>
    <w:rsid w:val="009A02F4"/>
    <w:rsid w:val="009A1844"/>
    <w:rsid w:val="009A1F12"/>
    <w:rsid w:val="009A2494"/>
    <w:rsid w:val="009A26CA"/>
    <w:rsid w:val="009A36F2"/>
    <w:rsid w:val="009A544C"/>
    <w:rsid w:val="009A5749"/>
    <w:rsid w:val="009A57D0"/>
    <w:rsid w:val="009A6559"/>
    <w:rsid w:val="009A68FC"/>
    <w:rsid w:val="009A6E29"/>
    <w:rsid w:val="009A7514"/>
    <w:rsid w:val="009A7E7A"/>
    <w:rsid w:val="009B1584"/>
    <w:rsid w:val="009B1585"/>
    <w:rsid w:val="009B2469"/>
    <w:rsid w:val="009B314F"/>
    <w:rsid w:val="009B439C"/>
    <w:rsid w:val="009B4A6C"/>
    <w:rsid w:val="009B5777"/>
    <w:rsid w:val="009B5779"/>
    <w:rsid w:val="009B6753"/>
    <w:rsid w:val="009B6A26"/>
    <w:rsid w:val="009C079D"/>
    <w:rsid w:val="009C0D70"/>
    <w:rsid w:val="009C13D1"/>
    <w:rsid w:val="009C2913"/>
    <w:rsid w:val="009C3008"/>
    <w:rsid w:val="009C4C40"/>
    <w:rsid w:val="009C5AFE"/>
    <w:rsid w:val="009C5EAD"/>
    <w:rsid w:val="009C6606"/>
    <w:rsid w:val="009C6CE5"/>
    <w:rsid w:val="009C6D50"/>
    <w:rsid w:val="009C7547"/>
    <w:rsid w:val="009D1678"/>
    <w:rsid w:val="009D1693"/>
    <w:rsid w:val="009D2721"/>
    <w:rsid w:val="009D2F60"/>
    <w:rsid w:val="009D338C"/>
    <w:rsid w:val="009D3D0D"/>
    <w:rsid w:val="009D5BAC"/>
    <w:rsid w:val="009D64BD"/>
    <w:rsid w:val="009E0D0A"/>
    <w:rsid w:val="009E0D1A"/>
    <w:rsid w:val="009E153F"/>
    <w:rsid w:val="009E2D6C"/>
    <w:rsid w:val="009E388B"/>
    <w:rsid w:val="009E393E"/>
    <w:rsid w:val="009E444E"/>
    <w:rsid w:val="009E4619"/>
    <w:rsid w:val="009E4968"/>
    <w:rsid w:val="009E663C"/>
    <w:rsid w:val="009E6BB1"/>
    <w:rsid w:val="009E79AD"/>
    <w:rsid w:val="009F0092"/>
    <w:rsid w:val="009F0CD9"/>
    <w:rsid w:val="009F1A79"/>
    <w:rsid w:val="009F1F57"/>
    <w:rsid w:val="009F2E26"/>
    <w:rsid w:val="009F3F4B"/>
    <w:rsid w:val="009F4FCF"/>
    <w:rsid w:val="009F5DE2"/>
    <w:rsid w:val="009F65F4"/>
    <w:rsid w:val="009F676B"/>
    <w:rsid w:val="009F692B"/>
    <w:rsid w:val="009F6EA6"/>
    <w:rsid w:val="00A004DF"/>
    <w:rsid w:val="00A00D29"/>
    <w:rsid w:val="00A00FD5"/>
    <w:rsid w:val="00A019A8"/>
    <w:rsid w:val="00A01B03"/>
    <w:rsid w:val="00A02C66"/>
    <w:rsid w:val="00A03861"/>
    <w:rsid w:val="00A0464C"/>
    <w:rsid w:val="00A04D48"/>
    <w:rsid w:val="00A054E0"/>
    <w:rsid w:val="00A05ABE"/>
    <w:rsid w:val="00A061DC"/>
    <w:rsid w:val="00A0663F"/>
    <w:rsid w:val="00A066CE"/>
    <w:rsid w:val="00A0740B"/>
    <w:rsid w:val="00A075A9"/>
    <w:rsid w:val="00A075CD"/>
    <w:rsid w:val="00A077E0"/>
    <w:rsid w:val="00A11042"/>
    <w:rsid w:val="00A133D8"/>
    <w:rsid w:val="00A14E97"/>
    <w:rsid w:val="00A1651C"/>
    <w:rsid w:val="00A20069"/>
    <w:rsid w:val="00A20280"/>
    <w:rsid w:val="00A2244D"/>
    <w:rsid w:val="00A2253D"/>
    <w:rsid w:val="00A22AEC"/>
    <w:rsid w:val="00A2418A"/>
    <w:rsid w:val="00A247B8"/>
    <w:rsid w:val="00A24D39"/>
    <w:rsid w:val="00A24D8F"/>
    <w:rsid w:val="00A252D3"/>
    <w:rsid w:val="00A25B8B"/>
    <w:rsid w:val="00A26130"/>
    <w:rsid w:val="00A269AF"/>
    <w:rsid w:val="00A269C3"/>
    <w:rsid w:val="00A26ECA"/>
    <w:rsid w:val="00A3142C"/>
    <w:rsid w:val="00A318BC"/>
    <w:rsid w:val="00A324C1"/>
    <w:rsid w:val="00A337DB"/>
    <w:rsid w:val="00A3467F"/>
    <w:rsid w:val="00A3551A"/>
    <w:rsid w:val="00A376E8"/>
    <w:rsid w:val="00A37E69"/>
    <w:rsid w:val="00A37F8E"/>
    <w:rsid w:val="00A41737"/>
    <w:rsid w:val="00A42B8F"/>
    <w:rsid w:val="00A43254"/>
    <w:rsid w:val="00A43896"/>
    <w:rsid w:val="00A43A26"/>
    <w:rsid w:val="00A447A0"/>
    <w:rsid w:val="00A4598B"/>
    <w:rsid w:val="00A459F5"/>
    <w:rsid w:val="00A45FC0"/>
    <w:rsid w:val="00A46B32"/>
    <w:rsid w:val="00A47301"/>
    <w:rsid w:val="00A47448"/>
    <w:rsid w:val="00A47ECC"/>
    <w:rsid w:val="00A5008C"/>
    <w:rsid w:val="00A50171"/>
    <w:rsid w:val="00A5102E"/>
    <w:rsid w:val="00A51083"/>
    <w:rsid w:val="00A5132E"/>
    <w:rsid w:val="00A51533"/>
    <w:rsid w:val="00A51547"/>
    <w:rsid w:val="00A51E68"/>
    <w:rsid w:val="00A52F3B"/>
    <w:rsid w:val="00A531D4"/>
    <w:rsid w:val="00A54085"/>
    <w:rsid w:val="00A55ACD"/>
    <w:rsid w:val="00A55CFA"/>
    <w:rsid w:val="00A575B8"/>
    <w:rsid w:val="00A647B1"/>
    <w:rsid w:val="00A64DEF"/>
    <w:rsid w:val="00A65E4E"/>
    <w:rsid w:val="00A665DF"/>
    <w:rsid w:val="00A67F1B"/>
    <w:rsid w:val="00A67FCC"/>
    <w:rsid w:val="00A716DC"/>
    <w:rsid w:val="00A71ABE"/>
    <w:rsid w:val="00A7217B"/>
    <w:rsid w:val="00A7293E"/>
    <w:rsid w:val="00A72EE4"/>
    <w:rsid w:val="00A73067"/>
    <w:rsid w:val="00A734EC"/>
    <w:rsid w:val="00A737C4"/>
    <w:rsid w:val="00A7384D"/>
    <w:rsid w:val="00A739A6"/>
    <w:rsid w:val="00A73BB5"/>
    <w:rsid w:val="00A753E2"/>
    <w:rsid w:val="00A75EF9"/>
    <w:rsid w:val="00A76BC9"/>
    <w:rsid w:val="00A76FD8"/>
    <w:rsid w:val="00A77566"/>
    <w:rsid w:val="00A80563"/>
    <w:rsid w:val="00A82C29"/>
    <w:rsid w:val="00A8311C"/>
    <w:rsid w:val="00A84BC8"/>
    <w:rsid w:val="00A84C5F"/>
    <w:rsid w:val="00A85439"/>
    <w:rsid w:val="00A86973"/>
    <w:rsid w:val="00A8721F"/>
    <w:rsid w:val="00A8740B"/>
    <w:rsid w:val="00A87519"/>
    <w:rsid w:val="00A90DE4"/>
    <w:rsid w:val="00A91D14"/>
    <w:rsid w:val="00A9246D"/>
    <w:rsid w:val="00A93644"/>
    <w:rsid w:val="00A93BD0"/>
    <w:rsid w:val="00A95D69"/>
    <w:rsid w:val="00A975A4"/>
    <w:rsid w:val="00AA2001"/>
    <w:rsid w:val="00AA2B5C"/>
    <w:rsid w:val="00AA4E59"/>
    <w:rsid w:val="00AA5328"/>
    <w:rsid w:val="00AA5393"/>
    <w:rsid w:val="00AA5771"/>
    <w:rsid w:val="00AA63D4"/>
    <w:rsid w:val="00AA6767"/>
    <w:rsid w:val="00AB03FD"/>
    <w:rsid w:val="00AB38CB"/>
    <w:rsid w:val="00AB3BEC"/>
    <w:rsid w:val="00AB3EC4"/>
    <w:rsid w:val="00AB448D"/>
    <w:rsid w:val="00AB44E4"/>
    <w:rsid w:val="00AB4AEB"/>
    <w:rsid w:val="00AB5352"/>
    <w:rsid w:val="00AB5384"/>
    <w:rsid w:val="00AB56AE"/>
    <w:rsid w:val="00AB62D5"/>
    <w:rsid w:val="00AB65B5"/>
    <w:rsid w:val="00AB6DCD"/>
    <w:rsid w:val="00AB6EE0"/>
    <w:rsid w:val="00AB7D91"/>
    <w:rsid w:val="00AC2DFD"/>
    <w:rsid w:val="00AC352D"/>
    <w:rsid w:val="00AC39B7"/>
    <w:rsid w:val="00AC40B7"/>
    <w:rsid w:val="00AC531F"/>
    <w:rsid w:val="00AC6121"/>
    <w:rsid w:val="00AC626D"/>
    <w:rsid w:val="00AC6CB1"/>
    <w:rsid w:val="00AC6E3A"/>
    <w:rsid w:val="00AD0091"/>
    <w:rsid w:val="00AD15DF"/>
    <w:rsid w:val="00AD1D53"/>
    <w:rsid w:val="00AD23D8"/>
    <w:rsid w:val="00AD23EF"/>
    <w:rsid w:val="00AD2C3A"/>
    <w:rsid w:val="00AD307B"/>
    <w:rsid w:val="00AD41B3"/>
    <w:rsid w:val="00AD4C48"/>
    <w:rsid w:val="00AD57AF"/>
    <w:rsid w:val="00AD6267"/>
    <w:rsid w:val="00AD7317"/>
    <w:rsid w:val="00AE01A8"/>
    <w:rsid w:val="00AE0CBD"/>
    <w:rsid w:val="00AE123A"/>
    <w:rsid w:val="00AE28A7"/>
    <w:rsid w:val="00AE33A6"/>
    <w:rsid w:val="00AE3446"/>
    <w:rsid w:val="00AE3715"/>
    <w:rsid w:val="00AE3729"/>
    <w:rsid w:val="00AE55B2"/>
    <w:rsid w:val="00AE5C6A"/>
    <w:rsid w:val="00AE6500"/>
    <w:rsid w:val="00AE65F7"/>
    <w:rsid w:val="00AE7280"/>
    <w:rsid w:val="00AF033A"/>
    <w:rsid w:val="00AF1699"/>
    <w:rsid w:val="00AF3896"/>
    <w:rsid w:val="00AF6C33"/>
    <w:rsid w:val="00B0098A"/>
    <w:rsid w:val="00B00A5F"/>
    <w:rsid w:val="00B0225F"/>
    <w:rsid w:val="00B029B8"/>
    <w:rsid w:val="00B02F60"/>
    <w:rsid w:val="00B032B8"/>
    <w:rsid w:val="00B042AD"/>
    <w:rsid w:val="00B04B46"/>
    <w:rsid w:val="00B0534D"/>
    <w:rsid w:val="00B06368"/>
    <w:rsid w:val="00B06FC6"/>
    <w:rsid w:val="00B07163"/>
    <w:rsid w:val="00B07429"/>
    <w:rsid w:val="00B12269"/>
    <w:rsid w:val="00B12FE6"/>
    <w:rsid w:val="00B1303F"/>
    <w:rsid w:val="00B1364A"/>
    <w:rsid w:val="00B13D3C"/>
    <w:rsid w:val="00B1525C"/>
    <w:rsid w:val="00B16715"/>
    <w:rsid w:val="00B171B4"/>
    <w:rsid w:val="00B174A8"/>
    <w:rsid w:val="00B17910"/>
    <w:rsid w:val="00B20825"/>
    <w:rsid w:val="00B20F18"/>
    <w:rsid w:val="00B21516"/>
    <w:rsid w:val="00B22CE0"/>
    <w:rsid w:val="00B23738"/>
    <w:rsid w:val="00B23BEF"/>
    <w:rsid w:val="00B23EC5"/>
    <w:rsid w:val="00B247BB"/>
    <w:rsid w:val="00B25806"/>
    <w:rsid w:val="00B25C11"/>
    <w:rsid w:val="00B25EDF"/>
    <w:rsid w:val="00B25EE6"/>
    <w:rsid w:val="00B26B53"/>
    <w:rsid w:val="00B274C6"/>
    <w:rsid w:val="00B27598"/>
    <w:rsid w:val="00B30690"/>
    <w:rsid w:val="00B3115A"/>
    <w:rsid w:val="00B31A5C"/>
    <w:rsid w:val="00B33C19"/>
    <w:rsid w:val="00B34861"/>
    <w:rsid w:val="00B34BBC"/>
    <w:rsid w:val="00B34CB7"/>
    <w:rsid w:val="00B35800"/>
    <w:rsid w:val="00B35F6E"/>
    <w:rsid w:val="00B363BD"/>
    <w:rsid w:val="00B369F7"/>
    <w:rsid w:val="00B36A99"/>
    <w:rsid w:val="00B37537"/>
    <w:rsid w:val="00B404A5"/>
    <w:rsid w:val="00B41B81"/>
    <w:rsid w:val="00B42980"/>
    <w:rsid w:val="00B434B2"/>
    <w:rsid w:val="00B434C7"/>
    <w:rsid w:val="00B43D45"/>
    <w:rsid w:val="00B44771"/>
    <w:rsid w:val="00B4650E"/>
    <w:rsid w:val="00B468F2"/>
    <w:rsid w:val="00B46B45"/>
    <w:rsid w:val="00B46F6B"/>
    <w:rsid w:val="00B47286"/>
    <w:rsid w:val="00B47894"/>
    <w:rsid w:val="00B50234"/>
    <w:rsid w:val="00B50B8C"/>
    <w:rsid w:val="00B510AA"/>
    <w:rsid w:val="00B51794"/>
    <w:rsid w:val="00B51BF4"/>
    <w:rsid w:val="00B52C68"/>
    <w:rsid w:val="00B5414C"/>
    <w:rsid w:val="00B542FE"/>
    <w:rsid w:val="00B55A1B"/>
    <w:rsid w:val="00B561DB"/>
    <w:rsid w:val="00B57494"/>
    <w:rsid w:val="00B61DCE"/>
    <w:rsid w:val="00B62188"/>
    <w:rsid w:val="00B62467"/>
    <w:rsid w:val="00B62F79"/>
    <w:rsid w:val="00B62F82"/>
    <w:rsid w:val="00B6325B"/>
    <w:rsid w:val="00B6348A"/>
    <w:rsid w:val="00B64324"/>
    <w:rsid w:val="00B648FA"/>
    <w:rsid w:val="00B65EC5"/>
    <w:rsid w:val="00B65FC9"/>
    <w:rsid w:val="00B662FF"/>
    <w:rsid w:val="00B67146"/>
    <w:rsid w:val="00B72C80"/>
    <w:rsid w:val="00B730B4"/>
    <w:rsid w:val="00B74340"/>
    <w:rsid w:val="00B744E0"/>
    <w:rsid w:val="00B7481A"/>
    <w:rsid w:val="00B74F2F"/>
    <w:rsid w:val="00B756FB"/>
    <w:rsid w:val="00B769BC"/>
    <w:rsid w:val="00B77349"/>
    <w:rsid w:val="00B7761E"/>
    <w:rsid w:val="00B80A37"/>
    <w:rsid w:val="00B80A3D"/>
    <w:rsid w:val="00B823E0"/>
    <w:rsid w:val="00B82B78"/>
    <w:rsid w:val="00B83199"/>
    <w:rsid w:val="00B83E3C"/>
    <w:rsid w:val="00B84662"/>
    <w:rsid w:val="00B85402"/>
    <w:rsid w:val="00B864A3"/>
    <w:rsid w:val="00B86C2A"/>
    <w:rsid w:val="00B902A5"/>
    <w:rsid w:val="00B90420"/>
    <w:rsid w:val="00B913E4"/>
    <w:rsid w:val="00B91DB9"/>
    <w:rsid w:val="00B91E6D"/>
    <w:rsid w:val="00B93EFE"/>
    <w:rsid w:val="00B94956"/>
    <w:rsid w:val="00B94C7F"/>
    <w:rsid w:val="00B956B5"/>
    <w:rsid w:val="00B95904"/>
    <w:rsid w:val="00B95C3A"/>
    <w:rsid w:val="00B95FCE"/>
    <w:rsid w:val="00B978D7"/>
    <w:rsid w:val="00BA0D44"/>
    <w:rsid w:val="00BA0E26"/>
    <w:rsid w:val="00BA31BF"/>
    <w:rsid w:val="00BA336C"/>
    <w:rsid w:val="00BA43FC"/>
    <w:rsid w:val="00BA478B"/>
    <w:rsid w:val="00BA5224"/>
    <w:rsid w:val="00BA7456"/>
    <w:rsid w:val="00BA7925"/>
    <w:rsid w:val="00BA7B27"/>
    <w:rsid w:val="00BA7E3B"/>
    <w:rsid w:val="00BB079C"/>
    <w:rsid w:val="00BB32A1"/>
    <w:rsid w:val="00BB39B2"/>
    <w:rsid w:val="00BB39C1"/>
    <w:rsid w:val="00BB5555"/>
    <w:rsid w:val="00BB5D16"/>
    <w:rsid w:val="00BB6180"/>
    <w:rsid w:val="00BB69E6"/>
    <w:rsid w:val="00BB7714"/>
    <w:rsid w:val="00BC1B7A"/>
    <w:rsid w:val="00BC2BC7"/>
    <w:rsid w:val="00BC2C17"/>
    <w:rsid w:val="00BC3ACD"/>
    <w:rsid w:val="00BC42D0"/>
    <w:rsid w:val="00BC5A21"/>
    <w:rsid w:val="00BC5C09"/>
    <w:rsid w:val="00BC6E73"/>
    <w:rsid w:val="00BD0014"/>
    <w:rsid w:val="00BD01D8"/>
    <w:rsid w:val="00BD19E3"/>
    <w:rsid w:val="00BD1B17"/>
    <w:rsid w:val="00BD2512"/>
    <w:rsid w:val="00BD255F"/>
    <w:rsid w:val="00BD3537"/>
    <w:rsid w:val="00BD383D"/>
    <w:rsid w:val="00BD4236"/>
    <w:rsid w:val="00BD5CCA"/>
    <w:rsid w:val="00BD5CD4"/>
    <w:rsid w:val="00BD6EF9"/>
    <w:rsid w:val="00BD77DD"/>
    <w:rsid w:val="00BE0ACB"/>
    <w:rsid w:val="00BE1A90"/>
    <w:rsid w:val="00BE2C0A"/>
    <w:rsid w:val="00BE3537"/>
    <w:rsid w:val="00BE360F"/>
    <w:rsid w:val="00BE50FD"/>
    <w:rsid w:val="00BE51CA"/>
    <w:rsid w:val="00BE5E5A"/>
    <w:rsid w:val="00BE6D47"/>
    <w:rsid w:val="00BE7032"/>
    <w:rsid w:val="00BE7330"/>
    <w:rsid w:val="00BF01C5"/>
    <w:rsid w:val="00BF045B"/>
    <w:rsid w:val="00BF066A"/>
    <w:rsid w:val="00BF19CE"/>
    <w:rsid w:val="00BF361C"/>
    <w:rsid w:val="00BF4342"/>
    <w:rsid w:val="00BF5050"/>
    <w:rsid w:val="00BF5422"/>
    <w:rsid w:val="00BF54CF"/>
    <w:rsid w:val="00BF59B1"/>
    <w:rsid w:val="00BF6A78"/>
    <w:rsid w:val="00BF6E19"/>
    <w:rsid w:val="00BF79B4"/>
    <w:rsid w:val="00C0099F"/>
    <w:rsid w:val="00C01427"/>
    <w:rsid w:val="00C016A1"/>
    <w:rsid w:val="00C04092"/>
    <w:rsid w:val="00C04AAB"/>
    <w:rsid w:val="00C058AF"/>
    <w:rsid w:val="00C124C1"/>
    <w:rsid w:val="00C128AE"/>
    <w:rsid w:val="00C12B6B"/>
    <w:rsid w:val="00C136D6"/>
    <w:rsid w:val="00C13D5B"/>
    <w:rsid w:val="00C17AE2"/>
    <w:rsid w:val="00C20F27"/>
    <w:rsid w:val="00C215CF"/>
    <w:rsid w:val="00C2244B"/>
    <w:rsid w:val="00C2263D"/>
    <w:rsid w:val="00C22B0D"/>
    <w:rsid w:val="00C22F55"/>
    <w:rsid w:val="00C240C1"/>
    <w:rsid w:val="00C250D0"/>
    <w:rsid w:val="00C251A5"/>
    <w:rsid w:val="00C252AC"/>
    <w:rsid w:val="00C255AB"/>
    <w:rsid w:val="00C27214"/>
    <w:rsid w:val="00C27597"/>
    <w:rsid w:val="00C30382"/>
    <w:rsid w:val="00C30D6F"/>
    <w:rsid w:val="00C31063"/>
    <w:rsid w:val="00C31B7E"/>
    <w:rsid w:val="00C3242A"/>
    <w:rsid w:val="00C32AE2"/>
    <w:rsid w:val="00C33201"/>
    <w:rsid w:val="00C332C4"/>
    <w:rsid w:val="00C360B3"/>
    <w:rsid w:val="00C36363"/>
    <w:rsid w:val="00C3679B"/>
    <w:rsid w:val="00C37027"/>
    <w:rsid w:val="00C371BF"/>
    <w:rsid w:val="00C3778D"/>
    <w:rsid w:val="00C405A3"/>
    <w:rsid w:val="00C42752"/>
    <w:rsid w:val="00C42973"/>
    <w:rsid w:val="00C42FC2"/>
    <w:rsid w:val="00C44F9C"/>
    <w:rsid w:val="00C46D58"/>
    <w:rsid w:val="00C4730E"/>
    <w:rsid w:val="00C47EE9"/>
    <w:rsid w:val="00C47FC1"/>
    <w:rsid w:val="00C5019C"/>
    <w:rsid w:val="00C5034F"/>
    <w:rsid w:val="00C514D3"/>
    <w:rsid w:val="00C52479"/>
    <w:rsid w:val="00C5291F"/>
    <w:rsid w:val="00C52BC8"/>
    <w:rsid w:val="00C52C59"/>
    <w:rsid w:val="00C5349E"/>
    <w:rsid w:val="00C5354B"/>
    <w:rsid w:val="00C54467"/>
    <w:rsid w:val="00C54D3D"/>
    <w:rsid w:val="00C55116"/>
    <w:rsid w:val="00C55A30"/>
    <w:rsid w:val="00C56101"/>
    <w:rsid w:val="00C56430"/>
    <w:rsid w:val="00C56CC9"/>
    <w:rsid w:val="00C57C58"/>
    <w:rsid w:val="00C6028F"/>
    <w:rsid w:val="00C6036D"/>
    <w:rsid w:val="00C608F1"/>
    <w:rsid w:val="00C631E1"/>
    <w:rsid w:val="00C638D8"/>
    <w:rsid w:val="00C63C84"/>
    <w:rsid w:val="00C63D26"/>
    <w:rsid w:val="00C641EB"/>
    <w:rsid w:val="00C65053"/>
    <w:rsid w:val="00C65BD9"/>
    <w:rsid w:val="00C66061"/>
    <w:rsid w:val="00C661D6"/>
    <w:rsid w:val="00C66F69"/>
    <w:rsid w:val="00C67223"/>
    <w:rsid w:val="00C67CFF"/>
    <w:rsid w:val="00C707B8"/>
    <w:rsid w:val="00C7084B"/>
    <w:rsid w:val="00C713D3"/>
    <w:rsid w:val="00C71623"/>
    <w:rsid w:val="00C71C15"/>
    <w:rsid w:val="00C71F3D"/>
    <w:rsid w:val="00C72F53"/>
    <w:rsid w:val="00C74035"/>
    <w:rsid w:val="00C76FF4"/>
    <w:rsid w:val="00C77818"/>
    <w:rsid w:val="00C77AE3"/>
    <w:rsid w:val="00C8063F"/>
    <w:rsid w:val="00C809CD"/>
    <w:rsid w:val="00C81549"/>
    <w:rsid w:val="00C829A1"/>
    <w:rsid w:val="00C83B36"/>
    <w:rsid w:val="00C84C9C"/>
    <w:rsid w:val="00C84F8A"/>
    <w:rsid w:val="00C85209"/>
    <w:rsid w:val="00C8618F"/>
    <w:rsid w:val="00C90372"/>
    <w:rsid w:val="00C9041F"/>
    <w:rsid w:val="00C9179A"/>
    <w:rsid w:val="00C91A45"/>
    <w:rsid w:val="00C91ED2"/>
    <w:rsid w:val="00C91FB4"/>
    <w:rsid w:val="00C94D41"/>
    <w:rsid w:val="00C95745"/>
    <w:rsid w:val="00C962E3"/>
    <w:rsid w:val="00C963B1"/>
    <w:rsid w:val="00C965BD"/>
    <w:rsid w:val="00C96650"/>
    <w:rsid w:val="00C96717"/>
    <w:rsid w:val="00C97997"/>
    <w:rsid w:val="00CA08FE"/>
    <w:rsid w:val="00CA0FAC"/>
    <w:rsid w:val="00CA2513"/>
    <w:rsid w:val="00CA25C0"/>
    <w:rsid w:val="00CA3451"/>
    <w:rsid w:val="00CA4948"/>
    <w:rsid w:val="00CA52F9"/>
    <w:rsid w:val="00CA568B"/>
    <w:rsid w:val="00CA7500"/>
    <w:rsid w:val="00CA7B16"/>
    <w:rsid w:val="00CB0349"/>
    <w:rsid w:val="00CB0696"/>
    <w:rsid w:val="00CB1239"/>
    <w:rsid w:val="00CB19FE"/>
    <w:rsid w:val="00CB304C"/>
    <w:rsid w:val="00CB4429"/>
    <w:rsid w:val="00CB53E8"/>
    <w:rsid w:val="00CB594A"/>
    <w:rsid w:val="00CB5CB2"/>
    <w:rsid w:val="00CB6979"/>
    <w:rsid w:val="00CB7230"/>
    <w:rsid w:val="00CC0A3D"/>
    <w:rsid w:val="00CC13B1"/>
    <w:rsid w:val="00CC2373"/>
    <w:rsid w:val="00CC3D24"/>
    <w:rsid w:val="00CC3F91"/>
    <w:rsid w:val="00CC40B6"/>
    <w:rsid w:val="00CC4B0A"/>
    <w:rsid w:val="00CC544A"/>
    <w:rsid w:val="00CC57EA"/>
    <w:rsid w:val="00CC58CD"/>
    <w:rsid w:val="00CC5954"/>
    <w:rsid w:val="00CC6C4E"/>
    <w:rsid w:val="00CC6DD8"/>
    <w:rsid w:val="00CD05A2"/>
    <w:rsid w:val="00CD1246"/>
    <w:rsid w:val="00CD19DA"/>
    <w:rsid w:val="00CD29D4"/>
    <w:rsid w:val="00CD35CF"/>
    <w:rsid w:val="00CD38F5"/>
    <w:rsid w:val="00CD437E"/>
    <w:rsid w:val="00CD4AE5"/>
    <w:rsid w:val="00CD5833"/>
    <w:rsid w:val="00CD5A89"/>
    <w:rsid w:val="00CD5DAD"/>
    <w:rsid w:val="00CD72C5"/>
    <w:rsid w:val="00CD79A7"/>
    <w:rsid w:val="00CE0789"/>
    <w:rsid w:val="00CE1A03"/>
    <w:rsid w:val="00CE2346"/>
    <w:rsid w:val="00CE3529"/>
    <w:rsid w:val="00CE35C8"/>
    <w:rsid w:val="00CE3962"/>
    <w:rsid w:val="00CE5105"/>
    <w:rsid w:val="00CE56BD"/>
    <w:rsid w:val="00CE5EC0"/>
    <w:rsid w:val="00CE6F9F"/>
    <w:rsid w:val="00CE773B"/>
    <w:rsid w:val="00CE781A"/>
    <w:rsid w:val="00CF10FC"/>
    <w:rsid w:val="00CF1D74"/>
    <w:rsid w:val="00CF2BE2"/>
    <w:rsid w:val="00CF3BAF"/>
    <w:rsid w:val="00CF55F9"/>
    <w:rsid w:val="00CF64A0"/>
    <w:rsid w:val="00CF71A6"/>
    <w:rsid w:val="00CF7495"/>
    <w:rsid w:val="00CF7671"/>
    <w:rsid w:val="00CF7C5B"/>
    <w:rsid w:val="00D01CF9"/>
    <w:rsid w:val="00D01D41"/>
    <w:rsid w:val="00D02246"/>
    <w:rsid w:val="00D0334D"/>
    <w:rsid w:val="00D0374D"/>
    <w:rsid w:val="00D05A76"/>
    <w:rsid w:val="00D06241"/>
    <w:rsid w:val="00D07BEF"/>
    <w:rsid w:val="00D07F1D"/>
    <w:rsid w:val="00D10558"/>
    <w:rsid w:val="00D1203E"/>
    <w:rsid w:val="00D13755"/>
    <w:rsid w:val="00D13E70"/>
    <w:rsid w:val="00D167F3"/>
    <w:rsid w:val="00D16C58"/>
    <w:rsid w:val="00D17019"/>
    <w:rsid w:val="00D170C1"/>
    <w:rsid w:val="00D178DE"/>
    <w:rsid w:val="00D17C6E"/>
    <w:rsid w:val="00D21168"/>
    <w:rsid w:val="00D235C8"/>
    <w:rsid w:val="00D2384A"/>
    <w:rsid w:val="00D2438C"/>
    <w:rsid w:val="00D26C3F"/>
    <w:rsid w:val="00D26E1B"/>
    <w:rsid w:val="00D27185"/>
    <w:rsid w:val="00D30655"/>
    <w:rsid w:val="00D31460"/>
    <w:rsid w:val="00D31CA2"/>
    <w:rsid w:val="00D320A3"/>
    <w:rsid w:val="00D32B84"/>
    <w:rsid w:val="00D337AE"/>
    <w:rsid w:val="00D33AB3"/>
    <w:rsid w:val="00D33F24"/>
    <w:rsid w:val="00D346B7"/>
    <w:rsid w:val="00D346B8"/>
    <w:rsid w:val="00D35AC8"/>
    <w:rsid w:val="00D35D34"/>
    <w:rsid w:val="00D35ED3"/>
    <w:rsid w:val="00D36F87"/>
    <w:rsid w:val="00D37E4E"/>
    <w:rsid w:val="00D42E6C"/>
    <w:rsid w:val="00D43218"/>
    <w:rsid w:val="00D43B80"/>
    <w:rsid w:val="00D44236"/>
    <w:rsid w:val="00D44AE2"/>
    <w:rsid w:val="00D4578B"/>
    <w:rsid w:val="00D45B1E"/>
    <w:rsid w:val="00D45BA4"/>
    <w:rsid w:val="00D471AF"/>
    <w:rsid w:val="00D4724F"/>
    <w:rsid w:val="00D50519"/>
    <w:rsid w:val="00D516A5"/>
    <w:rsid w:val="00D5264C"/>
    <w:rsid w:val="00D5289A"/>
    <w:rsid w:val="00D537FE"/>
    <w:rsid w:val="00D538F0"/>
    <w:rsid w:val="00D541F9"/>
    <w:rsid w:val="00D54A6A"/>
    <w:rsid w:val="00D54BF8"/>
    <w:rsid w:val="00D54D7C"/>
    <w:rsid w:val="00D55951"/>
    <w:rsid w:val="00D565BF"/>
    <w:rsid w:val="00D572BE"/>
    <w:rsid w:val="00D57EB6"/>
    <w:rsid w:val="00D60ED7"/>
    <w:rsid w:val="00D63586"/>
    <w:rsid w:val="00D65538"/>
    <w:rsid w:val="00D664BF"/>
    <w:rsid w:val="00D66D8B"/>
    <w:rsid w:val="00D72A1C"/>
    <w:rsid w:val="00D73580"/>
    <w:rsid w:val="00D73802"/>
    <w:rsid w:val="00D73868"/>
    <w:rsid w:val="00D73C2C"/>
    <w:rsid w:val="00D73D52"/>
    <w:rsid w:val="00D74042"/>
    <w:rsid w:val="00D7453F"/>
    <w:rsid w:val="00D745E7"/>
    <w:rsid w:val="00D75492"/>
    <w:rsid w:val="00D77495"/>
    <w:rsid w:val="00D774ED"/>
    <w:rsid w:val="00D777F6"/>
    <w:rsid w:val="00D77F88"/>
    <w:rsid w:val="00D8002D"/>
    <w:rsid w:val="00D8047C"/>
    <w:rsid w:val="00D81EAA"/>
    <w:rsid w:val="00D8259F"/>
    <w:rsid w:val="00D825F2"/>
    <w:rsid w:val="00D828B1"/>
    <w:rsid w:val="00D84088"/>
    <w:rsid w:val="00D84F27"/>
    <w:rsid w:val="00D850D4"/>
    <w:rsid w:val="00D862D1"/>
    <w:rsid w:val="00D869EC"/>
    <w:rsid w:val="00D873C6"/>
    <w:rsid w:val="00D90BD4"/>
    <w:rsid w:val="00D91027"/>
    <w:rsid w:val="00D938A0"/>
    <w:rsid w:val="00D94C7D"/>
    <w:rsid w:val="00D94CA4"/>
    <w:rsid w:val="00D94FB4"/>
    <w:rsid w:val="00D95E99"/>
    <w:rsid w:val="00DA00A6"/>
    <w:rsid w:val="00DA08BB"/>
    <w:rsid w:val="00DA098C"/>
    <w:rsid w:val="00DA15F2"/>
    <w:rsid w:val="00DA1A3A"/>
    <w:rsid w:val="00DA2712"/>
    <w:rsid w:val="00DA2C65"/>
    <w:rsid w:val="00DA395D"/>
    <w:rsid w:val="00DA6D33"/>
    <w:rsid w:val="00DA7EAB"/>
    <w:rsid w:val="00DB16B8"/>
    <w:rsid w:val="00DB1869"/>
    <w:rsid w:val="00DB1D52"/>
    <w:rsid w:val="00DB1F62"/>
    <w:rsid w:val="00DB2E03"/>
    <w:rsid w:val="00DB3369"/>
    <w:rsid w:val="00DB3742"/>
    <w:rsid w:val="00DB3F4B"/>
    <w:rsid w:val="00DB43A5"/>
    <w:rsid w:val="00DB61A4"/>
    <w:rsid w:val="00DB67C1"/>
    <w:rsid w:val="00DB70CD"/>
    <w:rsid w:val="00DB70F4"/>
    <w:rsid w:val="00DB7343"/>
    <w:rsid w:val="00DC1056"/>
    <w:rsid w:val="00DC16F4"/>
    <w:rsid w:val="00DC211E"/>
    <w:rsid w:val="00DC21D8"/>
    <w:rsid w:val="00DC282A"/>
    <w:rsid w:val="00DC34DC"/>
    <w:rsid w:val="00DC3CC6"/>
    <w:rsid w:val="00DC4361"/>
    <w:rsid w:val="00DC514A"/>
    <w:rsid w:val="00DC64EC"/>
    <w:rsid w:val="00DC67B1"/>
    <w:rsid w:val="00DC7833"/>
    <w:rsid w:val="00DC7CE9"/>
    <w:rsid w:val="00DD132B"/>
    <w:rsid w:val="00DD1725"/>
    <w:rsid w:val="00DD175F"/>
    <w:rsid w:val="00DD2427"/>
    <w:rsid w:val="00DD2A18"/>
    <w:rsid w:val="00DD36DA"/>
    <w:rsid w:val="00DD5B1A"/>
    <w:rsid w:val="00DD61E8"/>
    <w:rsid w:val="00DD62C0"/>
    <w:rsid w:val="00DD71E5"/>
    <w:rsid w:val="00DD7859"/>
    <w:rsid w:val="00DE03AC"/>
    <w:rsid w:val="00DE0A1D"/>
    <w:rsid w:val="00DE15B2"/>
    <w:rsid w:val="00DE1A9A"/>
    <w:rsid w:val="00DE2100"/>
    <w:rsid w:val="00DE3D2C"/>
    <w:rsid w:val="00DE5743"/>
    <w:rsid w:val="00DE59A1"/>
    <w:rsid w:val="00DE59F8"/>
    <w:rsid w:val="00DE5AC8"/>
    <w:rsid w:val="00DE5E82"/>
    <w:rsid w:val="00DE5FA6"/>
    <w:rsid w:val="00DE6494"/>
    <w:rsid w:val="00DE6AA1"/>
    <w:rsid w:val="00DE74D7"/>
    <w:rsid w:val="00DE7EF7"/>
    <w:rsid w:val="00DF106A"/>
    <w:rsid w:val="00DF1185"/>
    <w:rsid w:val="00DF1299"/>
    <w:rsid w:val="00DF1A70"/>
    <w:rsid w:val="00DF23A8"/>
    <w:rsid w:val="00DF28D9"/>
    <w:rsid w:val="00DF2F27"/>
    <w:rsid w:val="00DF5B79"/>
    <w:rsid w:val="00DF6CCC"/>
    <w:rsid w:val="00DF6D0C"/>
    <w:rsid w:val="00DF6DC2"/>
    <w:rsid w:val="00DF6F64"/>
    <w:rsid w:val="00DF721E"/>
    <w:rsid w:val="00DF7C87"/>
    <w:rsid w:val="00E009B0"/>
    <w:rsid w:val="00E0197C"/>
    <w:rsid w:val="00E031C0"/>
    <w:rsid w:val="00E03AFE"/>
    <w:rsid w:val="00E03D5C"/>
    <w:rsid w:val="00E046A9"/>
    <w:rsid w:val="00E04C0F"/>
    <w:rsid w:val="00E0570B"/>
    <w:rsid w:val="00E057B2"/>
    <w:rsid w:val="00E05996"/>
    <w:rsid w:val="00E068D9"/>
    <w:rsid w:val="00E10B87"/>
    <w:rsid w:val="00E1478B"/>
    <w:rsid w:val="00E14FAC"/>
    <w:rsid w:val="00E15007"/>
    <w:rsid w:val="00E16EC7"/>
    <w:rsid w:val="00E1714F"/>
    <w:rsid w:val="00E176DB"/>
    <w:rsid w:val="00E17995"/>
    <w:rsid w:val="00E21576"/>
    <w:rsid w:val="00E21801"/>
    <w:rsid w:val="00E219CE"/>
    <w:rsid w:val="00E23961"/>
    <w:rsid w:val="00E24071"/>
    <w:rsid w:val="00E24EBC"/>
    <w:rsid w:val="00E2522C"/>
    <w:rsid w:val="00E2599B"/>
    <w:rsid w:val="00E27383"/>
    <w:rsid w:val="00E2793D"/>
    <w:rsid w:val="00E31AFA"/>
    <w:rsid w:val="00E324EE"/>
    <w:rsid w:val="00E359FF"/>
    <w:rsid w:val="00E36083"/>
    <w:rsid w:val="00E36AA7"/>
    <w:rsid w:val="00E36E39"/>
    <w:rsid w:val="00E405F1"/>
    <w:rsid w:val="00E4218F"/>
    <w:rsid w:val="00E43054"/>
    <w:rsid w:val="00E434C4"/>
    <w:rsid w:val="00E43897"/>
    <w:rsid w:val="00E44FE4"/>
    <w:rsid w:val="00E451D4"/>
    <w:rsid w:val="00E46013"/>
    <w:rsid w:val="00E46577"/>
    <w:rsid w:val="00E477C3"/>
    <w:rsid w:val="00E5048D"/>
    <w:rsid w:val="00E50AC4"/>
    <w:rsid w:val="00E51077"/>
    <w:rsid w:val="00E5132D"/>
    <w:rsid w:val="00E51741"/>
    <w:rsid w:val="00E51E16"/>
    <w:rsid w:val="00E52151"/>
    <w:rsid w:val="00E53730"/>
    <w:rsid w:val="00E53C46"/>
    <w:rsid w:val="00E54511"/>
    <w:rsid w:val="00E548BE"/>
    <w:rsid w:val="00E54978"/>
    <w:rsid w:val="00E55DC3"/>
    <w:rsid w:val="00E56FC0"/>
    <w:rsid w:val="00E57577"/>
    <w:rsid w:val="00E57D27"/>
    <w:rsid w:val="00E619F4"/>
    <w:rsid w:val="00E62043"/>
    <w:rsid w:val="00E626B9"/>
    <w:rsid w:val="00E627C9"/>
    <w:rsid w:val="00E630F3"/>
    <w:rsid w:val="00E65198"/>
    <w:rsid w:val="00E664FB"/>
    <w:rsid w:val="00E66F0D"/>
    <w:rsid w:val="00E70615"/>
    <w:rsid w:val="00E71A5E"/>
    <w:rsid w:val="00E7207B"/>
    <w:rsid w:val="00E7347A"/>
    <w:rsid w:val="00E746F4"/>
    <w:rsid w:val="00E75325"/>
    <w:rsid w:val="00E75A47"/>
    <w:rsid w:val="00E75D8C"/>
    <w:rsid w:val="00E7681A"/>
    <w:rsid w:val="00E7711E"/>
    <w:rsid w:val="00E77771"/>
    <w:rsid w:val="00E777F2"/>
    <w:rsid w:val="00E779ED"/>
    <w:rsid w:val="00E802C9"/>
    <w:rsid w:val="00E80EDD"/>
    <w:rsid w:val="00E80F0A"/>
    <w:rsid w:val="00E81A6A"/>
    <w:rsid w:val="00E8291B"/>
    <w:rsid w:val="00E8395F"/>
    <w:rsid w:val="00E83A53"/>
    <w:rsid w:val="00E83BAE"/>
    <w:rsid w:val="00E8473F"/>
    <w:rsid w:val="00E857EB"/>
    <w:rsid w:val="00E85E41"/>
    <w:rsid w:val="00E85E76"/>
    <w:rsid w:val="00E85EA1"/>
    <w:rsid w:val="00E8610B"/>
    <w:rsid w:val="00E86C86"/>
    <w:rsid w:val="00E91044"/>
    <w:rsid w:val="00E910D3"/>
    <w:rsid w:val="00E9214B"/>
    <w:rsid w:val="00E923CF"/>
    <w:rsid w:val="00E9335F"/>
    <w:rsid w:val="00E93614"/>
    <w:rsid w:val="00E938D2"/>
    <w:rsid w:val="00E95111"/>
    <w:rsid w:val="00EA061E"/>
    <w:rsid w:val="00EA14C8"/>
    <w:rsid w:val="00EA19D3"/>
    <w:rsid w:val="00EA2358"/>
    <w:rsid w:val="00EA2C8B"/>
    <w:rsid w:val="00EA6649"/>
    <w:rsid w:val="00EB05D0"/>
    <w:rsid w:val="00EB07C5"/>
    <w:rsid w:val="00EB107E"/>
    <w:rsid w:val="00EB1D49"/>
    <w:rsid w:val="00EB42DD"/>
    <w:rsid w:val="00EB559F"/>
    <w:rsid w:val="00EB5F3D"/>
    <w:rsid w:val="00EB6EC2"/>
    <w:rsid w:val="00EC1794"/>
    <w:rsid w:val="00EC1CEB"/>
    <w:rsid w:val="00EC268C"/>
    <w:rsid w:val="00EC3602"/>
    <w:rsid w:val="00EC3753"/>
    <w:rsid w:val="00EC3CB8"/>
    <w:rsid w:val="00EC3D46"/>
    <w:rsid w:val="00EC4E71"/>
    <w:rsid w:val="00EC569A"/>
    <w:rsid w:val="00EC6667"/>
    <w:rsid w:val="00ED0365"/>
    <w:rsid w:val="00ED0865"/>
    <w:rsid w:val="00ED094F"/>
    <w:rsid w:val="00ED09FA"/>
    <w:rsid w:val="00ED16B6"/>
    <w:rsid w:val="00ED1C60"/>
    <w:rsid w:val="00ED2119"/>
    <w:rsid w:val="00ED2EB9"/>
    <w:rsid w:val="00ED3B51"/>
    <w:rsid w:val="00ED4469"/>
    <w:rsid w:val="00ED4681"/>
    <w:rsid w:val="00ED4FF4"/>
    <w:rsid w:val="00ED5F23"/>
    <w:rsid w:val="00ED6389"/>
    <w:rsid w:val="00ED6DC0"/>
    <w:rsid w:val="00ED79CE"/>
    <w:rsid w:val="00ED7A7A"/>
    <w:rsid w:val="00EE038C"/>
    <w:rsid w:val="00EE040B"/>
    <w:rsid w:val="00EE47C5"/>
    <w:rsid w:val="00EE490C"/>
    <w:rsid w:val="00EE4E02"/>
    <w:rsid w:val="00EE613B"/>
    <w:rsid w:val="00EE77E0"/>
    <w:rsid w:val="00EE7E17"/>
    <w:rsid w:val="00EF2C8E"/>
    <w:rsid w:val="00EF3A0D"/>
    <w:rsid w:val="00EF3CEB"/>
    <w:rsid w:val="00EF41A8"/>
    <w:rsid w:val="00EF44FB"/>
    <w:rsid w:val="00EF4D3C"/>
    <w:rsid w:val="00EF5554"/>
    <w:rsid w:val="00EF5AD8"/>
    <w:rsid w:val="00EF5D2F"/>
    <w:rsid w:val="00EF63F5"/>
    <w:rsid w:val="00EF6758"/>
    <w:rsid w:val="00EF6B90"/>
    <w:rsid w:val="00EF70AE"/>
    <w:rsid w:val="00EF79F7"/>
    <w:rsid w:val="00F00418"/>
    <w:rsid w:val="00F006C0"/>
    <w:rsid w:val="00F019AA"/>
    <w:rsid w:val="00F025CE"/>
    <w:rsid w:val="00F0264E"/>
    <w:rsid w:val="00F0267E"/>
    <w:rsid w:val="00F02686"/>
    <w:rsid w:val="00F0459B"/>
    <w:rsid w:val="00F04E15"/>
    <w:rsid w:val="00F05DF3"/>
    <w:rsid w:val="00F0641B"/>
    <w:rsid w:val="00F069EA"/>
    <w:rsid w:val="00F07B6E"/>
    <w:rsid w:val="00F07DF8"/>
    <w:rsid w:val="00F11461"/>
    <w:rsid w:val="00F11675"/>
    <w:rsid w:val="00F1182D"/>
    <w:rsid w:val="00F12557"/>
    <w:rsid w:val="00F13A8F"/>
    <w:rsid w:val="00F142C1"/>
    <w:rsid w:val="00F144F8"/>
    <w:rsid w:val="00F14DF8"/>
    <w:rsid w:val="00F164A3"/>
    <w:rsid w:val="00F17281"/>
    <w:rsid w:val="00F17AD9"/>
    <w:rsid w:val="00F17F74"/>
    <w:rsid w:val="00F202C2"/>
    <w:rsid w:val="00F2069D"/>
    <w:rsid w:val="00F22756"/>
    <w:rsid w:val="00F23890"/>
    <w:rsid w:val="00F2447A"/>
    <w:rsid w:val="00F24638"/>
    <w:rsid w:val="00F2504D"/>
    <w:rsid w:val="00F25100"/>
    <w:rsid w:val="00F2637F"/>
    <w:rsid w:val="00F263A8"/>
    <w:rsid w:val="00F268F7"/>
    <w:rsid w:val="00F27280"/>
    <w:rsid w:val="00F27C58"/>
    <w:rsid w:val="00F3053D"/>
    <w:rsid w:val="00F30BDB"/>
    <w:rsid w:val="00F30CF8"/>
    <w:rsid w:val="00F317E3"/>
    <w:rsid w:val="00F31EDF"/>
    <w:rsid w:val="00F32CDE"/>
    <w:rsid w:val="00F32D4C"/>
    <w:rsid w:val="00F34811"/>
    <w:rsid w:val="00F34898"/>
    <w:rsid w:val="00F348FE"/>
    <w:rsid w:val="00F34B14"/>
    <w:rsid w:val="00F353EF"/>
    <w:rsid w:val="00F36A6A"/>
    <w:rsid w:val="00F40101"/>
    <w:rsid w:val="00F404D5"/>
    <w:rsid w:val="00F404F7"/>
    <w:rsid w:val="00F40CCA"/>
    <w:rsid w:val="00F41521"/>
    <w:rsid w:val="00F41975"/>
    <w:rsid w:val="00F41C0E"/>
    <w:rsid w:val="00F42D97"/>
    <w:rsid w:val="00F43DA7"/>
    <w:rsid w:val="00F43F09"/>
    <w:rsid w:val="00F459A3"/>
    <w:rsid w:val="00F45A72"/>
    <w:rsid w:val="00F4654B"/>
    <w:rsid w:val="00F46723"/>
    <w:rsid w:val="00F50016"/>
    <w:rsid w:val="00F50647"/>
    <w:rsid w:val="00F5118A"/>
    <w:rsid w:val="00F51A21"/>
    <w:rsid w:val="00F5276E"/>
    <w:rsid w:val="00F529F9"/>
    <w:rsid w:val="00F52E9F"/>
    <w:rsid w:val="00F53304"/>
    <w:rsid w:val="00F53D40"/>
    <w:rsid w:val="00F5430C"/>
    <w:rsid w:val="00F545ED"/>
    <w:rsid w:val="00F5687F"/>
    <w:rsid w:val="00F575C7"/>
    <w:rsid w:val="00F60305"/>
    <w:rsid w:val="00F618FB"/>
    <w:rsid w:val="00F61B12"/>
    <w:rsid w:val="00F61CC5"/>
    <w:rsid w:val="00F62398"/>
    <w:rsid w:val="00F631E8"/>
    <w:rsid w:val="00F63223"/>
    <w:rsid w:val="00F63264"/>
    <w:rsid w:val="00F6379E"/>
    <w:rsid w:val="00F64142"/>
    <w:rsid w:val="00F657E9"/>
    <w:rsid w:val="00F70799"/>
    <w:rsid w:val="00F70906"/>
    <w:rsid w:val="00F70A8B"/>
    <w:rsid w:val="00F724FB"/>
    <w:rsid w:val="00F72578"/>
    <w:rsid w:val="00F72A26"/>
    <w:rsid w:val="00F733C3"/>
    <w:rsid w:val="00F756DD"/>
    <w:rsid w:val="00F75DB3"/>
    <w:rsid w:val="00F76E7E"/>
    <w:rsid w:val="00F80047"/>
    <w:rsid w:val="00F8104D"/>
    <w:rsid w:val="00F81587"/>
    <w:rsid w:val="00F82571"/>
    <w:rsid w:val="00F84270"/>
    <w:rsid w:val="00F85B72"/>
    <w:rsid w:val="00F86B6D"/>
    <w:rsid w:val="00F8766F"/>
    <w:rsid w:val="00F87867"/>
    <w:rsid w:val="00F9104C"/>
    <w:rsid w:val="00F91082"/>
    <w:rsid w:val="00F91A9A"/>
    <w:rsid w:val="00F93ABB"/>
    <w:rsid w:val="00F94D79"/>
    <w:rsid w:val="00F964DD"/>
    <w:rsid w:val="00F9653F"/>
    <w:rsid w:val="00F97E7E"/>
    <w:rsid w:val="00FA0A1B"/>
    <w:rsid w:val="00FA118A"/>
    <w:rsid w:val="00FA31C7"/>
    <w:rsid w:val="00FA472D"/>
    <w:rsid w:val="00FA5476"/>
    <w:rsid w:val="00FA7254"/>
    <w:rsid w:val="00FB0214"/>
    <w:rsid w:val="00FB080C"/>
    <w:rsid w:val="00FB12BC"/>
    <w:rsid w:val="00FB18F6"/>
    <w:rsid w:val="00FB2A52"/>
    <w:rsid w:val="00FB2F13"/>
    <w:rsid w:val="00FB6198"/>
    <w:rsid w:val="00FB62E4"/>
    <w:rsid w:val="00FB6E19"/>
    <w:rsid w:val="00FB71F6"/>
    <w:rsid w:val="00FB79E9"/>
    <w:rsid w:val="00FC1483"/>
    <w:rsid w:val="00FC1C47"/>
    <w:rsid w:val="00FC39ED"/>
    <w:rsid w:val="00FC4419"/>
    <w:rsid w:val="00FC4420"/>
    <w:rsid w:val="00FC47E2"/>
    <w:rsid w:val="00FC4AA5"/>
    <w:rsid w:val="00FC5148"/>
    <w:rsid w:val="00FC5528"/>
    <w:rsid w:val="00FC75AC"/>
    <w:rsid w:val="00FD01BF"/>
    <w:rsid w:val="00FD0525"/>
    <w:rsid w:val="00FD297D"/>
    <w:rsid w:val="00FD298C"/>
    <w:rsid w:val="00FD2CDE"/>
    <w:rsid w:val="00FD2D13"/>
    <w:rsid w:val="00FD346E"/>
    <w:rsid w:val="00FD3D26"/>
    <w:rsid w:val="00FD4789"/>
    <w:rsid w:val="00FD52E0"/>
    <w:rsid w:val="00FD59FE"/>
    <w:rsid w:val="00FD6071"/>
    <w:rsid w:val="00FE0794"/>
    <w:rsid w:val="00FE1041"/>
    <w:rsid w:val="00FE19CD"/>
    <w:rsid w:val="00FE24CB"/>
    <w:rsid w:val="00FE2C8D"/>
    <w:rsid w:val="00FE3166"/>
    <w:rsid w:val="00FE3320"/>
    <w:rsid w:val="00FE3473"/>
    <w:rsid w:val="00FE353B"/>
    <w:rsid w:val="00FE3E81"/>
    <w:rsid w:val="00FE4049"/>
    <w:rsid w:val="00FE4794"/>
    <w:rsid w:val="00FE5114"/>
    <w:rsid w:val="00FE54B4"/>
    <w:rsid w:val="00FE5DF7"/>
    <w:rsid w:val="00FE5F72"/>
    <w:rsid w:val="00FF0231"/>
    <w:rsid w:val="00FF1C9B"/>
    <w:rsid w:val="00FF1D49"/>
    <w:rsid w:val="00FF1FA3"/>
    <w:rsid w:val="00FF2562"/>
    <w:rsid w:val="00FF2CE1"/>
    <w:rsid w:val="00FF3A41"/>
    <w:rsid w:val="00FF3E5B"/>
    <w:rsid w:val="00FF544F"/>
    <w:rsid w:val="00FF57E4"/>
    <w:rsid w:val="00FF75D9"/>
    <w:rsid w:val="00FF78E5"/>
    <w:rsid w:val="01184113"/>
    <w:rsid w:val="014F35BA"/>
    <w:rsid w:val="01943FC0"/>
    <w:rsid w:val="021D7772"/>
    <w:rsid w:val="023844C8"/>
    <w:rsid w:val="02511F9D"/>
    <w:rsid w:val="03056ED3"/>
    <w:rsid w:val="03771520"/>
    <w:rsid w:val="03A314B8"/>
    <w:rsid w:val="03AE6F2A"/>
    <w:rsid w:val="03D82B98"/>
    <w:rsid w:val="03EE2141"/>
    <w:rsid w:val="03F83E8B"/>
    <w:rsid w:val="042E1B13"/>
    <w:rsid w:val="0467794B"/>
    <w:rsid w:val="047F7BF7"/>
    <w:rsid w:val="048D2069"/>
    <w:rsid w:val="04BB1529"/>
    <w:rsid w:val="05536C41"/>
    <w:rsid w:val="057D4AFA"/>
    <w:rsid w:val="06ED64DB"/>
    <w:rsid w:val="07223F73"/>
    <w:rsid w:val="07B72767"/>
    <w:rsid w:val="07F62ED8"/>
    <w:rsid w:val="08077E72"/>
    <w:rsid w:val="08F94B6E"/>
    <w:rsid w:val="09270E73"/>
    <w:rsid w:val="09CC2AAC"/>
    <w:rsid w:val="09D820EE"/>
    <w:rsid w:val="09E8566E"/>
    <w:rsid w:val="0A1246B0"/>
    <w:rsid w:val="0A652D3E"/>
    <w:rsid w:val="0A7A1C72"/>
    <w:rsid w:val="0B253A7F"/>
    <w:rsid w:val="0B3A48F0"/>
    <w:rsid w:val="0B416FFB"/>
    <w:rsid w:val="0B6719E5"/>
    <w:rsid w:val="0B816DFE"/>
    <w:rsid w:val="0BFF78D6"/>
    <w:rsid w:val="0C14484E"/>
    <w:rsid w:val="0C92213C"/>
    <w:rsid w:val="0CC021A1"/>
    <w:rsid w:val="0D4F221D"/>
    <w:rsid w:val="0D823B7B"/>
    <w:rsid w:val="0D84032B"/>
    <w:rsid w:val="0D846082"/>
    <w:rsid w:val="0DB31D06"/>
    <w:rsid w:val="0EB17EC4"/>
    <w:rsid w:val="0ED317E0"/>
    <w:rsid w:val="0F0A0484"/>
    <w:rsid w:val="0F133DC8"/>
    <w:rsid w:val="0F871FFD"/>
    <w:rsid w:val="0FBE2B5A"/>
    <w:rsid w:val="0FED6064"/>
    <w:rsid w:val="10616E4F"/>
    <w:rsid w:val="10815E21"/>
    <w:rsid w:val="10A27F31"/>
    <w:rsid w:val="10AD710B"/>
    <w:rsid w:val="10CA487C"/>
    <w:rsid w:val="10E16E71"/>
    <w:rsid w:val="10EE19D3"/>
    <w:rsid w:val="112231F9"/>
    <w:rsid w:val="11927058"/>
    <w:rsid w:val="12143277"/>
    <w:rsid w:val="126537F7"/>
    <w:rsid w:val="127508E2"/>
    <w:rsid w:val="132D6EBD"/>
    <w:rsid w:val="13740A17"/>
    <w:rsid w:val="13850935"/>
    <w:rsid w:val="13910C41"/>
    <w:rsid w:val="13AF4F03"/>
    <w:rsid w:val="13FD17AA"/>
    <w:rsid w:val="14736E66"/>
    <w:rsid w:val="149B6AC2"/>
    <w:rsid w:val="150B4E36"/>
    <w:rsid w:val="15293653"/>
    <w:rsid w:val="1534169A"/>
    <w:rsid w:val="15383A61"/>
    <w:rsid w:val="156A6A86"/>
    <w:rsid w:val="15C03E03"/>
    <w:rsid w:val="162A25EB"/>
    <w:rsid w:val="169E30BA"/>
    <w:rsid w:val="16FD2A55"/>
    <w:rsid w:val="17366761"/>
    <w:rsid w:val="177232DB"/>
    <w:rsid w:val="177C01F0"/>
    <w:rsid w:val="178057B9"/>
    <w:rsid w:val="17CE6630"/>
    <w:rsid w:val="17EA3730"/>
    <w:rsid w:val="1891491F"/>
    <w:rsid w:val="18A24C50"/>
    <w:rsid w:val="18FA26C8"/>
    <w:rsid w:val="191A0E8B"/>
    <w:rsid w:val="19820BA0"/>
    <w:rsid w:val="19B92A0E"/>
    <w:rsid w:val="1AFA16D5"/>
    <w:rsid w:val="1B4F19F8"/>
    <w:rsid w:val="1B7D3C9C"/>
    <w:rsid w:val="1BD92184"/>
    <w:rsid w:val="1C4C35D7"/>
    <w:rsid w:val="1C5170A2"/>
    <w:rsid w:val="1C6B6096"/>
    <w:rsid w:val="1C710EB2"/>
    <w:rsid w:val="1CC42A70"/>
    <w:rsid w:val="1CEA2700"/>
    <w:rsid w:val="1D1D0831"/>
    <w:rsid w:val="1D4061A8"/>
    <w:rsid w:val="1D5E22B5"/>
    <w:rsid w:val="1E9B4F4B"/>
    <w:rsid w:val="1EAA77F2"/>
    <w:rsid w:val="1EED0108"/>
    <w:rsid w:val="1F063325"/>
    <w:rsid w:val="1F364770"/>
    <w:rsid w:val="1FBC5DF5"/>
    <w:rsid w:val="1FC378BA"/>
    <w:rsid w:val="1FC55574"/>
    <w:rsid w:val="205B3FA5"/>
    <w:rsid w:val="20934462"/>
    <w:rsid w:val="213D0063"/>
    <w:rsid w:val="218835F1"/>
    <w:rsid w:val="219566E4"/>
    <w:rsid w:val="21B83F86"/>
    <w:rsid w:val="21E55E66"/>
    <w:rsid w:val="221178A8"/>
    <w:rsid w:val="221213CF"/>
    <w:rsid w:val="22327A92"/>
    <w:rsid w:val="22965435"/>
    <w:rsid w:val="22BD6F35"/>
    <w:rsid w:val="22C609BC"/>
    <w:rsid w:val="22CA1B74"/>
    <w:rsid w:val="231D53A2"/>
    <w:rsid w:val="23232856"/>
    <w:rsid w:val="23B54030"/>
    <w:rsid w:val="23B7504C"/>
    <w:rsid w:val="24205823"/>
    <w:rsid w:val="244874D0"/>
    <w:rsid w:val="24571307"/>
    <w:rsid w:val="24652840"/>
    <w:rsid w:val="246B4DD0"/>
    <w:rsid w:val="24992779"/>
    <w:rsid w:val="24BA2984"/>
    <w:rsid w:val="24E23A6F"/>
    <w:rsid w:val="24E80AD1"/>
    <w:rsid w:val="24F83171"/>
    <w:rsid w:val="25246333"/>
    <w:rsid w:val="252B67C8"/>
    <w:rsid w:val="253A452D"/>
    <w:rsid w:val="26446DE3"/>
    <w:rsid w:val="264D165B"/>
    <w:rsid w:val="26631367"/>
    <w:rsid w:val="26D7699F"/>
    <w:rsid w:val="274A5E17"/>
    <w:rsid w:val="275B60A3"/>
    <w:rsid w:val="279E6AC0"/>
    <w:rsid w:val="27E92268"/>
    <w:rsid w:val="283B209A"/>
    <w:rsid w:val="2A6227A1"/>
    <w:rsid w:val="2AAE44B4"/>
    <w:rsid w:val="2AC22C56"/>
    <w:rsid w:val="2AF72DA4"/>
    <w:rsid w:val="2B09065E"/>
    <w:rsid w:val="2B774624"/>
    <w:rsid w:val="2BC068DD"/>
    <w:rsid w:val="2C583629"/>
    <w:rsid w:val="2C7A72BE"/>
    <w:rsid w:val="2D79510B"/>
    <w:rsid w:val="2F1C5A19"/>
    <w:rsid w:val="2F307927"/>
    <w:rsid w:val="2F401D3C"/>
    <w:rsid w:val="2F454D33"/>
    <w:rsid w:val="2F527179"/>
    <w:rsid w:val="2F930D28"/>
    <w:rsid w:val="2FA95C88"/>
    <w:rsid w:val="2FC5671A"/>
    <w:rsid w:val="2FE42F17"/>
    <w:rsid w:val="3041370F"/>
    <w:rsid w:val="31083A05"/>
    <w:rsid w:val="32453A27"/>
    <w:rsid w:val="3263064A"/>
    <w:rsid w:val="327313A1"/>
    <w:rsid w:val="328A7BD4"/>
    <w:rsid w:val="32AC0C06"/>
    <w:rsid w:val="32E22BA3"/>
    <w:rsid w:val="33135501"/>
    <w:rsid w:val="3313563B"/>
    <w:rsid w:val="353623D9"/>
    <w:rsid w:val="3537750C"/>
    <w:rsid w:val="3537798C"/>
    <w:rsid w:val="35644FA0"/>
    <w:rsid w:val="357F7ED5"/>
    <w:rsid w:val="35C13FC9"/>
    <w:rsid w:val="35F570D4"/>
    <w:rsid w:val="360B4679"/>
    <w:rsid w:val="362E6D87"/>
    <w:rsid w:val="3638291B"/>
    <w:rsid w:val="364257B6"/>
    <w:rsid w:val="36AB426A"/>
    <w:rsid w:val="36F834D1"/>
    <w:rsid w:val="372C1ADF"/>
    <w:rsid w:val="374264D3"/>
    <w:rsid w:val="374750E9"/>
    <w:rsid w:val="376F33CC"/>
    <w:rsid w:val="37774BB9"/>
    <w:rsid w:val="37A4490C"/>
    <w:rsid w:val="37DB7874"/>
    <w:rsid w:val="37EA5922"/>
    <w:rsid w:val="37F4686F"/>
    <w:rsid w:val="38276B93"/>
    <w:rsid w:val="382D72A6"/>
    <w:rsid w:val="39826391"/>
    <w:rsid w:val="39900FC9"/>
    <w:rsid w:val="39E41315"/>
    <w:rsid w:val="3A0B64A7"/>
    <w:rsid w:val="3A43603C"/>
    <w:rsid w:val="3A45052B"/>
    <w:rsid w:val="3A71007A"/>
    <w:rsid w:val="3AE315CD"/>
    <w:rsid w:val="3AF74C02"/>
    <w:rsid w:val="3AFF5C22"/>
    <w:rsid w:val="3BA177A9"/>
    <w:rsid w:val="3C0059A5"/>
    <w:rsid w:val="3C131C35"/>
    <w:rsid w:val="3C134E78"/>
    <w:rsid w:val="3C49359F"/>
    <w:rsid w:val="3C644AC1"/>
    <w:rsid w:val="3CF950D8"/>
    <w:rsid w:val="3D4307CD"/>
    <w:rsid w:val="3D7C34EE"/>
    <w:rsid w:val="3DF6345D"/>
    <w:rsid w:val="3DF71617"/>
    <w:rsid w:val="3E8E35FE"/>
    <w:rsid w:val="3EC357A9"/>
    <w:rsid w:val="3EE13701"/>
    <w:rsid w:val="3F013AA0"/>
    <w:rsid w:val="3F1A4BB3"/>
    <w:rsid w:val="3F5D679C"/>
    <w:rsid w:val="3FAD3B80"/>
    <w:rsid w:val="40192BA6"/>
    <w:rsid w:val="406F2F80"/>
    <w:rsid w:val="408D5EE5"/>
    <w:rsid w:val="40AE74F2"/>
    <w:rsid w:val="41081FC9"/>
    <w:rsid w:val="41436921"/>
    <w:rsid w:val="41AD365B"/>
    <w:rsid w:val="424E7EBB"/>
    <w:rsid w:val="425403DF"/>
    <w:rsid w:val="42550A18"/>
    <w:rsid w:val="427C6508"/>
    <w:rsid w:val="42F473A1"/>
    <w:rsid w:val="43520012"/>
    <w:rsid w:val="43976CCF"/>
    <w:rsid w:val="43A53412"/>
    <w:rsid w:val="43B253F6"/>
    <w:rsid w:val="43D86554"/>
    <w:rsid w:val="441E62C0"/>
    <w:rsid w:val="44274ACD"/>
    <w:rsid w:val="444D269F"/>
    <w:rsid w:val="44890BB6"/>
    <w:rsid w:val="449B54D5"/>
    <w:rsid w:val="44A50252"/>
    <w:rsid w:val="45706E4B"/>
    <w:rsid w:val="45811C7C"/>
    <w:rsid w:val="45871673"/>
    <w:rsid w:val="459B7AA5"/>
    <w:rsid w:val="45DE4E6B"/>
    <w:rsid w:val="46053138"/>
    <w:rsid w:val="465C6089"/>
    <w:rsid w:val="468B3EFB"/>
    <w:rsid w:val="46C3489D"/>
    <w:rsid w:val="46DD1A9B"/>
    <w:rsid w:val="470A6193"/>
    <w:rsid w:val="47767A51"/>
    <w:rsid w:val="47DC4F5C"/>
    <w:rsid w:val="48B40671"/>
    <w:rsid w:val="48D648B3"/>
    <w:rsid w:val="49112E69"/>
    <w:rsid w:val="49444D48"/>
    <w:rsid w:val="499B5738"/>
    <w:rsid w:val="499F244D"/>
    <w:rsid w:val="49D55A9A"/>
    <w:rsid w:val="4A8F58C2"/>
    <w:rsid w:val="4AE16696"/>
    <w:rsid w:val="4AEA5A58"/>
    <w:rsid w:val="4AF96BC7"/>
    <w:rsid w:val="4BFB4050"/>
    <w:rsid w:val="4C1A4723"/>
    <w:rsid w:val="4C9D782D"/>
    <w:rsid w:val="4CEF36E2"/>
    <w:rsid w:val="4D3B1120"/>
    <w:rsid w:val="4DB4676E"/>
    <w:rsid w:val="4DDE0066"/>
    <w:rsid w:val="4F372FFB"/>
    <w:rsid w:val="4F42642A"/>
    <w:rsid w:val="4F5764B9"/>
    <w:rsid w:val="4FA76FA4"/>
    <w:rsid w:val="4FD5235B"/>
    <w:rsid w:val="4FE71AF7"/>
    <w:rsid w:val="4FF878B7"/>
    <w:rsid w:val="50C55AF8"/>
    <w:rsid w:val="50C939BF"/>
    <w:rsid w:val="513F391C"/>
    <w:rsid w:val="51564E44"/>
    <w:rsid w:val="51F36455"/>
    <w:rsid w:val="52094501"/>
    <w:rsid w:val="529B4700"/>
    <w:rsid w:val="52C10D75"/>
    <w:rsid w:val="532F559A"/>
    <w:rsid w:val="533C0846"/>
    <w:rsid w:val="53831186"/>
    <w:rsid w:val="53A75996"/>
    <w:rsid w:val="53E646C3"/>
    <w:rsid w:val="54197F73"/>
    <w:rsid w:val="546769CA"/>
    <w:rsid w:val="54936ED8"/>
    <w:rsid w:val="54B31B37"/>
    <w:rsid w:val="54C00AA4"/>
    <w:rsid w:val="550C4BD7"/>
    <w:rsid w:val="55572986"/>
    <w:rsid w:val="55652EB2"/>
    <w:rsid w:val="55E95892"/>
    <w:rsid w:val="56537644"/>
    <w:rsid w:val="56D82647"/>
    <w:rsid w:val="572A2E05"/>
    <w:rsid w:val="57437223"/>
    <w:rsid w:val="57674AAC"/>
    <w:rsid w:val="57FF7ECA"/>
    <w:rsid w:val="59965E6F"/>
    <w:rsid w:val="59B80C58"/>
    <w:rsid w:val="59DB6B25"/>
    <w:rsid w:val="5A0F5835"/>
    <w:rsid w:val="5A380B96"/>
    <w:rsid w:val="5A750924"/>
    <w:rsid w:val="5A957D93"/>
    <w:rsid w:val="5B281CEB"/>
    <w:rsid w:val="5B3760D9"/>
    <w:rsid w:val="5B8D1650"/>
    <w:rsid w:val="5C4C0928"/>
    <w:rsid w:val="5CBA37D5"/>
    <w:rsid w:val="5D2166D0"/>
    <w:rsid w:val="5D2317D1"/>
    <w:rsid w:val="5D420032"/>
    <w:rsid w:val="5D4521A6"/>
    <w:rsid w:val="5D535CE6"/>
    <w:rsid w:val="5D9E7EAE"/>
    <w:rsid w:val="5DA54363"/>
    <w:rsid w:val="5DC56BE4"/>
    <w:rsid w:val="5F011ACF"/>
    <w:rsid w:val="5F262650"/>
    <w:rsid w:val="5F58375A"/>
    <w:rsid w:val="5F80710D"/>
    <w:rsid w:val="606007BB"/>
    <w:rsid w:val="60AC7F66"/>
    <w:rsid w:val="618835DC"/>
    <w:rsid w:val="61BF10D9"/>
    <w:rsid w:val="62022C7B"/>
    <w:rsid w:val="629F7BDB"/>
    <w:rsid w:val="634C1A77"/>
    <w:rsid w:val="63DC5122"/>
    <w:rsid w:val="640C7C21"/>
    <w:rsid w:val="64E45EF7"/>
    <w:rsid w:val="64F35AE0"/>
    <w:rsid w:val="66A57729"/>
    <w:rsid w:val="66AD778D"/>
    <w:rsid w:val="66E6069B"/>
    <w:rsid w:val="66F978FF"/>
    <w:rsid w:val="675F283D"/>
    <w:rsid w:val="677435B2"/>
    <w:rsid w:val="67DA144D"/>
    <w:rsid w:val="67EF75F1"/>
    <w:rsid w:val="68CB0E27"/>
    <w:rsid w:val="68EE4F75"/>
    <w:rsid w:val="69124F16"/>
    <w:rsid w:val="69754591"/>
    <w:rsid w:val="69C31E33"/>
    <w:rsid w:val="69C64B0E"/>
    <w:rsid w:val="69CD5C14"/>
    <w:rsid w:val="69CF0D33"/>
    <w:rsid w:val="6AB24495"/>
    <w:rsid w:val="6B391B67"/>
    <w:rsid w:val="6B9946B3"/>
    <w:rsid w:val="6C8A3170"/>
    <w:rsid w:val="6CB3101C"/>
    <w:rsid w:val="6D1837C6"/>
    <w:rsid w:val="6DC26021"/>
    <w:rsid w:val="6DE76850"/>
    <w:rsid w:val="6E944258"/>
    <w:rsid w:val="6E9A1018"/>
    <w:rsid w:val="6F0F46F3"/>
    <w:rsid w:val="6F1676B7"/>
    <w:rsid w:val="6F2E41EE"/>
    <w:rsid w:val="6FB20BD4"/>
    <w:rsid w:val="6FB334DC"/>
    <w:rsid w:val="6FBA59BE"/>
    <w:rsid w:val="70296B3E"/>
    <w:rsid w:val="70611204"/>
    <w:rsid w:val="71045FAF"/>
    <w:rsid w:val="719A3A8C"/>
    <w:rsid w:val="719C0D36"/>
    <w:rsid w:val="71D21478"/>
    <w:rsid w:val="7234593E"/>
    <w:rsid w:val="72606A84"/>
    <w:rsid w:val="72EF4CB6"/>
    <w:rsid w:val="73093217"/>
    <w:rsid w:val="738F7A67"/>
    <w:rsid w:val="74D0506D"/>
    <w:rsid w:val="74E72B04"/>
    <w:rsid w:val="74FA2C30"/>
    <w:rsid w:val="75295ADB"/>
    <w:rsid w:val="755555F7"/>
    <w:rsid w:val="75E3362C"/>
    <w:rsid w:val="75E874BC"/>
    <w:rsid w:val="76BC49EB"/>
    <w:rsid w:val="76F119F9"/>
    <w:rsid w:val="77000DA2"/>
    <w:rsid w:val="77067D67"/>
    <w:rsid w:val="775731CC"/>
    <w:rsid w:val="77840B1F"/>
    <w:rsid w:val="781E69D1"/>
    <w:rsid w:val="78340059"/>
    <w:rsid w:val="78AB7B6D"/>
    <w:rsid w:val="78CB70BB"/>
    <w:rsid w:val="792C226F"/>
    <w:rsid w:val="7ADD0453"/>
    <w:rsid w:val="7AF46346"/>
    <w:rsid w:val="7B0F5EBF"/>
    <w:rsid w:val="7B130FB9"/>
    <w:rsid w:val="7BA37F1B"/>
    <w:rsid w:val="7BDE0625"/>
    <w:rsid w:val="7BF64EDE"/>
    <w:rsid w:val="7C400C1E"/>
    <w:rsid w:val="7C6E09ED"/>
    <w:rsid w:val="7CC20631"/>
    <w:rsid w:val="7D774339"/>
    <w:rsid w:val="7D8642A5"/>
    <w:rsid w:val="7DD11708"/>
    <w:rsid w:val="7E6766AA"/>
    <w:rsid w:val="7EBC46EA"/>
    <w:rsid w:val="7EC167BD"/>
    <w:rsid w:val="7FF82C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0" w:name="Body Text First Indent"/>
    <w:lsdException w:qFormat="1" w:uiPriority="99" w:semiHidden="0" w:name="Body Text First Indent 2"/>
    <w:lsdException w:uiPriority="99" w:name="Note Heading"/>
    <w:lsdException w:qFormat="1" w:unhideWhenUsed="0"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74"/>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37"/>
    <w:qFormat/>
    <w:uiPriority w:val="9"/>
    <w:pPr>
      <w:keepNext/>
      <w:keepLines/>
      <w:spacing w:before="280" w:after="290" w:line="376" w:lineRule="auto"/>
      <w:outlineLvl w:val="4"/>
    </w:pPr>
    <w:rPr>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8">
    <w:name w:val="index 8"/>
    <w:basedOn w:val="1"/>
    <w:next w:val="1"/>
    <w:qFormat/>
    <w:uiPriority w:val="0"/>
    <w:pPr>
      <w:ind w:left="2940"/>
    </w:pPr>
  </w:style>
  <w:style w:type="paragraph" w:styleId="9">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0">
    <w:name w:val="annotation text"/>
    <w:basedOn w:val="1"/>
    <w:link w:val="38"/>
    <w:qFormat/>
    <w:uiPriority w:val="99"/>
    <w:pPr>
      <w:keepNext w:val="0"/>
      <w:keepLines w:val="0"/>
      <w:widowControl w:val="0"/>
      <w:suppressLineNumbers w:val="0"/>
      <w:spacing w:before="0" w:beforeAutospacing="0" w:after="0" w:afterAutospacing="0"/>
      <w:ind w:left="0" w:right="0"/>
      <w:jc w:val="left"/>
    </w:pPr>
    <w:rPr>
      <w:rFonts w:hint="default" w:ascii="Times New Roman" w:hAnsi="Times New Roman" w:eastAsia="宋体" w:cs="Times New Roman"/>
      <w:kern w:val="2"/>
      <w:sz w:val="21"/>
      <w:szCs w:val="21"/>
      <w:lang w:val="en-US" w:eastAsia="zh-CN" w:bidi="ar"/>
    </w:rPr>
  </w:style>
  <w:style w:type="paragraph" w:styleId="11">
    <w:name w:val="Body Text 3"/>
    <w:basedOn w:val="1"/>
    <w:link w:val="39"/>
    <w:unhideWhenUsed/>
    <w:qFormat/>
    <w:uiPriority w:val="99"/>
    <w:pPr>
      <w:spacing w:after="120"/>
    </w:pPr>
    <w:rPr>
      <w:sz w:val="16"/>
      <w:szCs w:val="16"/>
    </w:rPr>
  </w:style>
  <w:style w:type="paragraph" w:styleId="12">
    <w:name w:val="Body Text"/>
    <w:basedOn w:val="1"/>
    <w:link w:val="40"/>
    <w:unhideWhenUsed/>
    <w:qFormat/>
    <w:uiPriority w:val="99"/>
    <w:pPr>
      <w:spacing w:after="120"/>
    </w:pPr>
  </w:style>
  <w:style w:type="paragraph" w:styleId="13">
    <w:name w:val="Body Text Indent"/>
    <w:basedOn w:val="1"/>
    <w:link w:val="41"/>
    <w:qFormat/>
    <w:uiPriority w:val="0"/>
    <w:pPr>
      <w:ind w:firstLine="830" w:firstLineChars="352"/>
    </w:pPr>
    <w:rPr>
      <w:rFonts w:ascii="仿宋_GB2312" w:eastAsia="仿宋_GB2312"/>
      <w:kern w:val="0"/>
      <w:sz w:val="32"/>
      <w:szCs w:val="20"/>
    </w:rPr>
  </w:style>
  <w:style w:type="paragraph" w:styleId="14">
    <w:name w:val="List 2"/>
    <w:basedOn w:val="1"/>
    <w:unhideWhenUsed/>
    <w:qFormat/>
    <w:uiPriority w:val="99"/>
    <w:pPr>
      <w:ind w:left="100" w:leftChars="200" w:hanging="200" w:hangingChars="200"/>
      <w:contextualSpacing/>
    </w:pPr>
  </w:style>
  <w:style w:type="paragraph" w:styleId="15">
    <w:name w:val="Plain Text"/>
    <w:basedOn w:val="1"/>
    <w:next w:val="5"/>
    <w:link w:val="42"/>
    <w:qFormat/>
    <w:uiPriority w:val="0"/>
    <w:rPr>
      <w:rFonts w:ascii="宋体" w:hAnsi="Courier New"/>
      <w:kern w:val="0"/>
      <w:sz w:val="20"/>
      <w:szCs w:val="21"/>
    </w:rPr>
  </w:style>
  <w:style w:type="paragraph" w:styleId="16">
    <w:name w:val="Date"/>
    <w:basedOn w:val="1"/>
    <w:next w:val="1"/>
    <w:link w:val="43"/>
    <w:unhideWhenUsed/>
    <w:qFormat/>
    <w:uiPriority w:val="99"/>
    <w:pPr>
      <w:ind w:left="100" w:leftChars="2500"/>
    </w:pPr>
  </w:style>
  <w:style w:type="paragraph" w:styleId="17">
    <w:name w:val="Balloon Text"/>
    <w:basedOn w:val="1"/>
    <w:semiHidden/>
    <w:qFormat/>
    <w:uiPriority w:val="0"/>
    <w:rPr>
      <w:sz w:val="18"/>
      <w:szCs w:val="18"/>
    </w:rPr>
  </w:style>
  <w:style w:type="paragraph" w:styleId="18">
    <w:name w:val="footer"/>
    <w:basedOn w:val="1"/>
    <w:link w:val="44"/>
    <w:unhideWhenUsed/>
    <w:qFormat/>
    <w:uiPriority w:val="99"/>
    <w:pPr>
      <w:tabs>
        <w:tab w:val="center" w:pos="4153"/>
        <w:tab w:val="right" w:pos="8306"/>
      </w:tabs>
      <w:snapToGrid w:val="0"/>
      <w:jc w:val="left"/>
    </w:pPr>
    <w:rPr>
      <w:kern w:val="0"/>
      <w:sz w:val="18"/>
      <w:szCs w:val="18"/>
    </w:rPr>
  </w:style>
  <w:style w:type="paragraph" w:styleId="19">
    <w:name w:val="header"/>
    <w:basedOn w:val="1"/>
    <w:link w:val="4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0">
    <w:name w:val="toc 1"/>
    <w:basedOn w:val="1"/>
    <w:next w:val="1"/>
    <w:unhideWhenUsed/>
    <w:qFormat/>
    <w:uiPriority w:val="39"/>
  </w:style>
  <w:style w:type="paragraph" w:styleId="21">
    <w:name w:val="toc 2"/>
    <w:basedOn w:val="1"/>
    <w:next w:val="1"/>
    <w:unhideWhenUsed/>
    <w:qFormat/>
    <w:uiPriority w:val="39"/>
    <w:pPr>
      <w:tabs>
        <w:tab w:val="right" w:leader="dot" w:pos="8296"/>
      </w:tabs>
      <w:ind w:left="420" w:leftChars="200"/>
    </w:pPr>
  </w:style>
  <w:style w:type="paragraph" w:styleId="22">
    <w:name w:val="Body Text 2"/>
    <w:basedOn w:val="1"/>
    <w:qFormat/>
    <w:uiPriority w:val="99"/>
    <w:pPr>
      <w:spacing w:after="120" w:line="480" w:lineRule="auto"/>
    </w:pPr>
  </w:style>
  <w:style w:type="paragraph" w:styleId="23">
    <w:name w:val="Normal (Web)"/>
    <w:basedOn w:val="1"/>
    <w:unhideWhenUsed/>
    <w:qFormat/>
    <w:uiPriority w:val="99"/>
    <w:rPr>
      <w:rFonts w:ascii="Calibri" w:hAnsi="Calibri"/>
      <w:kern w:val="0"/>
      <w:sz w:val="24"/>
    </w:rPr>
  </w:style>
  <w:style w:type="paragraph" w:styleId="24">
    <w:name w:val="Title"/>
    <w:basedOn w:val="1"/>
    <w:next w:val="1"/>
    <w:qFormat/>
    <w:uiPriority w:val="0"/>
    <w:pPr>
      <w:widowControl/>
      <w:overflowPunct w:val="0"/>
      <w:autoSpaceDE w:val="0"/>
      <w:autoSpaceDN w:val="0"/>
      <w:adjustRightInd w:val="0"/>
      <w:jc w:val="center"/>
      <w:textAlignment w:val="baseline"/>
    </w:pPr>
    <w:rPr>
      <w:rFonts w:ascii="Cambria" w:hAnsi="Cambria"/>
      <w:b/>
      <w:bCs/>
      <w:sz w:val="32"/>
      <w:szCs w:val="32"/>
    </w:rPr>
  </w:style>
  <w:style w:type="paragraph" w:styleId="25">
    <w:name w:val="annotation subject"/>
    <w:basedOn w:val="10"/>
    <w:next w:val="10"/>
    <w:link w:val="46"/>
    <w:qFormat/>
    <w:uiPriority w:val="99"/>
    <w:rPr>
      <w:b/>
      <w:bCs/>
    </w:rPr>
  </w:style>
  <w:style w:type="paragraph" w:styleId="26">
    <w:name w:val="Body Text First Indent"/>
    <w:basedOn w:val="12"/>
    <w:link w:val="71"/>
    <w:semiHidden/>
    <w:unhideWhenUsed/>
    <w:qFormat/>
    <w:uiPriority w:val="0"/>
    <w:pPr>
      <w:ind w:firstLine="420" w:firstLineChars="100"/>
    </w:pPr>
    <w:rPr>
      <w:rFonts w:asciiTheme="minorHAnsi" w:hAnsiTheme="minorHAnsi" w:eastAsiaTheme="minorEastAsia" w:cstheme="minorBidi"/>
      <w:szCs w:val="22"/>
    </w:rPr>
  </w:style>
  <w:style w:type="paragraph" w:styleId="27">
    <w:name w:val="Body Text First Indent 2"/>
    <w:basedOn w:val="13"/>
    <w:unhideWhenUsed/>
    <w:qFormat/>
    <w:uiPriority w:val="99"/>
    <w:pPr>
      <w:spacing w:after="120"/>
      <w:ind w:left="420" w:leftChars="200" w:firstLine="420" w:firstLineChars="200"/>
    </w:pPr>
    <w:rPr>
      <w:rFonts w:ascii="Times New Roman" w:eastAsia="宋体"/>
      <w:kern w:val="2"/>
      <w:sz w:val="21"/>
      <w:szCs w:val="24"/>
    </w:rPr>
  </w:style>
  <w:style w:type="table" w:styleId="29">
    <w:name w:val="Table Grid"/>
    <w:basedOn w:val="2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Strong"/>
    <w:basedOn w:val="30"/>
    <w:qFormat/>
    <w:uiPriority w:val="22"/>
    <w:rPr>
      <w:b/>
    </w:rPr>
  </w:style>
  <w:style w:type="character" w:styleId="32">
    <w:name w:val="Hyperlink"/>
    <w:unhideWhenUsed/>
    <w:qFormat/>
    <w:uiPriority w:val="99"/>
    <w:rPr>
      <w:color w:val="0000FF"/>
      <w:u w:val="single"/>
    </w:rPr>
  </w:style>
  <w:style w:type="character" w:styleId="33">
    <w:name w:val="annotation reference"/>
    <w:qFormat/>
    <w:uiPriority w:val="0"/>
    <w:rPr>
      <w:sz w:val="21"/>
      <w:szCs w:val="21"/>
    </w:rPr>
  </w:style>
  <w:style w:type="paragraph" w:customStyle="1" w:styleId="3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35">
    <w:name w:val="标题 1 字符1"/>
    <w:link w:val="2"/>
    <w:qFormat/>
    <w:uiPriority w:val="0"/>
    <w:rPr>
      <w:b/>
      <w:bCs/>
      <w:kern w:val="44"/>
      <w:sz w:val="44"/>
      <w:szCs w:val="44"/>
    </w:rPr>
  </w:style>
  <w:style w:type="character" w:customStyle="1" w:styleId="36">
    <w:name w:val="标题 2 字符"/>
    <w:link w:val="3"/>
    <w:qFormat/>
    <w:uiPriority w:val="9"/>
    <w:rPr>
      <w:rFonts w:ascii="Cambria" w:hAnsi="Cambria" w:eastAsia="宋体" w:cs="Times New Roman"/>
      <w:b/>
      <w:bCs/>
      <w:kern w:val="2"/>
      <w:sz w:val="32"/>
      <w:szCs w:val="32"/>
    </w:rPr>
  </w:style>
  <w:style w:type="character" w:customStyle="1" w:styleId="37">
    <w:name w:val="标题 5 字符"/>
    <w:link w:val="6"/>
    <w:semiHidden/>
    <w:qFormat/>
    <w:uiPriority w:val="9"/>
    <w:rPr>
      <w:rFonts w:ascii="Times New Roman" w:hAnsi="Times New Roman"/>
      <w:b/>
      <w:bCs/>
      <w:kern w:val="2"/>
      <w:sz w:val="28"/>
      <w:szCs w:val="28"/>
    </w:rPr>
  </w:style>
  <w:style w:type="character" w:customStyle="1" w:styleId="38">
    <w:name w:val="批注文字 字符3"/>
    <w:link w:val="10"/>
    <w:qFormat/>
    <w:uiPriority w:val="99"/>
    <w:rPr>
      <w:rFonts w:ascii="Times New Roman" w:hAnsi="Times New Roman"/>
      <w:kern w:val="2"/>
      <w:sz w:val="21"/>
      <w:szCs w:val="24"/>
    </w:rPr>
  </w:style>
  <w:style w:type="character" w:customStyle="1" w:styleId="39">
    <w:name w:val="正文文本 3 字符"/>
    <w:link w:val="11"/>
    <w:semiHidden/>
    <w:qFormat/>
    <w:uiPriority w:val="99"/>
    <w:rPr>
      <w:rFonts w:ascii="Times New Roman" w:hAnsi="Times New Roman"/>
      <w:kern w:val="2"/>
      <w:sz w:val="16"/>
      <w:szCs w:val="16"/>
    </w:rPr>
  </w:style>
  <w:style w:type="character" w:customStyle="1" w:styleId="40">
    <w:name w:val="正文文本 字符1"/>
    <w:link w:val="12"/>
    <w:qFormat/>
    <w:uiPriority w:val="99"/>
    <w:rPr>
      <w:rFonts w:ascii="Times New Roman" w:hAnsi="Times New Roman"/>
      <w:kern w:val="2"/>
      <w:sz w:val="21"/>
      <w:szCs w:val="24"/>
    </w:rPr>
  </w:style>
  <w:style w:type="character" w:customStyle="1" w:styleId="41">
    <w:name w:val="正文文本缩进 字符"/>
    <w:link w:val="13"/>
    <w:qFormat/>
    <w:uiPriority w:val="0"/>
    <w:rPr>
      <w:rFonts w:ascii="仿宋_GB2312" w:hAnsi="Times New Roman" w:eastAsia="仿宋_GB2312" w:cs="Times New Roman"/>
      <w:sz w:val="32"/>
      <w:szCs w:val="20"/>
    </w:rPr>
  </w:style>
  <w:style w:type="character" w:customStyle="1" w:styleId="42">
    <w:name w:val="纯文本 字符"/>
    <w:link w:val="15"/>
    <w:qFormat/>
    <w:uiPriority w:val="0"/>
    <w:rPr>
      <w:rFonts w:ascii="宋体" w:hAnsi="Courier New" w:eastAsia="宋体" w:cs="Courier New"/>
      <w:szCs w:val="21"/>
    </w:rPr>
  </w:style>
  <w:style w:type="character" w:customStyle="1" w:styleId="43">
    <w:name w:val="日期 字符"/>
    <w:link w:val="16"/>
    <w:semiHidden/>
    <w:qFormat/>
    <w:uiPriority w:val="99"/>
    <w:rPr>
      <w:rFonts w:ascii="Times New Roman" w:hAnsi="Times New Roman"/>
      <w:kern w:val="2"/>
      <w:sz w:val="21"/>
      <w:szCs w:val="24"/>
    </w:rPr>
  </w:style>
  <w:style w:type="character" w:customStyle="1" w:styleId="44">
    <w:name w:val="页脚 字符"/>
    <w:link w:val="18"/>
    <w:qFormat/>
    <w:uiPriority w:val="99"/>
    <w:rPr>
      <w:sz w:val="18"/>
      <w:szCs w:val="18"/>
    </w:rPr>
  </w:style>
  <w:style w:type="character" w:customStyle="1" w:styleId="45">
    <w:name w:val="页眉 字符"/>
    <w:link w:val="19"/>
    <w:qFormat/>
    <w:uiPriority w:val="99"/>
    <w:rPr>
      <w:sz w:val="18"/>
      <w:szCs w:val="18"/>
    </w:rPr>
  </w:style>
  <w:style w:type="character" w:customStyle="1" w:styleId="46">
    <w:name w:val="批注主题 字符"/>
    <w:link w:val="25"/>
    <w:qFormat/>
    <w:uiPriority w:val="99"/>
    <w:rPr>
      <w:rFonts w:ascii="Times New Roman" w:hAnsi="Times New Roman"/>
      <w:b/>
      <w:bCs/>
      <w:kern w:val="2"/>
      <w:sz w:val="21"/>
      <w:szCs w:val="24"/>
    </w:rPr>
  </w:style>
  <w:style w:type="character" w:customStyle="1" w:styleId="47">
    <w:name w:val="正文文本缩进 字符1"/>
    <w:qFormat/>
    <w:uiPriority w:val="0"/>
    <w:rPr>
      <w:rFonts w:ascii="仿宋_GB2312" w:hAnsi="Times New Roman" w:eastAsia="仿宋_GB2312" w:cs="Times New Roman"/>
      <w:sz w:val="32"/>
      <w:szCs w:val="20"/>
    </w:rPr>
  </w:style>
  <w:style w:type="character" w:customStyle="1" w:styleId="48">
    <w:name w:val="apple-style-span"/>
    <w:qFormat/>
    <w:uiPriority w:val="0"/>
  </w:style>
  <w:style w:type="character" w:customStyle="1" w:styleId="49">
    <w:name w:val="标题 1 字符"/>
    <w:qFormat/>
    <w:uiPriority w:val="9"/>
    <w:rPr>
      <w:b/>
      <w:bCs/>
      <w:kern w:val="44"/>
      <w:sz w:val="44"/>
      <w:szCs w:val="44"/>
    </w:rPr>
  </w:style>
  <w:style w:type="character" w:customStyle="1" w:styleId="50">
    <w:name w:val="textcontents"/>
    <w:qFormat/>
    <w:uiPriority w:val="0"/>
  </w:style>
  <w:style w:type="character" w:customStyle="1" w:styleId="51">
    <w:name w:val="纯文本 字符1"/>
    <w:qFormat/>
    <w:uiPriority w:val="0"/>
    <w:rPr>
      <w:rFonts w:ascii="宋体" w:hAnsi="Courier New"/>
    </w:rPr>
  </w:style>
  <w:style w:type="character" w:customStyle="1" w:styleId="52">
    <w:name w:val="批注文字 字符1"/>
    <w:qFormat/>
    <w:uiPriority w:val="99"/>
    <w:rPr>
      <w:kern w:val="2"/>
      <w:sz w:val="21"/>
      <w:szCs w:val="24"/>
    </w:rPr>
  </w:style>
  <w:style w:type="character" w:customStyle="1" w:styleId="53">
    <w:name w:val="纯文本 字符2"/>
    <w:qFormat/>
    <w:uiPriority w:val="0"/>
    <w:rPr>
      <w:rFonts w:ascii="宋体" w:hAnsi="Courier New" w:eastAsia="宋体" w:cs="Courier New"/>
      <w:szCs w:val="21"/>
    </w:rPr>
  </w:style>
  <w:style w:type="character" w:customStyle="1" w:styleId="54">
    <w:name w:val="页脚 Char"/>
    <w:qFormat/>
    <w:uiPriority w:val="99"/>
    <w:rPr>
      <w:lang w:eastAsia="zh-CN"/>
    </w:rPr>
  </w:style>
  <w:style w:type="paragraph" w:customStyle="1" w:styleId="55">
    <w:name w:val="默认段落字体 Para Char Char Char Char Char Char Char Char Char1 Char Char Char Char"/>
    <w:basedOn w:val="1"/>
    <w:qFormat/>
    <w:uiPriority w:val="0"/>
    <w:rPr>
      <w:rFonts w:ascii="Tahoma" w:hAnsi="Tahoma"/>
      <w:sz w:val="24"/>
      <w:szCs w:val="20"/>
    </w:rPr>
  </w:style>
  <w:style w:type="paragraph" w:customStyle="1" w:styleId="5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57">
    <w:name w:val="List Paragraph"/>
    <w:basedOn w:val="1"/>
    <w:qFormat/>
    <w:uiPriority w:val="0"/>
    <w:pPr>
      <w:ind w:firstLine="420" w:firstLineChars="200"/>
    </w:pPr>
  </w:style>
  <w:style w:type="paragraph" w:customStyle="1" w:styleId="58">
    <w:name w:val="Table Paragraph"/>
    <w:basedOn w:val="1"/>
    <w:qFormat/>
    <w:uiPriority w:val="1"/>
    <w:pPr>
      <w:jc w:val="left"/>
    </w:pPr>
    <w:rPr>
      <w:rFonts w:ascii="Calibri" w:hAnsi="Calibri"/>
      <w:kern w:val="0"/>
      <w:sz w:val="22"/>
      <w:szCs w:val="22"/>
      <w:lang w:eastAsia="en-US"/>
    </w:rPr>
  </w:style>
  <w:style w:type="character" w:customStyle="1" w:styleId="59">
    <w:name w:val="批注文字 Char1"/>
    <w:qFormat/>
    <w:uiPriority w:val="0"/>
    <w:rPr>
      <w:rFonts w:ascii="Times New Roman" w:hAnsi="Times New Roman"/>
      <w:kern w:val="2"/>
      <w:sz w:val="21"/>
      <w:szCs w:val="24"/>
    </w:rPr>
  </w:style>
  <w:style w:type="character" w:customStyle="1" w:styleId="60">
    <w:name w:val="批注文字 字符2"/>
    <w:qFormat/>
    <w:uiPriority w:val="0"/>
    <w:rPr>
      <w:rFonts w:ascii="Times New Roman" w:hAnsi="Times New Roman"/>
      <w:kern w:val="2"/>
      <w:sz w:val="21"/>
      <w:szCs w:val="24"/>
    </w:rPr>
  </w:style>
  <w:style w:type="character" w:customStyle="1" w:styleId="61">
    <w:name w:val="正文文本 (26) + 间距 0 pt"/>
    <w:qFormat/>
    <w:uiPriority w:val="0"/>
    <w:rPr>
      <w:rFonts w:hint="eastAsia" w:ascii="宋体" w:hAnsi="宋体" w:eastAsia="宋体" w:cs="宋体"/>
      <w:color w:val="000000"/>
      <w:spacing w:val="0"/>
      <w:w w:val="100"/>
      <w:position w:val="0"/>
      <w:sz w:val="22"/>
      <w:szCs w:val="22"/>
      <w:u w:val="none"/>
      <w:lang w:val="zh-CN" w:eastAsia="zh-CN" w:bidi="zh-CN"/>
    </w:rPr>
  </w:style>
  <w:style w:type="character" w:customStyle="1" w:styleId="62">
    <w:name w:val="纯文本 Char1"/>
    <w:qFormat/>
    <w:uiPriority w:val="0"/>
    <w:rPr>
      <w:rFonts w:ascii="宋体" w:hAnsi="Courier New" w:eastAsia="宋体" w:cs="Courier New"/>
      <w:szCs w:val="21"/>
    </w:rPr>
  </w:style>
  <w:style w:type="character" w:customStyle="1" w:styleId="63">
    <w:name w:val="批注文字 Char2"/>
    <w:qFormat/>
    <w:uiPriority w:val="0"/>
    <w:rPr>
      <w:rFonts w:ascii="Times New Roman" w:hAnsi="Times New Roman"/>
      <w:kern w:val="2"/>
      <w:sz w:val="21"/>
      <w:szCs w:val="24"/>
    </w:rPr>
  </w:style>
  <w:style w:type="character" w:customStyle="1" w:styleId="64">
    <w:name w:val="正文2 Char Char"/>
    <w:link w:val="65"/>
    <w:qFormat/>
    <w:uiPriority w:val="0"/>
    <w:rPr>
      <w:kern w:val="2"/>
      <w:sz w:val="24"/>
    </w:rPr>
  </w:style>
  <w:style w:type="paragraph" w:customStyle="1" w:styleId="65">
    <w:name w:val="正文2"/>
    <w:basedOn w:val="1"/>
    <w:link w:val="64"/>
    <w:qFormat/>
    <w:uiPriority w:val="0"/>
    <w:pPr>
      <w:adjustRightInd w:val="0"/>
      <w:spacing w:before="156" w:line="360" w:lineRule="auto"/>
      <w:ind w:firstLine="510" w:firstLineChars="200"/>
    </w:pPr>
    <w:rPr>
      <w:sz w:val="24"/>
      <w:szCs w:val="20"/>
    </w:rPr>
  </w:style>
  <w:style w:type="character" w:customStyle="1" w:styleId="66">
    <w:name w:val="批注文字 字符"/>
    <w:semiHidden/>
    <w:qFormat/>
    <w:uiPriority w:val="99"/>
    <w:rPr>
      <w:rFonts w:eastAsia="微软雅黑"/>
      <w:kern w:val="2"/>
      <w:sz w:val="21"/>
      <w:szCs w:val="24"/>
    </w:rPr>
  </w:style>
  <w:style w:type="character" w:customStyle="1" w:styleId="67">
    <w:name w:val="正文文本 字符"/>
    <w:semiHidden/>
    <w:qFormat/>
    <w:uiPriority w:val="0"/>
    <w:rPr>
      <w:kern w:val="2"/>
      <w:sz w:val="21"/>
      <w:szCs w:val="24"/>
    </w:rPr>
  </w:style>
  <w:style w:type="paragraph" w:customStyle="1" w:styleId="68">
    <w:name w:val="表格文字"/>
    <w:basedOn w:val="1"/>
    <w:next w:val="12"/>
    <w:qFormat/>
    <w:uiPriority w:val="0"/>
    <w:pPr>
      <w:adjustRightInd w:val="0"/>
      <w:spacing w:line="420" w:lineRule="atLeast"/>
      <w:jc w:val="left"/>
      <w:textAlignment w:val="baseline"/>
    </w:pPr>
    <w:rPr>
      <w:kern w:val="0"/>
    </w:rPr>
  </w:style>
  <w:style w:type="paragraph" w:customStyle="1" w:styleId="69">
    <w:name w:val="列出段落1"/>
    <w:basedOn w:val="1"/>
    <w:qFormat/>
    <w:uiPriority w:val="99"/>
    <w:pPr>
      <w:ind w:firstLine="420" w:firstLineChars="200"/>
    </w:pPr>
    <w:rPr>
      <w:rFonts w:ascii="Calibri" w:hAnsi="Calibri"/>
    </w:rPr>
  </w:style>
  <w:style w:type="paragraph" w:customStyle="1" w:styleId="70">
    <w:name w:val="正文文字 6"/>
    <w:next w:val="1"/>
    <w:qFormat/>
    <w:uiPriority w:val="0"/>
    <w:pPr>
      <w:widowControl w:val="0"/>
      <w:ind w:left="240"/>
      <w:jc w:val="both"/>
    </w:pPr>
    <w:rPr>
      <w:rFonts w:ascii="宋体" w:hAnsi="Calibri" w:eastAsia="宋体" w:cs="Times New Roman"/>
      <w:b/>
      <w:bCs/>
      <w:kern w:val="2"/>
      <w:sz w:val="32"/>
      <w:szCs w:val="32"/>
      <w:lang w:val="en-US" w:eastAsia="zh-CN" w:bidi="ar-SA"/>
    </w:rPr>
  </w:style>
  <w:style w:type="character" w:customStyle="1" w:styleId="71">
    <w:name w:val="正文首行缩进 字符"/>
    <w:basedOn w:val="40"/>
    <w:link w:val="26"/>
    <w:semiHidden/>
    <w:qFormat/>
    <w:uiPriority w:val="0"/>
    <w:rPr>
      <w:rFonts w:asciiTheme="minorHAnsi" w:hAnsiTheme="minorHAnsi" w:eastAsiaTheme="minorEastAsia" w:cstheme="minorBidi"/>
      <w:kern w:val="2"/>
      <w:sz w:val="21"/>
      <w:szCs w:val="22"/>
    </w:rPr>
  </w:style>
  <w:style w:type="character" w:customStyle="1" w:styleId="72">
    <w:name w:val="font21"/>
    <w:basedOn w:val="30"/>
    <w:qFormat/>
    <w:uiPriority w:val="0"/>
    <w:rPr>
      <w:rFonts w:hint="eastAsia" w:ascii="宋体" w:hAnsi="宋体" w:eastAsia="宋体" w:cs="宋体"/>
      <w:color w:val="000000"/>
      <w:sz w:val="20"/>
      <w:szCs w:val="20"/>
      <w:u w:val="none"/>
    </w:rPr>
  </w:style>
  <w:style w:type="character" w:customStyle="1" w:styleId="73">
    <w:name w:val="font31"/>
    <w:basedOn w:val="30"/>
    <w:qFormat/>
    <w:uiPriority w:val="0"/>
    <w:rPr>
      <w:rFonts w:hint="eastAsia" w:ascii="宋体" w:hAnsi="宋体" w:eastAsia="宋体" w:cs="宋体"/>
      <w:color w:val="FF0000"/>
      <w:sz w:val="20"/>
      <w:szCs w:val="20"/>
      <w:u w:val="none"/>
    </w:rPr>
  </w:style>
  <w:style w:type="character" w:customStyle="1" w:styleId="74">
    <w:name w:val="标题 3 字符"/>
    <w:basedOn w:val="30"/>
    <w:link w:val="4"/>
    <w:semiHidden/>
    <w:qFormat/>
    <w:uiPriority w:val="9"/>
    <w:rPr>
      <w:b/>
      <w:bCs/>
      <w:kern w:val="2"/>
      <w:sz w:val="32"/>
      <w:szCs w:val="32"/>
    </w:rPr>
  </w:style>
  <w:style w:type="paragraph" w:customStyle="1" w:styleId="75">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76">
    <w:name w:val="样式 标题 2 + 宋体"/>
    <w:basedOn w:val="3"/>
    <w:qFormat/>
    <w:uiPriority w:val="99"/>
    <w:rPr>
      <w:rFonts w:ascii="宋体" w:hAnsi="宋体"/>
      <w:sz w:val="30"/>
    </w:rPr>
  </w:style>
  <w:style w:type="character" w:customStyle="1" w:styleId="77">
    <w:name w:val="font41"/>
    <w:basedOn w:val="30"/>
    <w:qFormat/>
    <w:uiPriority w:val="0"/>
    <w:rPr>
      <w:rFonts w:hint="eastAsia" w:ascii="宋体" w:hAnsi="宋体" w:eastAsia="宋体" w:cs="宋体"/>
      <w:color w:val="000000"/>
      <w:sz w:val="21"/>
      <w:szCs w:val="21"/>
      <w:u w:val="none"/>
    </w:rPr>
  </w:style>
  <w:style w:type="character" w:customStyle="1" w:styleId="78">
    <w:name w:val="font51"/>
    <w:basedOn w:val="30"/>
    <w:qFormat/>
    <w:uiPriority w:val="0"/>
    <w:rPr>
      <w:rFonts w:hint="eastAsia" w:ascii="宋体" w:hAnsi="宋体" w:eastAsia="宋体" w:cs="宋体"/>
      <w:color w:val="333333"/>
      <w:sz w:val="21"/>
      <w:szCs w:val="21"/>
      <w:u w:val="none"/>
    </w:rPr>
  </w:style>
  <w:style w:type="character" w:customStyle="1" w:styleId="79">
    <w:name w:val="font61"/>
    <w:basedOn w:val="30"/>
    <w:qFormat/>
    <w:uiPriority w:val="0"/>
    <w:rPr>
      <w:rFonts w:ascii="Arial" w:hAnsi="Arial" w:cs="Arial"/>
      <w:color w:val="000000"/>
      <w:sz w:val="24"/>
      <w:szCs w:val="24"/>
      <w:u w:val="none"/>
    </w:rPr>
  </w:style>
  <w:style w:type="character" w:customStyle="1" w:styleId="80">
    <w:name w:val="font11"/>
    <w:basedOn w:val="30"/>
    <w:qFormat/>
    <w:uiPriority w:val="0"/>
    <w:rPr>
      <w:rFonts w:hint="eastAsia" w:ascii="宋体" w:hAnsi="宋体" w:eastAsia="宋体" w:cs="宋体"/>
      <w:color w:val="000000"/>
      <w:sz w:val="21"/>
      <w:szCs w:val="21"/>
      <w:u w:val="none"/>
    </w:rPr>
  </w:style>
  <w:style w:type="paragraph" w:customStyle="1" w:styleId="8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82">
    <w:name w:val="10"/>
    <w:basedOn w:val="30"/>
    <w:qFormat/>
    <w:uiPriority w:val="0"/>
    <w:rPr>
      <w:rFonts w:hint="default" w:ascii="Times New Roman" w:hAnsi="Times New Roman" w:cs="Times New Roman"/>
    </w:rPr>
  </w:style>
  <w:style w:type="character" w:customStyle="1" w:styleId="83">
    <w:name w:val="15"/>
    <w:basedOn w:val="30"/>
    <w:qFormat/>
    <w:uiPriority w:val="0"/>
    <w:rPr>
      <w:rFonts w:hint="eastAsia" w:ascii="宋体" w:hAnsi="宋体" w:eastAsia="宋体" w:cs="宋体"/>
      <w:color w:val="00000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https://www.gov.cn/zhengce/content/202509/W020250930645245947614.png" TargetMode="Externa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194276-BD1A-46C7-B930-8E8B9C6E7F9D}">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154</Pages>
  <Words>66326</Words>
  <Characters>79346</Characters>
  <Lines>1</Lines>
  <Paragraphs>1</Paragraphs>
  <TotalTime>4</TotalTime>
  <ScaleCrop>false</ScaleCrop>
  <LinksUpToDate>false</LinksUpToDate>
  <CharactersWithSpaces>80695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2024-06-03T08:51:00Z</dcterms:created>
  <dc:creator>唐冰</dc:creator>
  <cp:lastModifiedBy>Administrator</cp:lastModifiedBy>
  <cp:lastPrinted>2026-08-13T08:53:00Z</cp:lastPrinted>
  <dcterms:modified xsi:type="dcterms:W3CDTF">2026-08-13T09:19:44Z</dcterms:modified>
  <dc:title>竞争性谈判文件规范</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C76FCC65F6644E3783428BF534EB74B4_13</vt:lpwstr>
  </property>
  <property fmtid="{D5CDD505-2E9C-101B-9397-08002B2CF9AE}" pid="4" name="KSOTemplateDocerSaveRecord">
    <vt:lpwstr>eyJoZGlkIjoiMTFhMDFkYzg2YjE0N2Y3NGZjYzlhNzJjOTJhYWUwZjEiLCJ1c2VySWQiOiIxNjI5NDEzMyJ9</vt:lpwstr>
  </property>
</Properties>
</file>