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4B803F">
      <w:pPr>
        <w:pStyle w:val="2"/>
        <w:jc w:val="center"/>
        <w:rPr>
          <w:rFonts w:hint="eastAsia" w:hAnsi="宋体" w:cs="华文新魏"/>
          <w:b/>
          <w:bCs/>
          <w:color w:val="auto"/>
          <w:sz w:val="72"/>
          <w:szCs w:val="72"/>
          <w:highlight w:val="none"/>
        </w:rPr>
      </w:pPr>
      <w:r>
        <w:rPr>
          <w:rFonts w:hint="eastAsia" w:hAnsi="宋体" w:cs="华文新魏"/>
          <w:b/>
          <w:bCs/>
          <w:color w:val="auto"/>
          <w:sz w:val="72"/>
          <w:szCs w:val="72"/>
          <w:highlight w:val="none"/>
        </w:rPr>
        <w:t>广西建隆工程咨询有限公司</w:t>
      </w:r>
    </w:p>
    <w:p w14:paraId="3E83F1D7">
      <w:pPr>
        <w:pStyle w:val="6"/>
        <w:rPr>
          <w:color w:val="auto"/>
          <w:highlight w:val="none"/>
        </w:rPr>
      </w:pPr>
    </w:p>
    <w:p w14:paraId="66E18FCF">
      <w:pPr>
        <w:rPr>
          <w:color w:val="auto"/>
          <w:highlight w:val="none"/>
        </w:rPr>
      </w:pPr>
    </w:p>
    <w:p w14:paraId="7656D5B5">
      <w:pPr>
        <w:spacing w:before="156" w:beforeLines="50" w:line="360" w:lineRule="auto"/>
        <w:jc w:val="center"/>
        <w:rPr>
          <w:color w:val="auto"/>
          <w:highlight w:val="none"/>
        </w:rPr>
      </w:pPr>
      <w:r>
        <w:rPr>
          <w:rFonts w:ascii="宋体" w:hAnsi="宋体" w:cs="宋体"/>
          <w:color w:val="auto"/>
          <w:kern w:val="1"/>
          <w:highlight w:val="none"/>
        </w:rPr>
        <w:drawing>
          <wp:inline distT="0" distB="0" distL="114300" distR="114300">
            <wp:extent cx="2470150" cy="1841500"/>
            <wp:effectExtent l="0" t="0" r="6350" b="6350"/>
            <wp:docPr id="1" name="图片 1" descr="wps_clip_image-22531"/>
            <wp:cNvGraphicFramePr/>
            <a:graphic xmlns:a="http://schemas.openxmlformats.org/drawingml/2006/main">
              <a:graphicData uri="http://schemas.openxmlformats.org/drawingml/2006/picture">
                <pic:pic xmlns:pic="http://schemas.openxmlformats.org/drawingml/2006/picture">
                  <pic:nvPicPr>
                    <pic:cNvPr id="1" name="图片 1" descr="wps_clip_image-22531"/>
                    <pic:cNvPicPr/>
                  </pic:nvPicPr>
                  <pic:blipFill>
                    <a:blip r:embed="rId14"/>
                    <a:stretch>
                      <a:fillRect/>
                    </a:stretch>
                  </pic:blipFill>
                  <pic:spPr>
                    <a:xfrm>
                      <a:off x="0" y="0"/>
                      <a:ext cx="2470150" cy="1841500"/>
                    </a:xfrm>
                    <a:prstGeom prst="rect">
                      <a:avLst/>
                    </a:prstGeom>
                    <a:noFill/>
                    <a:ln>
                      <a:noFill/>
                    </a:ln>
                  </pic:spPr>
                </pic:pic>
              </a:graphicData>
            </a:graphic>
          </wp:inline>
        </w:drawing>
      </w:r>
    </w:p>
    <w:p w14:paraId="7C5174F7">
      <w:pPr>
        <w:snapToGrid w:val="0"/>
        <w:spacing w:before="156" w:beforeLines="50" w:line="360" w:lineRule="auto"/>
        <w:jc w:val="center"/>
        <w:rPr>
          <w:rFonts w:hint="eastAsia" w:ascii="宋体" w:hAnsi="宋体" w:cs="宋体"/>
          <w:color w:val="auto"/>
          <w:sz w:val="44"/>
          <w:szCs w:val="44"/>
          <w:highlight w:val="none"/>
        </w:rPr>
      </w:pPr>
      <w:r>
        <w:rPr>
          <w:rFonts w:hint="eastAsia" w:ascii="宋体" w:hAnsi="宋体" w:cs="宋体"/>
          <w:color w:val="auto"/>
          <w:sz w:val="72"/>
          <w:szCs w:val="72"/>
          <w:highlight w:val="none"/>
        </w:rPr>
        <w:t>竞争性谈判文件</w:t>
      </w:r>
    </w:p>
    <w:p w14:paraId="5C011D71">
      <w:pPr>
        <w:spacing w:before="312" w:beforeLines="100" w:after="156" w:afterLines="50"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（全流程电子化评标）</w:t>
      </w:r>
    </w:p>
    <w:p w14:paraId="31D35FAE">
      <w:pPr>
        <w:spacing w:line="360" w:lineRule="auto"/>
        <w:rPr>
          <w:rFonts w:hint="eastAsia" w:ascii="宋体" w:hAnsi="宋体" w:cs="宋体"/>
          <w:b/>
          <w:color w:val="auto"/>
          <w:sz w:val="32"/>
          <w:szCs w:val="32"/>
          <w:highlight w:val="none"/>
        </w:rPr>
      </w:pPr>
    </w:p>
    <w:p w14:paraId="150A51B5">
      <w:pPr>
        <w:spacing w:line="360" w:lineRule="auto"/>
        <w:jc w:val="center"/>
        <w:rPr>
          <w:rFonts w:hint="eastAsia" w:ascii="宋体" w:hAnsi="宋体" w:cs="宋体"/>
          <w:b/>
          <w:color w:val="auto"/>
          <w:sz w:val="32"/>
          <w:szCs w:val="32"/>
          <w:highlight w:val="none"/>
        </w:rPr>
      </w:pPr>
    </w:p>
    <w:p w14:paraId="47ED48C5">
      <w:pPr>
        <w:spacing w:line="360" w:lineRule="auto"/>
        <w:ind w:firstLine="1606" w:firstLineChars="500"/>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项目名称：</w:t>
      </w:r>
      <w:bookmarkStart w:id="0" w:name="OLE_LINK2"/>
      <w:r>
        <w:rPr>
          <w:rFonts w:hint="eastAsia" w:ascii="宋体" w:hAnsi="宋体" w:cs="宋体"/>
          <w:b/>
          <w:color w:val="auto"/>
          <w:sz w:val="32"/>
          <w:szCs w:val="32"/>
          <w:highlight w:val="none"/>
          <w:lang w:eastAsia="zh-CN"/>
        </w:rPr>
        <w:t>智能设计与制造学院实训室升级改造项目</w:t>
      </w:r>
    </w:p>
    <w:bookmarkEnd w:id="0"/>
    <w:p w14:paraId="750D9A5C">
      <w:pPr>
        <w:spacing w:line="360" w:lineRule="auto"/>
        <w:ind w:firstLine="1606" w:firstLineChars="500"/>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项目编号：</w:t>
      </w:r>
      <w:r>
        <w:rPr>
          <w:rFonts w:hint="eastAsia" w:ascii="宋体" w:hAnsi="宋体" w:cs="宋体"/>
          <w:b/>
          <w:color w:val="auto"/>
          <w:sz w:val="32"/>
          <w:szCs w:val="32"/>
          <w:highlight w:val="none"/>
          <w:lang w:eastAsia="zh-CN"/>
        </w:rPr>
        <w:t>GXZC2026-J1-003568-GXJL</w:t>
      </w:r>
    </w:p>
    <w:p w14:paraId="25E7B1BC">
      <w:pPr>
        <w:spacing w:line="360" w:lineRule="auto"/>
        <w:ind w:firstLine="1606" w:firstLineChars="500"/>
        <w:jc w:val="left"/>
        <w:rPr>
          <w:rFonts w:hint="eastAsia" w:ascii="宋体" w:hAnsi="宋体" w:eastAsia="宋体" w:cs="宋体"/>
          <w:b/>
          <w:color w:val="auto"/>
          <w:sz w:val="32"/>
          <w:szCs w:val="32"/>
          <w:highlight w:val="none"/>
          <w:lang w:eastAsia="zh-CN"/>
        </w:rPr>
      </w:pPr>
      <w:r>
        <w:rPr>
          <w:rFonts w:hint="eastAsia" w:ascii="宋体" w:hAnsi="宋体" w:cs="宋体"/>
          <w:b/>
          <w:color w:val="auto"/>
          <w:sz w:val="32"/>
          <w:szCs w:val="32"/>
          <w:highlight w:val="none"/>
        </w:rPr>
        <w:t>采 购 人：</w:t>
      </w:r>
      <w:r>
        <w:rPr>
          <w:rFonts w:hint="eastAsia" w:ascii="宋体" w:hAnsi="宋体" w:cs="宋体"/>
          <w:b/>
          <w:color w:val="auto"/>
          <w:sz w:val="32"/>
          <w:szCs w:val="32"/>
          <w:highlight w:val="none"/>
          <w:lang w:eastAsia="zh-CN"/>
        </w:rPr>
        <w:t>广西国际商务职业技术学院</w:t>
      </w:r>
    </w:p>
    <w:p w14:paraId="449A4BF1">
      <w:pPr>
        <w:spacing w:line="360" w:lineRule="auto"/>
        <w:ind w:firstLine="1606" w:firstLineChars="500"/>
        <w:rPr>
          <w:rFonts w:hint="eastAsia" w:ascii="宋体" w:hAnsi="宋体" w:cs="宋体"/>
          <w:b/>
          <w:color w:val="auto"/>
          <w:sz w:val="32"/>
          <w:szCs w:val="32"/>
          <w:highlight w:val="none"/>
        </w:rPr>
      </w:pPr>
      <w:r>
        <w:rPr>
          <w:rFonts w:hint="eastAsia" w:ascii="宋体" w:hAnsi="宋体" w:cs="宋体"/>
          <w:b/>
          <w:color w:val="auto"/>
          <w:sz w:val="32"/>
          <w:szCs w:val="32"/>
          <w:highlight w:val="none"/>
        </w:rPr>
        <w:t>采购代理机构：广西建隆工程咨询有限公司</w:t>
      </w:r>
    </w:p>
    <w:p w14:paraId="6E6043CD">
      <w:pPr>
        <w:spacing w:line="400" w:lineRule="exact"/>
        <w:jc w:val="center"/>
        <w:rPr>
          <w:rFonts w:hint="eastAsia" w:ascii="宋体" w:hAnsi="宋体" w:cs="宋体"/>
          <w:b/>
          <w:color w:val="auto"/>
          <w:sz w:val="32"/>
          <w:szCs w:val="32"/>
          <w:highlight w:val="none"/>
        </w:rPr>
      </w:pPr>
    </w:p>
    <w:p w14:paraId="7E15F4D9">
      <w:pPr>
        <w:spacing w:line="360" w:lineRule="auto"/>
        <w:jc w:val="center"/>
        <w:rPr>
          <w:rFonts w:hint="eastAsia" w:ascii="宋体" w:hAnsi="宋体" w:cs="宋体"/>
          <w:b/>
          <w:color w:val="auto"/>
          <w:sz w:val="32"/>
          <w:szCs w:val="32"/>
          <w:highlight w:val="none"/>
        </w:rPr>
      </w:pPr>
    </w:p>
    <w:p w14:paraId="2B5F1FE5">
      <w:pPr>
        <w:spacing w:line="360" w:lineRule="auto"/>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2026年</w:t>
      </w:r>
      <w:r>
        <w:rPr>
          <w:rFonts w:hint="eastAsia" w:ascii="宋体" w:hAnsi="宋体" w:cs="宋体"/>
          <w:b/>
          <w:color w:val="auto"/>
          <w:sz w:val="32"/>
          <w:szCs w:val="32"/>
          <w:highlight w:val="none"/>
          <w:lang w:val="en-US" w:eastAsia="zh-CN"/>
        </w:rPr>
        <w:t>11</w:t>
      </w:r>
      <w:r>
        <w:rPr>
          <w:rFonts w:hint="eastAsia" w:ascii="宋体" w:hAnsi="宋体" w:cs="宋体"/>
          <w:b/>
          <w:color w:val="auto"/>
          <w:sz w:val="32"/>
          <w:szCs w:val="32"/>
          <w:highlight w:val="none"/>
        </w:rPr>
        <w:t>月</w:t>
      </w:r>
    </w:p>
    <w:p w14:paraId="7B575FCA">
      <w:pPr>
        <w:keepNext w:val="0"/>
        <w:keepLines w:val="0"/>
        <w:pageBreakBefore w:val="0"/>
        <w:widowControl w:val="0"/>
        <w:kinsoku/>
        <w:wordWrap/>
        <w:overflowPunct/>
        <w:topLinePunct w:val="0"/>
        <w:autoSpaceDE/>
        <w:autoSpaceDN/>
        <w:bidi w:val="0"/>
        <w:adjustRightInd/>
        <w:snapToGrid/>
        <w:ind w:firstLine="0"/>
        <w:jc w:val="center"/>
        <w:textAlignment w:val="auto"/>
        <w:rPr>
          <w:rFonts w:hint="eastAsia" w:ascii="宋体" w:hAnsi="宋体" w:cs="宋体"/>
          <w:b/>
          <w:color w:val="auto"/>
          <w:sz w:val="44"/>
          <w:szCs w:val="44"/>
          <w:highlight w:val="none"/>
        </w:rPr>
      </w:pPr>
      <w:r>
        <w:rPr>
          <w:rFonts w:hint="eastAsia" w:ascii="宋体" w:hAnsi="宋体" w:cs="宋体"/>
          <w:b/>
          <w:color w:val="auto"/>
          <w:sz w:val="32"/>
          <w:szCs w:val="32"/>
          <w:highlight w:val="none"/>
        </w:rPr>
        <w:br w:type="page"/>
      </w:r>
      <w:r>
        <w:rPr>
          <w:rFonts w:hint="eastAsia" w:ascii="宋体" w:hAnsi="宋体" w:cs="宋体"/>
          <w:b/>
          <w:color w:val="auto"/>
          <w:sz w:val="44"/>
          <w:szCs w:val="44"/>
          <w:highlight w:val="none"/>
        </w:rPr>
        <w:t>目   录</w:t>
      </w:r>
    </w:p>
    <w:p w14:paraId="6202D326">
      <w:pPr>
        <w:spacing w:line="400" w:lineRule="exact"/>
        <w:jc w:val="center"/>
        <w:rPr>
          <w:rFonts w:hint="eastAsia" w:ascii="宋体" w:hAnsi="宋体" w:cs="宋体"/>
          <w:b/>
          <w:color w:val="auto"/>
          <w:sz w:val="44"/>
          <w:szCs w:val="44"/>
          <w:highlight w:val="none"/>
        </w:rPr>
      </w:pPr>
    </w:p>
    <w:p w14:paraId="216B41EE">
      <w:pPr>
        <w:pStyle w:val="24"/>
        <w:tabs>
          <w:tab w:val="right" w:leader="dot" w:pos="9746"/>
        </w:tabs>
        <w:spacing w:line="360" w:lineRule="auto"/>
        <w:rPr>
          <w:rFonts w:hint="eastAsia" w:ascii="宋体" w:hAnsi="宋体" w:cs="宋体"/>
          <w:color w:val="auto"/>
          <w:sz w:val="28"/>
          <w:szCs w:val="28"/>
          <w:highlight w:val="none"/>
        </w:rPr>
      </w:pPr>
      <w:r>
        <w:rPr>
          <w:rFonts w:hint="eastAsia" w:ascii="宋体" w:hAnsi="宋体" w:cs="宋体"/>
          <w:b/>
          <w:color w:val="auto"/>
          <w:sz w:val="28"/>
          <w:szCs w:val="28"/>
          <w:highlight w:val="none"/>
        </w:rPr>
        <w:fldChar w:fldCharType="begin"/>
      </w:r>
      <w:r>
        <w:rPr>
          <w:rFonts w:hint="eastAsia" w:ascii="宋体" w:hAnsi="宋体" w:cs="宋体"/>
          <w:b/>
          <w:color w:val="auto"/>
          <w:sz w:val="28"/>
          <w:szCs w:val="28"/>
          <w:highlight w:val="none"/>
        </w:rPr>
        <w:instrText xml:space="preserve"> TOC \o "1-3" \h \z \u </w:instrText>
      </w:r>
      <w:r>
        <w:rPr>
          <w:rFonts w:hint="eastAsia" w:ascii="宋体" w:hAnsi="宋体" w:cs="宋体"/>
          <w:b/>
          <w:color w:val="auto"/>
          <w:sz w:val="28"/>
          <w:szCs w:val="28"/>
          <w:highlight w:val="none"/>
        </w:rPr>
        <w:fldChar w:fldCharType="separate"/>
      </w:r>
      <w:r>
        <w:rPr>
          <w:color w:val="auto"/>
          <w:highlight w:val="none"/>
        </w:rPr>
        <w:fldChar w:fldCharType="begin"/>
      </w:r>
      <w:r>
        <w:rPr>
          <w:color w:val="auto"/>
          <w:highlight w:val="none"/>
        </w:rPr>
        <w:instrText xml:space="preserve"> HYPERLINK \l "_Toc31516" </w:instrText>
      </w:r>
      <w:r>
        <w:rPr>
          <w:color w:val="auto"/>
          <w:highlight w:val="none"/>
        </w:rPr>
        <w:fldChar w:fldCharType="separate"/>
      </w:r>
      <w:r>
        <w:rPr>
          <w:rFonts w:hint="eastAsia" w:ascii="宋体" w:hAnsi="宋体" w:cs="宋体"/>
          <w:bCs/>
          <w:color w:val="auto"/>
          <w:kern w:val="44"/>
          <w:sz w:val="28"/>
          <w:szCs w:val="28"/>
          <w:highlight w:val="none"/>
        </w:rPr>
        <w:t>第一章 竞争性谈判公告</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_Toc31516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1</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2ACD1B3B">
      <w:pPr>
        <w:pStyle w:val="24"/>
        <w:tabs>
          <w:tab w:val="right" w:leader="dot" w:pos="9746"/>
        </w:tabs>
        <w:spacing w:line="360" w:lineRule="auto"/>
        <w:rPr>
          <w:rFonts w:hint="eastAsia" w:ascii="宋体" w:hAnsi="宋体" w:cs="宋体"/>
          <w:color w:val="auto"/>
          <w:sz w:val="28"/>
          <w:szCs w:val="28"/>
          <w:highlight w:val="none"/>
        </w:rPr>
      </w:pPr>
      <w:r>
        <w:rPr>
          <w:color w:val="auto"/>
          <w:highlight w:val="none"/>
        </w:rPr>
        <w:fldChar w:fldCharType="begin"/>
      </w:r>
      <w:r>
        <w:rPr>
          <w:color w:val="auto"/>
          <w:highlight w:val="none"/>
        </w:rPr>
        <w:instrText xml:space="preserve"> HYPERLINK \l "_Toc30133" </w:instrText>
      </w:r>
      <w:r>
        <w:rPr>
          <w:color w:val="auto"/>
          <w:highlight w:val="none"/>
        </w:rPr>
        <w:fldChar w:fldCharType="separate"/>
      </w:r>
      <w:r>
        <w:rPr>
          <w:rFonts w:hint="eastAsia" w:ascii="宋体" w:hAnsi="宋体" w:cs="宋体"/>
          <w:color w:val="auto"/>
          <w:kern w:val="44"/>
          <w:sz w:val="28"/>
          <w:szCs w:val="28"/>
          <w:highlight w:val="none"/>
        </w:rPr>
        <w:t>第二章 采购需求</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_Toc30133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4</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199A831F">
      <w:pPr>
        <w:pStyle w:val="24"/>
        <w:tabs>
          <w:tab w:val="right" w:leader="dot" w:pos="9746"/>
        </w:tabs>
        <w:spacing w:line="360" w:lineRule="auto"/>
        <w:rPr>
          <w:rFonts w:hint="eastAsia" w:ascii="宋体" w:hAnsi="宋体" w:cs="宋体"/>
          <w:color w:val="auto"/>
          <w:sz w:val="28"/>
          <w:szCs w:val="28"/>
          <w:highlight w:val="none"/>
        </w:rPr>
      </w:pPr>
      <w:r>
        <w:rPr>
          <w:color w:val="auto"/>
          <w:highlight w:val="none"/>
        </w:rPr>
        <w:fldChar w:fldCharType="begin"/>
      </w:r>
      <w:r>
        <w:rPr>
          <w:color w:val="auto"/>
          <w:highlight w:val="none"/>
        </w:rPr>
        <w:instrText xml:space="preserve"> HYPERLINK \l "_Toc24399" </w:instrText>
      </w:r>
      <w:r>
        <w:rPr>
          <w:color w:val="auto"/>
          <w:highlight w:val="none"/>
        </w:rPr>
        <w:fldChar w:fldCharType="separate"/>
      </w:r>
      <w:r>
        <w:rPr>
          <w:rFonts w:hint="eastAsia" w:ascii="宋体" w:hAnsi="宋体" w:cs="宋体"/>
          <w:color w:val="auto"/>
          <w:kern w:val="44"/>
          <w:sz w:val="28"/>
          <w:szCs w:val="28"/>
          <w:highlight w:val="none"/>
        </w:rPr>
        <w:t>第三章 供应商须知</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_Toc24399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24</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57A50A30">
      <w:pPr>
        <w:pStyle w:val="24"/>
        <w:tabs>
          <w:tab w:val="right" w:leader="dot" w:pos="9746"/>
        </w:tabs>
        <w:spacing w:line="360" w:lineRule="auto"/>
        <w:rPr>
          <w:rFonts w:hint="eastAsia" w:ascii="宋体" w:hAnsi="宋体" w:cs="宋体"/>
          <w:color w:val="auto"/>
          <w:sz w:val="28"/>
          <w:szCs w:val="28"/>
          <w:highlight w:val="none"/>
        </w:rPr>
      </w:pPr>
      <w:r>
        <w:rPr>
          <w:color w:val="auto"/>
          <w:highlight w:val="none"/>
        </w:rPr>
        <w:fldChar w:fldCharType="begin"/>
      </w:r>
      <w:r>
        <w:rPr>
          <w:color w:val="auto"/>
          <w:highlight w:val="none"/>
        </w:rPr>
        <w:instrText xml:space="preserve"> HYPERLINK \l "_Toc4564" </w:instrText>
      </w:r>
      <w:r>
        <w:rPr>
          <w:color w:val="auto"/>
          <w:highlight w:val="none"/>
        </w:rPr>
        <w:fldChar w:fldCharType="separate"/>
      </w:r>
      <w:r>
        <w:rPr>
          <w:rFonts w:hint="eastAsia" w:ascii="宋体" w:hAnsi="宋体" w:cs="宋体"/>
          <w:bCs/>
          <w:color w:val="auto"/>
          <w:kern w:val="44"/>
          <w:sz w:val="28"/>
          <w:szCs w:val="28"/>
          <w:highlight w:val="none"/>
        </w:rPr>
        <w:t>第四章  评审程序、评审方法和成交准</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_Toc4564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41</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7184A9AD">
      <w:pPr>
        <w:pStyle w:val="24"/>
        <w:tabs>
          <w:tab w:val="right" w:leader="dot" w:pos="9746"/>
        </w:tabs>
        <w:spacing w:line="360" w:lineRule="auto"/>
        <w:rPr>
          <w:rFonts w:hint="eastAsia" w:ascii="宋体" w:hAnsi="宋体" w:cs="宋体"/>
          <w:color w:val="auto"/>
          <w:sz w:val="28"/>
          <w:szCs w:val="28"/>
          <w:highlight w:val="none"/>
        </w:rPr>
      </w:pPr>
      <w:r>
        <w:rPr>
          <w:color w:val="auto"/>
          <w:highlight w:val="none"/>
        </w:rPr>
        <w:fldChar w:fldCharType="begin"/>
      </w:r>
      <w:r>
        <w:rPr>
          <w:color w:val="auto"/>
          <w:highlight w:val="none"/>
        </w:rPr>
        <w:instrText xml:space="preserve"> HYPERLINK \l "_Toc1782" </w:instrText>
      </w:r>
      <w:r>
        <w:rPr>
          <w:color w:val="auto"/>
          <w:highlight w:val="none"/>
        </w:rPr>
        <w:fldChar w:fldCharType="separate"/>
      </w:r>
      <w:r>
        <w:rPr>
          <w:rFonts w:hint="eastAsia" w:ascii="宋体" w:hAnsi="宋体" w:cs="宋体"/>
          <w:bCs/>
          <w:color w:val="auto"/>
          <w:kern w:val="44"/>
          <w:sz w:val="28"/>
          <w:szCs w:val="28"/>
          <w:highlight w:val="none"/>
        </w:rPr>
        <w:t>第五章 响应文件格式</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_Toc1782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48</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096E54AD">
      <w:pPr>
        <w:pStyle w:val="24"/>
        <w:tabs>
          <w:tab w:val="right" w:leader="dot" w:pos="9746"/>
        </w:tabs>
        <w:spacing w:line="360" w:lineRule="auto"/>
        <w:rPr>
          <w:rFonts w:hint="eastAsia" w:ascii="宋体" w:hAnsi="宋体" w:cs="宋体"/>
          <w:color w:val="auto"/>
          <w:sz w:val="28"/>
          <w:szCs w:val="28"/>
          <w:highlight w:val="none"/>
        </w:rPr>
      </w:pPr>
      <w:r>
        <w:rPr>
          <w:color w:val="auto"/>
          <w:highlight w:val="none"/>
        </w:rPr>
        <w:fldChar w:fldCharType="begin"/>
      </w:r>
      <w:r>
        <w:rPr>
          <w:color w:val="auto"/>
          <w:highlight w:val="none"/>
        </w:rPr>
        <w:instrText xml:space="preserve"> HYPERLINK \l "_Toc18428" </w:instrText>
      </w:r>
      <w:r>
        <w:rPr>
          <w:color w:val="auto"/>
          <w:highlight w:val="none"/>
        </w:rPr>
        <w:fldChar w:fldCharType="separate"/>
      </w:r>
      <w:r>
        <w:rPr>
          <w:rFonts w:hint="eastAsia" w:ascii="宋体" w:hAnsi="宋体" w:cs="宋体"/>
          <w:bCs/>
          <w:color w:val="auto"/>
          <w:kern w:val="44"/>
          <w:sz w:val="28"/>
          <w:szCs w:val="28"/>
          <w:highlight w:val="none"/>
        </w:rPr>
        <w:t>第六章  合同文本</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_Toc18428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79</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68B32A04">
      <w:pPr>
        <w:pStyle w:val="24"/>
        <w:tabs>
          <w:tab w:val="right" w:leader="dot" w:pos="9746"/>
        </w:tabs>
        <w:spacing w:line="360" w:lineRule="auto"/>
        <w:rPr>
          <w:rFonts w:hint="eastAsia" w:ascii="宋体" w:hAnsi="宋体" w:cs="宋体"/>
          <w:color w:val="auto"/>
          <w:sz w:val="28"/>
          <w:szCs w:val="28"/>
          <w:highlight w:val="none"/>
        </w:rPr>
      </w:pPr>
      <w:r>
        <w:rPr>
          <w:color w:val="auto"/>
          <w:highlight w:val="none"/>
        </w:rPr>
        <w:fldChar w:fldCharType="begin"/>
      </w:r>
      <w:r>
        <w:rPr>
          <w:color w:val="auto"/>
          <w:highlight w:val="none"/>
        </w:rPr>
        <w:instrText xml:space="preserve"> HYPERLINK \l "_Toc18174" </w:instrText>
      </w:r>
      <w:r>
        <w:rPr>
          <w:color w:val="auto"/>
          <w:highlight w:val="none"/>
        </w:rPr>
        <w:fldChar w:fldCharType="separate"/>
      </w:r>
      <w:r>
        <w:rPr>
          <w:rFonts w:hint="eastAsia" w:ascii="宋体" w:hAnsi="宋体" w:cs="宋体"/>
          <w:bCs/>
          <w:color w:val="auto"/>
          <w:kern w:val="44"/>
          <w:sz w:val="28"/>
          <w:szCs w:val="28"/>
          <w:highlight w:val="none"/>
        </w:rPr>
        <w:t>第七章 质疑、投诉材料格式</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_Toc18174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88</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3C5FCBFF">
      <w:pPr>
        <w:pStyle w:val="24"/>
        <w:tabs>
          <w:tab w:val="right" w:leader="dot" w:pos="9746"/>
        </w:tabs>
        <w:spacing w:line="360" w:lineRule="auto"/>
        <w:rPr>
          <w:rFonts w:hint="eastAsia" w:ascii="宋体" w:hAnsi="宋体" w:cs="宋体"/>
          <w:color w:val="auto"/>
          <w:sz w:val="28"/>
          <w:szCs w:val="28"/>
          <w:highlight w:val="none"/>
        </w:rPr>
      </w:pPr>
      <w:r>
        <w:rPr>
          <w:color w:val="auto"/>
          <w:highlight w:val="none"/>
        </w:rPr>
        <w:fldChar w:fldCharType="begin"/>
      </w:r>
      <w:r>
        <w:rPr>
          <w:color w:val="auto"/>
          <w:highlight w:val="none"/>
        </w:rPr>
        <w:instrText xml:space="preserve"> HYPERLINK \l "_Toc5940" </w:instrText>
      </w:r>
      <w:r>
        <w:rPr>
          <w:color w:val="auto"/>
          <w:highlight w:val="none"/>
        </w:rPr>
        <w:fldChar w:fldCharType="separate"/>
      </w:r>
      <w:r>
        <w:rPr>
          <w:rFonts w:hint="eastAsia" w:ascii="宋体" w:hAnsi="宋体" w:cs="宋体"/>
          <w:bCs/>
          <w:color w:val="auto"/>
          <w:kern w:val="44"/>
          <w:sz w:val="28"/>
          <w:szCs w:val="28"/>
          <w:highlight w:val="none"/>
        </w:rPr>
        <w:t>第八章 政府采购合同验收书范本</w:t>
      </w:r>
      <w:r>
        <w:rPr>
          <w:rFonts w:hint="eastAsia" w:ascii="宋体" w:hAnsi="宋体" w:cs="宋体"/>
          <w:color w:val="auto"/>
          <w:sz w:val="28"/>
          <w:szCs w:val="28"/>
          <w:highlight w:val="none"/>
        </w:rPr>
        <w:tab/>
      </w:r>
      <w:r>
        <w:rPr>
          <w:rFonts w:hint="eastAsia" w:ascii="宋体" w:hAnsi="宋体" w:cs="宋体"/>
          <w:color w:val="auto"/>
          <w:sz w:val="28"/>
          <w:szCs w:val="28"/>
          <w:highlight w:val="none"/>
        </w:rPr>
        <w:fldChar w:fldCharType="begin"/>
      </w:r>
      <w:r>
        <w:rPr>
          <w:rFonts w:hint="eastAsia" w:ascii="宋体" w:hAnsi="宋体" w:cs="宋体"/>
          <w:color w:val="auto"/>
          <w:sz w:val="28"/>
          <w:szCs w:val="28"/>
          <w:highlight w:val="none"/>
        </w:rPr>
        <w:instrText xml:space="preserve"> PAGEREF _Toc5940 \h </w:instrText>
      </w:r>
      <w:r>
        <w:rPr>
          <w:rFonts w:hint="eastAsia" w:ascii="宋体" w:hAnsi="宋体" w:cs="宋体"/>
          <w:color w:val="auto"/>
          <w:sz w:val="28"/>
          <w:szCs w:val="28"/>
          <w:highlight w:val="none"/>
        </w:rPr>
        <w:fldChar w:fldCharType="separate"/>
      </w:r>
      <w:r>
        <w:rPr>
          <w:rFonts w:hint="eastAsia" w:ascii="宋体" w:hAnsi="宋体" w:cs="宋体"/>
          <w:color w:val="auto"/>
          <w:sz w:val="28"/>
          <w:szCs w:val="28"/>
          <w:highlight w:val="none"/>
        </w:rPr>
        <w:t>93</w:t>
      </w:r>
      <w:r>
        <w:rPr>
          <w:rFonts w:hint="eastAsia" w:ascii="宋体" w:hAnsi="宋体" w:cs="宋体"/>
          <w:color w:val="auto"/>
          <w:sz w:val="28"/>
          <w:szCs w:val="28"/>
          <w:highlight w:val="none"/>
        </w:rPr>
        <w:fldChar w:fldCharType="end"/>
      </w:r>
      <w:r>
        <w:rPr>
          <w:rFonts w:hint="eastAsia" w:ascii="宋体" w:hAnsi="宋体" w:cs="宋体"/>
          <w:color w:val="auto"/>
          <w:sz w:val="28"/>
          <w:szCs w:val="28"/>
          <w:highlight w:val="none"/>
        </w:rPr>
        <w:fldChar w:fldCharType="end"/>
      </w:r>
    </w:p>
    <w:p w14:paraId="4221C8BB">
      <w:pPr>
        <w:tabs>
          <w:tab w:val="right" w:leader="dot" w:pos="8296"/>
        </w:tabs>
        <w:spacing w:line="360" w:lineRule="auto"/>
        <w:ind w:left="420" w:leftChars="200"/>
        <w:rPr>
          <w:rFonts w:hint="eastAsia" w:ascii="宋体" w:hAnsi="宋体" w:cs="宋体"/>
          <w:color w:val="auto"/>
          <w:sz w:val="28"/>
          <w:szCs w:val="28"/>
          <w:highlight w:val="none"/>
        </w:rPr>
      </w:pPr>
      <w:r>
        <w:rPr>
          <w:rFonts w:hint="eastAsia" w:ascii="宋体" w:hAnsi="宋体" w:cs="宋体"/>
          <w:color w:val="auto"/>
          <w:sz w:val="28"/>
          <w:szCs w:val="28"/>
          <w:highlight w:val="none"/>
        </w:rPr>
        <w:fldChar w:fldCharType="end"/>
      </w:r>
    </w:p>
    <w:p w14:paraId="251E98A2">
      <w:pPr>
        <w:spacing w:line="400" w:lineRule="exact"/>
        <w:jc w:val="left"/>
        <w:rPr>
          <w:rFonts w:hint="eastAsia" w:ascii="宋体" w:hAnsi="宋体" w:cs="宋体"/>
          <w:b/>
          <w:color w:val="auto"/>
          <w:sz w:val="32"/>
          <w:szCs w:val="32"/>
          <w:highlight w:val="none"/>
        </w:rPr>
      </w:pPr>
    </w:p>
    <w:p w14:paraId="21D24B81">
      <w:pPr>
        <w:spacing w:line="400" w:lineRule="exact"/>
        <w:jc w:val="center"/>
        <w:rPr>
          <w:rFonts w:hint="eastAsia" w:ascii="宋体" w:hAnsi="宋体" w:cs="宋体"/>
          <w:b/>
          <w:color w:val="auto"/>
          <w:sz w:val="32"/>
          <w:szCs w:val="32"/>
          <w:highlight w:val="none"/>
        </w:rPr>
      </w:pPr>
    </w:p>
    <w:p w14:paraId="1BA766BD">
      <w:pPr>
        <w:spacing w:line="400" w:lineRule="exact"/>
        <w:jc w:val="center"/>
        <w:rPr>
          <w:rFonts w:hint="eastAsia" w:ascii="宋体" w:hAnsi="宋体" w:cs="宋体"/>
          <w:b/>
          <w:color w:val="auto"/>
          <w:sz w:val="32"/>
          <w:szCs w:val="32"/>
          <w:highlight w:val="none"/>
        </w:rPr>
      </w:pPr>
    </w:p>
    <w:p w14:paraId="001D1018">
      <w:pPr>
        <w:spacing w:line="400" w:lineRule="exact"/>
        <w:jc w:val="center"/>
        <w:rPr>
          <w:rFonts w:hint="eastAsia" w:ascii="宋体" w:hAnsi="宋体" w:cs="宋体"/>
          <w:b/>
          <w:color w:val="auto"/>
          <w:sz w:val="32"/>
          <w:szCs w:val="32"/>
          <w:highlight w:val="none"/>
        </w:rPr>
      </w:pPr>
    </w:p>
    <w:p w14:paraId="75FF1B5E">
      <w:pPr>
        <w:spacing w:line="400" w:lineRule="exact"/>
        <w:jc w:val="center"/>
        <w:rPr>
          <w:rFonts w:hint="eastAsia" w:ascii="宋体" w:hAnsi="宋体" w:cs="宋体"/>
          <w:b/>
          <w:color w:val="auto"/>
          <w:sz w:val="32"/>
          <w:szCs w:val="32"/>
          <w:highlight w:val="none"/>
        </w:rPr>
      </w:pPr>
    </w:p>
    <w:p w14:paraId="56C9DD42">
      <w:pPr>
        <w:spacing w:line="400" w:lineRule="exact"/>
        <w:rPr>
          <w:rFonts w:hint="eastAsia" w:ascii="宋体" w:hAnsi="宋体" w:cs="宋体"/>
          <w:b/>
          <w:color w:val="auto"/>
          <w:sz w:val="32"/>
          <w:szCs w:val="32"/>
          <w:highlight w:val="none"/>
        </w:rPr>
        <w:sectPr>
          <w:headerReference r:id="rId4" w:type="first"/>
          <w:footerReference r:id="rId5" w:type="first"/>
          <w:headerReference r:id="rId3" w:type="default"/>
          <w:pgSz w:w="11906" w:h="16838"/>
          <w:pgMar w:top="1440" w:right="1080" w:bottom="1440" w:left="1080" w:header="851" w:footer="992" w:gutter="0"/>
          <w:pgNumType w:start="0"/>
          <w:cols w:space="720" w:num="1"/>
          <w:titlePg/>
          <w:docGrid w:type="lines" w:linePitch="312" w:charSpace="0"/>
        </w:sectPr>
      </w:pPr>
    </w:p>
    <w:p w14:paraId="193A1BCC">
      <w:pPr>
        <w:keepNext/>
        <w:keepLines/>
        <w:spacing w:before="340" w:after="330" w:line="400" w:lineRule="exact"/>
        <w:jc w:val="center"/>
        <w:outlineLvl w:val="0"/>
        <w:rPr>
          <w:rFonts w:hint="eastAsia" w:ascii="宋体" w:hAnsi="宋体" w:cs="宋体"/>
          <w:color w:val="auto"/>
          <w:highlight w:val="none"/>
        </w:rPr>
      </w:pPr>
      <w:bookmarkStart w:id="1" w:name="_Toc31516"/>
      <w:r>
        <w:rPr>
          <w:rFonts w:hint="eastAsia" w:ascii="宋体" w:hAnsi="宋体" w:cs="宋体"/>
          <w:b/>
          <w:bCs/>
          <w:color w:val="auto"/>
          <w:kern w:val="44"/>
          <w:sz w:val="44"/>
          <w:szCs w:val="44"/>
          <w:highlight w:val="none"/>
        </w:rPr>
        <w:t>第一章 竞争性谈判公告</w:t>
      </w:r>
      <w:bookmarkEnd w:id="1"/>
      <w:bookmarkStart w:id="2" w:name="_Toc35393798"/>
      <w:bookmarkStart w:id="3" w:name="_Toc35393629"/>
      <w:bookmarkStart w:id="4" w:name="_Toc28359089"/>
      <w:bookmarkStart w:id="5" w:name="_Toc44229878"/>
      <w:bookmarkStart w:id="6" w:name="_Toc28359012"/>
      <w:bookmarkStart w:id="7" w:name="_Toc28359004"/>
      <w:bookmarkStart w:id="8" w:name="_Toc35393623"/>
      <w:bookmarkStart w:id="9" w:name="_Toc35393792"/>
      <w:bookmarkStart w:id="10" w:name="_Toc28359081"/>
    </w:p>
    <w:p w14:paraId="65492D62">
      <w:pPr>
        <w:pBdr>
          <w:top w:val="none" w:color="auto" w:sz="0" w:space="1"/>
          <w:left w:val="none" w:color="auto" w:sz="0" w:space="4"/>
          <w:bottom w:val="none" w:color="auto" w:sz="0" w:space="1"/>
          <w:right w:val="none" w:color="auto" w:sz="0" w:space="4"/>
        </w:pBdr>
        <w:spacing w:line="360" w:lineRule="auto"/>
        <w:ind w:firstLine="562" w:firstLineChars="200"/>
        <w:jc w:val="center"/>
        <w:rPr>
          <w:rFonts w:hint="eastAsia" w:ascii="宋体" w:hAnsi="宋体" w:cs="宋体"/>
          <w:color w:val="auto"/>
          <w:szCs w:val="21"/>
          <w:highlight w:val="none"/>
        </w:rPr>
      </w:pPr>
      <w:r>
        <w:rPr>
          <w:rFonts w:hint="eastAsia" w:ascii="Cambria" w:hAnsi="Cambria"/>
          <w:b/>
          <w:bCs/>
          <w:color w:val="auto"/>
          <w:sz w:val="28"/>
          <w:szCs w:val="28"/>
          <w:highlight w:val="none"/>
        </w:rPr>
        <w:t>广西建隆工程咨询有限公司关于</w:t>
      </w:r>
      <w:r>
        <w:rPr>
          <w:rFonts w:hint="eastAsia" w:ascii="Cambria" w:hAnsi="Cambria"/>
          <w:b/>
          <w:bCs/>
          <w:color w:val="auto"/>
          <w:sz w:val="28"/>
          <w:szCs w:val="28"/>
          <w:highlight w:val="none"/>
          <w:lang w:eastAsia="zh-CN"/>
        </w:rPr>
        <w:t>智能设计与制造学院实训室升级改造项目</w:t>
      </w:r>
      <w:r>
        <w:rPr>
          <w:rFonts w:hint="eastAsia" w:ascii="Cambria" w:hAnsi="Cambria"/>
          <w:b/>
          <w:bCs/>
          <w:color w:val="auto"/>
          <w:sz w:val="28"/>
          <w:szCs w:val="28"/>
          <w:highlight w:val="none"/>
        </w:rPr>
        <w:t>（项目编号：</w:t>
      </w:r>
      <w:r>
        <w:rPr>
          <w:rFonts w:hint="eastAsia" w:ascii="Cambria" w:hAnsi="Cambria"/>
          <w:b/>
          <w:bCs/>
          <w:color w:val="auto"/>
          <w:sz w:val="28"/>
          <w:szCs w:val="28"/>
          <w:highlight w:val="none"/>
          <w:lang w:eastAsia="zh-CN"/>
        </w:rPr>
        <w:t>GXZC2026-J1-003568-GXJL</w:t>
      </w:r>
      <w:r>
        <w:rPr>
          <w:rFonts w:hint="eastAsia" w:ascii="Cambria" w:hAnsi="Cambria"/>
          <w:b/>
          <w:bCs/>
          <w:color w:val="auto"/>
          <w:sz w:val="28"/>
          <w:szCs w:val="28"/>
          <w:highlight w:val="none"/>
        </w:rPr>
        <w:t>）竞争性谈判公告</w:t>
      </w:r>
    </w:p>
    <w:p w14:paraId="435F055B">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项目概况</w:t>
      </w:r>
    </w:p>
    <w:p w14:paraId="2F5D5E75">
      <w:pPr>
        <w:pBdr>
          <w:top w:val="single" w:color="auto" w:sz="4" w:space="1"/>
          <w:left w:val="single" w:color="auto" w:sz="4" w:space="4"/>
          <w:bottom w:val="single" w:color="auto" w:sz="4" w:space="1"/>
          <w:right w:val="single" w:color="auto" w:sz="4" w:space="4"/>
        </w:pBd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lang w:eastAsia="zh-CN"/>
        </w:rPr>
        <w:t>智能设计与制造学院实训室升级改造项目</w:t>
      </w:r>
      <w:r>
        <w:rPr>
          <w:rFonts w:hint="eastAsia" w:ascii="宋体" w:hAnsi="宋体" w:cs="宋体"/>
          <w:color w:val="auto"/>
          <w:szCs w:val="21"/>
          <w:highlight w:val="none"/>
        </w:rPr>
        <w:t>项目的潜在供应商应在广西政府采购云平台（https：//www.gcy.zfcg.gxzf.gov.cn/）获取（下载）竞争性谈判文件，并于</w:t>
      </w:r>
      <w:r>
        <w:rPr>
          <w:rFonts w:hint="eastAsia" w:ascii="宋体" w:hAnsi="宋体" w:cs="宋体"/>
          <w:bCs/>
          <w:color w:val="auto"/>
          <w:szCs w:val="21"/>
          <w:highlight w:val="none"/>
          <w:lang w:eastAsia="zh-CN"/>
        </w:rPr>
        <w:t>2026年</w:t>
      </w:r>
      <w:r>
        <w:rPr>
          <w:rFonts w:hint="eastAsia" w:ascii="宋体" w:hAnsi="宋体" w:cs="宋体"/>
          <w:bCs/>
          <w:color w:val="auto"/>
          <w:szCs w:val="21"/>
          <w:highlight w:val="none"/>
          <w:lang w:val="en-US" w:eastAsia="zh-CN"/>
        </w:rPr>
        <w:t>11</w:t>
      </w:r>
      <w:r>
        <w:rPr>
          <w:rFonts w:hint="eastAsia" w:ascii="宋体" w:hAnsi="宋体" w:cs="宋体"/>
          <w:bCs/>
          <w:color w:val="auto"/>
          <w:szCs w:val="21"/>
          <w:highlight w:val="none"/>
          <w:lang w:eastAsia="zh-CN"/>
        </w:rPr>
        <w:t>月</w:t>
      </w:r>
      <w:r>
        <w:rPr>
          <w:rFonts w:hint="eastAsia" w:ascii="宋体" w:hAnsi="宋体" w:cs="宋体"/>
          <w:bCs/>
          <w:color w:val="auto"/>
          <w:szCs w:val="21"/>
          <w:highlight w:val="none"/>
          <w:lang w:val="en-US" w:eastAsia="zh-CN"/>
        </w:rPr>
        <w:t>6</w:t>
      </w:r>
      <w:r>
        <w:rPr>
          <w:rFonts w:hint="eastAsia" w:ascii="宋体" w:hAnsi="宋体" w:cs="宋体"/>
          <w:bCs/>
          <w:color w:val="auto"/>
          <w:szCs w:val="21"/>
          <w:highlight w:val="none"/>
          <w:lang w:eastAsia="zh-CN"/>
        </w:rPr>
        <w:t>日09时30分</w:t>
      </w:r>
      <w:r>
        <w:rPr>
          <w:rFonts w:hint="eastAsia" w:ascii="宋体" w:hAnsi="宋体" w:cs="宋体"/>
          <w:bCs/>
          <w:color w:val="auto"/>
          <w:szCs w:val="21"/>
          <w:highlight w:val="none"/>
        </w:rPr>
        <w:t>（北京时间）前提交响应文件</w:t>
      </w:r>
      <w:r>
        <w:rPr>
          <w:rFonts w:hint="eastAsia" w:ascii="宋体" w:hAnsi="宋体" w:cs="宋体"/>
          <w:color w:val="auto"/>
          <w:szCs w:val="21"/>
          <w:highlight w:val="none"/>
        </w:rPr>
        <w:t>。</w:t>
      </w:r>
    </w:p>
    <w:p w14:paraId="2BFD85A6">
      <w:pPr>
        <w:snapToGrid w:val="0"/>
        <w:spacing w:line="360" w:lineRule="auto"/>
        <w:ind w:firstLine="422" w:firstLineChars="200"/>
        <w:rPr>
          <w:rFonts w:hint="eastAsia" w:ascii="宋体" w:hAnsi="宋体" w:cs="宋体"/>
          <w:b/>
          <w:color w:val="auto"/>
          <w:kern w:val="44"/>
          <w:szCs w:val="21"/>
          <w:highlight w:val="none"/>
        </w:rPr>
      </w:pPr>
      <w:r>
        <w:rPr>
          <w:rFonts w:hint="eastAsia" w:ascii="宋体" w:hAnsi="宋体" w:cs="宋体"/>
          <w:b/>
          <w:color w:val="auto"/>
          <w:kern w:val="44"/>
          <w:szCs w:val="21"/>
          <w:highlight w:val="none"/>
        </w:rPr>
        <w:t>一、项目基本情况</w:t>
      </w:r>
      <w:bookmarkEnd w:id="2"/>
      <w:bookmarkEnd w:id="3"/>
      <w:bookmarkEnd w:id="4"/>
      <w:bookmarkEnd w:id="5"/>
      <w:bookmarkEnd w:id="6"/>
    </w:p>
    <w:p w14:paraId="37FCEE4C">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1.项目编号：</w:t>
      </w:r>
      <w:r>
        <w:rPr>
          <w:rFonts w:hint="eastAsia" w:ascii="宋体" w:hAnsi="宋体" w:cs="宋体"/>
          <w:color w:val="auto"/>
          <w:szCs w:val="21"/>
          <w:highlight w:val="none"/>
          <w:lang w:eastAsia="zh-CN"/>
        </w:rPr>
        <w:t>GXZC2026-J1-003568-GXJL</w:t>
      </w:r>
      <w:r>
        <w:rPr>
          <w:rFonts w:hint="eastAsia" w:ascii="宋体" w:hAnsi="宋体" w:cs="宋体"/>
          <w:color w:val="auto"/>
          <w:szCs w:val="21"/>
          <w:highlight w:val="none"/>
        </w:rPr>
        <w:t>。</w:t>
      </w:r>
    </w:p>
    <w:p w14:paraId="7D4EADE6">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2.项目名称：</w:t>
      </w:r>
      <w:r>
        <w:rPr>
          <w:rFonts w:hint="eastAsia" w:ascii="宋体" w:hAnsi="宋体" w:cs="宋体"/>
          <w:color w:val="auto"/>
          <w:szCs w:val="21"/>
          <w:highlight w:val="none"/>
          <w:lang w:eastAsia="zh-CN"/>
        </w:rPr>
        <w:t>智能设计与制造学院实训室升级改造项目</w:t>
      </w:r>
      <w:r>
        <w:rPr>
          <w:rFonts w:hint="eastAsia" w:ascii="宋体" w:hAnsi="宋体" w:cs="宋体"/>
          <w:color w:val="auto"/>
          <w:szCs w:val="21"/>
          <w:highlight w:val="none"/>
        </w:rPr>
        <w:t>。</w:t>
      </w:r>
    </w:p>
    <w:p w14:paraId="4E725E0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3.采购方式：竞争性谈判。</w:t>
      </w:r>
      <w:bookmarkStart w:id="75" w:name="_GoBack"/>
      <w:bookmarkEnd w:id="75"/>
    </w:p>
    <w:p w14:paraId="148DBD43">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4.采购预算金额：人民币</w:t>
      </w:r>
      <w:r>
        <w:rPr>
          <w:rFonts w:hint="eastAsia" w:ascii="宋体" w:hAnsi="宋体" w:cs="宋体"/>
          <w:color w:val="auto"/>
          <w:szCs w:val="21"/>
          <w:highlight w:val="none"/>
          <w:lang w:eastAsia="zh-CN"/>
        </w:rPr>
        <w:t>壹佰玖拾玖万肆仟肆佰玖拾伍元整</w:t>
      </w:r>
      <w:r>
        <w:rPr>
          <w:rFonts w:hint="eastAsia" w:ascii="宋体" w:hAnsi="宋体" w:cs="宋体"/>
          <w:color w:val="auto"/>
          <w:szCs w:val="21"/>
          <w:highlight w:val="none"/>
        </w:rPr>
        <w:t>（¥</w:t>
      </w:r>
      <w:r>
        <w:rPr>
          <w:rFonts w:hint="eastAsia" w:ascii="宋体" w:hAnsi="宋体" w:cs="宋体"/>
          <w:color w:val="auto"/>
          <w:szCs w:val="21"/>
          <w:highlight w:val="none"/>
          <w:lang w:eastAsia="zh-CN"/>
        </w:rPr>
        <w:t>1994495.00</w:t>
      </w:r>
      <w:r>
        <w:rPr>
          <w:rFonts w:hint="eastAsia" w:ascii="宋体" w:hAnsi="宋体" w:cs="宋体"/>
          <w:color w:val="auto"/>
          <w:szCs w:val="21"/>
          <w:highlight w:val="none"/>
        </w:rPr>
        <w:t>元）</w:t>
      </w:r>
    </w:p>
    <w:p w14:paraId="1CA265D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5.最高限价：人民币</w:t>
      </w:r>
      <w:r>
        <w:rPr>
          <w:rFonts w:hint="eastAsia" w:ascii="宋体" w:hAnsi="宋体" w:cs="宋体"/>
          <w:color w:val="auto"/>
          <w:szCs w:val="21"/>
          <w:highlight w:val="none"/>
          <w:lang w:eastAsia="zh-CN"/>
        </w:rPr>
        <w:t>壹佰玖拾玖万肆仟肆佰玖拾伍元整</w:t>
      </w:r>
      <w:r>
        <w:rPr>
          <w:rFonts w:hint="eastAsia" w:ascii="宋体" w:hAnsi="宋体" w:cs="宋体"/>
          <w:color w:val="auto"/>
          <w:szCs w:val="21"/>
          <w:highlight w:val="none"/>
        </w:rPr>
        <w:t>（¥</w:t>
      </w:r>
      <w:r>
        <w:rPr>
          <w:rFonts w:hint="eastAsia" w:ascii="宋体" w:hAnsi="宋体" w:cs="宋体"/>
          <w:color w:val="auto"/>
          <w:szCs w:val="21"/>
          <w:highlight w:val="none"/>
          <w:lang w:eastAsia="zh-CN"/>
        </w:rPr>
        <w:t>1994495.00</w:t>
      </w:r>
      <w:r>
        <w:rPr>
          <w:rFonts w:hint="eastAsia" w:ascii="宋体" w:hAnsi="宋体" w:cs="宋体"/>
          <w:color w:val="auto"/>
          <w:szCs w:val="21"/>
          <w:highlight w:val="none"/>
        </w:rPr>
        <w:t>元）。</w:t>
      </w:r>
    </w:p>
    <w:p w14:paraId="1D29D348">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6.简要规格描述：</w:t>
      </w:r>
      <w:r>
        <w:rPr>
          <w:rFonts w:hint="eastAsia" w:ascii="宋体" w:hAnsi="宋体" w:cs="宋体"/>
          <w:color w:val="auto"/>
          <w:szCs w:val="21"/>
          <w:highlight w:val="none"/>
          <w:lang w:eastAsia="zh-CN"/>
        </w:rPr>
        <w:t>智能设计与制造学院</w:t>
      </w:r>
      <w:r>
        <w:rPr>
          <w:rFonts w:hint="eastAsia" w:ascii="宋体" w:hAnsi="宋体" w:cs="宋体"/>
          <w:color w:val="auto"/>
          <w:szCs w:val="21"/>
          <w:highlight w:val="none"/>
          <w:lang w:val="en-US" w:eastAsia="zh-CN"/>
        </w:rPr>
        <w:t>关于</w:t>
      </w:r>
      <w:r>
        <w:rPr>
          <w:rFonts w:hint="eastAsia" w:ascii="宋体" w:hAnsi="宋体" w:cs="宋体"/>
          <w:color w:val="auto"/>
          <w:szCs w:val="21"/>
          <w:highlight w:val="none"/>
        </w:rPr>
        <w:t>实训室升级改造项目</w:t>
      </w:r>
      <w:r>
        <w:rPr>
          <w:rFonts w:hint="eastAsia" w:ascii="宋体" w:hAnsi="宋体" w:cs="宋体"/>
          <w:color w:val="auto"/>
          <w:szCs w:val="21"/>
          <w:highlight w:val="none"/>
          <w:lang w:eastAsia="zh-CN"/>
        </w:rPr>
        <w:t>，</w:t>
      </w:r>
      <w:r>
        <w:rPr>
          <w:rFonts w:hint="eastAsia" w:ascii="宋体" w:hAnsi="宋体" w:cs="宋体"/>
          <w:color w:val="auto"/>
          <w:szCs w:val="21"/>
          <w:highlight w:val="none"/>
        </w:rPr>
        <w:t>采购图形工作站（高配版）</w:t>
      </w:r>
      <w:r>
        <w:rPr>
          <w:rFonts w:hint="eastAsia" w:ascii="宋体" w:hAnsi="宋体" w:cs="宋体"/>
          <w:color w:val="auto"/>
          <w:szCs w:val="21"/>
          <w:highlight w:val="none"/>
          <w:lang w:eastAsia="zh-CN"/>
        </w:rPr>
        <w:t>、</w:t>
      </w:r>
      <w:r>
        <w:rPr>
          <w:rFonts w:hint="eastAsia" w:ascii="宋体" w:hAnsi="宋体" w:cs="宋体"/>
          <w:color w:val="auto"/>
          <w:szCs w:val="21"/>
          <w:highlight w:val="none"/>
        </w:rPr>
        <w:t>图形工作站（低配版）</w:t>
      </w:r>
      <w:r>
        <w:rPr>
          <w:rFonts w:hint="eastAsia" w:ascii="宋体" w:hAnsi="宋体" w:cs="宋体"/>
          <w:color w:val="auto"/>
          <w:szCs w:val="21"/>
          <w:highlight w:val="none"/>
          <w:lang w:eastAsia="zh-CN"/>
        </w:rPr>
        <w:t>、</w:t>
      </w:r>
      <w:r>
        <w:rPr>
          <w:rFonts w:hint="eastAsia" w:ascii="宋体" w:hAnsi="宋体" w:cs="宋体"/>
          <w:color w:val="auto"/>
          <w:szCs w:val="21"/>
          <w:highlight w:val="none"/>
        </w:rPr>
        <w:t>教学桌面云系统</w:t>
      </w:r>
      <w:r>
        <w:rPr>
          <w:rFonts w:hint="eastAsia" w:ascii="宋体" w:hAnsi="宋体" w:cs="宋体"/>
          <w:color w:val="auto"/>
          <w:szCs w:val="21"/>
          <w:highlight w:val="none"/>
          <w:lang w:eastAsia="zh-CN"/>
        </w:rPr>
        <w:t>、</w:t>
      </w:r>
      <w:r>
        <w:rPr>
          <w:rFonts w:hint="eastAsia" w:ascii="宋体" w:hAnsi="宋体" w:cs="宋体"/>
          <w:color w:val="auto"/>
          <w:szCs w:val="21"/>
          <w:highlight w:val="none"/>
        </w:rPr>
        <w:t>多媒体教学软件</w:t>
      </w:r>
      <w:r>
        <w:rPr>
          <w:rFonts w:hint="eastAsia" w:ascii="宋体" w:hAnsi="宋体" w:cs="宋体"/>
          <w:color w:val="auto"/>
          <w:szCs w:val="21"/>
          <w:highlight w:val="none"/>
          <w:lang w:eastAsia="zh-CN"/>
        </w:rPr>
        <w:t>、</w:t>
      </w:r>
      <w:r>
        <w:rPr>
          <w:rFonts w:hint="eastAsia" w:ascii="宋体" w:hAnsi="宋体" w:cs="宋体"/>
          <w:color w:val="auto"/>
          <w:szCs w:val="21"/>
          <w:highlight w:val="none"/>
        </w:rPr>
        <w:t>电脑主机保险箱</w:t>
      </w:r>
      <w:r>
        <w:rPr>
          <w:rFonts w:hint="eastAsia" w:ascii="宋体" w:hAnsi="宋体" w:cs="宋体"/>
          <w:color w:val="auto"/>
          <w:szCs w:val="21"/>
          <w:highlight w:val="none"/>
          <w:lang w:eastAsia="zh-CN"/>
        </w:rPr>
        <w:t>、</w:t>
      </w:r>
      <w:r>
        <w:rPr>
          <w:rFonts w:hint="eastAsia" w:ascii="宋体" w:hAnsi="宋体" w:cs="宋体"/>
          <w:color w:val="auto"/>
          <w:szCs w:val="21"/>
          <w:highlight w:val="none"/>
        </w:rPr>
        <w:t>24口交换机</w:t>
      </w:r>
      <w:r>
        <w:rPr>
          <w:rFonts w:hint="eastAsia" w:ascii="宋体" w:hAnsi="宋体" w:cs="宋体"/>
          <w:color w:val="auto"/>
          <w:szCs w:val="21"/>
          <w:highlight w:val="none"/>
          <w:lang w:eastAsia="zh-CN"/>
        </w:rPr>
        <w:t>、</w:t>
      </w:r>
      <w:r>
        <w:rPr>
          <w:rFonts w:hint="eastAsia" w:ascii="宋体" w:hAnsi="宋体" w:cs="宋体"/>
          <w:color w:val="auto"/>
          <w:szCs w:val="21"/>
          <w:highlight w:val="none"/>
        </w:rPr>
        <w:t>48口交换机</w:t>
      </w:r>
      <w:r>
        <w:rPr>
          <w:rFonts w:hint="eastAsia" w:ascii="宋体" w:hAnsi="宋体" w:cs="宋体"/>
          <w:color w:val="auto"/>
          <w:szCs w:val="21"/>
          <w:highlight w:val="none"/>
          <w:lang w:eastAsia="zh-CN"/>
        </w:rPr>
        <w:t>、</w:t>
      </w:r>
      <w:r>
        <w:rPr>
          <w:rFonts w:hint="eastAsia" w:ascii="宋体" w:hAnsi="宋体" w:cs="宋体"/>
          <w:color w:val="auto"/>
          <w:szCs w:val="21"/>
          <w:highlight w:val="none"/>
        </w:rPr>
        <w:t>六类网线</w:t>
      </w:r>
      <w:r>
        <w:rPr>
          <w:rFonts w:hint="eastAsia" w:ascii="宋体" w:hAnsi="宋体" w:cs="宋体"/>
          <w:color w:val="auto"/>
          <w:szCs w:val="21"/>
          <w:highlight w:val="none"/>
          <w:lang w:eastAsia="zh-CN"/>
        </w:rPr>
        <w:t>、</w:t>
      </w:r>
      <w:r>
        <w:rPr>
          <w:rFonts w:hint="eastAsia" w:ascii="宋体" w:hAnsi="宋体" w:cs="宋体"/>
          <w:color w:val="auto"/>
          <w:szCs w:val="21"/>
          <w:highlight w:val="none"/>
        </w:rPr>
        <w:t>六类水晶头</w:t>
      </w:r>
      <w:r>
        <w:rPr>
          <w:rFonts w:hint="eastAsia" w:ascii="宋体" w:hAnsi="宋体" w:cs="宋体"/>
          <w:color w:val="auto"/>
          <w:szCs w:val="21"/>
          <w:highlight w:val="none"/>
          <w:lang w:eastAsia="zh-CN"/>
        </w:rPr>
        <w:t>、</w:t>
      </w:r>
      <w:r>
        <w:rPr>
          <w:rFonts w:hint="eastAsia" w:ascii="宋体" w:hAnsi="宋体" w:cs="宋体"/>
          <w:color w:val="auto"/>
          <w:szCs w:val="21"/>
          <w:highlight w:val="none"/>
        </w:rPr>
        <w:t>电线</w:t>
      </w: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电线</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明装插座</w:t>
      </w:r>
      <w:r>
        <w:rPr>
          <w:rFonts w:hint="eastAsia" w:ascii="宋体" w:hAnsi="宋体" w:cs="宋体"/>
          <w:color w:val="auto"/>
          <w:szCs w:val="21"/>
          <w:highlight w:val="none"/>
          <w:lang w:eastAsia="zh-CN"/>
        </w:rPr>
        <w:t>、实训桌板1、实训桌板2、</w:t>
      </w:r>
      <w:r>
        <w:rPr>
          <w:rFonts w:hint="eastAsia" w:ascii="宋体" w:hAnsi="宋体" w:cs="宋体"/>
          <w:color w:val="auto"/>
          <w:szCs w:val="21"/>
          <w:highlight w:val="none"/>
        </w:rPr>
        <w:t>智能锁</w:t>
      </w:r>
      <w:r>
        <w:rPr>
          <w:rFonts w:hint="eastAsia" w:ascii="宋体" w:hAnsi="宋体" w:cs="宋体"/>
          <w:color w:val="auto"/>
          <w:szCs w:val="21"/>
          <w:highlight w:val="none"/>
          <w:lang w:eastAsia="zh-CN"/>
        </w:rPr>
        <w:t>、</w:t>
      </w:r>
      <w:r>
        <w:rPr>
          <w:rFonts w:hint="eastAsia" w:ascii="宋体" w:hAnsi="宋体" w:cs="宋体"/>
          <w:color w:val="auto"/>
          <w:szCs w:val="21"/>
          <w:highlight w:val="none"/>
        </w:rPr>
        <w:t>施工技术服务费</w:t>
      </w:r>
      <w:r>
        <w:rPr>
          <w:rFonts w:hint="eastAsia" w:ascii="宋体" w:hAnsi="宋体" w:cs="宋体"/>
          <w:color w:val="auto"/>
          <w:szCs w:val="21"/>
          <w:highlight w:val="none"/>
          <w:lang w:val="en-US" w:eastAsia="zh-CN"/>
        </w:rPr>
        <w:t>等1批标的物</w:t>
      </w:r>
      <w:r>
        <w:rPr>
          <w:rFonts w:hint="eastAsia" w:ascii="宋体" w:hAnsi="宋体" w:cs="宋体"/>
          <w:color w:val="auto"/>
          <w:szCs w:val="21"/>
          <w:highlight w:val="none"/>
        </w:rPr>
        <w:t xml:space="preserve">。如需进一步了解，详见采购文件。 </w:t>
      </w:r>
    </w:p>
    <w:p w14:paraId="689B3364">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7.交付时间：</w:t>
      </w:r>
      <w:r>
        <w:rPr>
          <w:rFonts w:hint="eastAsia" w:ascii="宋体" w:hAnsi="宋体" w:cs="宋体"/>
          <w:color w:val="auto"/>
          <w:szCs w:val="21"/>
          <w:highlight w:val="none"/>
          <w:lang w:eastAsia="zh-CN"/>
        </w:rPr>
        <w:t>自合同签订之日起25日内产品交付安装完毕并经验收合格交付</w:t>
      </w:r>
      <w:r>
        <w:rPr>
          <w:rFonts w:hint="eastAsia" w:ascii="宋体" w:hAnsi="宋体" w:cs="宋体"/>
          <w:color w:val="auto"/>
          <w:szCs w:val="21"/>
          <w:highlight w:val="none"/>
        </w:rPr>
        <w:t>。</w:t>
      </w:r>
    </w:p>
    <w:p w14:paraId="250F730C">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8.本项目不接受联合体。</w:t>
      </w:r>
    </w:p>
    <w:p w14:paraId="5CBD6687">
      <w:pPr>
        <w:snapToGrid w:val="0"/>
        <w:spacing w:line="360" w:lineRule="auto"/>
        <w:ind w:firstLine="422" w:firstLineChars="200"/>
        <w:rPr>
          <w:rFonts w:hint="eastAsia" w:ascii="宋体" w:hAnsi="宋体" w:cs="宋体"/>
          <w:bCs/>
          <w:color w:val="auto"/>
          <w:szCs w:val="21"/>
          <w:highlight w:val="none"/>
        </w:rPr>
      </w:pPr>
      <w:bookmarkStart w:id="11" w:name="_Toc28359090"/>
      <w:bookmarkStart w:id="12" w:name="_Toc28359013"/>
      <w:bookmarkStart w:id="13" w:name="_Toc44229879"/>
      <w:bookmarkStart w:id="14" w:name="_Toc35393799"/>
      <w:bookmarkStart w:id="15" w:name="_Toc35393630"/>
      <w:r>
        <w:rPr>
          <w:rFonts w:hint="eastAsia" w:ascii="宋体" w:hAnsi="宋体" w:cs="宋体"/>
          <w:b/>
          <w:color w:val="auto"/>
          <w:kern w:val="44"/>
          <w:szCs w:val="21"/>
          <w:highlight w:val="none"/>
        </w:rPr>
        <w:t>二、供应商的资格条件</w:t>
      </w:r>
      <w:bookmarkEnd w:id="11"/>
      <w:bookmarkEnd w:id="12"/>
      <w:bookmarkEnd w:id="13"/>
      <w:bookmarkEnd w:id="14"/>
      <w:bookmarkEnd w:id="15"/>
    </w:p>
    <w:p w14:paraId="69133AB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1.满足《中华人民共和国政府采购法》第二十二条规定。</w:t>
      </w:r>
    </w:p>
    <w:p w14:paraId="21C020A6">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2.落实政府采购政策需满足的资格要求：无。</w:t>
      </w:r>
    </w:p>
    <w:p w14:paraId="62B1538C">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3.本项目的特定资格要求：无。</w:t>
      </w:r>
    </w:p>
    <w:p w14:paraId="47DF1A7E">
      <w:pPr>
        <w:snapToGrid w:val="0"/>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三、获取竞争性谈判文件</w:t>
      </w:r>
      <w:bookmarkEnd w:id="7"/>
      <w:bookmarkEnd w:id="8"/>
      <w:bookmarkEnd w:id="9"/>
      <w:bookmarkEnd w:id="10"/>
    </w:p>
    <w:p w14:paraId="55083E8C">
      <w:pPr>
        <w:widowControl/>
        <w:snapToGrid w:val="0"/>
        <w:spacing w:line="360" w:lineRule="auto"/>
        <w:ind w:firstLine="420" w:firstLineChars="200"/>
        <w:jc w:val="left"/>
        <w:rPr>
          <w:rFonts w:hint="eastAsia" w:ascii="宋体" w:hAnsi="宋体" w:cs="宋体"/>
          <w:color w:val="auto"/>
          <w:szCs w:val="21"/>
          <w:highlight w:val="none"/>
        </w:rPr>
      </w:pPr>
      <w:bookmarkStart w:id="16" w:name="_Toc28359082"/>
      <w:bookmarkStart w:id="17" w:name="_Toc35393793"/>
      <w:bookmarkStart w:id="18" w:name="_Toc28359005"/>
      <w:bookmarkStart w:id="19" w:name="_Toc35393624"/>
      <w:r>
        <w:rPr>
          <w:rFonts w:hint="eastAsia" w:ascii="宋体" w:hAnsi="宋体" w:cs="宋体"/>
          <w:color w:val="auto"/>
          <w:szCs w:val="21"/>
          <w:highlight w:val="none"/>
        </w:rPr>
        <w:t>时间：2026年</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日至2026年</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rPr>
        <w:t>月</w:t>
      </w: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日，每天上午00：00至11：59，下午12：00至23：59（北京时间，法定节假日除外）。</w:t>
      </w:r>
    </w:p>
    <w:p w14:paraId="3854547B">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地点（网址）：广西政府采购云平台（https：//www.gcy.zfcg.gxzf.gov.cn/）</w:t>
      </w:r>
    </w:p>
    <w:p w14:paraId="1639C170">
      <w:pPr>
        <w:widowControl/>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获取方式：供应商登录广西政府采购云平台https：//www.zcygov.cn/在线申请获取采购文件（进入“项目采购”应用，在获取采购文件菜单中选择项目，申请获取采购文件）。</w:t>
      </w:r>
    </w:p>
    <w:p w14:paraId="40BE957E">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售价：0元。</w:t>
      </w:r>
    </w:p>
    <w:p w14:paraId="6A79D844">
      <w:pPr>
        <w:snapToGrid w:val="0"/>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四、</w:t>
      </w:r>
      <w:bookmarkEnd w:id="16"/>
      <w:bookmarkEnd w:id="17"/>
      <w:bookmarkEnd w:id="18"/>
      <w:bookmarkEnd w:id="19"/>
      <w:r>
        <w:rPr>
          <w:rFonts w:hint="eastAsia" w:ascii="宋体" w:hAnsi="宋体" w:cs="宋体"/>
          <w:b/>
          <w:bCs/>
          <w:color w:val="auto"/>
          <w:szCs w:val="21"/>
          <w:highlight w:val="none"/>
        </w:rPr>
        <w:t>响应文件提交</w:t>
      </w:r>
    </w:p>
    <w:p w14:paraId="5F6A8C35">
      <w:pPr>
        <w:snapToGrid w:val="0"/>
        <w:spacing w:line="360" w:lineRule="auto"/>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1、首次响应文件提交截止时间</w:t>
      </w:r>
      <w:r>
        <w:rPr>
          <w:rFonts w:hint="eastAsia" w:ascii="宋体" w:hAnsi="宋体" w:cs="宋体"/>
          <w:bCs/>
          <w:color w:val="auto"/>
          <w:szCs w:val="21"/>
          <w:highlight w:val="none"/>
        </w:rPr>
        <w:t>（北京时间）：</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日09时30分</w:t>
      </w:r>
    </w:p>
    <w:p w14:paraId="1591AF7D">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szCs w:val="21"/>
          <w:highlight w:val="none"/>
        </w:rPr>
        <w:t>2、首次响应文件提交地点：广西政府采购云平台</w:t>
      </w:r>
      <w:r>
        <w:rPr>
          <w:rFonts w:hint="eastAsia" w:ascii="宋体" w:hAnsi="宋体" w:cs="宋体"/>
          <w:color w:val="auto"/>
          <w:kern w:val="0"/>
          <w:szCs w:val="21"/>
          <w:highlight w:val="none"/>
        </w:rPr>
        <w:t>。</w:t>
      </w:r>
    </w:p>
    <w:p w14:paraId="110606E9">
      <w:pPr>
        <w:snapToGrid w:val="0"/>
        <w:spacing w:line="360" w:lineRule="auto"/>
        <w:ind w:firstLine="422" w:firstLineChars="200"/>
        <w:rPr>
          <w:rFonts w:hint="eastAsia" w:ascii="宋体" w:hAnsi="宋体" w:cs="宋体"/>
          <w:b/>
          <w:bCs/>
          <w:color w:val="auto"/>
          <w:szCs w:val="21"/>
          <w:highlight w:val="none"/>
        </w:rPr>
      </w:pPr>
      <w:r>
        <w:rPr>
          <w:rFonts w:hint="eastAsia" w:ascii="宋体" w:hAnsi="宋体" w:cs="宋体"/>
          <w:b/>
          <w:bCs/>
          <w:color w:val="auto"/>
          <w:szCs w:val="21"/>
          <w:highlight w:val="none"/>
        </w:rPr>
        <w:t>五、开启（首次响应文件开启时间）</w:t>
      </w:r>
    </w:p>
    <w:p w14:paraId="2F43CA79">
      <w:pPr>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1.时间</w:t>
      </w:r>
      <w:r>
        <w:rPr>
          <w:rFonts w:hint="eastAsia" w:ascii="宋体" w:hAnsi="宋体" w:cs="宋体"/>
          <w:bCs/>
          <w:color w:val="auto"/>
          <w:szCs w:val="21"/>
          <w:highlight w:val="none"/>
        </w:rPr>
        <w:t>（北京时间）</w:t>
      </w:r>
      <w:r>
        <w:rPr>
          <w:rFonts w:hint="eastAsia" w:ascii="宋体" w:hAnsi="宋体" w:cs="宋体"/>
          <w:color w:val="auto"/>
          <w:szCs w:val="21"/>
          <w:highlight w:val="none"/>
        </w:rPr>
        <w:t>：</w:t>
      </w:r>
      <w:r>
        <w:rPr>
          <w:rFonts w:hint="eastAsia" w:ascii="宋体" w:hAnsi="宋体" w:cs="宋体"/>
          <w:color w:val="auto"/>
          <w:szCs w:val="21"/>
          <w:highlight w:val="none"/>
          <w:lang w:eastAsia="zh-CN"/>
        </w:rPr>
        <w:t>2026年</w:t>
      </w:r>
      <w:r>
        <w:rPr>
          <w:rFonts w:hint="eastAsia" w:ascii="宋体" w:hAnsi="宋体" w:cs="宋体"/>
          <w:color w:val="auto"/>
          <w:szCs w:val="21"/>
          <w:highlight w:val="none"/>
          <w:lang w:val="en-US" w:eastAsia="zh-CN"/>
        </w:rPr>
        <w:t>11</w:t>
      </w:r>
      <w:r>
        <w:rPr>
          <w:rFonts w:hint="eastAsia" w:ascii="宋体" w:hAnsi="宋体" w:cs="宋体"/>
          <w:color w:val="auto"/>
          <w:szCs w:val="21"/>
          <w:highlight w:val="none"/>
          <w:lang w:eastAsia="zh-CN"/>
        </w:rPr>
        <w:t>月</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lang w:eastAsia="zh-CN"/>
        </w:rPr>
        <w:t>日09时30分</w:t>
      </w:r>
      <w:r>
        <w:rPr>
          <w:rFonts w:hint="eastAsia" w:ascii="宋体" w:hAnsi="宋体" w:cs="宋体"/>
          <w:color w:val="auto"/>
          <w:szCs w:val="21"/>
          <w:highlight w:val="none"/>
        </w:rPr>
        <w:t>后</w:t>
      </w:r>
    </w:p>
    <w:p w14:paraId="56BB55C7">
      <w:pPr>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2.地点：通过广西政府采购云平台实行在线解密、开标。</w:t>
      </w:r>
    </w:p>
    <w:p w14:paraId="6BD69A9E">
      <w:pPr>
        <w:snapToGrid w:val="0"/>
        <w:spacing w:line="360" w:lineRule="auto"/>
        <w:ind w:firstLine="422" w:firstLineChars="200"/>
        <w:rPr>
          <w:rFonts w:hint="eastAsia" w:ascii="宋体" w:hAnsi="宋体" w:cs="宋体"/>
          <w:b/>
          <w:bCs/>
          <w:color w:val="auto"/>
          <w:szCs w:val="21"/>
          <w:highlight w:val="none"/>
        </w:rPr>
      </w:pPr>
      <w:bookmarkStart w:id="20" w:name="_Toc35393794"/>
      <w:bookmarkStart w:id="21" w:name="_Toc28359084"/>
      <w:bookmarkStart w:id="22" w:name="_Toc28359007"/>
      <w:bookmarkStart w:id="23" w:name="_Toc35393625"/>
      <w:r>
        <w:rPr>
          <w:rFonts w:hint="eastAsia" w:ascii="宋体" w:hAnsi="宋体" w:cs="宋体"/>
          <w:b/>
          <w:bCs/>
          <w:color w:val="auto"/>
          <w:szCs w:val="21"/>
          <w:highlight w:val="none"/>
        </w:rPr>
        <w:t>六、公告期限</w:t>
      </w:r>
      <w:bookmarkEnd w:id="20"/>
      <w:bookmarkEnd w:id="21"/>
      <w:bookmarkEnd w:id="22"/>
      <w:bookmarkEnd w:id="23"/>
    </w:p>
    <w:p w14:paraId="22F68BBF">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自本公告发布之日起3个工作日。</w:t>
      </w:r>
    </w:p>
    <w:p w14:paraId="675BEB09">
      <w:pPr>
        <w:snapToGrid w:val="0"/>
        <w:spacing w:line="360" w:lineRule="auto"/>
        <w:ind w:firstLine="422" w:firstLineChars="200"/>
        <w:rPr>
          <w:rFonts w:hint="eastAsia" w:ascii="宋体" w:hAnsi="宋体" w:cs="宋体"/>
          <w:b/>
          <w:bCs/>
          <w:color w:val="auto"/>
          <w:szCs w:val="21"/>
          <w:highlight w:val="none"/>
        </w:rPr>
      </w:pPr>
      <w:bookmarkStart w:id="24" w:name="_Toc35393795"/>
      <w:bookmarkStart w:id="25" w:name="_Toc35393626"/>
      <w:r>
        <w:rPr>
          <w:rFonts w:hint="eastAsia" w:ascii="宋体" w:hAnsi="宋体" w:cs="宋体"/>
          <w:b/>
          <w:bCs/>
          <w:color w:val="auto"/>
          <w:szCs w:val="21"/>
          <w:highlight w:val="none"/>
        </w:rPr>
        <w:t>七、其他补充事宜</w:t>
      </w:r>
      <w:bookmarkEnd w:id="24"/>
      <w:bookmarkEnd w:id="25"/>
    </w:p>
    <w:p w14:paraId="4C54B181">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1.竞标保证金：¥</w:t>
      </w:r>
      <w:r>
        <w:rPr>
          <w:rFonts w:hint="eastAsia" w:ascii="宋体" w:hAnsi="宋体" w:cs="宋体"/>
          <w:color w:val="auto"/>
          <w:kern w:val="0"/>
          <w:szCs w:val="21"/>
          <w:highlight w:val="none"/>
          <w:lang w:eastAsia="zh-CN"/>
        </w:rPr>
        <w:t>19000.00</w:t>
      </w:r>
      <w:r>
        <w:rPr>
          <w:rFonts w:hint="eastAsia" w:ascii="宋体" w:hAnsi="宋体" w:cs="宋体"/>
          <w:color w:val="auto"/>
          <w:kern w:val="0"/>
          <w:szCs w:val="21"/>
          <w:highlight w:val="none"/>
        </w:rPr>
        <w:t>元。</w:t>
      </w:r>
    </w:p>
    <w:p w14:paraId="682A77A7">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竞标保证金的交纳方式：银行转账、支票、汇票、本票或者金融、担保机构出具的保函，禁止采用现钞方式。采用银行转账方式的，在首次响应文件提交截止时间前交至采购代理机构指定账户并且到账（开户银行：民生银行南宁金湖支行，开户名称：广西建隆工程咨询有限公司，银行账号：172617222），并备注XXX项目X分标（如有）竞标保证金；采用支票、汇票、本票或者保函等方式的，在首次响应文件提交截止时间前，供应商必须提交单独密封的支票、汇票、本票或者保函原件。否则视为无效竞标保证金。</w:t>
      </w:r>
    </w:p>
    <w:p w14:paraId="403D410C">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2.公告发布媒体：中国政府采购网（www.ccgp.gov.cn）、广西壮族自治区政府采购网（http：//zfcg.gxzf.gov.cn）</w:t>
      </w:r>
      <w:r>
        <w:rPr>
          <w:rFonts w:hint="eastAsia" w:ascii="宋体" w:hAnsi="宋体" w:eastAsia="宋体" w:cs="宋体"/>
          <w:color w:val="auto"/>
          <w:kern w:val="0"/>
          <w:szCs w:val="21"/>
          <w:highlight w:val="none"/>
          <w:lang w:val="en-US" w:eastAsia="zh-CN"/>
        </w:rPr>
        <w:t>、广西国际商务职业技术学院网（https://www.gxibvc.net）</w:t>
      </w:r>
      <w:r>
        <w:rPr>
          <w:rFonts w:hint="eastAsia" w:ascii="宋体" w:hAnsi="宋体" w:cs="宋体"/>
          <w:color w:val="auto"/>
          <w:kern w:val="0"/>
          <w:szCs w:val="21"/>
          <w:highlight w:val="none"/>
        </w:rPr>
        <w:t>。</w:t>
      </w:r>
    </w:p>
    <w:p w14:paraId="08F53B1C">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3.本项目落实的政府采购政策：</w:t>
      </w:r>
    </w:p>
    <w:p w14:paraId="42E95B2B">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（1）政府采购促进中小企业发展。</w:t>
      </w:r>
    </w:p>
    <w:p w14:paraId="0D5B4ABB">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（2）政府采购支持采用本国产品的政策。</w:t>
      </w:r>
    </w:p>
    <w:p w14:paraId="024E8DB4">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（3）强制采购节能产品；优先采购节能产品、环境标志产品。</w:t>
      </w:r>
    </w:p>
    <w:p w14:paraId="1A9ED47C">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（4）政府采购促进残疾人就业政策。</w:t>
      </w:r>
    </w:p>
    <w:p w14:paraId="5A4A6553">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（5）政府采购支持监狱企业发展。</w:t>
      </w:r>
    </w:p>
    <w:p w14:paraId="731E0E8B">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（6）扶持不发达地区和少数民族地区政策</w:t>
      </w:r>
    </w:p>
    <w:p w14:paraId="6320F230">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4.供应商注意事项：</w:t>
      </w:r>
    </w:p>
    <w:p w14:paraId="01F819D8">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响应文件提交方式：本项目为全流程电子化项目，通过广西政府采购云平台（https：//www.gcy.zfcg.gxzf.gov.cn/）实行在线电子响应，供应商应先安装“广西政府采购云平台新版客户端”（请自行前往广西政府采购云平台进行下载），并按照本项目采购文件和广西政府采购云平台的要求编制、加密后在谈判截止时间前通过网络上传至广西政府采购云平台，登陆广西政府采购云平台，依次进入“服务中心-项目采购-操作流程-电子招投标-政府采购项目电子交易管理操作指南-供应商”查看电子投标具体操作流程。</w:t>
      </w:r>
    </w:p>
    <w:p w14:paraId="2604375B">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2）未进行网上注册并办理数字证书（CA认证）的供应商将无法参与本项目政府采购活动，供应商应当在竞标截止时间前，完成电子交易平台上的CA数字证书办理及响应文件的提交（供应商可登陆“广西政府采购网”，依次进入“办事服务-下载专区”或者登陆广西政府采购云平台，依次进入“服务中心-入驻与配置”中查看CA数字证书办理操作流程。如在操作过程中遇到问题或者需要技术支持，请致电广西政府采购云平台客服热线：95763）。</w:t>
      </w:r>
    </w:p>
    <w:p w14:paraId="0ACC6745">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（3）为确保网上操作合法、有效和安全，请供应商确保在电子响应过程中能够对相关数据电文进行加密和使用电子签章，妥善保管CA数字证书并使用有效的CA数字证书参与整个采购活动。</w:t>
      </w:r>
    </w:p>
    <w:p w14:paraId="5EA277F0">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注：供应商应当在首次响应文件提交截止时间前完成电子响应文件的上传、递交，响应文件提交截止时间前可以补充、修改或者撤回响应文件。补充或者修改响应文件的，应当先行撤回原文件，补充、修改后重新上传、递交。响应截止时间前未完成上传、递交的，视为撤回响应文件。响应文件提交截止时间以后上传递交的响应文件的，广西政府采购云平台将予以拒收。</w:t>
      </w:r>
    </w:p>
    <w:p w14:paraId="19E02308">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5.CA证书在线解密：首次响应文件开启时，须要供应商携带制作响应文件时用来加密的有效数字证书（CA认证）登陆广西政府采购云平台电子开标大厅现场按规定时间对加密的响应文件进行解密，否则后果自负。</w:t>
      </w:r>
    </w:p>
    <w:p w14:paraId="46ACB283">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6.供应商需要在具备有摄像头及语音功能且互联网网络状况良好的电脑登陆广西政府采购云平台远程开标大厅参与本次谈判，否则后果自负。</w:t>
      </w:r>
    </w:p>
    <w:p w14:paraId="6A4925CD">
      <w:pPr>
        <w:snapToGri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7.若对项目采购电子交易系统操作有疑问，可登陆广西政府采购云平台（https：//www.gcy.zfcg.gxzf.gov.cn/），点击右侧咨询小采，获取采小蜜智能服务管家帮助，或拨打广西政府采购云平台服务热线95763获取热线服务帮助</w:t>
      </w:r>
      <w:r>
        <w:rPr>
          <w:rFonts w:hint="eastAsia" w:ascii="宋体" w:hAnsi="宋体" w:cs="宋体"/>
          <w:color w:val="auto"/>
          <w:szCs w:val="21"/>
          <w:highlight w:val="none"/>
        </w:rPr>
        <w:t>。</w:t>
      </w:r>
    </w:p>
    <w:p w14:paraId="133C1DFD">
      <w:pPr>
        <w:snapToGrid w:val="0"/>
        <w:spacing w:line="360" w:lineRule="auto"/>
        <w:ind w:firstLine="422" w:firstLineChars="200"/>
        <w:rPr>
          <w:rFonts w:hint="eastAsia" w:ascii="宋体" w:hAnsi="宋体" w:cs="宋体"/>
          <w:bCs/>
          <w:color w:val="auto"/>
          <w:szCs w:val="21"/>
          <w:highlight w:val="none"/>
        </w:rPr>
      </w:pPr>
      <w:r>
        <w:rPr>
          <w:rFonts w:hint="eastAsia" w:ascii="宋体" w:hAnsi="宋体" w:cs="宋体"/>
          <w:b/>
          <w:color w:val="auto"/>
          <w:kern w:val="44"/>
          <w:szCs w:val="21"/>
          <w:highlight w:val="none"/>
        </w:rPr>
        <w:t>八、凡对本次采购提出询问，请按以下方式联系</w:t>
      </w:r>
    </w:p>
    <w:p w14:paraId="045737B3">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1.采购人信息</w:t>
      </w:r>
    </w:p>
    <w:p w14:paraId="210077C4">
      <w:pPr>
        <w:snapToGrid w:val="0"/>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名称：</w:t>
      </w:r>
      <w:r>
        <w:rPr>
          <w:rFonts w:hint="eastAsia" w:ascii="宋体" w:hAnsi="宋体" w:cs="宋体"/>
          <w:color w:val="auto"/>
          <w:szCs w:val="21"/>
          <w:highlight w:val="none"/>
          <w:lang w:eastAsia="zh-CN"/>
        </w:rPr>
        <w:t>广西国际商务职业技术学院</w:t>
      </w:r>
    </w:p>
    <w:p w14:paraId="29FF5459">
      <w:pPr>
        <w:snapToGrid w:val="0"/>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地址：</w:t>
      </w:r>
      <w:r>
        <w:rPr>
          <w:rFonts w:hint="eastAsia" w:ascii="宋体" w:hAnsi="宋体" w:cs="宋体"/>
          <w:color w:val="auto"/>
          <w:szCs w:val="21"/>
          <w:highlight w:val="none"/>
          <w:lang w:eastAsia="zh-CN"/>
        </w:rPr>
        <w:t>广西南宁市西乡塘区大学东路168号</w:t>
      </w:r>
    </w:p>
    <w:p w14:paraId="4353B25F">
      <w:pPr>
        <w:snapToGrid w:val="0"/>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 xml:space="preserve">覃老师  </w:t>
      </w:r>
    </w:p>
    <w:p w14:paraId="7CEED0C2">
      <w:pPr>
        <w:snapToGrid w:val="0"/>
        <w:spacing w:line="360"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项目联系方式：</w:t>
      </w:r>
      <w:r>
        <w:rPr>
          <w:rFonts w:hint="eastAsia" w:ascii="宋体" w:hAnsi="宋体" w:cs="宋体"/>
          <w:color w:val="auto"/>
          <w:szCs w:val="21"/>
          <w:highlight w:val="none"/>
          <w:lang w:eastAsia="zh-CN"/>
        </w:rPr>
        <w:t>0771-3224391</w:t>
      </w:r>
    </w:p>
    <w:p w14:paraId="70CB920B">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2.采购代理机构信息</w:t>
      </w:r>
    </w:p>
    <w:p w14:paraId="4CAE9BAB">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名称：广西建隆工程咨询有限公司</w:t>
      </w:r>
    </w:p>
    <w:p w14:paraId="6196C9B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地址：南宁市竹溪大道36号青湖中心13层1301号</w:t>
      </w:r>
    </w:p>
    <w:p w14:paraId="70C515BE">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项目联系人：</w:t>
      </w:r>
      <w:r>
        <w:rPr>
          <w:rFonts w:hint="eastAsia" w:ascii="宋体" w:hAnsi="宋体" w:cs="宋体"/>
          <w:color w:val="auto"/>
          <w:szCs w:val="21"/>
          <w:highlight w:val="none"/>
          <w:lang w:eastAsia="zh-CN"/>
        </w:rPr>
        <w:t>黄国涵、滕敏、吕才、陈小艳、李流毅</w:t>
      </w:r>
      <w:r>
        <w:rPr>
          <w:rFonts w:hint="eastAsia" w:ascii="宋体" w:hAnsi="宋体" w:cs="宋体"/>
          <w:color w:val="auto"/>
          <w:szCs w:val="21"/>
          <w:highlight w:val="none"/>
        </w:rPr>
        <w:t xml:space="preserve"> </w:t>
      </w:r>
    </w:p>
    <w:p w14:paraId="53E016EE">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项目联系方式：0771-5345232</w:t>
      </w:r>
    </w:p>
    <w:p w14:paraId="56DC7A82">
      <w:pPr>
        <w:snapToGrid w:val="0"/>
        <w:spacing w:line="360" w:lineRule="auto"/>
        <w:ind w:firstLine="420" w:firstLineChars="200"/>
        <w:jc w:val="left"/>
        <w:rPr>
          <w:rFonts w:hint="eastAsia" w:ascii="宋体" w:hAnsi="宋体" w:cs="宋体"/>
          <w:color w:val="auto"/>
          <w:szCs w:val="21"/>
          <w:highlight w:val="none"/>
        </w:rPr>
      </w:pPr>
    </w:p>
    <w:p w14:paraId="6354A318">
      <w:pPr>
        <w:snapToGrid w:val="0"/>
        <w:spacing w:line="360" w:lineRule="auto"/>
        <w:ind w:firstLine="420" w:firstLineChars="200"/>
        <w:jc w:val="left"/>
        <w:rPr>
          <w:rFonts w:hint="eastAsia" w:ascii="宋体" w:hAnsi="宋体" w:cs="宋体"/>
          <w:color w:val="auto"/>
          <w:szCs w:val="21"/>
          <w:highlight w:val="none"/>
        </w:rPr>
      </w:pPr>
    </w:p>
    <w:p w14:paraId="4101AFB4">
      <w:pPr>
        <w:snapToGrid w:val="0"/>
        <w:spacing w:line="360" w:lineRule="auto"/>
        <w:ind w:firstLine="5565" w:firstLineChars="2650"/>
        <w:jc w:val="right"/>
        <w:rPr>
          <w:rFonts w:hint="eastAsia" w:ascii="宋体" w:hAnsi="宋体" w:cs="宋体"/>
          <w:color w:val="auto"/>
          <w:szCs w:val="21"/>
          <w:highlight w:val="none"/>
        </w:rPr>
      </w:pPr>
      <w:r>
        <w:rPr>
          <w:rFonts w:hint="eastAsia" w:ascii="宋体" w:hAnsi="宋体" w:cs="宋体"/>
          <w:color w:val="auto"/>
          <w:szCs w:val="21"/>
          <w:highlight w:val="none"/>
        </w:rPr>
        <w:t>广西建隆工程咨询有限公司</w:t>
      </w:r>
    </w:p>
    <w:p w14:paraId="78BE5A03">
      <w:pPr>
        <w:snapToGrid w:val="0"/>
        <w:spacing w:line="360" w:lineRule="auto"/>
        <w:ind w:firstLine="5985" w:firstLineChars="2850"/>
        <w:jc w:val="right"/>
        <w:rPr>
          <w:rFonts w:hint="eastAsia" w:ascii="宋体" w:hAnsi="宋体" w:cs="宋体"/>
          <w:color w:val="auto"/>
          <w:szCs w:val="21"/>
          <w:highlight w:val="none"/>
        </w:rPr>
        <w:sectPr>
          <w:footerReference r:id="rId6" w:type="default"/>
          <w:pgSz w:w="11910" w:h="16840"/>
          <w:pgMar w:top="1440" w:right="1080" w:bottom="1440" w:left="1080" w:header="850" w:footer="567" w:gutter="0"/>
          <w:pgNumType w:start="1"/>
          <w:cols w:space="720" w:num="1"/>
        </w:sectPr>
      </w:pPr>
      <w:r>
        <w:rPr>
          <w:rFonts w:hint="eastAsia" w:ascii="宋体" w:hAnsi="宋体" w:cs="宋体"/>
          <w:bCs/>
          <w:color w:val="auto"/>
          <w:szCs w:val="21"/>
          <w:highlight w:val="none"/>
        </w:rPr>
        <w:t>2026年</w:t>
      </w:r>
      <w:r>
        <w:rPr>
          <w:rFonts w:hint="eastAsia" w:ascii="宋体" w:hAnsi="宋体" w:cs="宋体"/>
          <w:bCs/>
          <w:color w:val="auto"/>
          <w:szCs w:val="21"/>
          <w:highlight w:val="none"/>
          <w:lang w:val="en-US" w:eastAsia="zh-CN"/>
        </w:rPr>
        <w:t>11</w:t>
      </w:r>
      <w:r>
        <w:rPr>
          <w:rFonts w:hint="eastAsia" w:ascii="宋体" w:hAnsi="宋体" w:cs="宋体"/>
          <w:bCs/>
          <w:color w:val="auto"/>
          <w:szCs w:val="21"/>
          <w:highlight w:val="none"/>
        </w:rPr>
        <w:t>月</w:t>
      </w:r>
      <w:r>
        <w:rPr>
          <w:rFonts w:hint="eastAsia" w:ascii="宋体" w:hAnsi="宋体" w:cs="宋体"/>
          <w:bCs/>
          <w:color w:val="auto"/>
          <w:szCs w:val="21"/>
          <w:highlight w:val="none"/>
          <w:lang w:val="en-US" w:eastAsia="zh-CN"/>
        </w:rPr>
        <w:t>2</w:t>
      </w:r>
      <w:r>
        <w:rPr>
          <w:rFonts w:hint="eastAsia" w:ascii="宋体" w:hAnsi="宋体" w:cs="宋体"/>
          <w:bCs/>
          <w:color w:val="auto"/>
          <w:szCs w:val="21"/>
          <w:highlight w:val="none"/>
        </w:rPr>
        <w:t>日</w:t>
      </w:r>
    </w:p>
    <w:p w14:paraId="39902C30">
      <w:pPr>
        <w:keepNext/>
        <w:keepLines/>
        <w:spacing w:before="340" w:after="330" w:line="578" w:lineRule="auto"/>
        <w:jc w:val="center"/>
        <w:outlineLvl w:val="0"/>
        <w:rPr>
          <w:rFonts w:hint="eastAsia" w:ascii="宋体" w:hAnsi="宋体" w:cs="宋体"/>
          <w:b/>
          <w:bCs/>
          <w:color w:val="auto"/>
          <w:kern w:val="44"/>
          <w:sz w:val="44"/>
          <w:szCs w:val="44"/>
          <w:highlight w:val="none"/>
        </w:rPr>
      </w:pPr>
      <w:bookmarkStart w:id="26" w:name="_Toc30133"/>
      <w:r>
        <w:rPr>
          <w:rFonts w:hint="eastAsia" w:ascii="宋体" w:hAnsi="宋体" w:cs="宋体"/>
          <w:b/>
          <w:color w:val="auto"/>
          <w:kern w:val="44"/>
          <w:sz w:val="32"/>
          <w:szCs w:val="32"/>
          <w:highlight w:val="none"/>
        </w:rPr>
        <w:t>第二章 采购需求</w:t>
      </w:r>
      <w:bookmarkEnd w:id="26"/>
    </w:p>
    <w:p w14:paraId="6AFBF418">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说明：</w:t>
      </w:r>
    </w:p>
    <w:p w14:paraId="5ED02192">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为落实政府采购政策需满足的要求（根据项目实际情况填写内容）</w:t>
      </w:r>
    </w:p>
    <w:p w14:paraId="71A4CAC2">
      <w:pPr>
        <w:spacing w:line="36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（1）本竞争性谈判采购文件所称中小企业必须符合《政府采购促进中小企业发展管理办法》（财库〔2020〕46号）的规定。</w:t>
      </w:r>
    </w:p>
    <w:p w14:paraId="4F194621">
      <w:pPr>
        <w:spacing w:line="360" w:lineRule="exact"/>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17A44DD6">
      <w:pPr>
        <w:spacing w:line="36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2.“实质性要求”是指采购需求中带“▲”的条款或者不能负偏离的条款或者已经指明不满足按响应文件作无效处理的条款。</w:t>
      </w:r>
    </w:p>
    <w:p w14:paraId="7113E922">
      <w:pPr>
        <w:spacing w:line="36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.采购需求中出现的品牌、型号或者生产供应商仅起参考作用，不属于指定品牌、型号或者生产供应商的情形。供应商可参照或者选用其他相当的品牌、型号或者生产供应商替代。</w:t>
      </w:r>
    </w:p>
    <w:p w14:paraId="23E3A2E2">
      <w:pPr>
        <w:spacing w:line="360" w:lineRule="exact"/>
        <w:ind w:firstLine="420" w:firstLineChars="200"/>
        <w:rPr>
          <w:rFonts w:hint="eastAsia" w:ascii="宋体" w:hAnsi="宋体" w:cs="宋体"/>
          <w:b/>
          <w:bCs/>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w:t>
      </w:r>
      <w:r>
        <w:rPr>
          <w:rFonts w:hint="eastAsia" w:ascii="宋体" w:hAnsi="宋体" w:cs="宋体"/>
          <w:b/>
          <w:bCs/>
          <w:color w:val="auto"/>
          <w:szCs w:val="21"/>
          <w:highlight w:val="none"/>
        </w:rPr>
        <w:t>供应商应根据自身实际情况如实响应竞争性谈判文件，不得仅将竞争性谈判文件内容简单复制粘贴作为竞标响应，供应商响应技术参数要求应如实明确具体数值，否则将作无效响应处理（定制采购项目不适用本条款）。对于带“※”的重要参数技术参数应当在响应文件中提供技术支持资料，技术支持资料以竞标时须提供功能截图或承诺书（加盖公章）。</w:t>
      </w:r>
    </w:p>
    <w:p w14:paraId="6EEC705F">
      <w:pPr>
        <w:spacing w:line="360" w:lineRule="exact"/>
        <w:ind w:firstLine="420" w:firstLineChars="200"/>
        <w:rPr>
          <w:rFonts w:hint="eastAsia" w:ascii="宋体" w:hAnsi="宋体" w:eastAsia="宋体" w:cs="宋体"/>
          <w:color w:val="auto"/>
          <w:szCs w:val="21"/>
          <w:highlight w:val="none"/>
          <w:lang w:eastAsia="zh-CN"/>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.供应商必须自行为其竞标产品侵犯他人的知识产权或者专利成果的行为承担相应法律责任。</w:t>
      </w:r>
    </w:p>
    <w:p w14:paraId="7F9FD628">
      <w:pPr>
        <w:spacing w:line="360" w:lineRule="exact"/>
        <w:ind w:firstLine="422" w:firstLineChars="200"/>
        <w:rPr>
          <w:rFonts w:ascii="宋体"/>
          <w:b/>
          <w:bCs/>
          <w:color w:val="auto"/>
          <w:szCs w:val="21"/>
          <w:highlight w:val="none"/>
        </w:rPr>
      </w:pPr>
    </w:p>
    <w:p w14:paraId="31E7C13B">
      <w:pPr>
        <w:spacing w:line="360" w:lineRule="exact"/>
        <w:ind w:firstLine="422" w:firstLineChars="200"/>
        <w:rPr>
          <w:rFonts w:ascii="宋体"/>
          <w:b/>
          <w:bCs/>
          <w:color w:val="auto"/>
          <w:szCs w:val="21"/>
          <w:highlight w:val="none"/>
        </w:rPr>
      </w:pPr>
      <w:r>
        <w:rPr>
          <w:rFonts w:hint="eastAsia" w:ascii="宋体"/>
          <w:b/>
          <w:bCs/>
          <w:color w:val="auto"/>
          <w:szCs w:val="21"/>
          <w:highlight w:val="none"/>
        </w:rPr>
        <w:br w:type="page"/>
      </w:r>
    </w:p>
    <w:tbl>
      <w:tblPr>
        <w:tblStyle w:val="33"/>
        <w:tblpPr w:leftFromText="180" w:rightFromText="180" w:vertAnchor="text" w:tblpX="1" w:tblpY="1"/>
        <w:tblOverlap w:val="never"/>
        <w:tblW w:w="505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3"/>
        <w:gridCol w:w="672"/>
        <w:gridCol w:w="680"/>
        <w:gridCol w:w="2"/>
        <w:gridCol w:w="597"/>
        <w:gridCol w:w="441"/>
        <w:gridCol w:w="1115"/>
        <w:gridCol w:w="6075"/>
        <w:gridCol w:w="19"/>
      </w:tblGrid>
      <w:tr w14:paraId="596AF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4990" w:type="pct"/>
            <w:gridSpan w:val="8"/>
            <w:noWrap w:val="0"/>
            <w:tcMar>
              <w:left w:w="57" w:type="dxa"/>
              <w:right w:w="57" w:type="dxa"/>
            </w:tcMar>
            <w:vAlign w:val="center"/>
          </w:tcPr>
          <w:p w14:paraId="0B28D004">
            <w:pPr>
              <w:keepNext/>
              <w:keepLines/>
              <w:widowControl/>
              <w:wordWrap w:val="0"/>
              <w:snapToGrid w:val="0"/>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kern w:val="0"/>
                <w:sz w:val="32"/>
                <w:szCs w:val="32"/>
                <w:highlight w:val="none"/>
                <w:lang w:bidi="ar"/>
              </w:rPr>
              <w:t>货物需求一览表</w:t>
            </w:r>
          </w:p>
        </w:tc>
      </w:tr>
      <w:tr w14:paraId="1C26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3D2FA42E">
            <w:pPr>
              <w:keepNext/>
              <w:keepLines/>
              <w:widowControl/>
              <w:wordWrap w:val="0"/>
              <w:snapToGrid w:val="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项号</w:t>
            </w:r>
          </w:p>
        </w:tc>
        <w:tc>
          <w:tcPr>
            <w:tcW w:w="337" w:type="pct"/>
            <w:noWrap w:val="0"/>
            <w:tcMar>
              <w:left w:w="57" w:type="dxa"/>
              <w:right w:w="57" w:type="dxa"/>
            </w:tcMar>
            <w:vAlign w:val="center"/>
          </w:tcPr>
          <w:p w14:paraId="532376B7">
            <w:pPr>
              <w:keepNext/>
              <w:keepLines/>
              <w:widowControl/>
              <w:wordWrap w:val="0"/>
              <w:snapToGrid w:val="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采购标的</w:t>
            </w:r>
          </w:p>
        </w:tc>
        <w:tc>
          <w:tcPr>
            <w:tcW w:w="341" w:type="pct"/>
            <w:gridSpan w:val="2"/>
            <w:noWrap w:val="0"/>
            <w:tcMar>
              <w:left w:w="57" w:type="dxa"/>
              <w:right w:w="57" w:type="dxa"/>
            </w:tcMar>
            <w:vAlign w:val="center"/>
          </w:tcPr>
          <w:p w14:paraId="16DFED37">
            <w:pPr>
              <w:keepNext/>
              <w:keepLines/>
              <w:widowControl/>
              <w:wordWrap w:val="0"/>
              <w:snapToGrid w:val="0"/>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所属行业</w:t>
            </w:r>
          </w:p>
        </w:tc>
        <w:tc>
          <w:tcPr>
            <w:tcW w:w="299" w:type="pct"/>
            <w:noWrap w:val="0"/>
            <w:tcMar>
              <w:left w:w="57" w:type="dxa"/>
              <w:right w:w="57" w:type="dxa"/>
            </w:tcMar>
            <w:vAlign w:val="center"/>
          </w:tcPr>
          <w:p w14:paraId="2F9EA28B">
            <w:pPr>
              <w:keepNext/>
              <w:keepLines/>
              <w:widowControl/>
              <w:wordWrap w:val="0"/>
              <w:snapToGrid w:val="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snapToGrid w:val="0"/>
                <w:color w:val="auto"/>
                <w:sz w:val="21"/>
                <w:szCs w:val="21"/>
                <w:highlight w:val="none"/>
              </w:rPr>
              <w:t>数量</w:t>
            </w:r>
          </w:p>
        </w:tc>
        <w:tc>
          <w:tcPr>
            <w:tcW w:w="221" w:type="pct"/>
            <w:noWrap w:val="0"/>
            <w:tcMar>
              <w:left w:w="57" w:type="dxa"/>
              <w:right w:w="57" w:type="dxa"/>
            </w:tcMar>
            <w:vAlign w:val="center"/>
          </w:tcPr>
          <w:p w14:paraId="175E13A2">
            <w:pPr>
              <w:keepNext/>
              <w:keepLines/>
              <w:widowControl/>
              <w:wordWrap w:val="0"/>
              <w:snapToGrid w:val="0"/>
              <w:jc w:val="center"/>
              <w:rPr>
                <w:rFonts w:hint="eastAsia" w:ascii="宋体" w:hAnsi="宋体" w:eastAsia="宋体" w:cs="宋体"/>
                <w:b w:val="0"/>
                <w:bCs w:val="0"/>
                <w:snapToGrid w:val="0"/>
                <w:color w:val="auto"/>
                <w:sz w:val="21"/>
                <w:szCs w:val="21"/>
                <w:highlight w:val="none"/>
              </w:rPr>
            </w:pPr>
            <w:r>
              <w:rPr>
                <w:rFonts w:hint="eastAsia" w:ascii="宋体" w:hAnsi="宋体" w:eastAsia="宋体" w:cs="宋体"/>
                <w:b w:val="0"/>
                <w:bCs w:val="0"/>
                <w:snapToGrid w:val="0"/>
                <w:color w:val="auto"/>
                <w:sz w:val="21"/>
                <w:szCs w:val="21"/>
                <w:highlight w:val="none"/>
              </w:rPr>
              <w:t>单位</w:t>
            </w:r>
          </w:p>
        </w:tc>
        <w:tc>
          <w:tcPr>
            <w:tcW w:w="559" w:type="pct"/>
            <w:noWrap w:val="0"/>
            <w:tcMar>
              <w:left w:w="57" w:type="dxa"/>
              <w:right w:w="57" w:type="dxa"/>
            </w:tcMar>
            <w:vAlign w:val="center"/>
          </w:tcPr>
          <w:p w14:paraId="784255C8">
            <w:pPr>
              <w:keepNext/>
              <w:keepLines/>
              <w:widowControl/>
              <w:wordWrap w:val="0"/>
              <w:snapToGrid w:val="0"/>
              <w:jc w:val="center"/>
              <w:rPr>
                <w:rFonts w:hint="eastAsia" w:ascii="宋体" w:hAnsi="宋体" w:eastAsia="宋体" w:cs="宋体"/>
                <w:b w:val="0"/>
                <w:bCs w:val="0"/>
                <w:snapToGrid w:val="0"/>
                <w:color w:val="auto"/>
                <w:sz w:val="21"/>
                <w:szCs w:val="21"/>
                <w:highlight w:val="none"/>
                <w:lang w:val="en-US" w:eastAsia="zh-CN"/>
              </w:rPr>
            </w:pPr>
            <w:r>
              <w:rPr>
                <w:rFonts w:hint="eastAsia" w:ascii="宋体" w:hAnsi="宋体" w:eastAsia="宋体" w:cs="宋体"/>
                <w:b w:val="0"/>
                <w:bCs w:val="0"/>
                <w:snapToGrid w:val="0"/>
                <w:color w:val="auto"/>
                <w:sz w:val="21"/>
                <w:szCs w:val="21"/>
                <w:highlight w:val="none"/>
                <w:lang w:val="en-US" w:eastAsia="zh-CN"/>
              </w:rPr>
              <w:t>最高单价限价（元）</w:t>
            </w:r>
          </w:p>
        </w:tc>
        <w:tc>
          <w:tcPr>
            <w:tcW w:w="3053" w:type="pct"/>
            <w:gridSpan w:val="2"/>
            <w:noWrap w:val="0"/>
            <w:tcMar>
              <w:left w:w="57" w:type="dxa"/>
              <w:right w:w="57" w:type="dxa"/>
            </w:tcMar>
            <w:vAlign w:val="center"/>
          </w:tcPr>
          <w:p w14:paraId="57735FC6">
            <w:pPr>
              <w:keepNext/>
              <w:keepLines/>
              <w:widowControl/>
              <w:wordWrap w:val="0"/>
              <w:snapToGrid w:val="0"/>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技术参数要求</w:t>
            </w:r>
          </w:p>
        </w:tc>
      </w:tr>
      <w:tr w14:paraId="11F37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1094C61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w:t>
            </w:r>
          </w:p>
        </w:tc>
        <w:tc>
          <w:tcPr>
            <w:tcW w:w="337" w:type="pct"/>
            <w:noWrap w:val="0"/>
            <w:tcMar>
              <w:left w:w="57" w:type="dxa"/>
              <w:right w:w="57" w:type="dxa"/>
            </w:tcMar>
            <w:vAlign w:val="center"/>
          </w:tcPr>
          <w:p w14:paraId="0976A40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图形工作站（高配版）</w:t>
            </w:r>
          </w:p>
        </w:tc>
        <w:tc>
          <w:tcPr>
            <w:tcW w:w="341" w:type="pct"/>
            <w:gridSpan w:val="2"/>
            <w:noWrap w:val="0"/>
            <w:tcMar>
              <w:left w:w="57" w:type="dxa"/>
              <w:right w:w="57" w:type="dxa"/>
            </w:tcMar>
            <w:vAlign w:val="center"/>
          </w:tcPr>
          <w:p w14:paraId="0456F336">
            <w:pPr>
              <w:widowControl/>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6E3BE0C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55</w:t>
            </w:r>
          </w:p>
        </w:tc>
        <w:tc>
          <w:tcPr>
            <w:tcW w:w="221" w:type="pct"/>
            <w:noWrap w:val="0"/>
            <w:tcMar>
              <w:left w:w="57" w:type="dxa"/>
              <w:right w:w="57" w:type="dxa"/>
            </w:tcMar>
            <w:vAlign w:val="center"/>
          </w:tcPr>
          <w:p w14:paraId="31A47DF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套</w:t>
            </w:r>
          </w:p>
        </w:tc>
        <w:tc>
          <w:tcPr>
            <w:tcW w:w="559" w:type="pct"/>
            <w:noWrap w:val="0"/>
            <w:tcMar>
              <w:left w:w="57" w:type="dxa"/>
              <w:right w:w="57" w:type="dxa"/>
            </w:tcMar>
            <w:vAlign w:val="center"/>
          </w:tcPr>
          <w:p w14:paraId="4EFC362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18200</w:t>
            </w:r>
          </w:p>
        </w:tc>
        <w:tc>
          <w:tcPr>
            <w:tcW w:w="3053" w:type="pct"/>
            <w:gridSpan w:val="2"/>
            <w:noWrap w:val="0"/>
            <w:tcMar>
              <w:left w:w="57" w:type="dxa"/>
              <w:right w:w="57" w:type="dxa"/>
            </w:tcMar>
            <w:vAlign w:val="center"/>
          </w:tcPr>
          <w:p w14:paraId="67279294">
            <w:pPr>
              <w:pStyle w:val="12"/>
              <w:rPr>
                <w:rFonts w:hint="eastAsia" w:ascii="宋体" w:hAnsi="宋体" w:eastAsia="宋体" w:cs="宋体"/>
                <w:b w:val="0"/>
                <w:bCs w:val="0"/>
                <w:color w:val="auto"/>
                <w:kern w:val="0"/>
                <w:sz w:val="21"/>
                <w:szCs w:val="21"/>
                <w:highlight w:val="none"/>
                <w:lang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▲1、处理器：Intel Core Ultra 5 225处理器或同等性能及以上处理器，处理器形态必须为桌面处理器，不接受移动端、嵌入式、低功耗 SOC 处理器；核心数≥10核心，线程数≥10线程, 性能核主频≥2.5GHz,最大睿频频率≥ 4.9GHz，缓存≥20MB，功耗≥65W；</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2、处理器散热系统：采用风冷散热方式，配置 CPU 散热器，铜质热管数量 ≥4 根，单根热管直径≥6mm；采用纯铜铣削底座或热管与底座铜底焊接工艺；配备 CPU 专用风扇，支持 PWM 智能温控调速；</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▲3、主板：主板芯片组≥Intel B860全固态主板或同等性能以上的主板；支持I/O保护罩、内置报警器、内置音箱、串并口扩展；扩展插槽≥1×PCI</w:t>
            </w:r>
            <w:r>
              <w:rPr>
                <w:rStyle w:val="104"/>
                <w:rFonts w:hint="eastAsia" w:ascii="宋体" w:hAnsi="宋体" w:eastAsia="宋体" w:cs="宋体"/>
                <w:b w:val="0"/>
                <w:bCs w:val="0"/>
                <w:color w:val="auto"/>
                <w:sz w:val="21"/>
                <w:szCs w:val="21"/>
                <w:highlight w:val="none"/>
                <w:lang w:val="en-US" w:eastAsia="zh-CN" w:bidi="ar"/>
              </w:rPr>
              <w:noBreakHyphen/>
            </w:r>
            <w:r>
              <w:rPr>
                <w:rStyle w:val="106"/>
                <w:rFonts w:hint="eastAsia" w:ascii="宋体" w:hAnsi="宋体" w:eastAsia="宋体" w:cs="宋体"/>
                <w:b w:val="0"/>
                <w:bCs w:val="0"/>
                <w:color w:val="auto"/>
                <w:sz w:val="21"/>
                <w:szCs w:val="21"/>
                <w:highlight w:val="none"/>
                <w:lang w:val="en-US" w:eastAsia="zh-CN" w:bidi="ar"/>
              </w:rPr>
              <w:t>E x16 + 2×PCI</w:t>
            </w:r>
            <w:r>
              <w:rPr>
                <w:rStyle w:val="104"/>
                <w:rFonts w:hint="eastAsia" w:ascii="宋体" w:hAnsi="宋体" w:eastAsia="宋体" w:cs="宋体"/>
                <w:b w:val="0"/>
                <w:bCs w:val="0"/>
                <w:color w:val="auto"/>
                <w:sz w:val="21"/>
                <w:szCs w:val="21"/>
                <w:highlight w:val="none"/>
                <w:lang w:val="en-US" w:eastAsia="zh-CN" w:bidi="ar"/>
              </w:rPr>
              <w:noBreakHyphen/>
            </w:r>
            <w:r>
              <w:rPr>
                <w:rStyle w:val="106"/>
                <w:rFonts w:hint="eastAsia" w:ascii="宋体" w:hAnsi="宋体" w:eastAsia="宋体" w:cs="宋体"/>
                <w:b w:val="0"/>
                <w:bCs w:val="0"/>
                <w:color w:val="auto"/>
                <w:sz w:val="21"/>
                <w:szCs w:val="21"/>
                <w:highlight w:val="none"/>
                <w:lang w:val="en-US" w:eastAsia="zh-CN" w:bidi="ar"/>
              </w:rPr>
              <w:t>E x1 +1×PCI；存储接口≥ 3×M.2；外设接口≥ 2×PS/2 接口 + 1× 串口；</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▲4、整机实配内存容量：≥32GB，内存规格≥DDR5，等效传输速率≥5600MT/s，主板内存物理插槽≥2根，整机最大可支持内存扩展容量≥128G内存；</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▲5、存储：配置 1 块 M.2 接口 NVMe 协议固态硬盘，容量≥1TB；顺序读取速度≥2000MB/s，顺序写入速度≥1500MB/s；固态硬盘标称 TBW 总写入寿命≥80TB；</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▲6、GPU算力卡：≥RTX 5060 Ti及同等性能或以上，显存容量≥16GB，显存类型 GDDR7，CUDA 核心数量 ≥ 4608，基础频率≥2.4GHz，最大频率≥2.5GHz，显存位宽≥128bit，硬件原生支持光线追踪，搭载硬件光追核心、张量核心，支持 CUDA 运算，GPU算力卡散热风扇 ≥2个双涡轮主动散热风扇，主板原生板载包括 HDMI、DP、VGA 视频输出接口，不接受PCI-E 扩展卡转接实现视频输出，视频输出必须通过独立显卡自带接口实现。</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▲7、电源额定功率≥750W；电源交流转直流转换效率标准：20%、50%、100% 额定负载下转换效率分别≥90%、≥92%、≥89%，可在110V-220V超宽电压输入范围内工作；</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8、键鼠套装：配置USB 接口抗菌键盘，键盘配备≥5 个独立多媒体功能按键，具备防泼溅及导水槽结构设计；配置 USB 接口抗菌光电鼠标；</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▲9、机箱：为满足独立显卡安装及整机散热保障需要，机箱≥28L，机箱内置高速散热风扇≥2个，主板原生板载USB接口总数≥10个（USB接口不接受 PCI-E 插槽转接），其中前置≥6*USB接口；前置≥1* 麦克风接口 + 1* 耳麦接口，后置≥3个音频接口；机箱防尘设计；</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10、配套显示终端功能要求：</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（1）、屏幕尺寸：≥27英寸</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（2）、屏幕类型：IPS面板</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（3）、屏幕分辨率：≥2.5K高清分辨率（2560*1440P）</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（4）、屏幕刷新率：≥100HZ</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（5）、屏幕设计：3边微窄边框设计</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（6）、接口要求≥1个HDMI接口，≥1个DP接口，≥1路Audio out接口；</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 xml:space="preserve">（7）、功能要求：显示器具备低蓝光护眼功能，用户可设置调整蓝光照射比例；带蓝光过滤器，用户可设置调整蓝光照射比例，比例数值至少有：50%、60%模式； </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（8）、色域覆盖率：≥100%Srgb、≥80%NTSC、≥95%DCI-P3；显示器色彩准确度≤2；</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 xml:space="preserve">（9）、显示器配套DP高清数据线：≥1根，线缆长度≥1.5m；数据线规格认证DP1.4或以上，DP接口公对公； </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 xml:space="preserve"> 11、产品可靠性要求：</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（1）、为降低噪声危害，要求产品通过低噪音试验，试验结果声功率级≤1.36Bel，声压级≤3.38dB；</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（2）、为降低电磁危害，要求产品通过电磁兼容试验；                                                                                                                                                                                                       ▲12、供货及保修期要求：设备配置必须为出厂标配，整机非后期加装、非后期改装。整机（含图形工作站主机、配套显示终端、有线键鼠套装）提供≥5 年整机免费上门质保服务。</w:t>
            </w:r>
          </w:p>
        </w:tc>
      </w:tr>
      <w:tr w14:paraId="62984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0C45AB3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337" w:type="pct"/>
            <w:noWrap w:val="0"/>
            <w:tcMar>
              <w:left w:w="57" w:type="dxa"/>
              <w:right w:w="57" w:type="dxa"/>
            </w:tcMar>
            <w:vAlign w:val="center"/>
          </w:tcPr>
          <w:p w14:paraId="79576F9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图形工作站（低配版）</w:t>
            </w:r>
          </w:p>
        </w:tc>
        <w:tc>
          <w:tcPr>
            <w:tcW w:w="341" w:type="pct"/>
            <w:gridSpan w:val="2"/>
            <w:noWrap w:val="0"/>
            <w:tcMar>
              <w:left w:w="57" w:type="dxa"/>
              <w:right w:w="57" w:type="dxa"/>
            </w:tcMar>
            <w:vAlign w:val="center"/>
          </w:tcPr>
          <w:p w14:paraId="51C3F1A1">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4462FE1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55</w:t>
            </w:r>
          </w:p>
        </w:tc>
        <w:tc>
          <w:tcPr>
            <w:tcW w:w="221" w:type="pct"/>
            <w:noWrap w:val="0"/>
            <w:tcMar>
              <w:left w:w="57" w:type="dxa"/>
              <w:right w:w="57" w:type="dxa"/>
            </w:tcMar>
            <w:vAlign w:val="center"/>
          </w:tcPr>
          <w:p w14:paraId="7CD0994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套</w:t>
            </w:r>
          </w:p>
        </w:tc>
        <w:tc>
          <w:tcPr>
            <w:tcW w:w="559" w:type="pct"/>
            <w:noWrap w:val="0"/>
            <w:tcMar>
              <w:left w:w="57" w:type="dxa"/>
              <w:right w:w="57" w:type="dxa"/>
            </w:tcMar>
            <w:vAlign w:val="center"/>
          </w:tcPr>
          <w:p w14:paraId="7897204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14940</w:t>
            </w:r>
          </w:p>
        </w:tc>
        <w:tc>
          <w:tcPr>
            <w:tcW w:w="3053" w:type="pct"/>
            <w:gridSpan w:val="2"/>
            <w:noWrap w:val="0"/>
            <w:tcMar>
              <w:left w:w="57" w:type="dxa"/>
              <w:right w:w="57" w:type="dxa"/>
            </w:tcMar>
            <w:vAlign w:val="center"/>
          </w:tcPr>
          <w:p w14:paraId="261C3B9D">
            <w:pPr>
              <w:pStyle w:val="12"/>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▲1、处理器：Intel Core Ultra 5 225处理器或同等性能及以上处理器，处理器形态必须为桌面处理器，不接受移动端、嵌入式、低功耗 SOC 处理器；核心数≥10核心，线程数≥10线程, 性能核主频≥2.5GHz,最大睿频频率≥ 4.9GHz，缓存≥20MB，功耗≥65W； </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▲2、处理器散热系统：采用风冷散热方式，配置 CPU 散热器，铜质热管数量 ≥4 根，单根热管直径≥6mm；采用纯铜铣削底座或热管与底座铜底焊接工艺；配备 CPU 专用风扇，支持 PWM 智能温控调速；</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▲3、主板：主板芯片组≥Intel B860全固态主板或同等性能以上的主板；支持I/O保护罩、内置报警器、内置音箱、串并口扩展；扩展插槽≥1×PCI-E x16 + 2×PCI-E x1 +1×PCI；存储接口≥ 3×M.2；外设接口≥ 2×PS/2 接口 + 1× 串口；</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▲4、整机实配内存容量：≥16GB，内存规格≥DDR5，等效传输速率≥5600MT/s，主板内存物理插槽≥2根，整机最大可支持内存扩展容量≥128G内存；</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▲5、存储：配置 1 块 M.2  接口 NVMe 协议固态硬盘，容量≥512GB；顺序读取速度≥2000MB/s，顺序写入速度≥1200MB/s；固态硬盘标称 TBW 总写入寿命≥80TB；</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▲6、GPU算力卡：≥RTX 5060 Ti及同等性能或以上，显存容量≥16GB，显存类型 GDDR7，CUDA 核心数量 ≥ 4608，基础频率≥2.4GHz，最大频率≥2.5GHz，显存位宽≥128bit，硬件原生支持光线追踪，搭载硬件光追核心、张量核心，支持 CUDA 运算，GPU算力卡散热风扇 ≥2个双涡轮主动散热风扇，主板原生板载包括 HDMI、DP、VGA 视频输出接口，不接受PCI-E 扩展卡转接实现视频输出，视频输出必须通过独立显卡自带接口实现；</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w:t>
            </w:r>
            <w:r>
              <w:rPr>
                <w:rFonts w:hint="eastAsia" w:ascii="宋体" w:hAnsi="宋体" w:eastAsia="宋体" w:cs="宋体"/>
                <w:b w:val="0"/>
                <w:bCs w:val="0"/>
                <w:i w:val="0"/>
                <w:iCs w:val="0"/>
                <w:color w:val="auto"/>
                <w:kern w:val="0"/>
                <w:sz w:val="21"/>
                <w:szCs w:val="21"/>
                <w:highlight w:val="none"/>
                <w:u w:val="none"/>
                <w:lang w:val="en-US" w:eastAsia="zh-CN" w:bidi="ar"/>
              </w:rPr>
              <w:t>7、电源额定功率≥750W；电源交流转直流转换效率标准：20%、50%、100% 额定负载下转换效率分别≥90%、≥92%、≥89%，可在</w:t>
            </w:r>
            <w:r>
              <w:rPr>
                <w:rStyle w:val="106"/>
                <w:rFonts w:hint="eastAsia" w:ascii="宋体" w:hAnsi="宋体" w:eastAsia="宋体" w:cs="宋体"/>
                <w:b w:val="0"/>
                <w:bCs w:val="0"/>
                <w:color w:val="auto"/>
                <w:sz w:val="21"/>
                <w:szCs w:val="21"/>
                <w:highlight w:val="none"/>
                <w:lang w:val="en-US" w:eastAsia="zh-CN" w:bidi="ar"/>
              </w:rPr>
              <w:t>110V-220V</w:t>
            </w:r>
            <w:r>
              <w:rPr>
                <w:rFonts w:hint="eastAsia" w:ascii="宋体" w:hAnsi="宋体" w:eastAsia="宋体" w:cs="宋体"/>
                <w:b w:val="0"/>
                <w:bCs w:val="0"/>
                <w:i w:val="0"/>
                <w:iCs w:val="0"/>
                <w:color w:val="auto"/>
                <w:kern w:val="0"/>
                <w:sz w:val="21"/>
                <w:szCs w:val="21"/>
                <w:highlight w:val="none"/>
                <w:u w:val="none"/>
                <w:lang w:val="en-US" w:eastAsia="zh-CN" w:bidi="ar"/>
              </w:rPr>
              <w:t>超宽电压输入范围内工作；</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8、键鼠套装：配置USB 接口抗菌键盘，键盘配备≥5 个独立多媒体功能按键，具备防泼溅及导水槽结构设计；配置 USB 接口抗菌光电鼠标；</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▲9、机箱：为满足独立显卡安装及整机散热保障需要，机箱≥28L，机箱内置高速散热风扇≥2个，主板原生板载USB接口总数≥10个（不接受 PCI-E 插槽转接），其中前置≥6*USB 接口；前置≥1* 麦克风接口 + 1* 耳麦接口，后置≥3个音频接口；机箱防尘设计；</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10、配套显示</w:t>
            </w:r>
            <w:r>
              <w:rPr>
                <w:rStyle w:val="106"/>
                <w:rFonts w:hint="eastAsia" w:ascii="宋体" w:hAnsi="宋体" w:eastAsia="宋体" w:cs="宋体"/>
                <w:b w:val="0"/>
                <w:bCs w:val="0"/>
                <w:color w:val="auto"/>
                <w:sz w:val="21"/>
                <w:szCs w:val="21"/>
                <w:highlight w:val="none"/>
                <w:lang w:val="en-US" w:eastAsia="zh-CN" w:bidi="ar"/>
              </w:rPr>
              <w:t>终端</w:t>
            </w:r>
            <w:r>
              <w:rPr>
                <w:rFonts w:hint="eastAsia" w:ascii="宋体" w:hAnsi="宋体" w:eastAsia="宋体" w:cs="宋体"/>
                <w:b w:val="0"/>
                <w:bCs w:val="0"/>
                <w:i w:val="0"/>
                <w:iCs w:val="0"/>
                <w:color w:val="auto"/>
                <w:kern w:val="0"/>
                <w:sz w:val="21"/>
                <w:szCs w:val="21"/>
                <w:highlight w:val="none"/>
                <w:u w:val="none"/>
                <w:lang w:val="en-US" w:eastAsia="zh-CN" w:bidi="ar"/>
              </w:rPr>
              <w:t>功能要求：</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（1）、屏幕尺寸：≥27英寸</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（2）、屏幕类型：IPS面板</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（3）、屏幕分辨率：≥2.5K高清分辨率（2560*1440P）</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（4）、屏幕刷新率：≥100HZ</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（5）、屏幕设计：3边微窄边框设计</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（6）、接口要求≥1个HDMI接口，≥1个DP接口，≥1路Audio out接口；</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 xml:space="preserve">（7）、功能要求：显示器具备低蓝光护眼功能，用户可设置调整蓝光照射比例；带蓝光过滤器，用户可设置调整蓝光照射比例，比例数值至少有：50%、60%模式； </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（8）、色域覆盖率：≥100%Srgb、≥80%NTSC、≥95%DCI-P3；显示器色彩准确度≤2；</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 xml:space="preserve">（9）、显示器配套DP高清数据线：≥1根，线缆长度≥1.5m；数据线规格认证DP1.4或以上，DP接口公对公； </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11、产品可靠性要求：</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（1）、为降低噪声危害，要求产品通过低噪音试验，试验结果声功率级≤1.36Bel，声压级≤3.38dB；</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（2）、为降低电磁危害，要求产品通过电磁兼容试验；                                                                                                                                                                                              ▲12、供货及保修期要求：设备配置必须为出厂标配，整机非后期加装、非后期改装。整机（含图形工作站主机、配套显示</w:t>
            </w:r>
            <w:r>
              <w:rPr>
                <w:rStyle w:val="106"/>
                <w:rFonts w:hint="eastAsia" w:ascii="宋体" w:hAnsi="宋体" w:eastAsia="宋体" w:cs="宋体"/>
                <w:b w:val="0"/>
                <w:bCs w:val="0"/>
                <w:color w:val="auto"/>
                <w:sz w:val="21"/>
                <w:szCs w:val="21"/>
                <w:highlight w:val="none"/>
                <w:lang w:val="en-US" w:eastAsia="zh-CN" w:bidi="ar"/>
              </w:rPr>
              <w:t>终端</w:t>
            </w:r>
            <w:r>
              <w:rPr>
                <w:rFonts w:hint="eastAsia" w:ascii="宋体" w:hAnsi="宋体" w:eastAsia="宋体" w:cs="宋体"/>
                <w:b w:val="0"/>
                <w:bCs w:val="0"/>
                <w:i w:val="0"/>
                <w:iCs w:val="0"/>
                <w:color w:val="auto"/>
                <w:kern w:val="0"/>
                <w:sz w:val="21"/>
                <w:szCs w:val="21"/>
                <w:highlight w:val="none"/>
                <w:u w:val="none"/>
                <w:lang w:val="en-US" w:eastAsia="zh-CN" w:bidi="ar"/>
              </w:rPr>
              <w:t>、有线键鼠套装）提供≥5 年整机免费上门质保服务。</w:t>
            </w:r>
          </w:p>
        </w:tc>
      </w:tr>
      <w:tr w14:paraId="412B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239175B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3</w:t>
            </w:r>
          </w:p>
        </w:tc>
        <w:tc>
          <w:tcPr>
            <w:tcW w:w="337" w:type="pct"/>
            <w:noWrap w:val="0"/>
            <w:tcMar>
              <w:left w:w="57" w:type="dxa"/>
              <w:right w:w="57" w:type="dxa"/>
            </w:tcMar>
            <w:vAlign w:val="center"/>
          </w:tcPr>
          <w:p w14:paraId="7DFFC0C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教学桌面云系统</w:t>
            </w:r>
          </w:p>
        </w:tc>
        <w:tc>
          <w:tcPr>
            <w:tcW w:w="341" w:type="pct"/>
            <w:gridSpan w:val="2"/>
            <w:noWrap w:val="0"/>
            <w:tcMar>
              <w:left w:w="57" w:type="dxa"/>
              <w:right w:w="57" w:type="dxa"/>
            </w:tcMar>
            <w:vAlign w:val="center"/>
          </w:tcPr>
          <w:p w14:paraId="2DB25BAD">
            <w:pPr>
              <w:widowControl/>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kern w:val="0"/>
                <w:sz w:val="21"/>
                <w:szCs w:val="21"/>
                <w:highlight w:val="none"/>
              </w:rPr>
              <w:t>软件和信息技术服务业</w:t>
            </w:r>
          </w:p>
        </w:tc>
        <w:tc>
          <w:tcPr>
            <w:tcW w:w="299" w:type="pct"/>
            <w:noWrap w:val="0"/>
            <w:tcMar>
              <w:left w:w="57" w:type="dxa"/>
              <w:right w:w="57" w:type="dxa"/>
            </w:tcMar>
            <w:vAlign w:val="center"/>
          </w:tcPr>
          <w:p w14:paraId="6FF79A9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110</w:t>
            </w:r>
          </w:p>
        </w:tc>
        <w:tc>
          <w:tcPr>
            <w:tcW w:w="221" w:type="pct"/>
            <w:noWrap w:val="0"/>
            <w:tcMar>
              <w:left w:w="57" w:type="dxa"/>
              <w:right w:w="57" w:type="dxa"/>
            </w:tcMar>
            <w:vAlign w:val="center"/>
          </w:tcPr>
          <w:p w14:paraId="1B96660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点</w:t>
            </w:r>
          </w:p>
        </w:tc>
        <w:tc>
          <w:tcPr>
            <w:tcW w:w="559" w:type="pct"/>
            <w:noWrap w:val="0"/>
            <w:tcMar>
              <w:left w:w="57" w:type="dxa"/>
              <w:right w:w="57" w:type="dxa"/>
            </w:tcMar>
            <w:vAlign w:val="center"/>
          </w:tcPr>
          <w:p w14:paraId="3E766DB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800.00 </w:t>
            </w:r>
          </w:p>
        </w:tc>
        <w:tc>
          <w:tcPr>
            <w:tcW w:w="3053" w:type="pct"/>
            <w:gridSpan w:val="2"/>
            <w:noWrap w:val="0"/>
            <w:tcMar>
              <w:left w:w="57" w:type="dxa"/>
              <w:right w:w="57" w:type="dxa"/>
            </w:tcMar>
            <w:vAlign w:val="center"/>
          </w:tcPr>
          <w:p w14:paraId="25C2D7C5">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1、通过单一IP地址可访问 Web 管理平台并管理所有区域对象，多区域之间可以进行切换；在系统设置页面，可设定默认访问的主区域;在区域管理页面，可新增、修改、删除子区域，新增区域时验证对应平台的账号和密码。</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▲2、支持端对端数据智能传输，可将已有镜像的终端作为发送端，给同教室内其他终端下发镜像，提升系统下发效率。</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▲3、在操作日志页面，统计并整合呈现多个区域平台的操作日志，操作日志无法被管理员删除或修改，日志内容涵盖对操作者、操作者IP、操作时间、操作主机 IP、操作内容、操作状态、操作对象及操作对象类型，管理员可按照时间段筛选该时间段内所有的操作记录，也可通过搜索栏搜索操作内容、操作者、主机 IP 及操作对象快速筛选对应的信息。</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▲4、系统下发支持分盘下发，可同时下发系统盘和数据盘数据，也可独立分发系统盘数据，满足系统盘更新同时保留数据盘数据的需求，提升系统下发的灵活性。</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平台支持下发windows和linux系统，在为教室分配桌面时，能够手动选择配置好的windows和linux模板，桌面创建支持自动编排终端的计算机名及编号，能够单独设定桌面系统盘/数据盘的还原属性，支持不还原/每次还原/每周还原/每月还原，支持自动更新桌面。</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可根据办公、实训、教学等不同场景应用需求来为模板自定义划分不同分组，新增模板时可设定模板分组，支持根据模板的操作系统选择固件为BIOS或UEFI，可列表式选择已生成的硬件配置进行模板的性能设置，可自定义开启磁盘兼容模式，自定义设置模板的网络配置，支持调用已上传的操作系统镜像作为模板的系统从而生成新的模板。</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▲7、在资源池管理页面，可设置集群内节点多个网卡的bond 模式,涵盖 activebackup、broadcast、roundrobin、random、lacp和loadbalance 六种模式。</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color w:val="auto"/>
                <w:highlight w:val="none"/>
              </w:rPr>
              <w:t>※</w:t>
            </w:r>
            <w:r>
              <w:rPr>
                <w:rFonts w:hint="eastAsia" w:ascii="宋体" w:hAnsi="宋体" w:eastAsia="宋体" w:cs="宋体"/>
                <w:b w:val="0"/>
                <w:bCs w:val="0"/>
                <w:i w:val="0"/>
                <w:iCs w:val="0"/>
                <w:color w:val="auto"/>
                <w:kern w:val="0"/>
                <w:sz w:val="21"/>
                <w:szCs w:val="21"/>
                <w:highlight w:val="none"/>
                <w:u w:val="none"/>
                <w:lang w:val="en-US" w:eastAsia="zh-CN" w:bidi="ar"/>
              </w:rPr>
              <w:t>8、支持在WEB管理平台上直接对服务器SSD硬盘进行性能测试，不依赖第三方测试工具，可获取SSD硬盘16K随机读、顺序写数值，并给出测试评级结果，便于管理员定位系统故障。</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color w:val="auto"/>
                <w:highlight w:val="none"/>
              </w:rPr>
              <w:t>※</w:t>
            </w:r>
            <w:r>
              <w:rPr>
                <w:rFonts w:hint="eastAsia" w:ascii="宋体" w:hAnsi="宋体" w:eastAsia="宋体" w:cs="宋体"/>
                <w:b w:val="0"/>
                <w:bCs w:val="0"/>
                <w:i w:val="0"/>
                <w:iCs w:val="0"/>
                <w:color w:val="auto"/>
                <w:kern w:val="0"/>
                <w:sz w:val="21"/>
                <w:szCs w:val="21"/>
                <w:highlight w:val="none"/>
                <w:u w:val="none"/>
                <w:lang w:val="en-US" w:eastAsia="zh-CN" w:bidi="ar"/>
              </w:rPr>
              <w:t>9、支持模板分享链接，管理员可以将编辑模板的链接分享给需要编辑模板的用户，在浏览器中直接输入链接地址即可对模板进行编辑，支持分享日期、分享链接的失效期设置。</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10、在教学模板页面，可在线制作模板;在测试客户端上安装 VOI Client软件，可在本地样机制作模板，测试客户端重启后可以进行模板上传系统操作，模板的操作系统支持使用黄金镜像、纯净镜像及用户现有系统镜像。</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11、在教学模板页面，可基于模板克隆一个无需设置硬件配置的新模板，支持克隆为VOI教学模板和个人模板，完整克隆模式不依赖原有模板数据创建完整副本模板并进行完整数据下发，链接克隆模式依赖原有模板数据创建增量模板并进行增量数据下发。</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12、单台终端可部署多个操作系统，基于VOI桌面可在管理平台上设置终端数据盘（VOI），可任意选定可使用数据盘的操作系统数量，可设置终端数据盘的容量大小，并能设定清除策略，包含不清除/每周清除/每月清除。</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13、在物理教室页面，可通过单双号方式筛选对应序号类型的终端；支持≥5种终端运行状态筛选定位查看终端。</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14、支持管理平台的暴力破解防护，管理员可设置一定时间内用户连续密码校验错误的次数，当输入账号密码错误时会提示剩余错误次数，密码错误数达到管理员设置的阈值时对应账号变为禁用状态即刻强制冻结，管理员可设定强制冻结后自动解禁的时间阈值，当自动解禁后对应账号状态变为正常方可正常登录，也可由管理员将对应冻结账号一键解锁。</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color w:val="auto"/>
                <w:highlight w:val="none"/>
              </w:rPr>
              <w:t>※</w:t>
            </w:r>
            <w:r>
              <w:rPr>
                <w:rFonts w:hint="eastAsia" w:ascii="宋体" w:hAnsi="宋体" w:eastAsia="宋体" w:cs="宋体"/>
                <w:b w:val="0"/>
                <w:bCs w:val="0"/>
                <w:i w:val="0"/>
                <w:iCs w:val="0"/>
                <w:color w:val="auto"/>
                <w:kern w:val="0"/>
                <w:sz w:val="21"/>
                <w:szCs w:val="21"/>
                <w:highlight w:val="none"/>
                <w:u w:val="none"/>
                <w:lang w:val="en-US" w:eastAsia="zh-CN" w:bidi="ar"/>
              </w:rPr>
              <w:t>15、打开终端的桌面工具，可查看热门工具模块支持锁定电脑、重启打印服务、全局搜索、查看个性设置保存模块支持保存防火墙设置、刷新率、网络检测、调整最佳分辨率、远程桌面设置、清除无效快捷方式等个性设置；Windows工具箱模块提供系统工具、网络工具、优化工具和其他工具。</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16、支持在虚拟桌面管理平台上编辑学期课表 （无需依赖第三方软件或脚本），可设置学期开始和结束时间、每节课起始时间（支持单双周排课），可直接将桌面模板拖拽到课表中，并按课表时间自动启动桌面环境，便于桌面的灵活切换。</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17、支持本地存储及远端存储，支持Windows客户端和B/S网页端两种模式访问，创建桌面账户时，同步生成网盘账号，启用网盘后，在教学桌面中通过账号登录网盘，在个人桌面中无需登录可直接访问网盘；可扩容不同账号的网盘空间容量，网盘支持文件夹上传，教师在本地同步目录下的文件可以自动同步至云端，多个用户可创建群组共享文件，可设置群组管理权限及对文件的读写权限，通过文件的共享链接可查看并下载文件。</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18、平台导航栏上有在线客服对话窗口，支持文字、图片和表情包发送；支持附件上传，可随时关闭、打开在线客服对话窗口，具备官方微信服务号二维码。</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19、为了保证服务器不因拉闸断电导致硬件损坏，能够通过平台设置服务器定时关机策略，能够设定周一至周五，服务器自动关机的时间，能够精确到分钟。</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20、能够自定义管理平台识别信息，例如浏览器地址栏LOGO、平台页面LOGO，并能够恢复设置。</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21、支持usb急救恢复，无需通过管理平台或者样机模式下发桌面，直接在终端插入专用急救u盘，即可快速恢复操作系统，恢复以后仍可被管理平台识别和管理。</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color w:val="auto"/>
                <w:highlight w:val="none"/>
              </w:rPr>
              <w:t>※</w:t>
            </w:r>
            <w:r>
              <w:rPr>
                <w:rFonts w:hint="eastAsia" w:ascii="宋体" w:hAnsi="宋体" w:eastAsia="宋体" w:cs="宋体"/>
                <w:b w:val="0"/>
                <w:bCs w:val="0"/>
                <w:i w:val="0"/>
                <w:iCs w:val="0"/>
                <w:color w:val="auto"/>
                <w:kern w:val="0"/>
                <w:sz w:val="21"/>
                <w:szCs w:val="21"/>
                <w:highlight w:val="none"/>
                <w:u w:val="none"/>
                <w:lang w:val="en-US" w:eastAsia="zh-CN" w:bidi="ar"/>
              </w:rPr>
              <w:t>22、提供独立的桌面云系统检测工具，可检测服务器、终端连接状态，集群网络状态，数据库状态，文件系统状态，模板状态，桌面状态等内容，可提供体检分数和检测结果详情展示，并可生成检测报告，也可对检测的问题进行一键恢复，便于系统的日常运维。</w:t>
            </w:r>
          </w:p>
        </w:tc>
      </w:tr>
      <w:tr w14:paraId="36232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6CB08A1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4</w:t>
            </w:r>
          </w:p>
        </w:tc>
        <w:tc>
          <w:tcPr>
            <w:tcW w:w="337" w:type="pct"/>
            <w:noWrap w:val="0"/>
            <w:tcMar>
              <w:left w:w="57" w:type="dxa"/>
              <w:right w:w="57" w:type="dxa"/>
            </w:tcMar>
            <w:vAlign w:val="center"/>
          </w:tcPr>
          <w:p w14:paraId="58FFB1F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多媒体教学软件</w:t>
            </w:r>
          </w:p>
        </w:tc>
        <w:tc>
          <w:tcPr>
            <w:tcW w:w="341" w:type="pct"/>
            <w:gridSpan w:val="2"/>
            <w:noWrap w:val="0"/>
            <w:tcMar>
              <w:left w:w="57" w:type="dxa"/>
              <w:right w:w="57" w:type="dxa"/>
            </w:tcMar>
            <w:vAlign w:val="center"/>
          </w:tcPr>
          <w:p w14:paraId="1ACA588E">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软件和信息技术服务业</w:t>
            </w:r>
          </w:p>
        </w:tc>
        <w:tc>
          <w:tcPr>
            <w:tcW w:w="299" w:type="pct"/>
            <w:noWrap w:val="0"/>
            <w:tcMar>
              <w:left w:w="57" w:type="dxa"/>
              <w:right w:w="57" w:type="dxa"/>
            </w:tcMar>
            <w:vAlign w:val="center"/>
          </w:tcPr>
          <w:p w14:paraId="1E571F4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110</w:t>
            </w:r>
          </w:p>
        </w:tc>
        <w:tc>
          <w:tcPr>
            <w:tcW w:w="221" w:type="pct"/>
            <w:noWrap w:val="0"/>
            <w:tcMar>
              <w:left w:w="57" w:type="dxa"/>
              <w:right w:w="57" w:type="dxa"/>
            </w:tcMar>
            <w:vAlign w:val="center"/>
          </w:tcPr>
          <w:p w14:paraId="4CD1F73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点</w:t>
            </w:r>
          </w:p>
        </w:tc>
        <w:tc>
          <w:tcPr>
            <w:tcW w:w="559" w:type="pct"/>
            <w:noWrap w:val="0"/>
            <w:tcMar>
              <w:left w:w="57" w:type="dxa"/>
              <w:right w:w="57" w:type="dxa"/>
            </w:tcMar>
            <w:vAlign w:val="center"/>
          </w:tcPr>
          <w:p w14:paraId="4B5C48F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120.00 </w:t>
            </w:r>
          </w:p>
        </w:tc>
        <w:tc>
          <w:tcPr>
            <w:tcW w:w="3053" w:type="pct"/>
            <w:gridSpan w:val="2"/>
            <w:noWrap w:val="0"/>
            <w:tcMar>
              <w:left w:w="57" w:type="dxa"/>
              <w:right w:w="57" w:type="dxa"/>
            </w:tcMar>
            <w:vAlign w:val="center"/>
          </w:tcPr>
          <w:p w14:paraId="2FA05C0B">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1、.支持IPV4、IPV6网络环境下安装和正常使用，支持windows 7 32位/64位，windows10 64位、windows11 64位操作系统。</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2、教师自带笔记本可通过mac绑定和ip绑定两种方式快速连接服务器和学生端，实现多媒体互动教学。</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▲3、屏幕广播支持区域广播方式，教师端可选取一块区域广播给学生机。</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4、屏幕广播状态下，教师可开启实时语音，学生端可以通过耳机接听教师语音，同时支持屏幕笔功能，教师可通过屏幕笔将屏幕当做画板进行绘制，便于教学互动。</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5、屏幕广播支持弹幕，教师机开启弹幕后，教师机和学生机可发送弹幕信息，便于及时交流、增强教学互动性。</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6、屏幕广播支持笔记截屏，教师机开启笔记截屏后，全屏广播时学生机可一键截取屏幕，保存上课重点信息。</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7、支持影音广播，即使在终端未进入桌面的状态，也能够实现全体学生的影音广播，影音广播下支持视频的切换、暂停，并支持点击进度条任意地方以改变视频播放进度。</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▲8、在屏幕广播之后连接上来的终端可直接接收屏幕广播内容，用户终端关闭虚拟桌面仍可同步广播教师机屏幕和视频，不会中断教学。</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9、教师可选定一个学生操作本机或操作教师机进行教学演示，并将该学生演示的画面广播给每一个学生；被广播的学生将全屏/窗口接收演示学生的画面，全屏状态键盘和鼠标被锁定。</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▲10、教师机可以连续监看所选学生机屏幕，每屏可监视多个学生,可设置每屏学生机的数量以及学生机屏幕轮循的时间间隔。</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11、具备游戏互动教学功能，支持击鼓传花，电子抢答等互动方式。</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12、上课过程中，老师可对学生奖励小红花，教师机可显示小红花奖励排行榜，显示每个学生的奖励数量，并可向学生发布奖励排行榜，提升学生参与感和学习兴趣。</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13、教师机可控制学生机是否可开启麦克风进行对话，开启语音连麦后，教师和学生可通过麦克风对话，语音交流可被班级其它所有学生听到，便于课堂语音互动。</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14、支持保存电子点名信息为班级座位信息，老师可导入班级座位信息，将机房上机机位与学生信息进行绑定，便于学生来机房后使用固定位置上机。</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15、支持作业下发，教师机可将自己机器上的文件传输到学生机，支持一对多传输，当选中多台学生机执行下发文件时，教师端需选择其中一台学生机作为样本机，并选择存放路径，支持发送文件或文件夹。</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16、支持收取作业，教师可发起作业提交，学生提交作业后自动收取，默认将收取上来的作业存放在桌面，该路径可自定义更换；作业命名方式支持学生自定义和教师自定义，教师自定义命名支持加入学生姓名、学号、学生机器名或学生机IP地址中的一种方式。</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w:t>
            </w:r>
            <w:r>
              <w:rPr>
                <w:rStyle w:val="107"/>
                <w:rFonts w:hint="eastAsia" w:ascii="宋体" w:hAnsi="宋体" w:eastAsia="宋体" w:cs="宋体"/>
                <w:b w:val="0"/>
                <w:bCs w:val="0"/>
                <w:color w:val="auto"/>
                <w:sz w:val="21"/>
                <w:szCs w:val="21"/>
                <w:highlight w:val="none"/>
                <w:lang w:val="en-US" w:eastAsia="zh-CN" w:bidi="ar"/>
              </w:rPr>
              <w:t>17、支持与云桌面平台联动，学生机与教师机支持共用同一套管理模板，系统根据终端角色自动派生教师端，无需单独安装或配置教师端程序。</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18、支持电子白板功能，可用电子白版进行绘制演示，并可共享到学生机，支持教师和学生协作共同通过电子白版进行知识总结、画面制作等。</w:t>
            </w:r>
            <w:r>
              <w:rPr>
                <w:rStyle w:val="106"/>
                <w:rFonts w:hint="eastAsia" w:ascii="宋体" w:hAnsi="宋体" w:eastAsia="宋体" w:cs="宋体"/>
                <w:b w:val="0"/>
                <w:bCs w:val="0"/>
                <w:color w:val="auto"/>
                <w:sz w:val="21"/>
                <w:szCs w:val="21"/>
                <w:highlight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w:t>
            </w:r>
            <w:r>
              <w:rPr>
                <w:rStyle w:val="106"/>
                <w:rFonts w:hint="eastAsia" w:ascii="宋体" w:hAnsi="宋体" w:eastAsia="宋体" w:cs="宋体"/>
                <w:b w:val="0"/>
                <w:bCs w:val="0"/>
                <w:color w:val="auto"/>
                <w:sz w:val="21"/>
                <w:szCs w:val="21"/>
                <w:highlight w:val="none"/>
                <w:lang w:val="en-US" w:eastAsia="zh-CN" w:bidi="ar"/>
              </w:rPr>
              <w:t>19、支持黑屏肃静，教师可对学生执行黑屏肃静操作，能够自定义黑屏肃静的提示信息，支持手动解锁、按时解锁、按时长解锁。</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20、教师机对学生执行黑屏肃静后，支持追加学生执行黑屏肃静，也支持对单个学生机取消黑屏肃静，上课管理更灵活。</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21、支持班级学生使用固定位置上机，开机后学生机显示该座位绑定的学生信息，学生可根据自己的姓名找到上一次上机的位置进行上机，并可直接上机签到。</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 xml:space="preserve">22、提供行为管控模块，支持程序黑白名单限制，支持禁用外网，禁用USB设备，教师端主界面可展示USB设备、程序、网络禁用状态。 </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 xml:space="preserve">23、支持对学生的网络搜索进行关键字屏蔽，教师机设置限制搜索的关键词后，学生机通过浏览器搜索禁用的关键词，会自动弹出提示信息，或直接关闭学生机浏览器。 </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24、支持考试功能，包括试题编辑、下发试卷、考试监控、成绩统计。可添加单选题、多选题、判断题、填空题、问答题；可设置考试时长，倒计时结束后自动结束考试。阅卷时，单选题、多选题、判断题支持自动评分和统计正确率。</w:t>
            </w:r>
            <w:r>
              <w:rPr>
                <w:rStyle w:val="106"/>
                <w:rFonts w:hint="eastAsia" w:ascii="宋体" w:hAnsi="宋体" w:eastAsia="宋体" w:cs="宋体"/>
                <w:b w:val="0"/>
                <w:bCs w:val="0"/>
                <w:color w:val="auto"/>
                <w:sz w:val="21"/>
                <w:szCs w:val="21"/>
                <w:highlight w:val="none"/>
                <w:lang w:val="en-US" w:eastAsia="zh-CN" w:bidi="ar"/>
              </w:rPr>
              <w:br w:type="textWrapping"/>
            </w:r>
            <w:r>
              <w:rPr>
                <w:rStyle w:val="106"/>
                <w:rFonts w:hint="eastAsia" w:ascii="宋体" w:hAnsi="宋体" w:eastAsia="宋体" w:cs="宋体"/>
                <w:b w:val="0"/>
                <w:bCs w:val="0"/>
                <w:color w:val="auto"/>
                <w:sz w:val="21"/>
                <w:szCs w:val="21"/>
                <w:highlight w:val="none"/>
                <w:lang w:val="en-US" w:eastAsia="zh-CN" w:bidi="ar"/>
              </w:rPr>
              <w:t>25、提供试题编制小工具，可下载小工具到教师自己的机器上，便于随时进行试卷编辑，编辑好的试卷可直接在教师机界面导入和下发。</w:t>
            </w:r>
            <w:r>
              <w:rPr>
                <w:rStyle w:val="106"/>
                <w:rFonts w:hint="eastAsia" w:ascii="宋体" w:hAnsi="宋体" w:eastAsia="宋体" w:cs="宋体"/>
                <w:b w:val="0"/>
                <w:bCs w:val="0"/>
                <w:color w:val="auto"/>
                <w:sz w:val="21"/>
                <w:szCs w:val="21"/>
                <w:highlight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w:t>
            </w:r>
            <w:r>
              <w:rPr>
                <w:rStyle w:val="106"/>
                <w:rFonts w:hint="eastAsia" w:ascii="宋体" w:hAnsi="宋体" w:eastAsia="宋体" w:cs="宋体"/>
                <w:b w:val="0"/>
                <w:bCs w:val="0"/>
                <w:color w:val="auto"/>
                <w:sz w:val="21"/>
                <w:szCs w:val="21"/>
                <w:highlight w:val="none"/>
                <w:lang w:val="en-US" w:eastAsia="zh-CN" w:bidi="ar"/>
              </w:rPr>
              <w:t>26、支持与桌面云软件融合打通，通过教学软件实现操作系统一键切换，可关闭云桌面服务器和学生机。</w:t>
            </w:r>
          </w:p>
        </w:tc>
      </w:tr>
      <w:tr w14:paraId="7322B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4A84192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5</w:t>
            </w:r>
          </w:p>
        </w:tc>
        <w:tc>
          <w:tcPr>
            <w:tcW w:w="337" w:type="pct"/>
            <w:noWrap w:val="0"/>
            <w:tcMar>
              <w:left w:w="57" w:type="dxa"/>
              <w:right w:w="57" w:type="dxa"/>
            </w:tcMar>
            <w:vAlign w:val="center"/>
          </w:tcPr>
          <w:p w14:paraId="127845A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电脑主机保险箱</w:t>
            </w:r>
          </w:p>
        </w:tc>
        <w:tc>
          <w:tcPr>
            <w:tcW w:w="341" w:type="pct"/>
            <w:gridSpan w:val="2"/>
            <w:noWrap w:val="0"/>
            <w:tcMar>
              <w:left w:w="57" w:type="dxa"/>
              <w:right w:w="57" w:type="dxa"/>
            </w:tcMar>
            <w:vAlign w:val="center"/>
          </w:tcPr>
          <w:p w14:paraId="029C5D8C">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5B7B460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110</w:t>
            </w:r>
          </w:p>
        </w:tc>
        <w:tc>
          <w:tcPr>
            <w:tcW w:w="221" w:type="pct"/>
            <w:noWrap w:val="0"/>
            <w:tcMar>
              <w:left w:w="57" w:type="dxa"/>
              <w:right w:w="57" w:type="dxa"/>
            </w:tcMar>
            <w:vAlign w:val="center"/>
          </w:tcPr>
          <w:p w14:paraId="12A8C7D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个</w:t>
            </w:r>
          </w:p>
        </w:tc>
        <w:tc>
          <w:tcPr>
            <w:tcW w:w="559" w:type="pct"/>
            <w:noWrap w:val="0"/>
            <w:tcMar>
              <w:left w:w="57" w:type="dxa"/>
              <w:right w:w="57" w:type="dxa"/>
            </w:tcMar>
            <w:vAlign w:val="center"/>
          </w:tcPr>
          <w:p w14:paraId="1F909DE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130.00 </w:t>
            </w:r>
          </w:p>
        </w:tc>
        <w:tc>
          <w:tcPr>
            <w:tcW w:w="3053" w:type="pct"/>
            <w:gridSpan w:val="2"/>
            <w:noWrap w:val="0"/>
            <w:tcMar>
              <w:left w:w="57" w:type="dxa"/>
              <w:right w:w="57" w:type="dxa"/>
            </w:tcMar>
            <w:vAlign w:val="center"/>
          </w:tcPr>
          <w:p w14:paraId="402BFF62">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1、定制规格尺寸：主机铁托板尺寸≥590*300（mm），保护前铁挡板尺寸≥590*300（mm） ，前铁挡板采用竖条铁板或铁方通造型，竖条铁板或铁方通数量≥2条，前挡板带合页便于开门及日常操作 ；带通用锁扣+锁孔≥1个； </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2、材料厚度≥1.2（mm）；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3、配通用型（锁头+钥匙）1套</w:t>
            </w:r>
          </w:p>
        </w:tc>
      </w:tr>
      <w:tr w14:paraId="65DF7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2B1340B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6</w:t>
            </w:r>
          </w:p>
        </w:tc>
        <w:tc>
          <w:tcPr>
            <w:tcW w:w="337" w:type="pct"/>
            <w:noWrap w:val="0"/>
            <w:tcMar>
              <w:left w:w="57" w:type="dxa"/>
              <w:right w:w="57" w:type="dxa"/>
            </w:tcMar>
            <w:vAlign w:val="center"/>
          </w:tcPr>
          <w:p w14:paraId="6A397D3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24口交换机</w:t>
            </w:r>
          </w:p>
        </w:tc>
        <w:tc>
          <w:tcPr>
            <w:tcW w:w="341" w:type="pct"/>
            <w:gridSpan w:val="2"/>
            <w:noWrap w:val="0"/>
            <w:tcMar>
              <w:left w:w="57" w:type="dxa"/>
              <w:right w:w="57" w:type="dxa"/>
            </w:tcMar>
            <w:vAlign w:val="center"/>
          </w:tcPr>
          <w:p w14:paraId="537F2040">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3CD6C82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221" w:type="pct"/>
            <w:noWrap w:val="0"/>
            <w:tcMar>
              <w:left w:w="57" w:type="dxa"/>
              <w:right w:w="57" w:type="dxa"/>
            </w:tcMar>
            <w:vAlign w:val="center"/>
          </w:tcPr>
          <w:p w14:paraId="43988C2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台</w:t>
            </w:r>
          </w:p>
        </w:tc>
        <w:tc>
          <w:tcPr>
            <w:tcW w:w="559" w:type="pct"/>
            <w:noWrap w:val="0"/>
            <w:tcMar>
              <w:left w:w="57" w:type="dxa"/>
              <w:right w:w="57" w:type="dxa"/>
            </w:tcMar>
            <w:vAlign w:val="center"/>
          </w:tcPr>
          <w:p w14:paraId="5AE5001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2800.00 </w:t>
            </w:r>
          </w:p>
        </w:tc>
        <w:tc>
          <w:tcPr>
            <w:tcW w:w="3053" w:type="pct"/>
            <w:gridSpan w:val="2"/>
            <w:noWrap w:val="0"/>
            <w:tcMar>
              <w:left w:w="57" w:type="dxa"/>
              <w:right w:w="57" w:type="dxa"/>
            </w:tcMar>
            <w:vAlign w:val="center"/>
          </w:tcPr>
          <w:p w14:paraId="1538F010">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▲1、端口：≥24个10/100/1000BASE-T电口，≥4个1/2.5/10GE SFP+端口；</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▲2、交换容量≥670Gbps，转发性能≥170Mpps；</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3、支持CLI命令行、Web网管、TELNET管理方式；</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▲4、支持SDN/Openflow功能；</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5、支持MAC地址绑定及MAC地址学习，支持静态MAC个数≥16K；</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6、支持组播VLAN、Guest VLAN、MAC VLAN；</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7、支持端口自环检测，防止数据环路引起广播风暴；</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8、支持端口镜像、流镜像；</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9、支持单端口多认证Triple功能；</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10、支持ARP防御功能，支持终端准入控制功能；</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▲11、防雷能力：≥10KV；</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12、支持EEE节能功能；</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13、支持链路通断快速检测及端口环路检测功能；</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 xml:space="preserve">▲14、保修期：≥3年上门保修服务                                                                                                                                                                                                 </w:t>
            </w:r>
          </w:p>
        </w:tc>
      </w:tr>
      <w:tr w14:paraId="2AD73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5D13E25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7</w:t>
            </w:r>
          </w:p>
        </w:tc>
        <w:tc>
          <w:tcPr>
            <w:tcW w:w="337" w:type="pct"/>
            <w:noWrap w:val="0"/>
            <w:tcMar>
              <w:left w:w="57" w:type="dxa"/>
              <w:right w:w="57" w:type="dxa"/>
            </w:tcMar>
            <w:vAlign w:val="center"/>
          </w:tcPr>
          <w:p w14:paraId="3A710DF7">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48口交换机</w:t>
            </w:r>
          </w:p>
        </w:tc>
        <w:tc>
          <w:tcPr>
            <w:tcW w:w="341" w:type="pct"/>
            <w:gridSpan w:val="2"/>
            <w:noWrap w:val="0"/>
            <w:tcMar>
              <w:left w:w="57" w:type="dxa"/>
              <w:right w:w="57" w:type="dxa"/>
            </w:tcMar>
            <w:vAlign w:val="center"/>
          </w:tcPr>
          <w:p w14:paraId="267EC877">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322493A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2</w:t>
            </w:r>
          </w:p>
        </w:tc>
        <w:tc>
          <w:tcPr>
            <w:tcW w:w="221" w:type="pct"/>
            <w:noWrap w:val="0"/>
            <w:tcMar>
              <w:left w:w="57" w:type="dxa"/>
              <w:right w:w="57" w:type="dxa"/>
            </w:tcMar>
            <w:vAlign w:val="center"/>
          </w:tcPr>
          <w:p w14:paraId="79768CF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台</w:t>
            </w:r>
          </w:p>
        </w:tc>
        <w:tc>
          <w:tcPr>
            <w:tcW w:w="559" w:type="pct"/>
            <w:noWrap w:val="0"/>
            <w:tcMar>
              <w:left w:w="57" w:type="dxa"/>
              <w:right w:w="57" w:type="dxa"/>
            </w:tcMar>
            <w:vAlign w:val="center"/>
          </w:tcPr>
          <w:p w14:paraId="366AE00A">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4000.00 </w:t>
            </w:r>
          </w:p>
        </w:tc>
        <w:tc>
          <w:tcPr>
            <w:tcW w:w="3053" w:type="pct"/>
            <w:gridSpan w:val="2"/>
            <w:noWrap w:val="0"/>
            <w:tcMar>
              <w:left w:w="57" w:type="dxa"/>
              <w:right w:w="57" w:type="dxa"/>
            </w:tcMar>
            <w:vAlign w:val="center"/>
          </w:tcPr>
          <w:p w14:paraId="238E07DF">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▲1、端口类型≥48个10/100/1000TX Base-T电口，≥4个1/10GE SFP+光口</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▲2、交换容量≥750Gbps/7.58Tbps，包转发率≥220Mpps/330Mpps，整机功耗≤45W</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▲3、支持端口防雷≥6KV</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4、环境温度：-5℃～50℃</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5、支持静态MAC配置，支持静态MAC个数≥1K</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6、支持MAC地址绑定、支持MAC地址学习</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7、支持组播VLAN、Guest VLAN、MAC VLAN、端口的VLAN</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8、支持端口自环检测，可防止数据环路引起广播风暴</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9、支持端口镜像、流镜像</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10、支持IEEE 802.3ad，支持动态链路聚合LACP</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11、支持Jumbo Frame数据传输</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12、支持端口限速、流的重定向功能，防止恶意侵占网络带宽，提供多种精细化管理手段</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13、支持ARP Detection功能，支持ARP限速</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▲14、支持SNMP v1/v2/v3、TELNET、SSH2.0等多种管理方式，支持管理系统、WEB网管，支持云管和快网络功能</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15、支持包过滤功能，支持 SP/WRR/SP+WRR队列调度，支持双向ACL</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16、支持防私接DHCP Snooping，支持DHCP Relay，避免上网终端从非法DHCP服务器分配IP地址，保障网络安全</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17、支持802.1X认证、WEB认证、MAC认证和二三层Portal认证</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18、可console管理，支持命令行接口配置</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19、支持FTP和TFTP加载升级</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20、支持风暴抑制，包括广播抑制、单播抑制和组播抑制。</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21、支持STP/RSTP/MSTP多种生成树协议，提高容错能力，提升网络稳定性</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22、支持调试信息输出，支持Ping、Tracert和Telnet远程维护，支持NQA、DLDP和虚拟电缆检测</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23、支持ERPS环网协议。</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24、支持丰富的IPv6业务特性及多种IPv6管理手段                                                                                                                                                                                                   ▲25、保修期：≥3年上门保修服务</w:t>
            </w:r>
          </w:p>
        </w:tc>
      </w:tr>
      <w:tr w14:paraId="15BEC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4CC3367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8</w:t>
            </w:r>
          </w:p>
        </w:tc>
        <w:tc>
          <w:tcPr>
            <w:tcW w:w="337" w:type="pct"/>
            <w:noWrap w:val="0"/>
            <w:tcMar>
              <w:left w:w="57" w:type="dxa"/>
              <w:right w:w="57" w:type="dxa"/>
            </w:tcMar>
            <w:vAlign w:val="center"/>
          </w:tcPr>
          <w:p w14:paraId="7A871CB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六类网线</w:t>
            </w:r>
          </w:p>
        </w:tc>
        <w:tc>
          <w:tcPr>
            <w:tcW w:w="341" w:type="pct"/>
            <w:gridSpan w:val="2"/>
            <w:noWrap w:val="0"/>
            <w:tcMar>
              <w:left w:w="57" w:type="dxa"/>
              <w:right w:w="57" w:type="dxa"/>
            </w:tcMar>
            <w:vAlign w:val="center"/>
          </w:tcPr>
          <w:p w14:paraId="385E0569">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297F0C1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8</w:t>
            </w:r>
          </w:p>
        </w:tc>
        <w:tc>
          <w:tcPr>
            <w:tcW w:w="221" w:type="pct"/>
            <w:noWrap w:val="0"/>
            <w:tcMar>
              <w:left w:w="57" w:type="dxa"/>
              <w:right w:w="57" w:type="dxa"/>
            </w:tcMar>
            <w:vAlign w:val="center"/>
          </w:tcPr>
          <w:p w14:paraId="77726FF0">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箱</w:t>
            </w:r>
          </w:p>
        </w:tc>
        <w:tc>
          <w:tcPr>
            <w:tcW w:w="559" w:type="pct"/>
            <w:noWrap w:val="0"/>
            <w:tcMar>
              <w:left w:w="57" w:type="dxa"/>
              <w:right w:w="57" w:type="dxa"/>
            </w:tcMar>
            <w:vAlign w:val="center"/>
          </w:tcPr>
          <w:p w14:paraId="609CB6C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1050.00 </w:t>
            </w:r>
          </w:p>
        </w:tc>
        <w:tc>
          <w:tcPr>
            <w:tcW w:w="3053" w:type="pct"/>
            <w:gridSpan w:val="2"/>
            <w:noWrap w:val="0"/>
            <w:tcMar>
              <w:left w:w="57" w:type="dxa"/>
              <w:right w:w="57" w:type="dxa"/>
            </w:tcMar>
            <w:vAlign w:val="center"/>
          </w:tcPr>
          <w:p w14:paraId="08D77BC8">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▲1、导体：23AWG实心无氧铜（符合国标要求）</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2、绝缘层：高密度聚乙烯（HDPE），厚度≥0.2mm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3、外护套：聚氯乙烯（PVC）厚度≥0.55mm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▲4、线缆结构：4对8芯双绞线,每对之间采用十字骨架隔离,每芯均有颜色区分,外皮印有厂商标识及电缆编码，有撕裂绳，线缆外径≥6.3mm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5、标准：传输性能参数满足ISO/IEC 11801 E类标准和TIA/EIA 568.2-D六类标准；性能指标优于现行六类线缆250MHz，支持1G Base-T, 622M ATM 等高带宽应用</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6、运行温度：-25至60°C</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7、最大电容：≤5.6nF/100m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8、特性阻抗：(f：1-155MHz)100±15Ω 9、数量及包装 ≥305米/箱（国标）</w:t>
            </w:r>
          </w:p>
        </w:tc>
      </w:tr>
      <w:tr w14:paraId="433FC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4874A43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9</w:t>
            </w:r>
          </w:p>
        </w:tc>
        <w:tc>
          <w:tcPr>
            <w:tcW w:w="337" w:type="pct"/>
            <w:noWrap w:val="0"/>
            <w:tcMar>
              <w:left w:w="57" w:type="dxa"/>
              <w:right w:w="57" w:type="dxa"/>
            </w:tcMar>
            <w:vAlign w:val="center"/>
          </w:tcPr>
          <w:p w14:paraId="64EB810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六类水晶头</w:t>
            </w:r>
          </w:p>
        </w:tc>
        <w:tc>
          <w:tcPr>
            <w:tcW w:w="341" w:type="pct"/>
            <w:gridSpan w:val="2"/>
            <w:noWrap w:val="0"/>
            <w:tcMar>
              <w:left w:w="57" w:type="dxa"/>
              <w:right w:w="57" w:type="dxa"/>
            </w:tcMar>
            <w:vAlign w:val="center"/>
          </w:tcPr>
          <w:p w14:paraId="6A5775F0">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117222F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220</w:t>
            </w:r>
          </w:p>
        </w:tc>
        <w:tc>
          <w:tcPr>
            <w:tcW w:w="221" w:type="pct"/>
            <w:noWrap w:val="0"/>
            <w:tcMar>
              <w:left w:w="57" w:type="dxa"/>
              <w:right w:w="57" w:type="dxa"/>
            </w:tcMar>
            <w:vAlign w:val="center"/>
          </w:tcPr>
          <w:p w14:paraId="0E7795B3">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个</w:t>
            </w:r>
          </w:p>
        </w:tc>
        <w:tc>
          <w:tcPr>
            <w:tcW w:w="559" w:type="pct"/>
            <w:noWrap w:val="0"/>
            <w:tcMar>
              <w:left w:w="57" w:type="dxa"/>
              <w:right w:w="57" w:type="dxa"/>
            </w:tcMar>
            <w:vAlign w:val="center"/>
          </w:tcPr>
          <w:p w14:paraId="12539EC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2.5</w:t>
            </w:r>
          </w:p>
        </w:tc>
        <w:tc>
          <w:tcPr>
            <w:tcW w:w="3053" w:type="pct"/>
            <w:gridSpan w:val="2"/>
            <w:noWrap w:val="0"/>
            <w:tcMar>
              <w:left w:w="57" w:type="dxa"/>
              <w:right w:w="57" w:type="dxa"/>
            </w:tcMar>
            <w:vAlign w:val="center"/>
          </w:tcPr>
          <w:p w14:paraId="7FED106B">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1、塑胶壳：聚碳酸脂，UL-94-V0阻燃等级；</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2、颜色：透明；</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3、金片材质：铜合金；</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4、屏蔽外壳：铜合金；</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5、适用芯线直径：Φ0.96～Φ1.02mm；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6、介质耐电压：≥1000V AC，60秒；</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7、绝缘阻抗：≥500MΩ；</w:t>
            </w:r>
          </w:p>
        </w:tc>
      </w:tr>
      <w:tr w14:paraId="4984C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3384D01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10</w:t>
            </w:r>
          </w:p>
        </w:tc>
        <w:tc>
          <w:tcPr>
            <w:tcW w:w="337" w:type="pct"/>
            <w:noWrap w:val="0"/>
            <w:tcMar>
              <w:left w:w="57" w:type="dxa"/>
              <w:right w:w="57" w:type="dxa"/>
            </w:tcMar>
            <w:vAlign w:val="center"/>
          </w:tcPr>
          <w:p w14:paraId="53B910D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电线1</w:t>
            </w:r>
          </w:p>
        </w:tc>
        <w:tc>
          <w:tcPr>
            <w:tcW w:w="341" w:type="pct"/>
            <w:gridSpan w:val="2"/>
            <w:noWrap w:val="0"/>
            <w:tcMar>
              <w:left w:w="57" w:type="dxa"/>
              <w:right w:w="57" w:type="dxa"/>
            </w:tcMar>
            <w:vAlign w:val="center"/>
          </w:tcPr>
          <w:p w14:paraId="4F42A518">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3B18A62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15</w:t>
            </w:r>
          </w:p>
        </w:tc>
        <w:tc>
          <w:tcPr>
            <w:tcW w:w="221" w:type="pct"/>
            <w:noWrap w:val="0"/>
            <w:tcMar>
              <w:left w:w="57" w:type="dxa"/>
              <w:right w:w="57" w:type="dxa"/>
            </w:tcMar>
            <w:vAlign w:val="center"/>
          </w:tcPr>
          <w:p w14:paraId="3C58A1C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卷</w:t>
            </w:r>
          </w:p>
        </w:tc>
        <w:tc>
          <w:tcPr>
            <w:tcW w:w="559" w:type="pct"/>
            <w:noWrap w:val="0"/>
            <w:tcMar>
              <w:left w:w="57" w:type="dxa"/>
              <w:right w:w="57" w:type="dxa"/>
            </w:tcMar>
            <w:vAlign w:val="center"/>
          </w:tcPr>
          <w:p w14:paraId="09A4F36D">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300.00 </w:t>
            </w:r>
          </w:p>
        </w:tc>
        <w:tc>
          <w:tcPr>
            <w:tcW w:w="3053" w:type="pct"/>
            <w:gridSpan w:val="2"/>
            <w:noWrap w:val="0"/>
            <w:tcMar>
              <w:left w:w="57" w:type="dxa"/>
              <w:right w:w="57" w:type="dxa"/>
            </w:tcMar>
            <w:vAlign w:val="center"/>
          </w:tcPr>
          <w:p w14:paraId="2CABC4F5">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▲1、规格型号：国标单芯单股硬线，不小于BV 2.5mm²；</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2、颜色及数量：红色（火线）、蓝色（零线）、黄绿双色（地线）各5卷；</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3、数量及包装 ≥100米/卷；</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▲4、标准：符合GB/T 5023国家标准，铜芯聚氯乙烯绝缘电线，绝缘阻燃。</w:t>
            </w:r>
          </w:p>
        </w:tc>
      </w:tr>
      <w:tr w14:paraId="55FF3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454DB249">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11</w:t>
            </w:r>
          </w:p>
        </w:tc>
        <w:tc>
          <w:tcPr>
            <w:tcW w:w="337" w:type="pct"/>
            <w:noWrap w:val="0"/>
            <w:tcMar>
              <w:left w:w="57" w:type="dxa"/>
              <w:right w:w="57" w:type="dxa"/>
            </w:tcMar>
            <w:vAlign w:val="center"/>
          </w:tcPr>
          <w:p w14:paraId="4F37978B">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电线2</w:t>
            </w:r>
          </w:p>
        </w:tc>
        <w:tc>
          <w:tcPr>
            <w:tcW w:w="341" w:type="pct"/>
            <w:gridSpan w:val="2"/>
            <w:noWrap w:val="0"/>
            <w:tcMar>
              <w:left w:w="57" w:type="dxa"/>
              <w:right w:w="57" w:type="dxa"/>
            </w:tcMar>
            <w:vAlign w:val="center"/>
          </w:tcPr>
          <w:p w14:paraId="37AAD59E">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3704283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6</w:t>
            </w:r>
          </w:p>
        </w:tc>
        <w:tc>
          <w:tcPr>
            <w:tcW w:w="221" w:type="pct"/>
            <w:noWrap w:val="0"/>
            <w:tcMar>
              <w:left w:w="57" w:type="dxa"/>
              <w:right w:w="57" w:type="dxa"/>
            </w:tcMar>
            <w:vAlign w:val="center"/>
          </w:tcPr>
          <w:p w14:paraId="7ABA5E4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卷</w:t>
            </w:r>
          </w:p>
        </w:tc>
        <w:tc>
          <w:tcPr>
            <w:tcW w:w="559" w:type="pct"/>
            <w:noWrap w:val="0"/>
            <w:tcMar>
              <w:left w:w="57" w:type="dxa"/>
              <w:right w:w="57" w:type="dxa"/>
            </w:tcMar>
            <w:vAlign w:val="center"/>
          </w:tcPr>
          <w:p w14:paraId="19A7AAB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480.00 </w:t>
            </w:r>
          </w:p>
        </w:tc>
        <w:tc>
          <w:tcPr>
            <w:tcW w:w="3053" w:type="pct"/>
            <w:gridSpan w:val="2"/>
            <w:noWrap w:val="0"/>
            <w:tcMar>
              <w:left w:w="57" w:type="dxa"/>
              <w:right w:w="57" w:type="dxa"/>
            </w:tcMar>
            <w:vAlign w:val="center"/>
          </w:tcPr>
          <w:p w14:paraId="7B64E21C">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▲1、规格型号：国标单芯单股硬线，不小于BV 4mm²；</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2、颜色及数量：红色（火线）、蓝色（零线）、黄绿双色（地线）各2卷；</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3、数量及包装 ≥100米/卷；</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▲4、标准：符合GB/T 5023国家标准，铜芯聚氯乙烯绝缘电线，绝缘阻燃。</w:t>
            </w:r>
          </w:p>
        </w:tc>
      </w:tr>
      <w:tr w14:paraId="6B283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5AF6BF3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12</w:t>
            </w:r>
          </w:p>
        </w:tc>
        <w:tc>
          <w:tcPr>
            <w:tcW w:w="337" w:type="pct"/>
            <w:noWrap w:val="0"/>
            <w:tcMar>
              <w:left w:w="57" w:type="dxa"/>
              <w:right w:w="57" w:type="dxa"/>
            </w:tcMar>
            <w:vAlign w:val="center"/>
          </w:tcPr>
          <w:p w14:paraId="7CE8554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明装插座</w:t>
            </w:r>
          </w:p>
        </w:tc>
        <w:tc>
          <w:tcPr>
            <w:tcW w:w="341" w:type="pct"/>
            <w:gridSpan w:val="2"/>
            <w:noWrap w:val="0"/>
            <w:tcMar>
              <w:left w:w="57" w:type="dxa"/>
              <w:right w:w="57" w:type="dxa"/>
            </w:tcMar>
            <w:vAlign w:val="center"/>
          </w:tcPr>
          <w:p w14:paraId="40C88F69">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38BC51F8">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65</w:t>
            </w:r>
          </w:p>
        </w:tc>
        <w:tc>
          <w:tcPr>
            <w:tcW w:w="221" w:type="pct"/>
            <w:noWrap w:val="0"/>
            <w:tcMar>
              <w:left w:w="57" w:type="dxa"/>
              <w:right w:w="57" w:type="dxa"/>
            </w:tcMar>
            <w:vAlign w:val="center"/>
          </w:tcPr>
          <w:p w14:paraId="0C71383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个</w:t>
            </w:r>
          </w:p>
        </w:tc>
        <w:tc>
          <w:tcPr>
            <w:tcW w:w="559" w:type="pct"/>
            <w:noWrap w:val="0"/>
            <w:tcMar>
              <w:left w:w="57" w:type="dxa"/>
              <w:right w:w="57" w:type="dxa"/>
            </w:tcMar>
            <w:vAlign w:val="center"/>
          </w:tcPr>
          <w:p w14:paraId="7B25B1E5">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42.00 </w:t>
            </w:r>
          </w:p>
        </w:tc>
        <w:tc>
          <w:tcPr>
            <w:tcW w:w="3053" w:type="pct"/>
            <w:gridSpan w:val="2"/>
            <w:noWrap w:val="0"/>
            <w:tcMar>
              <w:left w:w="57" w:type="dxa"/>
              <w:right w:w="57" w:type="dxa"/>
            </w:tcMar>
            <w:vAlign w:val="center"/>
          </w:tcPr>
          <w:p w14:paraId="43EC1AED">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一、电气性能参数</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1.额定电压≥250V~</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2.额定电流≥10A</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3.额定功率≥2500W</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 xml:space="preserve">4.插孔数量/类型≥4位新国标五孔（两/三插孔），开关≥1个总控开关 </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二、安全与材质特性</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1.执行标准：新国标（GB/T 2099.7等），具备3C强制认证</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2.过载保护：具备超功率自动断电功能</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3.安全门设计：配备75N安全保护门</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4.阻燃等级：外壳采用阻燃PP材料，耐高温不小于750℃</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 xml:space="preserve">5.内部导电体：采用一体化铜条/优质  </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6.铜片结构，耐插拔</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7.开关触点：银触点开关</w:t>
            </w:r>
          </w:p>
        </w:tc>
      </w:tr>
      <w:tr w14:paraId="5BB7C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dxa"/>
            <w:noWrap w:val="0"/>
            <w:tcMar>
              <w:left w:w="57" w:type="dxa"/>
              <w:right w:w="57" w:type="dxa"/>
            </w:tcMar>
            <w:vAlign w:val="center"/>
          </w:tcPr>
          <w:p w14:paraId="28CF2D67">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13</w:t>
            </w:r>
          </w:p>
        </w:tc>
        <w:tc>
          <w:tcPr>
            <w:tcW w:w="672" w:type="dxa"/>
            <w:noWrap w:val="0"/>
            <w:tcMar>
              <w:left w:w="57" w:type="dxa"/>
              <w:right w:w="57" w:type="dxa"/>
            </w:tcMar>
            <w:vAlign w:val="center"/>
          </w:tcPr>
          <w:p w14:paraId="600D5CD9">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实训桌板1</w:t>
            </w:r>
          </w:p>
        </w:tc>
        <w:tc>
          <w:tcPr>
            <w:tcW w:w="682" w:type="dxa"/>
            <w:gridSpan w:val="2"/>
            <w:noWrap w:val="0"/>
            <w:tcMar>
              <w:left w:w="57" w:type="dxa"/>
              <w:right w:w="57" w:type="dxa"/>
            </w:tcMar>
            <w:vAlign w:val="center"/>
          </w:tcPr>
          <w:p w14:paraId="0EAA0DC0">
            <w:pPr>
              <w:widowControl/>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工业</w:t>
            </w:r>
          </w:p>
        </w:tc>
        <w:tc>
          <w:tcPr>
            <w:tcW w:w="597" w:type="dxa"/>
            <w:noWrap w:val="0"/>
            <w:tcMar>
              <w:left w:w="57" w:type="dxa"/>
              <w:right w:w="57" w:type="dxa"/>
            </w:tcMar>
            <w:vAlign w:val="center"/>
          </w:tcPr>
          <w:p w14:paraId="665AB3B9">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31</w:t>
            </w:r>
          </w:p>
        </w:tc>
        <w:tc>
          <w:tcPr>
            <w:tcW w:w="441" w:type="dxa"/>
            <w:noWrap w:val="0"/>
            <w:tcMar>
              <w:left w:w="57" w:type="dxa"/>
              <w:right w:w="57" w:type="dxa"/>
            </w:tcMar>
            <w:vAlign w:val="center"/>
          </w:tcPr>
          <w:p w14:paraId="1B36F220">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张</w:t>
            </w:r>
          </w:p>
        </w:tc>
        <w:tc>
          <w:tcPr>
            <w:tcW w:w="1115" w:type="dxa"/>
            <w:noWrap w:val="0"/>
            <w:tcMar>
              <w:left w:w="57" w:type="dxa"/>
              <w:right w:w="57" w:type="dxa"/>
            </w:tcMar>
            <w:vAlign w:val="center"/>
          </w:tcPr>
          <w:p w14:paraId="4791AB25">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w:t>
            </w:r>
            <w:r>
              <w:rPr>
                <w:rFonts w:hint="eastAsia" w:ascii="宋体" w:hAnsi="宋体" w:cs="宋体"/>
                <w:b w:val="0"/>
                <w:bCs w:val="0"/>
                <w:i w:val="0"/>
                <w:iCs w:val="0"/>
                <w:color w:val="auto"/>
                <w:kern w:val="0"/>
                <w:sz w:val="21"/>
                <w:szCs w:val="21"/>
                <w:highlight w:val="none"/>
                <w:u w:val="none"/>
                <w:lang w:val="en-US" w:eastAsia="zh-CN" w:bidi="ar"/>
              </w:rPr>
              <w:t>4</w:t>
            </w:r>
            <w:r>
              <w:rPr>
                <w:rFonts w:hint="eastAsia" w:ascii="宋体" w:hAnsi="宋体" w:eastAsia="宋体" w:cs="宋体"/>
                <w:b w:val="0"/>
                <w:bCs w:val="0"/>
                <w:i w:val="0"/>
                <w:iCs w:val="0"/>
                <w:color w:val="auto"/>
                <w:kern w:val="0"/>
                <w:sz w:val="21"/>
                <w:szCs w:val="21"/>
                <w:highlight w:val="none"/>
                <w:u w:val="none"/>
                <w:lang w:val="en-US" w:eastAsia="zh-CN" w:bidi="ar"/>
              </w:rPr>
              <w:t xml:space="preserve">0.00 </w:t>
            </w:r>
          </w:p>
        </w:tc>
        <w:tc>
          <w:tcPr>
            <w:tcW w:w="6094" w:type="dxa"/>
            <w:gridSpan w:val="2"/>
            <w:noWrap w:val="0"/>
            <w:tcMar>
              <w:left w:w="57" w:type="dxa"/>
              <w:right w:w="57" w:type="dxa"/>
            </w:tcMar>
            <w:vAlign w:val="center"/>
          </w:tcPr>
          <w:p w14:paraId="687490AE">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▲1、定制两人位实训桌板尺寸：≥1360mm×600mm；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▲2、材质：多层实木板，E0级及以上；</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3、厚度：≥15mm；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4、封边：PVC封边条，厚度≥1.5mm，颜色与桌面饰面一致；</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5、穿线孔：前预开穿线孔≥2个，穿线孔直径≥60mm，配过</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线圈/护线环及翻盖式线孔盖，位置根据利旧实训室便于穿线位置开设。</w:t>
            </w:r>
          </w:p>
        </w:tc>
      </w:tr>
      <w:tr w14:paraId="78B17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3" w:type="dxa"/>
            <w:noWrap w:val="0"/>
            <w:tcMar>
              <w:left w:w="57" w:type="dxa"/>
              <w:right w:w="57" w:type="dxa"/>
            </w:tcMar>
            <w:vAlign w:val="center"/>
          </w:tcPr>
          <w:p w14:paraId="32CD7D1D">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14</w:t>
            </w:r>
          </w:p>
        </w:tc>
        <w:tc>
          <w:tcPr>
            <w:tcW w:w="672" w:type="dxa"/>
            <w:noWrap w:val="0"/>
            <w:tcMar>
              <w:left w:w="57" w:type="dxa"/>
              <w:right w:w="57" w:type="dxa"/>
            </w:tcMar>
            <w:vAlign w:val="center"/>
          </w:tcPr>
          <w:p w14:paraId="6CCDFCB9">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实训桌板2</w:t>
            </w:r>
          </w:p>
        </w:tc>
        <w:tc>
          <w:tcPr>
            <w:tcW w:w="682" w:type="dxa"/>
            <w:gridSpan w:val="2"/>
            <w:noWrap w:val="0"/>
            <w:tcMar>
              <w:left w:w="57" w:type="dxa"/>
              <w:right w:w="57" w:type="dxa"/>
            </w:tcMar>
            <w:vAlign w:val="center"/>
          </w:tcPr>
          <w:p w14:paraId="6E9DB470">
            <w:pPr>
              <w:widowControl/>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工业</w:t>
            </w:r>
          </w:p>
        </w:tc>
        <w:tc>
          <w:tcPr>
            <w:tcW w:w="597" w:type="dxa"/>
            <w:noWrap w:val="0"/>
            <w:tcMar>
              <w:left w:w="57" w:type="dxa"/>
              <w:right w:w="57" w:type="dxa"/>
            </w:tcMar>
            <w:vAlign w:val="center"/>
          </w:tcPr>
          <w:p w14:paraId="49764EE9">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17</w:t>
            </w:r>
          </w:p>
        </w:tc>
        <w:tc>
          <w:tcPr>
            <w:tcW w:w="441" w:type="dxa"/>
            <w:noWrap w:val="0"/>
            <w:tcMar>
              <w:left w:w="57" w:type="dxa"/>
              <w:right w:w="57" w:type="dxa"/>
            </w:tcMar>
            <w:vAlign w:val="center"/>
          </w:tcPr>
          <w:p w14:paraId="4F4054C0">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张</w:t>
            </w:r>
          </w:p>
        </w:tc>
        <w:tc>
          <w:tcPr>
            <w:tcW w:w="1115" w:type="dxa"/>
            <w:noWrap w:val="0"/>
            <w:tcMar>
              <w:left w:w="57" w:type="dxa"/>
              <w:right w:w="57" w:type="dxa"/>
            </w:tcMar>
            <w:vAlign w:val="center"/>
          </w:tcPr>
          <w:p w14:paraId="20CD2E6B">
            <w:pPr>
              <w:keepNext w:val="0"/>
              <w:keepLines w:val="0"/>
              <w:widowControl/>
              <w:suppressLineNumbers w:val="0"/>
              <w:jc w:val="center"/>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2</w:t>
            </w:r>
            <w:r>
              <w:rPr>
                <w:rFonts w:hint="eastAsia" w:ascii="宋体" w:hAnsi="宋体" w:cs="宋体"/>
                <w:b w:val="0"/>
                <w:bCs w:val="0"/>
                <w:i w:val="0"/>
                <w:iCs w:val="0"/>
                <w:color w:val="auto"/>
                <w:kern w:val="0"/>
                <w:sz w:val="21"/>
                <w:szCs w:val="21"/>
                <w:highlight w:val="none"/>
                <w:u w:val="none"/>
                <w:lang w:val="en-US" w:eastAsia="zh-CN" w:bidi="ar"/>
              </w:rPr>
              <w:t>35</w:t>
            </w:r>
            <w:r>
              <w:rPr>
                <w:rFonts w:hint="eastAsia" w:ascii="宋体" w:hAnsi="宋体" w:eastAsia="宋体" w:cs="宋体"/>
                <w:b w:val="0"/>
                <w:bCs w:val="0"/>
                <w:i w:val="0"/>
                <w:iCs w:val="0"/>
                <w:color w:val="auto"/>
                <w:kern w:val="0"/>
                <w:sz w:val="21"/>
                <w:szCs w:val="21"/>
                <w:highlight w:val="none"/>
                <w:u w:val="none"/>
                <w:lang w:val="en-US" w:eastAsia="zh-CN" w:bidi="ar"/>
              </w:rPr>
              <w:t xml:space="preserve">.00 </w:t>
            </w:r>
          </w:p>
        </w:tc>
        <w:tc>
          <w:tcPr>
            <w:tcW w:w="6094" w:type="dxa"/>
            <w:gridSpan w:val="2"/>
            <w:noWrap w:val="0"/>
            <w:tcMar>
              <w:left w:w="57" w:type="dxa"/>
              <w:right w:w="57" w:type="dxa"/>
            </w:tcMar>
            <w:vAlign w:val="center"/>
          </w:tcPr>
          <w:p w14:paraId="418D31B4">
            <w:pPr>
              <w:keepNext w:val="0"/>
              <w:keepLines w:val="0"/>
              <w:widowControl/>
              <w:suppressLineNumbers w:val="0"/>
              <w:jc w:val="left"/>
              <w:textAlignment w:val="center"/>
              <w:rPr>
                <w:rFonts w:hint="eastAsia" w:ascii="宋体" w:hAnsi="宋体" w:eastAsia="宋体" w:cs="宋体"/>
                <w:b w:val="0"/>
                <w:bCs w:val="0"/>
                <w:i w:val="0"/>
                <w:iCs w:val="0"/>
                <w:color w:val="auto"/>
                <w:kern w:val="0"/>
                <w:sz w:val="21"/>
                <w:szCs w:val="21"/>
                <w:highlight w:val="none"/>
                <w:u w:val="none"/>
                <w:lang w:val="en-US" w:eastAsia="zh-CN" w:bidi="ar"/>
              </w:rPr>
            </w:pPr>
            <w:r>
              <w:rPr>
                <w:rFonts w:hint="eastAsia" w:ascii="宋体" w:hAnsi="宋体" w:eastAsia="宋体" w:cs="宋体"/>
                <w:b w:val="0"/>
                <w:bCs w:val="0"/>
                <w:i w:val="0"/>
                <w:iCs w:val="0"/>
                <w:color w:val="auto"/>
                <w:kern w:val="0"/>
                <w:sz w:val="21"/>
                <w:szCs w:val="21"/>
                <w:highlight w:val="none"/>
                <w:u w:val="none"/>
                <w:lang w:val="en-US" w:eastAsia="zh-CN" w:bidi="ar"/>
              </w:rPr>
              <w:t>▲1、定制三人位实训桌板尺寸：≥2000mm×600mm；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▲2、材质：多层实木板，E0级及以上；</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3、厚度：≥15mm；</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4、封边：PVC封边条，厚度≥1.5mm，颜色与桌面饰面一致；</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5、穿线孔：前预开穿线孔≥2个，直径≥60mm，配过线圈/护线环及翻盖式线孔盖，位置根据利旧实训室便于穿线位置开设。</w:t>
            </w:r>
          </w:p>
        </w:tc>
      </w:tr>
      <w:tr w14:paraId="39336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4077CB4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15</w:t>
            </w:r>
          </w:p>
        </w:tc>
        <w:tc>
          <w:tcPr>
            <w:tcW w:w="337" w:type="pct"/>
            <w:noWrap w:val="0"/>
            <w:tcMar>
              <w:left w:w="57" w:type="dxa"/>
              <w:right w:w="57" w:type="dxa"/>
            </w:tcMar>
            <w:vAlign w:val="center"/>
          </w:tcPr>
          <w:p w14:paraId="421236A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智能锁</w:t>
            </w:r>
          </w:p>
        </w:tc>
        <w:tc>
          <w:tcPr>
            <w:tcW w:w="341" w:type="pct"/>
            <w:gridSpan w:val="2"/>
            <w:noWrap w:val="0"/>
            <w:tcMar>
              <w:left w:w="57" w:type="dxa"/>
              <w:right w:w="57" w:type="dxa"/>
            </w:tcMar>
            <w:vAlign w:val="center"/>
          </w:tcPr>
          <w:p w14:paraId="016E26B1">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工业</w:t>
            </w:r>
          </w:p>
        </w:tc>
        <w:tc>
          <w:tcPr>
            <w:tcW w:w="299" w:type="pct"/>
            <w:noWrap w:val="0"/>
            <w:tcMar>
              <w:left w:w="57" w:type="dxa"/>
              <w:right w:w="57" w:type="dxa"/>
            </w:tcMar>
            <w:vAlign w:val="center"/>
          </w:tcPr>
          <w:p w14:paraId="631EFB4C">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4</w:t>
            </w:r>
          </w:p>
        </w:tc>
        <w:tc>
          <w:tcPr>
            <w:tcW w:w="221" w:type="pct"/>
            <w:noWrap w:val="0"/>
            <w:tcMar>
              <w:left w:w="57" w:type="dxa"/>
              <w:right w:w="57" w:type="dxa"/>
            </w:tcMar>
            <w:vAlign w:val="center"/>
          </w:tcPr>
          <w:p w14:paraId="5714888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台</w:t>
            </w:r>
          </w:p>
        </w:tc>
        <w:tc>
          <w:tcPr>
            <w:tcW w:w="559" w:type="pct"/>
            <w:noWrap w:val="0"/>
            <w:tcMar>
              <w:left w:w="57" w:type="dxa"/>
              <w:right w:w="57" w:type="dxa"/>
            </w:tcMar>
            <w:vAlign w:val="center"/>
          </w:tcPr>
          <w:p w14:paraId="3C71318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950.00 </w:t>
            </w:r>
          </w:p>
        </w:tc>
        <w:tc>
          <w:tcPr>
            <w:tcW w:w="3053" w:type="pct"/>
            <w:gridSpan w:val="2"/>
            <w:noWrap w:val="0"/>
            <w:tcMar>
              <w:left w:w="57" w:type="dxa"/>
              <w:right w:w="57" w:type="dxa"/>
            </w:tcMar>
            <w:vAlign w:val="center"/>
          </w:tcPr>
          <w:p w14:paraId="0331A8C9">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1、产品：执手式智能防盗门锁，不低于国标 6068 防盗锁体，含原有防盗门旧锁替换及新锁安装。</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2、锁芯：不低于C 级直插式防盗锁芯，锁芯贯穿锁体，离合内置锁体内。</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3、指纹：半导体指纹识别，支持指纹自学习优化。</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4、开锁方式：≥ 5 种开锁方式，含指纹/密码/临时密码/NFC/蓝牙/钥匙等开锁方式。</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5、告警：具备≥ 6 种异常场景告警：如门虚掩告警、多次错误开锁告警、暴力撬锁告警、低电量告警、胁迫指纹告警、试开锁定告警等。</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6、供电：干电池供电；具备关机应急启动开锁按键；门外配置应急供电接口，具备低电量提醒。</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7、安全防护：具备防电磁干扰、试错自动锁定、上提机械反锁、室内机械反锁功能。</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8、通信：不低于蓝牙 5.3，APP 支持手机近距离本地蓝牙管理门锁。</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9、存储：指纹≥50 组，密码≥50 组，NFC≥25 组。</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10、标配：防盗锁体≥1个、≥2 把机械钥匙、全套安装配件。</w:t>
            </w:r>
          </w:p>
        </w:tc>
      </w:tr>
      <w:tr w14:paraId="77EB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7F0A3C82">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16</w:t>
            </w:r>
          </w:p>
        </w:tc>
        <w:tc>
          <w:tcPr>
            <w:tcW w:w="337" w:type="pct"/>
            <w:noWrap w:val="0"/>
            <w:tcMar>
              <w:left w:w="57" w:type="dxa"/>
              <w:right w:w="57" w:type="dxa"/>
            </w:tcMar>
            <w:vAlign w:val="center"/>
          </w:tcPr>
          <w:p w14:paraId="7199B60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施工技术服务费</w:t>
            </w:r>
          </w:p>
        </w:tc>
        <w:tc>
          <w:tcPr>
            <w:tcW w:w="341" w:type="pct"/>
            <w:gridSpan w:val="2"/>
            <w:noWrap w:val="0"/>
            <w:tcMar>
              <w:left w:w="57" w:type="dxa"/>
              <w:right w:w="57" w:type="dxa"/>
            </w:tcMar>
            <w:vAlign w:val="center"/>
          </w:tcPr>
          <w:p w14:paraId="3AFF56B6">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软件和信息技术服务业</w:t>
            </w:r>
          </w:p>
        </w:tc>
        <w:tc>
          <w:tcPr>
            <w:tcW w:w="299" w:type="pct"/>
            <w:noWrap w:val="0"/>
            <w:tcMar>
              <w:left w:w="57" w:type="dxa"/>
              <w:right w:w="57" w:type="dxa"/>
            </w:tcMar>
            <w:vAlign w:val="center"/>
          </w:tcPr>
          <w:p w14:paraId="39E319DE">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w:t>
            </w:r>
          </w:p>
        </w:tc>
        <w:tc>
          <w:tcPr>
            <w:tcW w:w="221" w:type="pct"/>
            <w:noWrap w:val="0"/>
            <w:tcMar>
              <w:left w:w="57" w:type="dxa"/>
              <w:right w:w="57" w:type="dxa"/>
            </w:tcMar>
            <w:vAlign w:val="center"/>
          </w:tcPr>
          <w:p w14:paraId="7EF4C9C6">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项</w:t>
            </w:r>
          </w:p>
        </w:tc>
        <w:tc>
          <w:tcPr>
            <w:tcW w:w="559" w:type="pct"/>
            <w:noWrap w:val="0"/>
            <w:tcMar>
              <w:left w:w="57" w:type="dxa"/>
              <w:right w:w="57" w:type="dxa"/>
            </w:tcMar>
            <w:vAlign w:val="center"/>
          </w:tcPr>
          <w:p w14:paraId="2C5A2BE4">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10000.00 </w:t>
            </w:r>
          </w:p>
        </w:tc>
        <w:tc>
          <w:tcPr>
            <w:tcW w:w="3053" w:type="pct"/>
            <w:gridSpan w:val="2"/>
            <w:noWrap w:val="0"/>
            <w:tcMar>
              <w:left w:w="57" w:type="dxa"/>
              <w:right w:w="57" w:type="dxa"/>
            </w:tcMar>
            <w:vAlign w:val="center"/>
          </w:tcPr>
          <w:p w14:paraId="4863B67F">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一、弱电网络综合布线施工事宜：                                                                                                                                  1、信息点制作：2间实训室≥220个信息点水晶头压制（含标签打印、配线架打线）；                                                                                                 2、网线敷设：六类非屏蔽网线（CAT6），预估长度≥2440米，采用地线槽及PVC线槽组合敷设；                                                                                 3、交换机安装：4台交换机标准化机上架安装，含网络测试调整调试服务；                                        </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4、电线敷设：220V电线采用地线槽及PVC线槽组合敷设；</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5、配电箱安装：电箱空开安装及接线；</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 xml:space="preserve">6、插座安装：≥65个明装排插安装（含接线及固定式安装）；                                                                                                         二、设备及系统安装调试服务                                                                                                                                      1、110台图形工作站安装及调试服务；                                                                                                                          2、 110个信息点的分布式桌面云系统和110个信息点的多媒体教学管理软件整体安装部署调试服务  ；                                                                            3、原有利旧教学设备安装服务；                                                  </w:t>
            </w:r>
          </w:p>
        </w:tc>
      </w:tr>
      <w:tr w14:paraId="1C76D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7" w:type="pct"/>
            <w:noWrap w:val="0"/>
            <w:tcMar>
              <w:left w:w="57" w:type="dxa"/>
              <w:right w:w="57" w:type="dxa"/>
            </w:tcMar>
            <w:vAlign w:val="center"/>
          </w:tcPr>
          <w:p w14:paraId="7A587CE4">
            <w:pPr>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17</w:t>
            </w:r>
          </w:p>
        </w:tc>
        <w:tc>
          <w:tcPr>
            <w:tcW w:w="337" w:type="pct"/>
            <w:noWrap w:val="0"/>
            <w:tcMar>
              <w:left w:w="57" w:type="dxa"/>
              <w:right w:w="57" w:type="dxa"/>
            </w:tcMar>
            <w:vAlign w:val="center"/>
          </w:tcPr>
          <w:p w14:paraId="35576C07">
            <w:pPr>
              <w:jc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人工服务</w:t>
            </w:r>
          </w:p>
        </w:tc>
        <w:tc>
          <w:tcPr>
            <w:tcW w:w="341" w:type="pct"/>
            <w:gridSpan w:val="2"/>
            <w:noWrap w:val="0"/>
            <w:tcMar>
              <w:left w:w="57" w:type="dxa"/>
              <w:right w:w="57" w:type="dxa"/>
            </w:tcMar>
            <w:vAlign w:val="center"/>
          </w:tcPr>
          <w:p w14:paraId="224A4E38">
            <w:pPr>
              <w:widowControl/>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kern w:val="0"/>
                <w:sz w:val="21"/>
                <w:szCs w:val="21"/>
                <w:highlight w:val="none"/>
              </w:rPr>
              <w:t>其他未列明行业</w:t>
            </w:r>
          </w:p>
        </w:tc>
        <w:tc>
          <w:tcPr>
            <w:tcW w:w="299" w:type="pct"/>
            <w:noWrap w:val="0"/>
            <w:tcMar>
              <w:left w:w="57" w:type="dxa"/>
              <w:right w:w="57" w:type="dxa"/>
            </w:tcMar>
            <w:vAlign w:val="center"/>
          </w:tcPr>
          <w:p w14:paraId="0FD22E6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1</w:t>
            </w:r>
          </w:p>
        </w:tc>
        <w:tc>
          <w:tcPr>
            <w:tcW w:w="221" w:type="pct"/>
            <w:noWrap w:val="0"/>
            <w:tcMar>
              <w:left w:w="57" w:type="dxa"/>
              <w:right w:w="57" w:type="dxa"/>
            </w:tcMar>
            <w:vAlign w:val="center"/>
          </w:tcPr>
          <w:p w14:paraId="1B757541">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项</w:t>
            </w:r>
          </w:p>
        </w:tc>
        <w:tc>
          <w:tcPr>
            <w:tcW w:w="559" w:type="pct"/>
            <w:noWrap w:val="0"/>
            <w:tcMar>
              <w:left w:w="57" w:type="dxa"/>
              <w:right w:w="57" w:type="dxa"/>
            </w:tcMar>
            <w:vAlign w:val="center"/>
          </w:tcPr>
          <w:p w14:paraId="6CD8201F">
            <w:pPr>
              <w:keepNext w:val="0"/>
              <w:keepLines w:val="0"/>
              <w:widowControl/>
              <w:suppressLineNumbers w:val="0"/>
              <w:jc w:val="center"/>
              <w:textAlignment w:val="center"/>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i w:val="0"/>
                <w:iCs w:val="0"/>
                <w:color w:val="auto"/>
                <w:kern w:val="0"/>
                <w:sz w:val="21"/>
                <w:szCs w:val="21"/>
                <w:highlight w:val="none"/>
                <w:u w:val="none"/>
                <w:lang w:val="en-US" w:eastAsia="zh-CN" w:bidi="ar"/>
              </w:rPr>
              <w:t>1500.00</w:t>
            </w:r>
          </w:p>
        </w:tc>
        <w:tc>
          <w:tcPr>
            <w:tcW w:w="3053" w:type="pct"/>
            <w:gridSpan w:val="2"/>
            <w:noWrap w:val="0"/>
            <w:tcMar>
              <w:left w:w="57" w:type="dxa"/>
              <w:right w:w="57" w:type="dxa"/>
            </w:tcMar>
            <w:vAlign w:val="center"/>
          </w:tcPr>
          <w:p w14:paraId="59648E75">
            <w:pPr>
              <w:keepNext w:val="0"/>
              <w:keepLines w:val="0"/>
              <w:widowControl/>
              <w:suppressLineNumbers w:val="0"/>
              <w:jc w:val="left"/>
              <w:textAlignment w:val="center"/>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 xml:space="preserve">1、搬运货物、现场实训室拆旧、环境复原及现场保洁工作； </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 xml:space="preserve">2、两间实训室的实训桌重新拆装调整布局工作； </w:t>
            </w:r>
            <w:r>
              <w:rPr>
                <w:rFonts w:hint="eastAsia" w:ascii="宋体" w:hAnsi="宋体" w:eastAsia="宋体" w:cs="宋体"/>
                <w:b w:val="0"/>
                <w:bCs w:val="0"/>
                <w:i w:val="0"/>
                <w:iCs w:val="0"/>
                <w:color w:val="auto"/>
                <w:kern w:val="0"/>
                <w:sz w:val="21"/>
                <w:szCs w:val="21"/>
                <w:highlight w:val="none"/>
                <w:u w:val="none"/>
                <w:lang w:val="en-US" w:eastAsia="zh-CN" w:bidi="ar"/>
              </w:rPr>
              <w:br w:type="textWrapping"/>
            </w:r>
            <w:r>
              <w:rPr>
                <w:rFonts w:hint="eastAsia" w:ascii="宋体" w:hAnsi="宋体" w:eastAsia="宋体" w:cs="宋体"/>
                <w:b w:val="0"/>
                <w:bCs w:val="0"/>
                <w:i w:val="0"/>
                <w:iCs w:val="0"/>
                <w:color w:val="auto"/>
                <w:kern w:val="0"/>
                <w:sz w:val="21"/>
                <w:szCs w:val="21"/>
                <w:highlight w:val="none"/>
                <w:u w:val="none"/>
                <w:lang w:val="en-US" w:eastAsia="zh-CN" w:bidi="ar"/>
              </w:rPr>
              <w:t>3、实训桌板安装：48张实训桌板现场安装及重新布局摆放（含：拆除原有实训翻转桌合盖板，利旧实训桌，下固定式安装新的实训桌板，根据要求重新布局摆放实训桌的排列位置）。</w:t>
            </w:r>
          </w:p>
        </w:tc>
      </w:tr>
      <w:tr w14:paraId="23D08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4990" w:type="pct"/>
            <w:gridSpan w:val="8"/>
            <w:noWrap w:val="0"/>
            <w:tcMar>
              <w:left w:w="57" w:type="dxa"/>
              <w:right w:w="57" w:type="dxa"/>
            </w:tcMar>
            <w:vAlign w:val="center"/>
          </w:tcPr>
          <w:p w14:paraId="008F81AF">
            <w:pPr>
              <w:keepNext/>
              <w:keepLines/>
              <w:widowControl/>
              <w:wordWrap w:val="0"/>
              <w:jc w:val="left"/>
              <w:rPr>
                <w:rFonts w:hint="eastAsia" w:ascii="宋体" w:hAnsi="宋体" w:eastAsia="宋体" w:cs="宋体"/>
                <w:color w:val="auto"/>
                <w:szCs w:val="21"/>
                <w:highlight w:val="none"/>
              </w:rPr>
            </w:pPr>
            <w:r>
              <w:rPr>
                <w:rFonts w:hint="eastAsia" w:ascii="宋体" w:hAnsi="宋体" w:eastAsia="宋体" w:cs="宋体"/>
                <w:b w:val="0"/>
                <w:bCs w:val="0"/>
                <w:i w:val="0"/>
                <w:iCs w:val="0"/>
                <w:color w:val="auto"/>
                <w:kern w:val="0"/>
                <w:sz w:val="21"/>
                <w:szCs w:val="21"/>
                <w:highlight w:val="none"/>
                <w:u w:val="none"/>
                <w:lang w:val="en-US" w:eastAsia="zh-CN" w:bidi="ar"/>
              </w:rPr>
              <w:t>▲</w:t>
            </w:r>
            <w:r>
              <w:rPr>
                <w:rFonts w:hint="eastAsia" w:ascii="宋体" w:hAnsi="宋体" w:eastAsia="宋体" w:cs="宋体"/>
                <w:b/>
                <w:bCs/>
                <w:color w:val="auto"/>
                <w:szCs w:val="21"/>
                <w:highlight w:val="none"/>
              </w:rPr>
              <w:t>一、商务要求</w:t>
            </w:r>
          </w:p>
        </w:tc>
      </w:tr>
      <w:tr w14:paraId="3E34B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5" w:type="pct"/>
            <w:gridSpan w:val="3"/>
            <w:noWrap w:val="0"/>
            <w:tcMar>
              <w:left w:w="57" w:type="dxa"/>
              <w:right w:w="57" w:type="dxa"/>
            </w:tcMar>
            <w:vAlign w:val="center"/>
          </w:tcPr>
          <w:p w14:paraId="58A0ADA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售后服务要求</w:t>
            </w:r>
          </w:p>
        </w:tc>
        <w:tc>
          <w:tcPr>
            <w:tcW w:w="4125" w:type="pct"/>
            <w:gridSpan w:val="5"/>
            <w:noWrap w:val="0"/>
            <w:tcMar>
              <w:left w:w="57" w:type="dxa"/>
              <w:right w:w="57" w:type="dxa"/>
            </w:tcMar>
            <w:vAlign w:val="top"/>
          </w:tcPr>
          <w:p w14:paraId="2648055A">
            <w:pPr>
              <w:keepNext/>
              <w:keepLines w:val="0"/>
              <w:pageBreakBefore w:val="0"/>
              <w:widowControl w:val="0"/>
              <w:numPr>
                <w:ilvl w:val="0"/>
                <w:numId w:val="0"/>
              </w:numPr>
              <w:kinsoku/>
              <w:wordWrap w:val="0"/>
              <w:overflowPunct/>
              <w:topLinePunct/>
              <w:autoSpaceDE/>
              <w:autoSpaceDN/>
              <w:bidi w:val="0"/>
              <w:adjustRightInd w:val="0"/>
              <w:snapToGrid w:val="0"/>
              <w:spacing w:line="360" w:lineRule="auto"/>
              <w:ind w:right="85" w:rightChars="0"/>
              <w:textAlignment w:val="baseline"/>
              <w:rPr>
                <w:rFonts w:hint="eastAsia" w:ascii="宋体" w:hAnsi="宋体" w:eastAsia="宋体" w:cs="宋体"/>
                <w:snapToGrid w:val="0"/>
                <w:color w:val="auto"/>
                <w:spacing w:val="5"/>
                <w:kern w:val="0"/>
                <w:sz w:val="21"/>
                <w:szCs w:val="21"/>
                <w:highlight w:val="none"/>
                <w:u w:val="none"/>
                <w:lang w:val="en-US" w:eastAsia="zh-CN" w:bidi="ar-SA"/>
              </w:rPr>
            </w:pPr>
            <w:r>
              <w:rPr>
                <w:rFonts w:hint="eastAsia" w:ascii="宋体" w:hAnsi="宋体" w:eastAsia="宋体" w:cs="宋体"/>
                <w:snapToGrid w:val="0"/>
                <w:color w:val="auto"/>
                <w:spacing w:val="5"/>
                <w:kern w:val="0"/>
                <w:sz w:val="21"/>
                <w:szCs w:val="21"/>
                <w:highlight w:val="none"/>
                <w:lang w:val="en-US" w:eastAsia="zh-CN" w:bidi="ar-SA"/>
              </w:rPr>
              <w:t>1.</w:t>
            </w:r>
            <w:r>
              <w:rPr>
                <w:rFonts w:hint="eastAsia" w:ascii="宋体" w:hAnsi="宋体" w:eastAsia="宋体" w:cs="宋体"/>
                <w:color w:val="auto"/>
                <w:sz w:val="21"/>
                <w:szCs w:val="21"/>
                <w:highlight w:val="none"/>
              </w:rPr>
              <w:t>质保期：除</w:t>
            </w:r>
            <w:r>
              <w:rPr>
                <w:rFonts w:hint="eastAsia" w:ascii="宋体" w:hAnsi="宋体" w:eastAsia="宋体" w:cs="宋体"/>
                <w:color w:val="auto"/>
                <w:sz w:val="21"/>
                <w:szCs w:val="21"/>
                <w:highlight w:val="none"/>
                <w:lang w:val="en-US" w:eastAsia="zh-CN"/>
              </w:rPr>
              <w:t>货物一览表的货物</w:t>
            </w:r>
            <w:r>
              <w:rPr>
                <w:rFonts w:hint="eastAsia" w:ascii="宋体" w:hAnsi="宋体" w:eastAsia="宋体" w:cs="宋体"/>
                <w:color w:val="auto"/>
                <w:sz w:val="21"/>
                <w:szCs w:val="21"/>
                <w:highlight w:val="none"/>
              </w:rPr>
              <w:t>注明</w:t>
            </w:r>
            <w:r>
              <w:rPr>
                <w:rFonts w:hint="eastAsia" w:ascii="宋体" w:hAnsi="宋体" w:eastAsia="宋体" w:cs="宋体"/>
                <w:color w:val="auto"/>
                <w:sz w:val="21"/>
                <w:szCs w:val="21"/>
                <w:highlight w:val="none"/>
                <w:lang w:val="en-US" w:eastAsia="zh-CN"/>
              </w:rPr>
              <w:t>质保期要求</w:t>
            </w:r>
            <w:r>
              <w:rPr>
                <w:rFonts w:hint="eastAsia" w:ascii="宋体" w:hAnsi="宋体" w:eastAsia="宋体" w:cs="宋体"/>
                <w:color w:val="auto"/>
                <w:sz w:val="21"/>
                <w:szCs w:val="21"/>
                <w:highlight w:val="none"/>
              </w:rPr>
              <w:t>外，</w:t>
            </w:r>
            <w:r>
              <w:rPr>
                <w:rFonts w:hint="eastAsia" w:ascii="宋体" w:hAnsi="宋体" w:eastAsia="宋体" w:cs="宋体"/>
                <w:color w:val="auto"/>
                <w:sz w:val="21"/>
                <w:szCs w:val="21"/>
                <w:highlight w:val="none"/>
                <w:lang w:val="en-US" w:eastAsia="zh-CN"/>
              </w:rPr>
              <w:t>其余货物类产品质保期</w:t>
            </w:r>
            <w:r>
              <w:rPr>
                <w:rFonts w:hint="eastAsia" w:ascii="宋体" w:hAnsi="宋体" w:eastAsia="宋体" w:cs="宋体"/>
                <w:color w:val="auto"/>
                <w:sz w:val="21"/>
                <w:szCs w:val="21"/>
                <w:highlight w:val="none"/>
              </w:rPr>
              <w:t>不得少于</w:t>
            </w:r>
            <w:r>
              <w:rPr>
                <w:rFonts w:hint="eastAsia" w:ascii="宋体" w:hAnsi="宋体" w:eastAsia="宋体" w:cs="宋体"/>
                <w:color w:val="auto"/>
                <w:sz w:val="21"/>
                <w:szCs w:val="21"/>
                <w:highlight w:val="none"/>
                <w:u w:val="single"/>
              </w:rPr>
              <w:t>1</w:t>
            </w:r>
            <w:r>
              <w:rPr>
                <w:rFonts w:hint="eastAsia" w:ascii="宋体" w:hAnsi="宋体" w:eastAsia="宋体" w:cs="宋体"/>
                <w:color w:val="auto"/>
                <w:sz w:val="21"/>
                <w:szCs w:val="21"/>
                <w:highlight w:val="none"/>
              </w:rPr>
              <w:t>年，质保期自验收合格之日起算。</w:t>
            </w:r>
            <w:r>
              <w:rPr>
                <w:rFonts w:hint="eastAsia" w:ascii="宋体" w:hAnsi="宋体" w:eastAsia="宋体" w:cs="宋体"/>
                <w:color w:val="auto"/>
                <w:sz w:val="21"/>
                <w:szCs w:val="21"/>
                <w:highlight w:val="none"/>
                <w:lang w:val="en-US" w:eastAsia="zh-CN"/>
              </w:rPr>
              <w:t>教学桌面云系统及多媒体教学软件终身免费使用。核心产品的配置信息及质保信息必须可通过原厂售后热线查验核对。</w:t>
            </w:r>
            <w:r>
              <w:rPr>
                <w:rFonts w:hint="eastAsia" w:ascii="宋体" w:hAnsi="宋体" w:eastAsia="宋体" w:cs="宋体"/>
                <w:snapToGrid w:val="0"/>
                <w:color w:val="auto"/>
                <w:spacing w:val="5"/>
                <w:kern w:val="0"/>
                <w:sz w:val="21"/>
                <w:szCs w:val="21"/>
                <w:highlight w:val="none"/>
                <w:u w:val="none"/>
                <w:lang w:val="en-US" w:eastAsia="zh-CN" w:bidi="ar-SA"/>
              </w:rPr>
              <w:t xml:space="preserve">按国家有关产品“三包”规定执行“三包”，售后质保服务期承诺优于国家“三包”规定的，或优于招标文件规定的，按投标人实际承诺执行；质保期内负责免费上门服务、维修、更换配件，不得收取任何费用。质保期内免费整体巡检的上门服务不低于2次/每年。                </w:t>
            </w:r>
          </w:p>
          <w:p w14:paraId="67E0A39E">
            <w:pPr>
              <w:keepNext/>
              <w:keepLines w:val="0"/>
              <w:pageBreakBefore w:val="0"/>
              <w:widowControl w:val="0"/>
              <w:numPr>
                <w:ilvl w:val="0"/>
                <w:numId w:val="0"/>
              </w:numPr>
              <w:kinsoku/>
              <w:wordWrap w:val="0"/>
              <w:overflowPunct/>
              <w:topLinePunct/>
              <w:autoSpaceDE/>
              <w:autoSpaceDN/>
              <w:bidi w:val="0"/>
              <w:adjustRightInd w:val="0"/>
              <w:snapToGrid w:val="0"/>
              <w:spacing w:line="360" w:lineRule="auto"/>
              <w:ind w:right="85" w:rightChars="0"/>
              <w:textAlignment w:val="baseline"/>
              <w:rPr>
                <w:rFonts w:hint="eastAsia" w:ascii="宋体" w:hAnsi="宋体" w:eastAsia="宋体" w:cs="宋体"/>
                <w:snapToGrid w:val="0"/>
                <w:color w:val="auto"/>
                <w:spacing w:val="5"/>
                <w:kern w:val="0"/>
                <w:sz w:val="21"/>
                <w:szCs w:val="21"/>
                <w:highlight w:val="none"/>
                <w:u w:val="none"/>
                <w:lang w:val="en-US" w:eastAsia="zh-CN" w:bidi="ar-SA"/>
              </w:rPr>
            </w:pPr>
            <w:r>
              <w:rPr>
                <w:rFonts w:hint="eastAsia" w:ascii="宋体" w:hAnsi="宋体" w:eastAsia="宋体" w:cs="宋体"/>
                <w:snapToGrid w:val="0"/>
                <w:color w:val="auto"/>
                <w:spacing w:val="5"/>
                <w:kern w:val="0"/>
                <w:sz w:val="21"/>
                <w:szCs w:val="21"/>
                <w:highlight w:val="none"/>
                <w:u w:val="none"/>
                <w:lang w:val="en-US" w:eastAsia="zh-CN" w:bidi="ar-SA"/>
              </w:rPr>
              <w:t>2.要求投标货物是全新的、未经改装的、合格的、满足本项目技术需求及要求的货物。所有零部件、配件必须是未经使用的全新的并符合国家有关质量安全标准的产品。</w:t>
            </w:r>
          </w:p>
          <w:p w14:paraId="55EA9A6B">
            <w:pPr>
              <w:keepNext/>
              <w:keepLines w:val="0"/>
              <w:pageBreakBefore w:val="0"/>
              <w:widowControl w:val="0"/>
              <w:kinsoku/>
              <w:wordWrap w:val="0"/>
              <w:overflowPunct/>
              <w:topLinePunct/>
              <w:autoSpaceDE/>
              <w:autoSpaceDN/>
              <w:bidi w:val="0"/>
              <w:adjustRightInd w:val="0"/>
              <w:snapToGrid w:val="0"/>
              <w:spacing w:line="360" w:lineRule="auto"/>
              <w:ind w:right="85"/>
              <w:textAlignment w:val="baseline"/>
              <w:rPr>
                <w:rFonts w:hint="eastAsia" w:ascii="宋体" w:hAnsi="宋体" w:eastAsia="宋体" w:cs="宋体"/>
                <w:snapToGrid w:val="0"/>
                <w:color w:val="auto"/>
                <w:spacing w:val="5"/>
                <w:kern w:val="0"/>
                <w:sz w:val="21"/>
                <w:szCs w:val="21"/>
                <w:highlight w:val="none"/>
                <w:u w:val="none"/>
                <w:lang w:val="en-US" w:eastAsia="zh-CN" w:bidi="ar-SA"/>
              </w:rPr>
            </w:pPr>
            <w:r>
              <w:rPr>
                <w:rFonts w:hint="eastAsia" w:ascii="宋体" w:hAnsi="宋体" w:eastAsia="宋体" w:cs="宋体"/>
                <w:snapToGrid w:val="0"/>
                <w:color w:val="auto"/>
                <w:spacing w:val="5"/>
                <w:kern w:val="0"/>
                <w:sz w:val="21"/>
                <w:szCs w:val="21"/>
                <w:highlight w:val="none"/>
                <w:u w:val="none"/>
                <w:lang w:val="en-US" w:eastAsia="zh-CN" w:bidi="ar-SA"/>
              </w:rPr>
              <w:t>3.质保期内所更换的零配件必须是原厂全新的零配件，满足设备运行要求。</w:t>
            </w:r>
          </w:p>
          <w:p w14:paraId="7D530DC8">
            <w:pPr>
              <w:keepNext/>
              <w:keepLines w:val="0"/>
              <w:pageBreakBefore w:val="0"/>
              <w:widowControl w:val="0"/>
              <w:kinsoku/>
              <w:wordWrap w:val="0"/>
              <w:overflowPunct/>
              <w:topLinePunct/>
              <w:autoSpaceDE/>
              <w:autoSpaceDN/>
              <w:bidi w:val="0"/>
              <w:adjustRightInd w:val="0"/>
              <w:snapToGrid w:val="0"/>
              <w:spacing w:line="360" w:lineRule="auto"/>
              <w:ind w:right="85"/>
              <w:textAlignment w:val="baseline"/>
              <w:rPr>
                <w:rFonts w:hint="eastAsia" w:ascii="宋体" w:hAnsi="宋体" w:eastAsia="宋体" w:cs="宋体"/>
                <w:snapToGrid w:val="0"/>
                <w:color w:val="auto"/>
                <w:spacing w:val="5"/>
                <w:kern w:val="0"/>
                <w:sz w:val="21"/>
                <w:szCs w:val="21"/>
                <w:highlight w:val="none"/>
                <w:u w:val="none"/>
                <w:lang w:val="en-US" w:eastAsia="zh-CN" w:bidi="ar-SA"/>
              </w:rPr>
            </w:pPr>
            <w:r>
              <w:rPr>
                <w:rFonts w:hint="eastAsia" w:ascii="宋体" w:hAnsi="宋体" w:eastAsia="宋体" w:cs="宋体"/>
                <w:snapToGrid w:val="0"/>
                <w:color w:val="auto"/>
                <w:spacing w:val="5"/>
                <w:kern w:val="0"/>
                <w:sz w:val="21"/>
                <w:szCs w:val="21"/>
                <w:highlight w:val="none"/>
                <w:u w:val="none"/>
                <w:lang w:val="en-US" w:eastAsia="zh-CN" w:bidi="ar-SA"/>
              </w:rPr>
              <w:t>4.若在使用的前3个月内，出现非人为操作失误的重大故障，中标人应予以负责换货。</w:t>
            </w:r>
          </w:p>
          <w:p w14:paraId="5DD89D88">
            <w:pPr>
              <w:keepNext/>
              <w:keepLines w:val="0"/>
              <w:pageBreakBefore w:val="0"/>
              <w:widowControl w:val="0"/>
              <w:kinsoku/>
              <w:wordWrap w:val="0"/>
              <w:overflowPunct/>
              <w:topLinePunct/>
              <w:autoSpaceDE/>
              <w:autoSpaceDN/>
              <w:bidi w:val="0"/>
              <w:adjustRightInd w:val="0"/>
              <w:snapToGrid w:val="0"/>
              <w:spacing w:line="360" w:lineRule="auto"/>
              <w:ind w:right="85"/>
              <w:textAlignment w:val="baseline"/>
              <w:rPr>
                <w:rFonts w:hint="eastAsia" w:ascii="宋体" w:hAnsi="宋体" w:eastAsia="宋体" w:cs="宋体"/>
                <w:snapToGrid w:val="0"/>
                <w:color w:val="auto"/>
                <w:spacing w:val="5"/>
                <w:kern w:val="0"/>
                <w:sz w:val="21"/>
                <w:szCs w:val="21"/>
                <w:highlight w:val="none"/>
                <w:u w:val="none"/>
                <w:lang w:val="en-US" w:eastAsia="zh-CN" w:bidi="ar-SA"/>
              </w:rPr>
            </w:pPr>
            <w:r>
              <w:rPr>
                <w:rFonts w:hint="eastAsia" w:ascii="宋体" w:hAnsi="宋体" w:eastAsia="宋体" w:cs="宋体"/>
                <w:snapToGrid w:val="0"/>
                <w:color w:val="auto"/>
                <w:spacing w:val="5"/>
                <w:kern w:val="0"/>
                <w:sz w:val="21"/>
                <w:szCs w:val="21"/>
                <w:highlight w:val="none"/>
                <w:u w:val="none"/>
                <w:lang w:val="en-US" w:eastAsia="zh-CN" w:bidi="ar-SA"/>
              </w:rPr>
              <w:t>5.核心产品在南宁当地有官方服务站点，可提供7</w:t>
            </w:r>
            <w:r>
              <w:rPr>
                <w:rFonts w:hint="eastAsia" w:ascii="宋体" w:hAnsi="宋体" w:eastAsia="宋体" w:cs="宋体"/>
                <w:color w:val="auto"/>
                <w:sz w:val="21"/>
                <w:szCs w:val="21"/>
                <w:highlight w:val="none"/>
              </w:rPr>
              <w:t>*</w:t>
            </w:r>
            <w:r>
              <w:rPr>
                <w:rFonts w:hint="eastAsia" w:ascii="宋体" w:hAnsi="宋体" w:eastAsia="宋体" w:cs="宋体"/>
                <w:snapToGrid w:val="0"/>
                <w:color w:val="auto"/>
                <w:spacing w:val="5"/>
                <w:kern w:val="0"/>
                <w:sz w:val="21"/>
                <w:szCs w:val="21"/>
                <w:highlight w:val="none"/>
                <w:u w:val="none"/>
                <w:lang w:val="en-US" w:eastAsia="zh-CN" w:bidi="ar-SA"/>
              </w:rPr>
              <w:t>24小时官方售后服务，要求质保期内接到采购人处理问题通知后2小时内作出实质响应（远程解决或做出预备维护动作），并在12小时内到达采购人指定现场。</w:t>
            </w:r>
            <w:r>
              <w:rPr>
                <w:rFonts w:hint="eastAsia" w:ascii="宋体" w:hAnsi="宋体" w:eastAsia="宋体" w:cs="宋体"/>
                <w:color w:val="auto"/>
                <w:sz w:val="21"/>
                <w:szCs w:val="21"/>
                <w:highlight w:val="none"/>
              </w:rPr>
              <w:t>不能正常使用的必须</w:t>
            </w:r>
            <w:r>
              <w:rPr>
                <w:rFonts w:hint="eastAsia" w:ascii="宋体" w:hAnsi="宋体" w:eastAsia="宋体" w:cs="宋体"/>
                <w:color w:val="auto"/>
                <w:sz w:val="21"/>
                <w:szCs w:val="21"/>
                <w:highlight w:val="none"/>
                <w:lang w:val="en-US" w:eastAsia="zh-CN"/>
              </w:rPr>
              <w:t>在48小时内免费上门</w:t>
            </w:r>
            <w:r>
              <w:rPr>
                <w:rFonts w:hint="eastAsia" w:ascii="宋体" w:hAnsi="宋体" w:eastAsia="宋体" w:cs="宋体"/>
                <w:color w:val="auto"/>
                <w:sz w:val="21"/>
                <w:szCs w:val="21"/>
                <w:highlight w:val="none"/>
              </w:rPr>
              <w:t>提供</w:t>
            </w:r>
            <w:r>
              <w:rPr>
                <w:rFonts w:hint="eastAsia" w:ascii="宋体" w:hAnsi="宋体" w:eastAsia="宋体" w:cs="宋体"/>
                <w:color w:val="auto"/>
                <w:sz w:val="21"/>
                <w:szCs w:val="21"/>
                <w:highlight w:val="none"/>
                <w:lang w:val="en-US" w:eastAsia="zh-CN"/>
              </w:rPr>
              <w:t>免费</w:t>
            </w:r>
            <w:r>
              <w:rPr>
                <w:rFonts w:hint="eastAsia" w:ascii="宋体" w:hAnsi="宋体" w:eastAsia="宋体" w:cs="宋体"/>
                <w:color w:val="auto"/>
                <w:sz w:val="21"/>
                <w:szCs w:val="21"/>
                <w:highlight w:val="none"/>
              </w:rPr>
              <w:t>备用机</w:t>
            </w:r>
            <w:r>
              <w:rPr>
                <w:rFonts w:hint="eastAsia" w:ascii="宋体" w:hAnsi="宋体" w:eastAsia="宋体" w:cs="宋体"/>
                <w:color w:val="auto"/>
                <w:sz w:val="21"/>
                <w:szCs w:val="21"/>
                <w:highlight w:val="none"/>
                <w:lang w:val="en-US" w:eastAsia="zh-CN"/>
              </w:rPr>
              <w:t>无偿使用</w:t>
            </w:r>
            <w:r>
              <w:rPr>
                <w:rFonts w:hint="eastAsia" w:ascii="宋体" w:hAnsi="宋体" w:eastAsia="宋体" w:cs="宋体"/>
                <w:color w:val="auto"/>
                <w:sz w:val="21"/>
                <w:szCs w:val="21"/>
                <w:highlight w:val="none"/>
              </w:rPr>
              <w:t>。</w:t>
            </w:r>
          </w:p>
          <w:p w14:paraId="46191760">
            <w:pPr>
              <w:jc w:val="left"/>
              <w:rPr>
                <w:rFonts w:hint="eastAsia" w:ascii="宋体" w:hAnsi="宋体" w:eastAsia="宋体" w:cs="宋体"/>
                <w:color w:val="auto"/>
                <w:szCs w:val="21"/>
                <w:highlight w:val="none"/>
              </w:rPr>
            </w:pPr>
            <w:r>
              <w:rPr>
                <w:rFonts w:hint="eastAsia" w:ascii="宋体" w:hAnsi="宋体" w:eastAsia="宋体" w:cs="宋体"/>
                <w:snapToGrid w:val="0"/>
                <w:color w:val="auto"/>
                <w:spacing w:val="5"/>
                <w:kern w:val="0"/>
                <w:sz w:val="21"/>
                <w:szCs w:val="21"/>
                <w:highlight w:val="none"/>
                <w:u w:val="none"/>
                <w:lang w:val="en-US" w:eastAsia="zh-CN" w:bidi="ar-SA"/>
              </w:rPr>
              <w:t>6.质保期内，硬件的售后服务（包括但不限于硬件维护维修、配件更换、整机更换、硬件升级、提供替代品）和应用软件的售后服务（包括但不限于应用软件维护升级以及非结构性修改）所产生的费用均包含在本次采购报价中，采购人不再承担任何费用。                                                                7.</w:t>
            </w:r>
            <w:r>
              <w:rPr>
                <w:rFonts w:hint="eastAsia" w:ascii="宋体" w:hAnsi="宋体" w:eastAsia="宋体" w:cs="宋体"/>
                <w:color w:val="auto"/>
                <w:sz w:val="21"/>
                <w:szCs w:val="21"/>
                <w:highlight w:val="none"/>
              </w:rPr>
              <w:t>其余按厂家承诺。</w:t>
            </w:r>
          </w:p>
        </w:tc>
      </w:tr>
      <w:tr w14:paraId="7F78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5" w:type="pct"/>
            <w:gridSpan w:val="3"/>
            <w:noWrap w:val="0"/>
            <w:tcMar>
              <w:left w:w="57" w:type="dxa"/>
              <w:right w:w="57" w:type="dxa"/>
            </w:tcMar>
            <w:vAlign w:val="center"/>
          </w:tcPr>
          <w:p w14:paraId="311642DB">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合同签订时间</w:t>
            </w:r>
          </w:p>
        </w:tc>
        <w:tc>
          <w:tcPr>
            <w:tcW w:w="4125" w:type="pct"/>
            <w:gridSpan w:val="5"/>
            <w:noWrap w:val="0"/>
            <w:tcMar>
              <w:left w:w="57" w:type="dxa"/>
              <w:right w:w="57" w:type="dxa"/>
            </w:tcMar>
            <w:vAlign w:val="top"/>
          </w:tcPr>
          <w:p w14:paraId="791F0857">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自中标通知书发出之日起</w:t>
            </w:r>
            <w:r>
              <w:rPr>
                <w:rFonts w:hint="eastAsia" w:ascii="宋体" w:hAnsi="宋体" w:eastAsia="宋体" w:cs="宋体"/>
                <w:color w:val="auto"/>
                <w:szCs w:val="21"/>
                <w:highlight w:val="none"/>
                <w:u w:val="single"/>
                <w:lang w:val="en-US" w:eastAsia="zh-CN"/>
              </w:rPr>
              <w:t>10</w:t>
            </w:r>
            <w:r>
              <w:rPr>
                <w:rFonts w:hint="eastAsia" w:ascii="宋体" w:hAnsi="宋体" w:eastAsia="宋体" w:cs="宋体"/>
                <w:color w:val="auto"/>
                <w:szCs w:val="21"/>
                <w:highlight w:val="none"/>
              </w:rPr>
              <w:t>日内。</w:t>
            </w:r>
          </w:p>
        </w:tc>
      </w:tr>
      <w:tr w14:paraId="005A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5" w:type="pct"/>
            <w:gridSpan w:val="3"/>
            <w:noWrap w:val="0"/>
            <w:tcMar>
              <w:left w:w="57" w:type="dxa"/>
              <w:right w:w="57" w:type="dxa"/>
            </w:tcMar>
            <w:vAlign w:val="center"/>
          </w:tcPr>
          <w:p w14:paraId="2EF9C5C7">
            <w:pPr>
              <w:keepNext/>
              <w:keepLines/>
              <w:widowControl/>
              <w:wordWrap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交付时间及地点</w:t>
            </w:r>
          </w:p>
        </w:tc>
        <w:tc>
          <w:tcPr>
            <w:tcW w:w="4125" w:type="pct"/>
            <w:gridSpan w:val="5"/>
            <w:noWrap w:val="0"/>
            <w:tcMar>
              <w:left w:w="57" w:type="dxa"/>
              <w:right w:w="57" w:type="dxa"/>
            </w:tcMar>
            <w:vAlign w:val="center"/>
          </w:tcPr>
          <w:p w14:paraId="6D137A95">
            <w:pPr>
              <w:keepNext/>
              <w:keepLines/>
              <w:widowControl/>
              <w:wordWrap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1.交付时间：</w:t>
            </w:r>
            <w:r>
              <w:rPr>
                <w:rFonts w:hint="eastAsia" w:ascii="宋体" w:hAnsi="宋体" w:eastAsia="宋体" w:cs="宋体"/>
                <w:color w:val="auto"/>
                <w:szCs w:val="21"/>
                <w:highlight w:val="none"/>
                <w:lang w:eastAsia="zh-CN"/>
              </w:rPr>
              <w:t>自合同签订之日起25日内产品交付安装完毕并经验收合格交付</w:t>
            </w:r>
            <w:r>
              <w:rPr>
                <w:rFonts w:hint="eastAsia" w:ascii="宋体" w:hAnsi="宋体" w:eastAsia="宋体" w:cs="宋体"/>
                <w:color w:val="auto"/>
                <w:szCs w:val="21"/>
                <w:highlight w:val="none"/>
              </w:rPr>
              <w:t>。</w:t>
            </w:r>
          </w:p>
          <w:p w14:paraId="58BE4B92">
            <w:pPr>
              <w:keepNext/>
              <w:keepLines/>
              <w:widowControl/>
              <w:wordWrap w:val="0"/>
              <w:rPr>
                <w:rFonts w:hint="eastAsia" w:ascii="宋体" w:hAnsi="宋体" w:eastAsia="宋体" w:cs="宋体"/>
                <w:color w:val="auto"/>
                <w:szCs w:val="21"/>
                <w:highlight w:val="none"/>
              </w:rPr>
            </w:pPr>
            <w:r>
              <w:rPr>
                <w:rFonts w:hint="eastAsia" w:ascii="宋体" w:hAnsi="宋体" w:eastAsia="宋体" w:cs="宋体"/>
                <w:color w:val="auto"/>
                <w:szCs w:val="21"/>
                <w:highlight w:val="none"/>
              </w:rPr>
              <w:t>2.交货地点：</w:t>
            </w:r>
            <w:r>
              <w:rPr>
                <w:rFonts w:hint="eastAsia" w:ascii="宋体" w:hAnsi="宋体" w:eastAsia="宋体" w:cs="宋体"/>
                <w:color w:val="auto"/>
                <w:highlight w:val="none"/>
                <w:lang w:eastAsia="zh-CN"/>
              </w:rPr>
              <w:t>采购人指定地点</w:t>
            </w:r>
            <w:r>
              <w:rPr>
                <w:rFonts w:hint="eastAsia" w:ascii="宋体" w:hAnsi="宋体" w:eastAsia="宋体" w:cs="宋体"/>
                <w:color w:val="auto"/>
                <w:szCs w:val="21"/>
                <w:highlight w:val="none"/>
              </w:rPr>
              <w:t>。</w:t>
            </w:r>
          </w:p>
        </w:tc>
      </w:tr>
      <w:tr w14:paraId="2E0DC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5" w:type="pct"/>
            <w:gridSpan w:val="3"/>
            <w:noWrap w:val="0"/>
            <w:tcMar>
              <w:left w:w="57" w:type="dxa"/>
              <w:right w:w="57" w:type="dxa"/>
            </w:tcMar>
            <w:vAlign w:val="center"/>
          </w:tcPr>
          <w:p w14:paraId="715F7BBB">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▲付款方式</w:t>
            </w:r>
          </w:p>
        </w:tc>
        <w:tc>
          <w:tcPr>
            <w:tcW w:w="4125" w:type="pct"/>
            <w:gridSpan w:val="5"/>
            <w:noWrap w:val="0"/>
            <w:tcMar>
              <w:left w:w="57" w:type="dxa"/>
              <w:right w:w="57" w:type="dxa"/>
            </w:tcMar>
            <w:vAlign w:val="center"/>
          </w:tcPr>
          <w:p w14:paraId="13DD2552">
            <w:pPr>
              <w:pStyle w:val="12"/>
              <w:ind w:firstLine="420" w:firstLineChars="200"/>
              <w:rPr>
                <w:rFonts w:hint="eastAsia" w:ascii="宋体" w:hAnsi="宋体" w:eastAsia="宋体" w:cs="宋体"/>
                <w:color w:val="auto"/>
                <w:szCs w:val="21"/>
                <w:highlight w:val="none"/>
                <w:lang w:val="en-US" w:eastAsia="zh-CN" w:bidi="ar"/>
              </w:rPr>
            </w:pPr>
            <w:r>
              <w:rPr>
                <w:rFonts w:hint="eastAsia" w:ascii="宋体" w:hAnsi="宋体" w:eastAsia="宋体" w:cs="宋体"/>
                <w:color w:val="auto"/>
                <w:szCs w:val="21"/>
                <w:highlight w:val="none"/>
                <w:lang w:val="en-US" w:eastAsia="zh-CN" w:bidi="ar"/>
              </w:rPr>
              <w:t>采购人与中标供应商签订正式采购合同后，采购人在收到中标供应商开具的对应金额收款发票后10个工作日内，向中标供应商支付合同总金额的30%作为项目预付款；货物送至采购人指定地点</w:t>
            </w:r>
            <w:r>
              <w:rPr>
                <w:rFonts w:hint="eastAsia" w:ascii="宋体" w:hAnsi="宋体" w:cs="宋体"/>
                <w:color w:val="auto"/>
                <w:szCs w:val="21"/>
                <w:highlight w:val="none"/>
                <w:lang w:val="en-US" w:eastAsia="zh-CN" w:bidi="ar"/>
              </w:rPr>
              <w:t>并通过中期验收</w:t>
            </w:r>
            <w:r>
              <w:rPr>
                <w:rFonts w:hint="eastAsia" w:ascii="宋体" w:hAnsi="宋体" w:eastAsia="宋体" w:cs="宋体"/>
                <w:color w:val="auto"/>
                <w:szCs w:val="21"/>
                <w:highlight w:val="none"/>
                <w:lang w:val="en-US" w:eastAsia="zh-CN" w:bidi="ar"/>
              </w:rPr>
              <w:t>，支付合同总金额的40%（累计支付至合同总金额的 70%）；项目全部完成部署调试、试运行通过并通过采购人组织的最终履约验收后10个工作日内，支付合同总金额的剩余 30%（累计支付至合同总金额的 100%）。</w:t>
            </w:r>
            <w:r>
              <w:rPr>
                <w:rFonts w:hint="eastAsia" w:ascii="宋体" w:hAnsi="宋体" w:cs="宋体"/>
                <w:color w:val="auto"/>
                <w:szCs w:val="21"/>
                <w:highlight w:val="none"/>
              </w:rPr>
              <w:t>中标供应商须在收到款项后3个工作日内，向采购人开具对应全额增值税发票</w:t>
            </w:r>
            <w:r>
              <w:rPr>
                <w:rFonts w:hint="eastAsia" w:ascii="宋体" w:hAnsi="宋体" w:cs="宋体"/>
                <w:color w:val="auto"/>
                <w:szCs w:val="21"/>
                <w:highlight w:val="none"/>
                <w:lang w:eastAsia="zh-CN"/>
              </w:rPr>
              <w:t>。</w:t>
            </w:r>
          </w:p>
        </w:tc>
      </w:tr>
      <w:tr w14:paraId="0DCFD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5" w:type="pct"/>
            <w:gridSpan w:val="3"/>
            <w:noWrap w:val="0"/>
            <w:tcMar>
              <w:left w:w="57" w:type="dxa"/>
              <w:right w:w="57" w:type="dxa"/>
            </w:tcMar>
            <w:vAlign w:val="center"/>
          </w:tcPr>
          <w:p w14:paraId="1AD1C7D1">
            <w:pPr>
              <w:keepNext/>
              <w:keepLines/>
              <w:widowControl/>
              <w:wordWrap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▲报价及其他要求</w:t>
            </w:r>
          </w:p>
        </w:tc>
        <w:tc>
          <w:tcPr>
            <w:tcW w:w="4125" w:type="pct"/>
            <w:gridSpan w:val="5"/>
            <w:noWrap w:val="0"/>
            <w:tcMar>
              <w:left w:w="57" w:type="dxa"/>
              <w:right w:w="57" w:type="dxa"/>
            </w:tcMar>
            <w:vAlign w:val="center"/>
          </w:tcPr>
          <w:p w14:paraId="5CB14D8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投标报价为采购人指定地点的现场交货价，包括：</w:t>
            </w:r>
          </w:p>
          <w:p w14:paraId="393D197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1.货物的价格；</w:t>
            </w:r>
          </w:p>
          <w:p w14:paraId="6F88775D">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2.货物的标准附件、备品备件、专用工具的价格；</w:t>
            </w:r>
          </w:p>
          <w:p w14:paraId="7F791364">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3.包装、运输、装卸、调试、培训、技术支持、售后服务等费用；</w:t>
            </w:r>
          </w:p>
          <w:p w14:paraId="29AA921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4.必要的保险费用和各项税费；</w:t>
            </w:r>
          </w:p>
          <w:p w14:paraId="33DAFC48">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5.货物检测费用。</w:t>
            </w:r>
          </w:p>
          <w:p w14:paraId="24BF15AB">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6.对于本文件中未列明，而供应商认为必需的费用也需列入总报价。在合同实施时，采购人将不予支付供应商没有列入的项目费用，并认为此项目的费用已包括在投标报价中。</w:t>
            </w:r>
          </w:p>
        </w:tc>
      </w:tr>
      <w:tr w14:paraId="3DFFE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5" w:type="pct"/>
            <w:gridSpan w:val="3"/>
            <w:noWrap w:val="0"/>
            <w:tcMar>
              <w:left w:w="57" w:type="dxa"/>
              <w:right w:w="57" w:type="dxa"/>
            </w:tcMar>
            <w:vAlign w:val="center"/>
          </w:tcPr>
          <w:p w14:paraId="147E7CF8">
            <w:pPr>
              <w:adjustRightInd w:val="0"/>
              <w:snapToGrid w:val="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▲验收方法及方案</w:t>
            </w:r>
          </w:p>
        </w:tc>
        <w:tc>
          <w:tcPr>
            <w:tcW w:w="4125" w:type="pct"/>
            <w:gridSpan w:val="5"/>
            <w:noWrap w:val="0"/>
            <w:tcMar>
              <w:left w:w="57" w:type="dxa"/>
              <w:right w:w="57" w:type="dxa"/>
            </w:tcMar>
            <w:vAlign w:val="center"/>
          </w:tcPr>
          <w:p w14:paraId="62265DAB">
            <w:pPr>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1、验收依据：</w:t>
            </w:r>
            <w:r>
              <w:rPr>
                <w:rFonts w:hint="eastAsia" w:ascii="宋体" w:hAnsi="宋体" w:eastAsia="宋体" w:cs="宋体"/>
                <w:color w:val="auto"/>
                <w:sz w:val="21"/>
                <w:szCs w:val="21"/>
                <w:highlight w:val="none"/>
              </w:rPr>
              <w:t>现行的国家相关标准、行业标准、地方标准或者其他标准、规范，采购合同、采购文件、投标文件均为履约验收的依据</w:t>
            </w:r>
            <w:r>
              <w:rPr>
                <w:rFonts w:hint="eastAsia" w:ascii="宋体" w:hAnsi="宋体" w:eastAsia="宋体" w:cs="宋体"/>
                <w:bCs/>
                <w:color w:val="auto"/>
                <w:sz w:val="21"/>
                <w:szCs w:val="21"/>
                <w:highlight w:val="none"/>
              </w:rPr>
              <w:t>。</w:t>
            </w:r>
          </w:p>
          <w:p w14:paraId="5DEE54A7">
            <w:pPr>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2、验收标准：</w:t>
            </w:r>
            <w:r>
              <w:rPr>
                <w:rFonts w:hint="eastAsia" w:ascii="宋体" w:hAnsi="宋体" w:eastAsia="宋体" w:cs="宋体"/>
                <w:color w:val="auto"/>
                <w:sz w:val="21"/>
                <w:szCs w:val="21"/>
                <w:highlight w:val="none"/>
              </w:rPr>
              <w:t>符合现行国家相关标准、行业标准、地方标准或者其他标准、规范</w:t>
            </w:r>
            <w:r>
              <w:rPr>
                <w:rFonts w:hint="eastAsia" w:ascii="宋体" w:hAnsi="宋体" w:eastAsia="宋体" w:cs="宋体"/>
                <w:bCs/>
                <w:color w:val="auto"/>
                <w:sz w:val="21"/>
                <w:szCs w:val="21"/>
                <w:highlight w:val="none"/>
              </w:rPr>
              <w:t>。</w:t>
            </w:r>
          </w:p>
          <w:p w14:paraId="53B7FE93">
            <w:pPr>
              <w:adjustRightInd w:val="0"/>
              <w:snapToGrid w:val="0"/>
              <w:ind w:left="210" w:leftChars="100" w:firstLine="210" w:firstLineChars="1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3、验收要求：</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1）</w:t>
            </w:r>
            <w:r>
              <w:rPr>
                <w:rFonts w:hint="eastAsia" w:ascii="宋体" w:hAnsi="宋体" w:eastAsia="宋体" w:cs="宋体"/>
                <w:bCs/>
                <w:color w:val="auto"/>
                <w:sz w:val="21"/>
                <w:szCs w:val="21"/>
                <w:highlight w:val="none"/>
              </w:rPr>
              <w:t>为了保证本次项目系统的质量，在签订合同前，采购人有权对本项目带有“▲”的技术指标和性能进行设备采购抽查，若抽查结果不能满足采购文件参数以及竞标文件所承诺的要求，采购人有权上报财政监督部门，由此引起的后果均由中标人自行承担，并且保留追究中标人虚假应标的法律责任。</w:t>
            </w:r>
            <w:r>
              <w:rPr>
                <w:rFonts w:hint="eastAsia" w:ascii="宋体" w:hAnsi="宋体" w:eastAsia="宋体" w:cs="宋体"/>
                <w:bCs/>
                <w:color w:val="auto"/>
                <w:sz w:val="21"/>
                <w:szCs w:val="21"/>
                <w:highlight w:val="none"/>
                <w:lang w:val="en-US" w:eastAsia="zh-CN"/>
              </w:rPr>
              <w:t xml:space="preserve">                                    </w:t>
            </w:r>
            <w:r>
              <w:rPr>
                <w:rFonts w:hint="eastAsia" w:ascii="宋体" w:hAnsi="宋体" w:eastAsia="宋体" w:cs="宋体"/>
                <w:bCs/>
                <w:color w:val="auto"/>
                <w:sz w:val="21"/>
                <w:szCs w:val="21"/>
                <w:highlight w:val="none"/>
              </w:rPr>
              <w:t>（2）产品或服务在安装调试并试运行符合要求后，由验收小组按照采购合同规定的技术、服务、功能、安全标准组织对中标人履约情况进行验收。采购人对中标供应商所交货物必须依照招标文件上的技术规格实质要求和国家有关标准验收，进行现场测试比对，达到要求的方可验收。中标人提供的货物或服务未达到招标文件规定的要求，且对采购人造成损失的，由中标人承担一切责任，并赔偿所造成的损失。</w:t>
            </w:r>
          </w:p>
          <w:p w14:paraId="42093EFC">
            <w:pPr>
              <w:adjustRightInd w:val="0"/>
              <w:snapToGrid w:val="0"/>
              <w:ind w:left="210" w:leftChars="100" w:firstLine="0" w:firstLineChars="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本项目验收可以委托第三方机构或采购人或采购代理机构或未成交的供应商组织实施，由验收小组对照采购文件的技术参数要求核对检验，采购人有权要求中标（成交）人提供相应的检测报告复印件，如不符合采购文件的技术参数要求的，按合同约定执行，中标（成交）人承担所有法律责任和费用。采购人保留进一步追究责任的权利。</w:t>
            </w:r>
          </w:p>
          <w:p w14:paraId="24EB444B">
            <w:pPr>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①验收活动开始前，中标（成交）人应对货物作出全面检查和对验收文件进行整理，并列出清单，作为采购人收货验收和使用的技术条件依据。</w:t>
            </w:r>
          </w:p>
          <w:p w14:paraId="722BCCB0">
            <w:pPr>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②因验收不合格的，需要再次组织验收的，由此产生相关成本费用由中标（成交）人承担。</w:t>
            </w:r>
          </w:p>
          <w:p w14:paraId="5549E2BC">
            <w:pPr>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（3）验收时中标（成交）人提供验收文档，具体</w:t>
            </w:r>
            <w:r>
              <w:rPr>
                <w:rFonts w:hint="eastAsia" w:ascii="宋体" w:hAnsi="宋体" w:eastAsia="宋体" w:cs="宋体"/>
                <w:bCs/>
                <w:color w:val="auto"/>
                <w:sz w:val="21"/>
                <w:szCs w:val="21"/>
                <w:highlight w:val="none"/>
                <w:lang w:val="en-US" w:eastAsia="zh-CN"/>
              </w:rPr>
              <w:t>(如有）</w:t>
            </w:r>
            <w:r>
              <w:rPr>
                <w:rFonts w:hint="eastAsia" w:ascii="宋体" w:hAnsi="宋体" w:eastAsia="宋体" w:cs="宋体"/>
                <w:bCs/>
                <w:color w:val="auto"/>
                <w:sz w:val="21"/>
                <w:szCs w:val="21"/>
                <w:highlight w:val="none"/>
              </w:rPr>
              <w:t>：技术方案、实施方案、售后服务方案、培训方案、系统部署文档、测试文档、使用说明书、电子文档等。</w:t>
            </w:r>
          </w:p>
          <w:p w14:paraId="2BC33CAA">
            <w:pPr>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对所有要求出具的证明文件的原件进行核查，如不符合采购文件的技术需求及要求，以及提供虚假承诺的，按相关规定做退货处理及违约处理，中标（成交）人承担所有责任和费用，采购人保留进一步追究责任的权利。</w:t>
            </w:r>
          </w:p>
          <w:p w14:paraId="21347291">
            <w:pPr>
              <w:adjustRightInd w:val="0"/>
              <w:snapToGrid w:val="0"/>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（5）项目验收过程中，如委托第三方检测机构介入，费用由中标（成交）人承担。</w:t>
            </w:r>
          </w:p>
          <w:p w14:paraId="54755F50">
            <w:pPr>
              <w:widowControl/>
              <w:tabs>
                <w:tab w:val="left" w:pos="2100"/>
              </w:tabs>
              <w:snapToGrid w:val="0"/>
              <w:ind w:firstLine="420" w:firstLineChars="200"/>
              <w:jc w:val="left"/>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4、验收程序</w:t>
            </w:r>
          </w:p>
          <w:p w14:paraId="170909EF">
            <w:pPr>
              <w:widowControl/>
              <w:tabs>
                <w:tab w:val="left" w:pos="2100"/>
              </w:tabs>
              <w:snapToGrid w:val="0"/>
              <w:ind w:firstLine="420" w:firstLineChars="200"/>
              <w:jc w:val="left"/>
              <w:rPr>
                <w:rFonts w:hint="eastAsia" w:ascii="宋体" w:hAnsi="宋体" w:eastAsia="宋体" w:cs="宋体"/>
                <w:color w:val="auto"/>
                <w:kern w:val="0"/>
                <w:sz w:val="21"/>
                <w:szCs w:val="21"/>
                <w:highlight w:val="none"/>
                <w:lang w:bidi="ar"/>
              </w:rPr>
            </w:pPr>
            <w:r>
              <w:rPr>
                <w:rFonts w:hint="eastAsia" w:ascii="宋体" w:hAnsi="宋体" w:eastAsia="宋体" w:cs="宋体"/>
                <w:bCs/>
                <w:color w:val="auto"/>
                <w:sz w:val="21"/>
                <w:szCs w:val="21"/>
                <w:highlight w:val="none"/>
              </w:rPr>
              <w:t>（</w:t>
            </w:r>
            <w:r>
              <w:rPr>
                <w:rFonts w:hint="eastAsia" w:ascii="宋体" w:hAnsi="宋体" w:eastAsia="宋体" w:cs="宋体"/>
                <w:color w:val="auto"/>
                <w:kern w:val="0"/>
                <w:sz w:val="21"/>
                <w:szCs w:val="21"/>
                <w:highlight w:val="none"/>
                <w:lang w:val="en-US" w:eastAsia="zh-CN" w:bidi="ar"/>
              </w:rPr>
              <w:t>1</w:t>
            </w:r>
            <w:r>
              <w:rPr>
                <w:rFonts w:hint="eastAsia" w:ascii="宋体" w:hAnsi="宋体" w:eastAsia="宋体" w:cs="宋体"/>
                <w:color w:val="auto"/>
                <w:kern w:val="0"/>
                <w:sz w:val="21"/>
                <w:szCs w:val="21"/>
                <w:highlight w:val="none"/>
                <w:lang w:bidi="ar"/>
              </w:rPr>
              <w:t>）文件审核：对项目的相关文件进行审核，包括合同、设计文件及满足本项目参数要求的测试报告等，确保文件的完整性和准确性。</w:t>
            </w:r>
          </w:p>
          <w:p w14:paraId="670500AE">
            <w:pPr>
              <w:widowControl/>
              <w:tabs>
                <w:tab w:val="left" w:pos="2100"/>
              </w:tabs>
              <w:snapToGrid w:val="0"/>
              <w:ind w:firstLine="420" w:firstLineChars="200"/>
              <w:jc w:val="left"/>
              <w:rPr>
                <w:rFonts w:hint="eastAsia" w:ascii="宋体" w:hAnsi="宋体" w:eastAsia="宋体" w:cs="宋体"/>
                <w:color w:val="auto"/>
                <w:kern w:val="0"/>
                <w:sz w:val="21"/>
                <w:szCs w:val="21"/>
                <w:highlight w:val="none"/>
                <w:lang w:bidi="ar"/>
              </w:rPr>
            </w:pPr>
            <w:r>
              <w:rPr>
                <w:rFonts w:hint="eastAsia" w:ascii="宋体" w:hAnsi="宋体" w:eastAsia="宋体" w:cs="宋体"/>
                <w:bCs/>
                <w:color w:val="auto"/>
                <w:sz w:val="21"/>
                <w:szCs w:val="21"/>
                <w:highlight w:val="none"/>
              </w:rPr>
              <w:t>（</w:t>
            </w:r>
            <w:r>
              <w:rPr>
                <w:rFonts w:hint="eastAsia" w:ascii="宋体" w:hAnsi="宋体" w:eastAsia="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bidi="ar"/>
              </w:rPr>
              <w:t>）技术评估：对项目的技术指标进行评估，判断投标产品是否符合设计要求和标准。采购人需要制造商对中标人交付的产品或服务（包括质量、参数等）进行确认的，制造商应予以配合并出具书面</w:t>
            </w:r>
            <w:r>
              <w:rPr>
                <w:rFonts w:hint="eastAsia" w:ascii="宋体" w:hAnsi="宋体" w:eastAsia="宋体" w:cs="宋体"/>
                <w:color w:val="auto"/>
                <w:kern w:val="0"/>
                <w:sz w:val="21"/>
                <w:szCs w:val="21"/>
                <w:highlight w:val="none"/>
                <w:lang w:val="en-US" w:eastAsia="zh-CN" w:bidi="ar"/>
              </w:rPr>
              <w:t>证明材料原件</w:t>
            </w:r>
            <w:r>
              <w:rPr>
                <w:rFonts w:hint="eastAsia" w:ascii="宋体" w:hAnsi="宋体" w:eastAsia="宋体" w:cs="宋体"/>
                <w:color w:val="auto"/>
                <w:kern w:val="0"/>
                <w:sz w:val="21"/>
                <w:szCs w:val="21"/>
                <w:highlight w:val="none"/>
                <w:lang w:bidi="ar"/>
              </w:rPr>
              <w:t>，相关配合事项由中标人与制造商协调</w:t>
            </w:r>
            <w:r>
              <w:rPr>
                <w:rFonts w:hint="eastAsia" w:ascii="宋体" w:hAnsi="宋体" w:eastAsia="宋体" w:cs="宋体"/>
                <w:color w:val="auto"/>
                <w:kern w:val="0"/>
                <w:sz w:val="21"/>
                <w:szCs w:val="21"/>
                <w:highlight w:val="none"/>
                <w:lang w:val="en-US" w:eastAsia="zh-CN" w:bidi="ar"/>
              </w:rPr>
              <w:t>并予以提供证明材料原件</w:t>
            </w:r>
            <w:r>
              <w:rPr>
                <w:rFonts w:hint="eastAsia" w:ascii="宋体" w:hAnsi="宋体" w:eastAsia="宋体" w:cs="宋体"/>
                <w:color w:val="auto"/>
                <w:kern w:val="0"/>
                <w:sz w:val="21"/>
                <w:szCs w:val="21"/>
                <w:highlight w:val="none"/>
                <w:lang w:bidi="ar"/>
              </w:rPr>
              <w:t>。</w:t>
            </w:r>
          </w:p>
          <w:p w14:paraId="2AD2DA16">
            <w:pPr>
              <w:widowControl/>
              <w:tabs>
                <w:tab w:val="left" w:pos="2100"/>
              </w:tabs>
              <w:snapToGrid w:val="0"/>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bidi="ar"/>
              </w:rPr>
              <w:t>）现场检查：对项目现场进行检查，包括设备安装、施工质量、安全措施等方面，确保项目符合相关的规范和标准。</w:t>
            </w:r>
          </w:p>
          <w:p w14:paraId="236E1768">
            <w:pPr>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）功能测试与性能测试：</w:t>
            </w:r>
          </w:p>
          <w:p w14:paraId="43FB5AFF">
            <w:pPr>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功能测试：验证竞标产品的各项功能是否正常运行，并与合同要求进行对比。</w:t>
            </w:r>
          </w:p>
          <w:p w14:paraId="30720C5C">
            <w:pPr>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性能测试：如心理测评结果、系统响应时间等，确保项目的性能符合要求。</w:t>
            </w:r>
          </w:p>
          <w:p w14:paraId="1955D61E">
            <w:pPr>
              <w:adjustRightInd w:val="0"/>
              <w:snapToGrid w:val="0"/>
              <w:ind w:firstLine="420" w:firstLineChars="200"/>
              <w:rPr>
                <w:rFonts w:hint="eastAsia" w:ascii="宋体" w:hAnsi="宋体" w:eastAsia="宋体" w:cs="宋体"/>
                <w:color w:val="auto"/>
                <w:szCs w:val="21"/>
                <w:highlight w:val="none"/>
              </w:rPr>
            </w:pP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）用户验收：邀请业主代表对项目进行验收，听取</w:t>
            </w:r>
            <w:r>
              <w:rPr>
                <w:rFonts w:hint="eastAsia" w:ascii="宋体" w:hAnsi="宋体" w:eastAsia="宋体" w:cs="宋体"/>
                <w:b/>
                <w:bCs/>
                <w:color w:val="auto"/>
                <w:sz w:val="21"/>
                <w:szCs w:val="21"/>
                <w:highlight w:val="none"/>
                <w:lang w:val="en-US" w:eastAsia="zh-CN" w:bidi="ar"/>
              </w:rPr>
              <w:t>采购人代表</w:t>
            </w:r>
            <w:r>
              <w:rPr>
                <w:rFonts w:hint="eastAsia" w:ascii="宋体" w:hAnsi="宋体" w:eastAsia="宋体" w:cs="宋体"/>
                <w:color w:val="auto"/>
                <w:sz w:val="21"/>
                <w:szCs w:val="21"/>
                <w:highlight w:val="none"/>
              </w:rPr>
              <w:t xml:space="preserve">的意见和建议，并根据反馈进行调整和改进。 </w:t>
            </w:r>
          </w:p>
        </w:tc>
      </w:tr>
      <w:tr w14:paraId="63686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4990" w:type="pct"/>
            <w:gridSpan w:val="8"/>
            <w:noWrap w:val="0"/>
            <w:tcMar>
              <w:left w:w="57" w:type="dxa"/>
              <w:right w:w="57" w:type="dxa"/>
            </w:tcMar>
            <w:vAlign w:val="center"/>
          </w:tcPr>
          <w:p w14:paraId="33267C8B">
            <w:pPr>
              <w:snapToGrid w:val="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三、核心产品</w:t>
            </w:r>
          </w:p>
        </w:tc>
      </w:tr>
      <w:tr w14:paraId="0020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4990" w:type="pct"/>
            <w:gridSpan w:val="8"/>
            <w:noWrap w:val="0"/>
            <w:tcMar>
              <w:left w:w="57" w:type="dxa"/>
              <w:right w:w="57" w:type="dxa"/>
            </w:tcMar>
            <w:vAlign w:val="center"/>
          </w:tcPr>
          <w:p w14:paraId="71540A93">
            <w:pPr>
              <w:snapToGrid w:val="0"/>
              <w:jc w:val="left"/>
              <w:rPr>
                <w:rFonts w:hint="eastAsia" w:ascii="宋体" w:hAnsi="宋体" w:eastAsia="宋体" w:cs="宋体"/>
                <w:b/>
                <w:bCs/>
                <w:color w:val="auto"/>
                <w:szCs w:val="21"/>
                <w:highlight w:val="none"/>
              </w:rPr>
            </w:pPr>
            <w:r>
              <w:rPr>
                <w:rFonts w:hint="eastAsia" w:ascii="宋体" w:hAnsi="宋体" w:eastAsia="宋体" w:cs="宋体"/>
                <w:i w:val="0"/>
                <w:iCs w:val="0"/>
                <w:caps w:val="0"/>
                <w:color w:val="auto"/>
                <w:spacing w:val="0"/>
                <w:sz w:val="22"/>
                <w:szCs w:val="22"/>
                <w:highlight w:val="none"/>
                <w:shd w:val="clear" w:fill="FFFFFF"/>
              </w:rPr>
              <w:t>本标项的核心产品为第 1、2 项（图形工作站）及第 3 项（教学桌面云系统）。</w:t>
            </w:r>
          </w:p>
        </w:tc>
      </w:tr>
      <w:tr w14:paraId="1D9EF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4990" w:type="pct"/>
            <w:gridSpan w:val="8"/>
            <w:noWrap w:val="0"/>
            <w:tcMar>
              <w:left w:w="57" w:type="dxa"/>
              <w:right w:w="57" w:type="dxa"/>
            </w:tcMar>
            <w:vAlign w:val="center"/>
          </w:tcPr>
          <w:p w14:paraId="56401B4A">
            <w:pPr>
              <w:snapToGrid w:val="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四、供应商的履约能力要求表</w:t>
            </w:r>
          </w:p>
        </w:tc>
      </w:tr>
      <w:tr w14:paraId="1BA6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6" w:type="pct"/>
            <w:gridSpan w:val="4"/>
            <w:noWrap w:val="0"/>
            <w:tcMar>
              <w:left w:w="57" w:type="dxa"/>
              <w:right w:w="57" w:type="dxa"/>
            </w:tcMar>
            <w:vAlign w:val="center"/>
          </w:tcPr>
          <w:p w14:paraId="1BA55216">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企业信用要求</w:t>
            </w:r>
          </w:p>
        </w:tc>
        <w:tc>
          <w:tcPr>
            <w:tcW w:w="4124" w:type="pct"/>
            <w:gridSpan w:val="4"/>
            <w:noWrap w:val="0"/>
            <w:tcMar>
              <w:left w:w="57" w:type="dxa"/>
              <w:right w:w="57" w:type="dxa"/>
            </w:tcMar>
            <w:vAlign w:val="center"/>
          </w:tcPr>
          <w:p w14:paraId="7340E861">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对在“信用中国”网站(www.creditchina.gov.cn)、中国政府采购网(www.ccgp.gov.cn)等渠道未被列入失信被执行人、重大税收违法案件当事人名单、行政处罚和较大数额处罚的、政府采购严重违法失信行为记录名单的。</w:t>
            </w:r>
          </w:p>
        </w:tc>
      </w:tr>
      <w:tr w14:paraId="19EF8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4990" w:type="pct"/>
            <w:gridSpan w:val="8"/>
            <w:noWrap w:val="0"/>
            <w:tcMar>
              <w:left w:w="57" w:type="dxa"/>
              <w:right w:w="57" w:type="dxa"/>
            </w:tcMar>
            <w:vAlign w:val="center"/>
          </w:tcPr>
          <w:p w14:paraId="77CC534C">
            <w:pPr>
              <w:keepNext/>
              <w:keepLines/>
              <w:widowControl/>
              <w:wordWrap w:val="0"/>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五、进口产品说明</w:t>
            </w:r>
          </w:p>
        </w:tc>
      </w:tr>
      <w:tr w14:paraId="34EEF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5" w:type="pct"/>
            <w:gridSpan w:val="3"/>
            <w:noWrap w:val="0"/>
            <w:tcMar>
              <w:left w:w="57" w:type="dxa"/>
              <w:right w:w="57" w:type="dxa"/>
            </w:tcMar>
            <w:vAlign w:val="center"/>
          </w:tcPr>
          <w:p w14:paraId="5ECF96CC">
            <w:pP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进口产品说明</w:t>
            </w:r>
          </w:p>
        </w:tc>
        <w:tc>
          <w:tcPr>
            <w:tcW w:w="4125" w:type="pct"/>
            <w:gridSpan w:val="5"/>
            <w:noWrap w:val="0"/>
            <w:tcMar>
              <w:left w:w="57" w:type="dxa"/>
              <w:right w:w="57" w:type="dxa"/>
            </w:tcMar>
            <w:vAlign w:val="top"/>
          </w:tcPr>
          <w:p w14:paraId="25EB7353">
            <w:pP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□本表的第</w:t>
            </w:r>
            <w:r>
              <w:rPr>
                <w:rFonts w:hint="eastAsia" w:ascii="宋体" w:hAnsi="宋体" w:eastAsia="宋体" w:cs="宋体"/>
                <w:color w:val="auto"/>
                <w:szCs w:val="21"/>
                <w:highlight w:val="none"/>
                <w:u w:val="single"/>
              </w:rPr>
              <w:t xml:space="preserve"> / </w:t>
            </w:r>
            <w:r>
              <w:rPr>
                <w:rFonts w:hint="eastAsia" w:ascii="宋体" w:hAnsi="宋体" w:eastAsia="宋体" w:cs="宋体"/>
                <w:color w:val="auto"/>
                <w:szCs w:val="21"/>
                <w:highlight w:val="none"/>
              </w:rPr>
              <w:t>项货物已按规定办妥进口产品采购审核手续，投标产品可选用进口产品；但如选用进口产品时必须为全套原装进口产品（即通过中国海关报关验放进入中国境内且产自关境外的产品），同时投标人必须负责办理进口产品所有相关手续并承担所有费用。优先采购向我国企业转让技术、与我国企业签订消化吸收再创新方案的投标人的进口产品。其他货物不接受进口产品参与投标，</w:t>
            </w:r>
            <w:r>
              <w:rPr>
                <w:rFonts w:hint="eastAsia" w:ascii="宋体" w:hAnsi="宋体" w:eastAsia="宋体" w:cs="宋体"/>
                <w:b/>
                <w:color w:val="auto"/>
                <w:szCs w:val="21"/>
                <w:highlight w:val="none"/>
              </w:rPr>
              <w:t>否则作无效标处理。</w:t>
            </w:r>
          </w:p>
          <w:p w14:paraId="4E419D12">
            <w:pPr>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☑本</w:t>
            </w:r>
            <w:r>
              <w:rPr>
                <w:rFonts w:hint="eastAsia" w:ascii="宋体" w:hAnsi="宋体" w:eastAsia="宋体" w:cs="宋体"/>
                <w:color w:val="auto"/>
                <w:szCs w:val="21"/>
                <w:highlight w:val="none"/>
                <w:lang w:eastAsia="zh-CN"/>
              </w:rPr>
              <w:t>标项</w:t>
            </w:r>
            <w:r>
              <w:rPr>
                <w:rFonts w:hint="eastAsia" w:ascii="宋体" w:hAnsi="宋体" w:eastAsia="宋体" w:cs="宋体"/>
                <w:color w:val="auto"/>
                <w:szCs w:val="21"/>
                <w:highlight w:val="none"/>
              </w:rPr>
              <w:t>货物不接受进口产品（即通过中国海关报关验放进入中国境内且产自关境外的产品）参与投标，</w:t>
            </w:r>
            <w:r>
              <w:rPr>
                <w:rFonts w:hint="eastAsia" w:ascii="宋体" w:hAnsi="宋体" w:eastAsia="宋体" w:cs="宋体"/>
                <w:b/>
                <w:color w:val="auto"/>
                <w:szCs w:val="21"/>
                <w:highlight w:val="none"/>
              </w:rPr>
              <w:t>如有进口产品参与投标的作无效标处理</w:t>
            </w:r>
            <w:r>
              <w:rPr>
                <w:rFonts w:hint="eastAsia" w:ascii="宋体" w:hAnsi="宋体" w:eastAsia="宋体" w:cs="宋体"/>
                <w:color w:val="auto"/>
                <w:szCs w:val="21"/>
                <w:highlight w:val="none"/>
              </w:rPr>
              <w:t>。</w:t>
            </w:r>
          </w:p>
        </w:tc>
      </w:tr>
      <w:tr w14:paraId="4BA69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4990" w:type="pct"/>
            <w:gridSpan w:val="8"/>
            <w:noWrap w:val="0"/>
            <w:tcMar>
              <w:left w:w="57" w:type="dxa"/>
              <w:right w:w="57" w:type="dxa"/>
            </w:tcMar>
            <w:vAlign w:val="center"/>
          </w:tcPr>
          <w:p w14:paraId="6D27DA47">
            <w:pP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六、与本项目有关的设计图纸、技术规范、文件等附件资料及其获取方式（如有）</w:t>
            </w:r>
          </w:p>
        </w:tc>
      </w:tr>
      <w:tr w14:paraId="2B57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5" w:type="pct"/>
            <w:gridSpan w:val="3"/>
            <w:noWrap w:val="0"/>
            <w:tcMar>
              <w:left w:w="57" w:type="dxa"/>
              <w:right w:w="57" w:type="dxa"/>
            </w:tcMar>
            <w:vAlign w:val="center"/>
          </w:tcPr>
          <w:p w14:paraId="5F54FD9C">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文件或者资料名称</w:t>
            </w:r>
          </w:p>
        </w:tc>
        <w:tc>
          <w:tcPr>
            <w:tcW w:w="4125" w:type="pct"/>
            <w:gridSpan w:val="5"/>
            <w:noWrap w:val="0"/>
            <w:tcMar>
              <w:left w:w="57" w:type="dxa"/>
              <w:right w:w="57" w:type="dxa"/>
            </w:tcMar>
            <w:vAlign w:val="center"/>
          </w:tcPr>
          <w:p w14:paraId="23B0E6CE">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公布渠道或者获取方式</w:t>
            </w:r>
          </w:p>
        </w:tc>
      </w:tr>
      <w:tr w14:paraId="17214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9" w:type="pct"/>
        </w:trPr>
        <w:tc>
          <w:tcPr>
            <w:tcW w:w="865" w:type="pct"/>
            <w:gridSpan w:val="3"/>
            <w:noWrap w:val="0"/>
            <w:tcMar>
              <w:left w:w="57" w:type="dxa"/>
              <w:right w:w="57" w:type="dxa"/>
            </w:tcMar>
            <w:vAlign w:val="center"/>
          </w:tcPr>
          <w:p w14:paraId="1BAFBAB8">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c>
          <w:tcPr>
            <w:tcW w:w="4125" w:type="pct"/>
            <w:gridSpan w:val="5"/>
            <w:noWrap w:val="0"/>
            <w:tcMar>
              <w:left w:w="57" w:type="dxa"/>
              <w:right w:w="57" w:type="dxa"/>
            </w:tcMar>
            <w:vAlign w:val="center"/>
          </w:tcPr>
          <w:p w14:paraId="616163C2">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无</w:t>
            </w:r>
          </w:p>
        </w:tc>
      </w:tr>
    </w:tbl>
    <w:p w14:paraId="22147E8F">
      <w:pPr>
        <w:snapToGrid w:val="0"/>
        <w:ind w:firstLine="426" w:firstLineChars="202"/>
        <w:jc w:val="left"/>
        <w:rPr>
          <w:rFonts w:hint="eastAsia" w:ascii="宋体" w:hAnsi="宋体" w:cs="宋体"/>
          <w:b/>
          <w:color w:val="auto"/>
          <w:szCs w:val="21"/>
          <w:highlight w:val="none"/>
        </w:rPr>
      </w:pPr>
    </w:p>
    <w:p w14:paraId="2F20D081">
      <w:pPr>
        <w:spacing w:line="320" w:lineRule="exact"/>
        <w:rPr>
          <w:rFonts w:hint="eastAsia" w:ascii="宋体" w:hAnsi="宋体" w:cs="宋体"/>
          <w:color w:val="auto"/>
          <w:sz w:val="32"/>
          <w:szCs w:val="32"/>
          <w:highlight w:val="none"/>
        </w:rPr>
      </w:pPr>
    </w:p>
    <w:p w14:paraId="18EBB8EF">
      <w:pPr>
        <w:spacing w:line="320" w:lineRule="exact"/>
        <w:rPr>
          <w:rFonts w:hint="eastAsia" w:ascii="宋体" w:hAnsi="宋体" w:cs="宋体"/>
          <w:color w:val="auto"/>
          <w:sz w:val="32"/>
          <w:szCs w:val="32"/>
          <w:highlight w:val="none"/>
        </w:rPr>
      </w:pPr>
    </w:p>
    <w:p w14:paraId="26227B06">
      <w:pPr>
        <w:spacing w:line="320" w:lineRule="exact"/>
        <w:rPr>
          <w:rFonts w:hint="eastAsia" w:ascii="宋体" w:hAnsi="宋体" w:cs="宋体"/>
          <w:color w:val="auto"/>
          <w:sz w:val="32"/>
          <w:szCs w:val="32"/>
          <w:highlight w:val="none"/>
        </w:rPr>
      </w:pPr>
      <w:r>
        <w:rPr>
          <w:rFonts w:hint="eastAsia" w:ascii="宋体" w:hAnsi="宋体" w:cs="宋体"/>
          <w:color w:val="auto"/>
          <w:sz w:val="32"/>
          <w:szCs w:val="32"/>
          <w:highlight w:val="none"/>
        </w:rPr>
        <w:br w:type="page"/>
      </w:r>
      <w:r>
        <w:rPr>
          <w:rFonts w:hint="eastAsia" w:ascii="宋体" w:hAnsi="宋体" w:cs="宋体"/>
          <w:color w:val="auto"/>
          <w:sz w:val="32"/>
          <w:szCs w:val="32"/>
          <w:highlight w:val="none"/>
        </w:rPr>
        <w:t>附件1：</w:t>
      </w:r>
    </w:p>
    <w:p w14:paraId="13D652A0">
      <w:pPr>
        <w:spacing w:line="528" w:lineRule="exact"/>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节能产品政府采购品目清单</w:t>
      </w:r>
    </w:p>
    <w:tbl>
      <w:tblPr>
        <w:tblStyle w:val="33"/>
        <w:tblW w:w="0" w:type="auto"/>
        <w:jc w:val="center"/>
        <w:tblLayout w:type="fixed"/>
        <w:tblCellMar>
          <w:top w:w="0" w:type="dxa"/>
          <w:left w:w="0" w:type="dxa"/>
          <w:bottom w:w="0" w:type="dxa"/>
          <w:right w:w="0" w:type="dxa"/>
        </w:tblCellMar>
      </w:tblPr>
      <w:tblGrid>
        <w:gridCol w:w="716"/>
        <w:gridCol w:w="1590"/>
        <w:gridCol w:w="1981"/>
        <w:gridCol w:w="6"/>
        <w:gridCol w:w="2002"/>
        <w:gridCol w:w="3903"/>
        <w:gridCol w:w="7"/>
      </w:tblGrid>
      <w:tr w14:paraId="24111BEF">
        <w:tblPrEx>
          <w:tblCellMar>
            <w:top w:w="0" w:type="dxa"/>
            <w:left w:w="0" w:type="dxa"/>
            <w:bottom w:w="0" w:type="dxa"/>
            <w:right w:w="0" w:type="dxa"/>
          </w:tblCellMar>
        </w:tblPrEx>
        <w:trPr>
          <w:jc w:val="center"/>
        </w:trPr>
        <w:tc>
          <w:tcPr>
            <w:tcW w:w="716" w:type="dxa"/>
            <w:tcBorders>
              <w:top w:val="single" w:color="auto" w:sz="4" w:space="0"/>
              <w:left w:val="single" w:color="auto" w:sz="4" w:space="0"/>
              <w:bottom w:val="single" w:color="auto" w:sz="4" w:space="0"/>
              <w:right w:val="single" w:color="auto" w:sz="4" w:space="0"/>
            </w:tcBorders>
            <w:vAlign w:val="center"/>
          </w:tcPr>
          <w:p w14:paraId="202C7581">
            <w:pPr>
              <w:pStyle w:val="90"/>
              <w:spacing w:before="124" w:line="283" w:lineRule="auto"/>
              <w:ind w:left="7" w:right="4"/>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品目序号</w:t>
            </w:r>
          </w:p>
        </w:tc>
        <w:tc>
          <w:tcPr>
            <w:tcW w:w="5579" w:type="dxa"/>
            <w:gridSpan w:val="4"/>
            <w:tcBorders>
              <w:top w:val="single" w:color="auto" w:sz="4" w:space="0"/>
              <w:left w:val="single" w:color="auto" w:sz="4" w:space="0"/>
              <w:bottom w:val="single" w:color="auto" w:sz="4" w:space="0"/>
              <w:right w:val="single" w:color="auto" w:sz="4" w:space="0"/>
            </w:tcBorders>
            <w:vAlign w:val="center"/>
          </w:tcPr>
          <w:p w14:paraId="64A4A43D">
            <w:pPr>
              <w:pStyle w:val="90"/>
              <w:spacing w:before="124" w:line="283" w:lineRule="auto"/>
              <w:ind w:left="7" w:right="4"/>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名称</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1B3D91DA">
            <w:pPr>
              <w:pStyle w:val="90"/>
              <w:spacing w:before="124" w:line="283" w:lineRule="auto"/>
              <w:ind w:left="7" w:right="4"/>
              <w:jc w:val="center"/>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t>依据的标准</w:t>
            </w:r>
          </w:p>
        </w:tc>
      </w:tr>
      <w:tr w14:paraId="7FEBCDA2">
        <w:tblPrEx>
          <w:tblCellMar>
            <w:top w:w="0" w:type="dxa"/>
            <w:left w:w="0" w:type="dxa"/>
            <w:bottom w:w="0" w:type="dxa"/>
            <w:right w:w="0" w:type="dxa"/>
          </w:tblCellMar>
        </w:tblPrEx>
        <w:trPr>
          <w:jc w:val="center"/>
        </w:trPr>
        <w:tc>
          <w:tcPr>
            <w:tcW w:w="716" w:type="dxa"/>
            <w:vMerge w:val="restart"/>
            <w:tcBorders>
              <w:top w:val="single" w:color="auto" w:sz="4" w:space="0"/>
              <w:left w:val="single" w:color="auto" w:sz="4" w:space="0"/>
              <w:bottom w:val="single" w:color="auto" w:sz="4" w:space="0"/>
              <w:right w:val="single" w:color="auto" w:sz="4" w:space="0"/>
            </w:tcBorders>
            <w:vAlign w:val="center"/>
          </w:tcPr>
          <w:p w14:paraId="3F695B18">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w:t>
            </w:r>
          </w:p>
        </w:tc>
        <w:tc>
          <w:tcPr>
            <w:tcW w:w="1590" w:type="dxa"/>
            <w:vMerge w:val="restart"/>
            <w:tcBorders>
              <w:top w:val="single" w:color="auto" w:sz="4" w:space="0"/>
              <w:left w:val="single" w:color="auto" w:sz="4" w:space="0"/>
              <w:bottom w:val="single" w:color="auto" w:sz="4" w:space="0"/>
              <w:right w:val="single" w:color="auto" w:sz="4" w:space="0"/>
            </w:tcBorders>
            <w:vAlign w:val="center"/>
          </w:tcPr>
          <w:p w14:paraId="47D87532">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A020101计算机设备</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5614D1F5">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★A02010104台式计算机</w:t>
            </w:r>
          </w:p>
        </w:tc>
        <w:tc>
          <w:tcPr>
            <w:tcW w:w="2002" w:type="dxa"/>
            <w:tcBorders>
              <w:top w:val="single" w:color="auto" w:sz="4" w:space="0"/>
              <w:left w:val="single" w:color="auto" w:sz="4" w:space="0"/>
              <w:bottom w:val="single" w:color="auto" w:sz="4" w:space="0"/>
              <w:right w:val="single" w:color="auto" w:sz="4" w:space="0"/>
            </w:tcBorders>
            <w:vAlign w:val="center"/>
          </w:tcPr>
          <w:p w14:paraId="77C79930">
            <w:pPr>
              <w:pStyle w:val="90"/>
              <w:spacing w:before="124" w:line="283" w:lineRule="auto"/>
              <w:ind w:left="7" w:right="4"/>
              <w:jc w:val="center"/>
              <w:rPr>
                <w:rFonts w:hint="eastAsia" w:ascii="宋体" w:hAnsi="宋体" w:cs="宋体"/>
                <w:color w:val="auto"/>
                <w:sz w:val="21"/>
                <w:szCs w:val="21"/>
                <w:highlight w:val="none"/>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3F4CC9F0">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《微型计算机能效限定值及能效等级》（GB28380）</w:t>
            </w:r>
          </w:p>
        </w:tc>
      </w:tr>
      <w:tr w14:paraId="1E1E1027">
        <w:tblPrEx>
          <w:tblCellMar>
            <w:top w:w="0" w:type="dxa"/>
            <w:left w:w="0" w:type="dxa"/>
            <w:bottom w:w="0" w:type="dxa"/>
            <w:right w:w="0" w:type="dxa"/>
          </w:tblCellMar>
        </w:tblPrEx>
        <w:trPr>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143CAAB4">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766D6FC3">
            <w:pPr>
              <w:widowControl/>
              <w:jc w:val="center"/>
              <w:rPr>
                <w:rFonts w:hint="eastAsia" w:ascii="宋体" w:hAnsi="宋体" w:cs="宋体"/>
                <w:color w:val="auto"/>
                <w:kern w:val="0"/>
                <w:szCs w:val="21"/>
                <w:highlight w:val="none"/>
              </w:rPr>
            </w:pP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5F658AC4">
            <w:pPr>
              <w:pStyle w:val="90"/>
              <w:spacing w:before="44" w:line="283" w:lineRule="auto"/>
              <w:ind w:left="7" w:right="5"/>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★A02010105便携式计算机</w:t>
            </w:r>
          </w:p>
        </w:tc>
        <w:tc>
          <w:tcPr>
            <w:tcW w:w="2002" w:type="dxa"/>
            <w:tcBorders>
              <w:top w:val="single" w:color="auto" w:sz="4" w:space="0"/>
              <w:left w:val="single" w:color="auto" w:sz="4" w:space="0"/>
              <w:bottom w:val="single" w:color="auto" w:sz="4" w:space="0"/>
              <w:right w:val="single" w:color="auto" w:sz="4" w:space="0"/>
            </w:tcBorders>
            <w:vAlign w:val="center"/>
          </w:tcPr>
          <w:p w14:paraId="55897604">
            <w:pPr>
              <w:jc w:val="center"/>
              <w:rPr>
                <w:rFonts w:hint="eastAsia" w:ascii="宋体" w:hAnsi="宋体" w:cs="宋体"/>
                <w:color w:val="auto"/>
                <w:kern w:val="0"/>
                <w:szCs w:val="21"/>
                <w:highlight w:val="none"/>
                <w:lang w:eastAsia="en-US"/>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1581581D">
            <w:pPr>
              <w:pStyle w:val="90"/>
              <w:spacing w:before="4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《微型计算机能效限定值及能效等级》（GB28380）</w:t>
            </w:r>
          </w:p>
        </w:tc>
      </w:tr>
      <w:tr w14:paraId="096BDBE3">
        <w:tblPrEx>
          <w:tblCellMar>
            <w:top w:w="0" w:type="dxa"/>
            <w:left w:w="0" w:type="dxa"/>
            <w:bottom w:w="0" w:type="dxa"/>
            <w:right w:w="0" w:type="dxa"/>
          </w:tblCellMar>
        </w:tblPrEx>
        <w:trPr>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025E63D1">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7A27EC83">
            <w:pPr>
              <w:widowControl/>
              <w:jc w:val="center"/>
              <w:rPr>
                <w:rFonts w:hint="eastAsia" w:ascii="宋体" w:hAnsi="宋体" w:cs="宋体"/>
                <w:color w:val="auto"/>
                <w:kern w:val="0"/>
                <w:szCs w:val="21"/>
                <w:highlight w:val="none"/>
              </w:rPr>
            </w:pP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68A96882">
            <w:pPr>
              <w:pStyle w:val="90"/>
              <w:spacing w:before="64" w:line="283" w:lineRule="auto"/>
              <w:ind w:left="7" w:right="5"/>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★A02010107平板式微型计算机</w:t>
            </w:r>
          </w:p>
        </w:tc>
        <w:tc>
          <w:tcPr>
            <w:tcW w:w="2002" w:type="dxa"/>
            <w:tcBorders>
              <w:top w:val="single" w:color="auto" w:sz="4" w:space="0"/>
              <w:left w:val="single" w:color="auto" w:sz="4" w:space="0"/>
              <w:bottom w:val="single" w:color="auto" w:sz="4" w:space="0"/>
              <w:right w:val="single" w:color="auto" w:sz="4" w:space="0"/>
            </w:tcBorders>
            <w:vAlign w:val="center"/>
          </w:tcPr>
          <w:p w14:paraId="461B2B01">
            <w:pPr>
              <w:jc w:val="center"/>
              <w:rPr>
                <w:rFonts w:hint="eastAsia" w:ascii="宋体" w:hAnsi="宋体" w:cs="宋体"/>
                <w:color w:val="auto"/>
                <w:kern w:val="0"/>
                <w:szCs w:val="21"/>
                <w:highlight w:val="none"/>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1B4D8ECC">
            <w:pPr>
              <w:pStyle w:val="90"/>
              <w:spacing w:before="6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《微型计算机能效限定值及能效等级》（GB28380）</w:t>
            </w:r>
          </w:p>
        </w:tc>
      </w:tr>
      <w:tr w14:paraId="65CB2E67">
        <w:tblPrEx>
          <w:tblCellMar>
            <w:top w:w="0" w:type="dxa"/>
            <w:left w:w="0" w:type="dxa"/>
            <w:bottom w:w="0" w:type="dxa"/>
            <w:right w:w="0" w:type="dxa"/>
          </w:tblCellMar>
        </w:tblPrEx>
        <w:trPr>
          <w:jc w:val="center"/>
        </w:trPr>
        <w:tc>
          <w:tcPr>
            <w:tcW w:w="716" w:type="dxa"/>
            <w:vMerge w:val="restart"/>
            <w:tcBorders>
              <w:top w:val="single" w:color="auto" w:sz="4" w:space="0"/>
              <w:left w:val="single" w:color="auto" w:sz="4" w:space="0"/>
              <w:bottom w:val="single" w:color="auto" w:sz="4" w:space="0"/>
              <w:right w:val="single" w:color="auto" w:sz="4" w:space="0"/>
            </w:tcBorders>
            <w:vAlign w:val="center"/>
          </w:tcPr>
          <w:p w14:paraId="09DF5AA6">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2</w:t>
            </w:r>
          </w:p>
        </w:tc>
        <w:tc>
          <w:tcPr>
            <w:tcW w:w="1590" w:type="dxa"/>
            <w:vMerge w:val="restart"/>
            <w:tcBorders>
              <w:top w:val="single" w:color="auto" w:sz="4" w:space="0"/>
              <w:left w:val="single" w:color="auto" w:sz="4" w:space="0"/>
              <w:bottom w:val="single" w:color="auto" w:sz="4" w:space="0"/>
              <w:right w:val="single" w:color="auto" w:sz="4" w:space="0"/>
            </w:tcBorders>
            <w:vAlign w:val="center"/>
          </w:tcPr>
          <w:p w14:paraId="58A55B35">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A020106输入输出设备</w:t>
            </w:r>
          </w:p>
        </w:tc>
        <w:tc>
          <w:tcPr>
            <w:tcW w:w="1987" w:type="dxa"/>
            <w:gridSpan w:val="2"/>
            <w:vMerge w:val="restart"/>
            <w:tcBorders>
              <w:top w:val="single" w:color="auto" w:sz="4" w:space="0"/>
              <w:left w:val="single" w:color="auto" w:sz="4" w:space="0"/>
              <w:bottom w:val="single" w:color="auto" w:sz="4" w:space="0"/>
              <w:right w:val="single" w:color="auto" w:sz="4" w:space="0"/>
            </w:tcBorders>
            <w:vAlign w:val="center"/>
          </w:tcPr>
          <w:p w14:paraId="5AA8F657">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A02010601打印设备</w:t>
            </w:r>
          </w:p>
        </w:tc>
        <w:tc>
          <w:tcPr>
            <w:tcW w:w="2002" w:type="dxa"/>
            <w:tcBorders>
              <w:top w:val="single" w:color="auto" w:sz="4" w:space="0"/>
              <w:left w:val="single" w:color="auto" w:sz="4" w:space="0"/>
              <w:bottom w:val="single" w:color="auto" w:sz="4" w:space="0"/>
              <w:right w:val="single" w:color="auto" w:sz="4" w:space="0"/>
            </w:tcBorders>
            <w:vAlign w:val="center"/>
          </w:tcPr>
          <w:p w14:paraId="1EFF4BA3">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A0201060101喷墨打</w:t>
            </w:r>
          </w:p>
          <w:p w14:paraId="4305727F">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印机</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43065A83">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《复印机、打印机和传真机能效限定值及能效等级》（GB21521）</w:t>
            </w:r>
          </w:p>
        </w:tc>
      </w:tr>
      <w:tr w14:paraId="0B6BA16F">
        <w:tblPrEx>
          <w:tblCellMar>
            <w:top w:w="0" w:type="dxa"/>
            <w:left w:w="0" w:type="dxa"/>
            <w:bottom w:w="0" w:type="dxa"/>
            <w:right w:w="0" w:type="dxa"/>
          </w:tblCellMar>
        </w:tblPrEx>
        <w:trPr>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3EC004F4">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678ACED1">
            <w:pPr>
              <w:widowControl/>
              <w:jc w:val="center"/>
              <w:rPr>
                <w:rFonts w:hint="eastAsia" w:ascii="宋体" w:hAnsi="宋体" w:cs="宋体"/>
                <w:color w:val="auto"/>
                <w:kern w:val="0"/>
                <w:szCs w:val="21"/>
                <w:highlight w:val="none"/>
              </w:rPr>
            </w:pPr>
          </w:p>
        </w:tc>
        <w:tc>
          <w:tcPr>
            <w:tcW w:w="1987" w:type="dxa"/>
            <w:gridSpan w:val="2"/>
            <w:vMerge w:val="continue"/>
            <w:tcBorders>
              <w:top w:val="single" w:color="auto" w:sz="4" w:space="0"/>
              <w:left w:val="single" w:color="auto" w:sz="4" w:space="0"/>
              <w:bottom w:val="single" w:color="auto" w:sz="4" w:space="0"/>
              <w:right w:val="single" w:color="auto" w:sz="4" w:space="0"/>
            </w:tcBorders>
            <w:vAlign w:val="center"/>
          </w:tcPr>
          <w:p w14:paraId="532D2162">
            <w:pPr>
              <w:widowControl/>
              <w:jc w:val="center"/>
              <w:rPr>
                <w:rFonts w:hint="eastAsia" w:ascii="宋体" w:hAnsi="宋体" w:cs="宋体"/>
                <w:color w:val="auto"/>
                <w:kern w:val="0"/>
                <w:szCs w:val="21"/>
                <w:highlight w:val="none"/>
              </w:rPr>
            </w:pPr>
          </w:p>
        </w:tc>
        <w:tc>
          <w:tcPr>
            <w:tcW w:w="2002" w:type="dxa"/>
            <w:tcBorders>
              <w:top w:val="single" w:color="auto" w:sz="4" w:space="0"/>
              <w:left w:val="single" w:color="auto" w:sz="4" w:space="0"/>
              <w:bottom w:val="single" w:color="auto" w:sz="4" w:space="0"/>
              <w:right w:val="single" w:color="auto" w:sz="4" w:space="0"/>
            </w:tcBorders>
            <w:vAlign w:val="center"/>
          </w:tcPr>
          <w:p w14:paraId="0566974E">
            <w:pPr>
              <w:pStyle w:val="90"/>
              <w:spacing w:before="52"/>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★A0201060102激光</w:t>
            </w:r>
          </w:p>
          <w:p w14:paraId="4BC731A0">
            <w:pPr>
              <w:pStyle w:val="90"/>
              <w:spacing w:before="50"/>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打印机</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33C799FF">
            <w:pPr>
              <w:pStyle w:val="90"/>
              <w:spacing w:before="52"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《复印机、打印机和传真机能效限定值及能效等级》（GB21521）</w:t>
            </w:r>
          </w:p>
        </w:tc>
      </w:tr>
      <w:tr w14:paraId="7386EC90">
        <w:tblPrEx>
          <w:tblCellMar>
            <w:top w:w="0" w:type="dxa"/>
            <w:left w:w="0" w:type="dxa"/>
            <w:bottom w:w="0" w:type="dxa"/>
            <w:right w:w="0" w:type="dxa"/>
          </w:tblCellMar>
        </w:tblPrEx>
        <w:trPr>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3B1CD1FA">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5BB03591">
            <w:pPr>
              <w:widowControl/>
              <w:jc w:val="center"/>
              <w:rPr>
                <w:rFonts w:hint="eastAsia" w:ascii="宋体" w:hAnsi="宋体" w:cs="宋体"/>
                <w:color w:val="auto"/>
                <w:kern w:val="0"/>
                <w:szCs w:val="21"/>
                <w:highlight w:val="none"/>
              </w:rPr>
            </w:pPr>
          </w:p>
        </w:tc>
        <w:tc>
          <w:tcPr>
            <w:tcW w:w="1987" w:type="dxa"/>
            <w:gridSpan w:val="2"/>
            <w:vMerge w:val="continue"/>
            <w:tcBorders>
              <w:top w:val="single" w:color="auto" w:sz="4" w:space="0"/>
              <w:left w:val="single" w:color="auto" w:sz="4" w:space="0"/>
              <w:bottom w:val="single" w:color="auto" w:sz="4" w:space="0"/>
              <w:right w:val="single" w:color="auto" w:sz="4" w:space="0"/>
            </w:tcBorders>
            <w:vAlign w:val="center"/>
          </w:tcPr>
          <w:p w14:paraId="1203DC09">
            <w:pPr>
              <w:widowControl/>
              <w:jc w:val="center"/>
              <w:rPr>
                <w:rFonts w:hint="eastAsia" w:ascii="宋体" w:hAnsi="宋体" w:cs="宋体"/>
                <w:color w:val="auto"/>
                <w:kern w:val="0"/>
                <w:szCs w:val="21"/>
                <w:highlight w:val="none"/>
              </w:rPr>
            </w:pPr>
          </w:p>
        </w:tc>
        <w:tc>
          <w:tcPr>
            <w:tcW w:w="2002" w:type="dxa"/>
            <w:tcBorders>
              <w:top w:val="single" w:color="auto" w:sz="4" w:space="0"/>
              <w:left w:val="single" w:color="auto" w:sz="4" w:space="0"/>
              <w:bottom w:val="single" w:color="auto" w:sz="4" w:space="0"/>
              <w:right w:val="single" w:color="auto" w:sz="4" w:space="0"/>
            </w:tcBorders>
            <w:vAlign w:val="center"/>
          </w:tcPr>
          <w:p w14:paraId="391D0F60">
            <w:pPr>
              <w:pStyle w:val="90"/>
              <w:spacing w:before="52"/>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★A0201060104针式</w:t>
            </w:r>
          </w:p>
          <w:p w14:paraId="2AE3A201">
            <w:pPr>
              <w:pStyle w:val="90"/>
              <w:spacing w:before="50"/>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打印机</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79CAC8D1">
            <w:pPr>
              <w:pStyle w:val="90"/>
              <w:spacing w:before="52"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《复印机、打印机和传真机能效限定值及能效等级》（GB21521）</w:t>
            </w:r>
          </w:p>
        </w:tc>
      </w:tr>
      <w:tr w14:paraId="07CBC166">
        <w:tblPrEx>
          <w:tblCellMar>
            <w:top w:w="0" w:type="dxa"/>
            <w:left w:w="0" w:type="dxa"/>
            <w:bottom w:w="0" w:type="dxa"/>
            <w:right w:w="0" w:type="dxa"/>
          </w:tblCellMar>
        </w:tblPrEx>
        <w:trPr>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1A2E4D38">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7D552F63">
            <w:pPr>
              <w:widowControl/>
              <w:jc w:val="center"/>
              <w:rPr>
                <w:rFonts w:hint="eastAsia" w:ascii="宋体" w:hAnsi="宋体" w:cs="宋体"/>
                <w:color w:val="auto"/>
                <w:kern w:val="0"/>
                <w:szCs w:val="21"/>
                <w:highlight w:val="none"/>
              </w:rPr>
            </w:pP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4807E532">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A02010604显示设备</w:t>
            </w:r>
          </w:p>
        </w:tc>
        <w:tc>
          <w:tcPr>
            <w:tcW w:w="2002" w:type="dxa"/>
            <w:tcBorders>
              <w:top w:val="single" w:color="auto" w:sz="4" w:space="0"/>
              <w:left w:val="single" w:color="auto" w:sz="4" w:space="0"/>
              <w:bottom w:val="single" w:color="auto" w:sz="4" w:space="0"/>
              <w:right w:val="single" w:color="auto" w:sz="4" w:space="0"/>
            </w:tcBorders>
            <w:vAlign w:val="center"/>
          </w:tcPr>
          <w:p w14:paraId="71F08F4B">
            <w:pPr>
              <w:pStyle w:val="90"/>
              <w:spacing w:before="68"/>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★A0201060401液晶</w:t>
            </w:r>
          </w:p>
          <w:p w14:paraId="34B6322C">
            <w:pPr>
              <w:pStyle w:val="90"/>
              <w:spacing w:before="50"/>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显示器</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4CAF9AA0">
            <w:pPr>
              <w:pStyle w:val="90"/>
              <w:spacing w:before="68"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《计算机显示器能效限定值及能效等级》（GB21520）</w:t>
            </w:r>
          </w:p>
        </w:tc>
      </w:tr>
      <w:tr w14:paraId="07826F5D">
        <w:tblPrEx>
          <w:tblCellMar>
            <w:top w:w="0" w:type="dxa"/>
            <w:left w:w="0" w:type="dxa"/>
            <w:bottom w:w="0" w:type="dxa"/>
            <w:right w:w="0" w:type="dxa"/>
          </w:tblCellMar>
        </w:tblPrEx>
        <w:trPr>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2EC70E4B">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257C1B7B">
            <w:pPr>
              <w:widowControl/>
              <w:jc w:val="center"/>
              <w:rPr>
                <w:rFonts w:hint="eastAsia" w:ascii="宋体" w:hAnsi="宋体" w:cs="宋体"/>
                <w:color w:val="auto"/>
                <w:kern w:val="0"/>
                <w:szCs w:val="21"/>
                <w:highlight w:val="none"/>
              </w:rPr>
            </w:pP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2536F50F">
            <w:pPr>
              <w:pStyle w:val="90"/>
              <w:spacing w:line="283" w:lineRule="auto"/>
              <w:ind w:right="5"/>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A02010609图形图像输入设备</w:t>
            </w:r>
          </w:p>
        </w:tc>
        <w:tc>
          <w:tcPr>
            <w:tcW w:w="2002" w:type="dxa"/>
            <w:tcBorders>
              <w:top w:val="single" w:color="auto" w:sz="4" w:space="0"/>
              <w:left w:val="single" w:color="auto" w:sz="4" w:space="0"/>
              <w:bottom w:val="single" w:color="auto" w:sz="4" w:space="0"/>
              <w:right w:val="single" w:color="auto" w:sz="4" w:space="0"/>
            </w:tcBorders>
            <w:vAlign w:val="center"/>
          </w:tcPr>
          <w:p w14:paraId="4863FCD7">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A0201060901扫描仪</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3EE7AD61">
            <w:pPr>
              <w:pStyle w:val="90"/>
              <w:spacing w:before="49"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参照《复印机、打印机和传真机能效限定值及能效等级》（GB21521</w:t>
            </w:r>
          </w:p>
          <w:p w14:paraId="58F343F2">
            <w:pPr>
              <w:pStyle w:val="90"/>
              <w:spacing w:before="12" w:line="283" w:lineRule="auto"/>
              <w:ind w:left="7" w:right="5"/>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中打印速度为15页/分的针式打印机相关要求</w:t>
            </w:r>
          </w:p>
        </w:tc>
      </w:tr>
      <w:tr w14:paraId="66C86D84">
        <w:tblPrEx>
          <w:tblCellMar>
            <w:top w:w="0" w:type="dxa"/>
            <w:left w:w="0" w:type="dxa"/>
            <w:bottom w:w="0" w:type="dxa"/>
            <w:right w:w="0" w:type="dxa"/>
          </w:tblCellMar>
        </w:tblPrEx>
        <w:trPr>
          <w:jc w:val="center"/>
        </w:trPr>
        <w:tc>
          <w:tcPr>
            <w:tcW w:w="716" w:type="dxa"/>
            <w:tcBorders>
              <w:top w:val="single" w:color="auto" w:sz="4" w:space="0"/>
              <w:left w:val="single" w:color="auto" w:sz="4" w:space="0"/>
              <w:bottom w:val="single" w:color="auto" w:sz="4" w:space="0"/>
              <w:right w:val="single" w:color="auto" w:sz="4" w:space="0"/>
            </w:tcBorders>
            <w:vAlign w:val="center"/>
          </w:tcPr>
          <w:p w14:paraId="31F6EB19">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3</w:t>
            </w:r>
          </w:p>
        </w:tc>
        <w:tc>
          <w:tcPr>
            <w:tcW w:w="1590" w:type="dxa"/>
            <w:tcBorders>
              <w:top w:val="single" w:color="auto" w:sz="4" w:space="0"/>
              <w:left w:val="single" w:color="auto" w:sz="4" w:space="0"/>
              <w:bottom w:val="single" w:color="auto" w:sz="4" w:space="0"/>
              <w:right w:val="single" w:color="auto" w:sz="4" w:space="0"/>
            </w:tcBorders>
            <w:vAlign w:val="center"/>
          </w:tcPr>
          <w:p w14:paraId="68A5ED47">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A020202投影仪</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408CBCC5">
            <w:pPr>
              <w:pStyle w:val="90"/>
              <w:spacing w:before="124" w:line="283" w:lineRule="auto"/>
              <w:ind w:left="7" w:right="4"/>
              <w:jc w:val="center"/>
              <w:rPr>
                <w:rFonts w:hint="eastAsia" w:ascii="宋体" w:hAnsi="宋体" w:cs="宋体"/>
                <w:color w:val="auto"/>
                <w:sz w:val="21"/>
                <w:szCs w:val="21"/>
                <w:highlight w:val="none"/>
              </w:rPr>
            </w:pPr>
          </w:p>
        </w:tc>
        <w:tc>
          <w:tcPr>
            <w:tcW w:w="2002" w:type="dxa"/>
            <w:tcBorders>
              <w:top w:val="single" w:color="auto" w:sz="4" w:space="0"/>
              <w:left w:val="single" w:color="auto" w:sz="4" w:space="0"/>
              <w:bottom w:val="single" w:color="auto" w:sz="4" w:space="0"/>
              <w:right w:val="single" w:color="auto" w:sz="4" w:space="0"/>
            </w:tcBorders>
            <w:vAlign w:val="center"/>
          </w:tcPr>
          <w:p w14:paraId="7232B4B2">
            <w:pPr>
              <w:pStyle w:val="90"/>
              <w:spacing w:before="124" w:line="283" w:lineRule="auto"/>
              <w:ind w:left="7" w:right="4"/>
              <w:jc w:val="center"/>
              <w:rPr>
                <w:rFonts w:hint="eastAsia" w:ascii="宋体" w:hAnsi="宋体" w:cs="宋体"/>
                <w:color w:val="auto"/>
                <w:sz w:val="21"/>
                <w:szCs w:val="21"/>
                <w:highlight w:val="none"/>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1E4AF66B">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《投影机能效限定值及能效等级</w:t>
            </w:r>
          </w:p>
          <w:p w14:paraId="3CDC341F">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（GB32028）</w:t>
            </w:r>
          </w:p>
        </w:tc>
      </w:tr>
      <w:tr w14:paraId="0EB02B42">
        <w:tblPrEx>
          <w:tblCellMar>
            <w:top w:w="0" w:type="dxa"/>
            <w:left w:w="0" w:type="dxa"/>
            <w:bottom w:w="0" w:type="dxa"/>
            <w:right w:w="0" w:type="dxa"/>
          </w:tblCellMar>
        </w:tblPrEx>
        <w:trPr>
          <w:jc w:val="center"/>
        </w:trPr>
        <w:tc>
          <w:tcPr>
            <w:tcW w:w="716" w:type="dxa"/>
            <w:tcBorders>
              <w:top w:val="single" w:color="auto" w:sz="4" w:space="0"/>
              <w:left w:val="single" w:color="auto" w:sz="4" w:space="0"/>
              <w:bottom w:val="single" w:color="auto" w:sz="4" w:space="0"/>
              <w:right w:val="single" w:color="auto" w:sz="4" w:space="0"/>
            </w:tcBorders>
            <w:vAlign w:val="center"/>
          </w:tcPr>
          <w:p w14:paraId="321E3C24">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4</w:t>
            </w:r>
          </w:p>
        </w:tc>
        <w:tc>
          <w:tcPr>
            <w:tcW w:w="1590" w:type="dxa"/>
            <w:tcBorders>
              <w:top w:val="single" w:color="auto" w:sz="4" w:space="0"/>
              <w:left w:val="single" w:color="auto" w:sz="4" w:space="0"/>
              <w:bottom w:val="single" w:color="auto" w:sz="4" w:space="0"/>
              <w:right w:val="single" w:color="auto" w:sz="4" w:space="0"/>
            </w:tcBorders>
            <w:vAlign w:val="center"/>
          </w:tcPr>
          <w:p w14:paraId="4CF60D17">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A020204多功能一体机</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1661074C">
            <w:pPr>
              <w:pStyle w:val="90"/>
              <w:spacing w:before="124" w:line="283" w:lineRule="auto"/>
              <w:ind w:left="7" w:right="4"/>
              <w:jc w:val="center"/>
              <w:rPr>
                <w:rFonts w:hint="eastAsia" w:ascii="宋体" w:hAnsi="宋体" w:cs="宋体"/>
                <w:color w:val="auto"/>
                <w:sz w:val="21"/>
                <w:szCs w:val="21"/>
                <w:highlight w:val="none"/>
              </w:rPr>
            </w:pPr>
          </w:p>
        </w:tc>
        <w:tc>
          <w:tcPr>
            <w:tcW w:w="2002" w:type="dxa"/>
            <w:tcBorders>
              <w:top w:val="single" w:color="auto" w:sz="4" w:space="0"/>
              <w:left w:val="single" w:color="auto" w:sz="4" w:space="0"/>
              <w:bottom w:val="single" w:color="auto" w:sz="4" w:space="0"/>
              <w:right w:val="single" w:color="auto" w:sz="4" w:space="0"/>
            </w:tcBorders>
            <w:vAlign w:val="center"/>
          </w:tcPr>
          <w:p w14:paraId="23619D38">
            <w:pPr>
              <w:pStyle w:val="90"/>
              <w:spacing w:before="124" w:line="283" w:lineRule="auto"/>
              <w:ind w:left="7" w:right="4"/>
              <w:jc w:val="center"/>
              <w:rPr>
                <w:rFonts w:hint="eastAsia" w:ascii="宋体" w:hAnsi="宋体" w:cs="宋体"/>
                <w:color w:val="auto"/>
                <w:sz w:val="21"/>
                <w:szCs w:val="21"/>
                <w:highlight w:val="none"/>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72D92011">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《复印机、打印机和传真机能效限定值及能效等级》（GB21521）</w:t>
            </w:r>
          </w:p>
        </w:tc>
      </w:tr>
      <w:tr w14:paraId="518A554B">
        <w:tblPrEx>
          <w:tblCellMar>
            <w:top w:w="0" w:type="dxa"/>
            <w:left w:w="0" w:type="dxa"/>
            <w:bottom w:w="0" w:type="dxa"/>
            <w:right w:w="0" w:type="dxa"/>
          </w:tblCellMar>
        </w:tblPrEx>
        <w:trPr>
          <w:jc w:val="center"/>
        </w:trPr>
        <w:tc>
          <w:tcPr>
            <w:tcW w:w="716" w:type="dxa"/>
            <w:tcBorders>
              <w:top w:val="single" w:color="auto" w:sz="4" w:space="0"/>
              <w:left w:val="single" w:color="auto" w:sz="4" w:space="0"/>
              <w:bottom w:val="single" w:color="auto" w:sz="4" w:space="0"/>
              <w:right w:val="single" w:color="auto" w:sz="4" w:space="0"/>
            </w:tcBorders>
            <w:vAlign w:val="center"/>
          </w:tcPr>
          <w:p w14:paraId="177838DA">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5</w:t>
            </w:r>
          </w:p>
        </w:tc>
        <w:tc>
          <w:tcPr>
            <w:tcW w:w="1590" w:type="dxa"/>
            <w:tcBorders>
              <w:top w:val="single" w:color="auto" w:sz="4" w:space="0"/>
              <w:left w:val="single" w:color="auto" w:sz="4" w:space="0"/>
              <w:bottom w:val="single" w:color="auto" w:sz="4" w:space="0"/>
              <w:right w:val="single" w:color="auto" w:sz="4" w:space="0"/>
            </w:tcBorders>
            <w:vAlign w:val="center"/>
          </w:tcPr>
          <w:p w14:paraId="7A29CDAC">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A020519泵</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30C42E74">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A02051901离心泵</w:t>
            </w:r>
          </w:p>
        </w:tc>
        <w:tc>
          <w:tcPr>
            <w:tcW w:w="2002" w:type="dxa"/>
            <w:tcBorders>
              <w:top w:val="single" w:color="auto" w:sz="4" w:space="0"/>
              <w:left w:val="single" w:color="auto" w:sz="4" w:space="0"/>
              <w:bottom w:val="single" w:color="auto" w:sz="4" w:space="0"/>
              <w:right w:val="single" w:color="auto" w:sz="4" w:space="0"/>
            </w:tcBorders>
            <w:vAlign w:val="center"/>
          </w:tcPr>
          <w:p w14:paraId="7136F26D">
            <w:pPr>
              <w:pStyle w:val="90"/>
              <w:spacing w:before="124" w:line="283" w:lineRule="auto"/>
              <w:ind w:left="7" w:right="4"/>
              <w:jc w:val="center"/>
              <w:rPr>
                <w:rFonts w:hint="eastAsia" w:ascii="宋体" w:hAnsi="宋体" w:cs="宋体"/>
                <w:color w:val="auto"/>
                <w:sz w:val="21"/>
                <w:szCs w:val="21"/>
                <w:highlight w:val="none"/>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63FF3B14">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《清水离心泵能效限定值及节能评价值》（GB19762）</w:t>
            </w:r>
          </w:p>
        </w:tc>
      </w:tr>
      <w:tr w14:paraId="1537FE04">
        <w:tblPrEx>
          <w:tblCellMar>
            <w:top w:w="0" w:type="dxa"/>
            <w:left w:w="0" w:type="dxa"/>
            <w:bottom w:w="0" w:type="dxa"/>
            <w:right w:w="0" w:type="dxa"/>
          </w:tblCellMar>
        </w:tblPrEx>
        <w:trPr>
          <w:jc w:val="center"/>
        </w:trPr>
        <w:tc>
          <w:tcPr>
            <w:tcW w:w="716" w:type="dxa"/>
            <w:vMerge w:val="restart"/>
            <w:tcBorders>
              <w:top w:val="single" w:color="auto" w:sz="4" w:space="0"/>
              <w:left w:val="single" w:color="auto" w:sz="4" w:space="0"/>
              <w:right w:val="single" w:color="auto" w:sz="4" w:space="0"/>
            </w:tcBorders>
            <w:vAlign w:val="center"/>
          </w:tcPr>
          <w:p w14:paraId="42F6EEB8">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6</w:t>
            </w:r>
          </w:p>
        </w:tc>
        <w:tc>
          <w:tcPr>
            <w:tcW w:w="1590" w:type="dxa"/>
            <w:vMerge w:val="restart"/>
            <w:tcBorders>
              <w:top w:val="single" w:color="auto" w:sz="4" w:space="0"/>
              <w:left w:val="single" w:color="auto" w:sz="4" w:space="0"/>
              <w:right w:val="single" w:color="auto" w:sz="4" w:space="0"/>
            </w:tcBorders>
            <w:vAlign w:val="center"/>
          </w:tcPr>
          <w:p w14:paraId="1630E5D5">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A020523制冷空调设备</w:t>
            </w:r>
          </w:p>
        </w:tc>
        <w:tc>
          <w:tcPr>
            <w:tcW w:w="1987" w:type="dxa"/>
            <w:gridSpan w:val="2"/>
            <w:vMerge w:val="restart"/>
            <w:tcBorders>
              <w:top w:val="single" w:color="auto" w:sz="4" w:space="0"/>
              <w:left w:val="single" w:color="auto" w:sz="4" w:space="0"/>
              <w:right w:val="single" w:color="auto" w:sz="4" w:space="0"/>
            </w:tcBorders>
            <w:vAlign w:val="center"/>
          </w:tcPr>
          <w:p w14:paraId="6CEDDFD0">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★A02052301制冷压缩机</w:t>
            </w:r>
          </w:p>
        </w:tc>
        <w:tc>
          <w:tcPr>
            <w:tcW w:w="2002" w:type="dxa"/>
            <w:tcBorders>
              <w:top w:val="single" w:color="auto" w:sz="4" w:space="0"/>
              <w:left w:val="single" w:color="auto" w:sz="4" w:space="0"/>
              <w:bottom w:val="single" w:color="auto" w:sz="4" w:space="0"/>
              <w:right w:val="single" w:color="auto" w:sz="4" w:space="0"/>
            </w:tcBorders>
            <w:vAlign w:val="center"/>
          </w:tcPr>
          <w:p w14:paraId="7CB01AAE">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冷水机组</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0AFC899D">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《冷水机组能效限定值及能效等级》（GB19577），《低环境温度空气源热泵（冷水）机组能效限定值及能效等级》（GB37480）</w:t>
            </w:r>
          </w:p>
        </w:tc>
      </w:tr>
      <w:tr w14:paraId="435848E5">
        <w:tblPrEx>
          <w:tblCellMar>
            <w:top w:w="0" w:type="dxa"/>
            <w:left w:w="0" w:type="dxa"/>
            <w:bottom w:w="0" w:type="dxa"/>
            <w:right w:w="0" w:type="dxa"/>
          </w:tblCellMar>
        </w:tblPrEx>
        <w:trPr>
          <w:jc w:val="center"/>
        </w:trPr>
        <w:tc>
          <w:tcPr>
            <w:tcW w:w="716" w:type="dxa"/>
            <w:vMerge w:val="continue"/>
            <w:tcBorders>
              <w:left w:val="single" w:color="auto" w:sz="4" w:space="0"/>
              <w:right w:val="single" w:color="auto" w:sz="4" w:space="0"/>
            </w:tcBorders>
            <w:vAlign w:val="center"/>
          </w:tcPr>
          <w:p w14:paraId="201898DA">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6AAC9BEA">
            <w:pPr>
              <w:widowControl/>
              <w:jc w:val="center"/>
              <w:rPr>
                <w:rFonts w:hint="eastAsia" w:ascii="宋体" w:hAnsi="宋体" w:cs="宋体"/>
                <w:color w:val="auto"/>
                <w:kern w:val="0"/>
                <w:szCs w:val="21"/>
                <w:highlight w:val="none"/>
              </w:rPr>
            </w:pPr>
          </w:p>
        </w:tc>
        <w:tc>
          <w:tcPr>
            <w:tcW w:w="1987" w:type="dxa"/>
            <w:gridSpan w:val="2"/>
            <w:vMerge w:val="continue"/>
            <w:tcBorders>
              <w:left w:val="single" w:color="auto" w:sz="4" w:space="0"/>
              <w:right w:val="single" w:color="auto" w:sz="4" w:space="0"/>
            </w:tcBorders>
            <w:vAlign w:val="center"/>
          </w:tcPr>
          <w:p w14:paraId="7AE64D1A">
            <w:pPr>
              <w:widowControl/>
              <w:jc w:val="center"/>
              <w:rPr>
                <w:rFonts w:hint="eastAsia" w:ascii="宋体" w:hAnsi="宋体" w:cs="宋体"/>
                <w:color w:val="auto"/>
                <w:kern w:val="0"/>
                <w:szCs w:val="21"/>
                <w:highlight w:val="none"/>
              </w:rPr>
            </w:pPr>
          </w:p>
        </w:tc>
        <w:tc>
          <w:tcPr>
            <w:tcW w:w="2002" w:type="dxa"/>
            <w:tcBorders>
              <w:top w:val="single" w:color="auto" w:sz="4" w:space="0"/>
              <w:left w:val="single" w:color="auto" w:sz="4" w:space="0"/>
              <w:bottom w:val="single" w:color="auto" w:sz="4" w:space="0"/>
              <w:right w:val="single" w:color="auto" w:sz="4" w:space="0"/>
            </w:tcBorders>
            <w:vAlign w:val="center"/>
          </w:tcPr>
          <w:p w14:paraId="7028CA44">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水源热泵机组</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67E47B3A">
            <w:pPr>
              <w:pStyle w:val="90"/>
              <w:spacing w:before="52"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《水（地）源热泵机组能效限定值及能效等级》（GB30721）</w:t>
            </w:r>
          </w:p>
        </w:tc>
      </w:tr>
      <w:tr w14:paraId="58C11EE4">
        <w:tblPrEx>
          <w:tblCellMar>
            <w:top w:w="0" w:type="dxa"/>
            <w:left w:w="0" w:type="dxa"/>
            <w:bottom w:w="0" w:type="dxa"/>
            <w:right w:w="0" w:type="dxa"/>
          </w:tblCellMar>
        </w:tblPrEx>
        <w:trPr>
          <w:trHeight w:val="647" w:hRule="atLeast"/>
          <w:jc w:val="center"/>
        </w:trPr>
        <w:tc>
          <w:tcPr>
            <w:tcW w:w="716" w:type="dxa"/>
            <w:vMerge w:val="continue"/>
            <w:tcBorders>
              <w:left w:val="single" w:color="auto" w:sz="4" w:space="0"/>
              <w:right w:val="single" w:color="auto" w:sz="4" w:space="0"/>
            </w:tcBorders>
            <w:vAlign w:val="center"/>
          </w:tcPr>
          <w:p w14:paraId="2CF15774">
            <w:pPr>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41B4C3F3">
            <w:pPr>
              <w:jc w:val="center"/>
              <w:rPr>
                <w:rFonts w:hint="eastAsia" w:ascii="宋体" w:hAnsi="宋体" w:cs="宋体"/>
                <w:color w:val="auto"/>
                <w:kern w:val="0"/>
                <w:szCs w:val="21"/>
                <w:highlight w:val="none"/>
              </w:rPr>
            </w:pPr>
          </w:p>
        </w:tc>
        <w:tc>
          <w:tcPr>
            <w:tcW w:w="1987" w:type="dxa"/>
            <w:gridSpan w:val="2"/>
            <w:vMerge w:val="continue"/>
            <w:tcBorders>
              <w:left w:val="single" w:color="auto" w:sz="4" w:space="0"/>
              <w:right w:val="single" w:color="auto" w:sz="4" w:space="0"/>
            </w:tcBorders>
            <w:vAlign w:val="center"/>
          </w:tcPr>
          <w:p w14:paraId="4ECE0DB4">
            <w:pPr>
              <w:jc w:val="center"/>
              <w:rPr>
                <w:rFonts w:hint="eastAsia" w:ascii="宋体" w:hAnsi="宋体" w:cs="宋体"/>
                <w:color w:val="auto"/>
                <w:kern w:val="0"/>
                <w:szCs w:val="21"/>
                <w:highlight w:val="none"/>
              </w:rPr>
            </w:pPr>
          </w:p>
        </w:tc>
        <w:tc>
          <w:tcPr>
            <w:tcW w:w="2002" w:type="dxa"/>
            <w:tcBorders>
              <w:top w:val="single" w:color="auto" w:sz="4" w:space="0"/>
              <w:left w:val="single" w:color="auto" w:sz="4" w:space="0"/>
              <w:right w:val="single" w:color="auto" w:sz="4" w:space="0"/>
            </w:tcBorders>
            <w:vAlign w:val="center"/>
          </w:tcPr>
          <w:p w14:paraId="51F096B8">
            <w:pPr>
              <w:pStyle w:val="90"/>
              <w:spacing w:before="93"/>
              <w:ind w:lef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溴化锂吸收式冷水机组</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15D2F301">
            <w:pPr>
              <w:pStyle w:val="90"/>
              <w:spacing w:before="93"/>
              <w:ind w:lef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《溴化锂吸收式冷水机组能效限定值及能效等级》（GB29540）</w:t>
            </w:r>
          </w:p>
        </w:tc>
      </w:tr>
      <w:tr w14:paraId="24F5693A">
        <w:tblPrEx>
          <w:tblCellMar>
            <w:top w:w="0" w:type="dxa"/>
            <w:left w:w="0" w:type="dxa"/>
            <w:bottom w:w="0" w:type="dxa"/>
            <w:right w:w="0" w:type="dxa"/>
          </w:tblCellMar>
        </w:tblPrEx>
        <w:trPr>
          <w:jc w:val="center"/>
        </w:trPr>
        <w:tc>
          <w:tcPr>
            <w:tcW w:w="716" w:type="dxa"/>
            <w:vMerge w:val="continue"/>
            <w:tcBorders>
              <w:left w:val="single" w:color="auto" w:sz="4" w:space="0"/>
              <w:right w:val="single" w:color="auto" w:sz="4" w:space="0"/>
            </w:tcBorders>
            <w:vAlign w:val="center"/>
          </w:tcPr>
          <w:p w14:paraId="03CAED25">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1AF84F87">
            <w:pPr>
              <w:widowControl/>
              <w:jc w:val="center"/>
              <w:rPr>
                <w:rFonts w:hint="eastAsia" w:ascii="宋体" w:hAnsi="宋体" w:cs="宋体"/>
                <w:color w:val="auto"/>
                <w:kern w:val="0"/>
                <w:szCs w:val="21"/>
                <w:highlight w:val="none"/>
              </w:rPr>
            </w:pPr>
          </w:p>
        </w:tc>
        <w:tc>
          <w:tcPr>
            <w:tcW w:w="1987" w:type="dxa"/>
            <w:gridSpan w:val="2"/>
            <w:vMerge w:val="restart"/>
            <w:tcBorders>
              <w:top w:val="single" w:color="auto" w:sz="4" w:space="0"/>
              <w:left w:val="single" w:color="auto" w:sz="4" w:space="0"/>
              <w:bottom w:val="single" w:color="auto" w:sz="4" w:space="0"/>
              <w:right w:val="single" w:color="auto" w:sz="4" w:space="0"/>
            </w:tcBorders>
            <w:vAlign w:val="center"/>
          </w:tcPr>
          <w:p w14:paraId="430FB287">
            <w:pPr>
              <w:pStyle w:val="90"/>
              <w:spacing w:line="283" w:lineRule="auto"/>
              <w:ind w:right="5"/>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★A02052305空调机组</w:t>
            </w:r>
          </w:p>
        </w:tc>
        <w:tc>
          <w:tcPr>
            <w:tcW w:w="2002" w:type="dxa"/>
            <w:tcBorders>
              <w:top w:val="single" w:color="auto" w:sz="4" w:space="0"/>
              <w:left w:val="single" w:color="auto" w:sz="4" w:space="0"/>
              <w:bottom w:val="single" w:color="auto" w:sz="4" w:space="0"/>
              <w:right w:val="single" w:color="auto" w:sz="4" w:space="0"/>
            </w:tcBorders>
            <w:vAlign w:val="center"/>
          </w:tcPr>
          <w:p w14:paraId="4C40BFA1">
            <w:pPr>
              <w:pStyle w:val="90"/>
              <w:spacing w:before="4"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多联式空调（热泵）机组(制冷量&gt;14000W)</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6B04747A">
            <w:pPr>
              <w:pStyle w:val="90"/>
              <w:spacing w:before="160"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《多联式空调（热泵）机组能效限定值及能源效率等级》（GB21454</w:t>
            </w:r>
          </w:p>
        </w:tc>
      </w:tr>
      <w:tr w14:paraId="793424AC">
        <w:tblPrEx>
          <w:tblCellMar>
            <w:top w:w="0" w:type="dxa"/>
            <w:left w:w="0" w:type="dxa"/>
            <w:bottom w:w="0" w:type="dxa"/>
            <w:right w:w="0" w:type="dxa"/>
          </w:tblCellMar>
        </w:tblPrEx>
        <w:trPr>
          <w:trHeight w:val="241" w:hRule="atLeast"/>
          <w:jc w:val="center"/>
        </w:trPr>
        <w:tc>
          <w:tcPr>
            <w:tcW w:w="716" w:type="dxa"/>
            <w:vMerge w:val="continue"/>
            <w:tcBorders>
              <w:left w:val="single" w:color="auto" w:sz="4" w:space="0"/>
              <w:right w:val="single" w:color="auto" w:sz="4" w:space="0"/>
            </w:tcBorders>
            <w:vAlign w:val="center"/>
          </w:tcPr>
          <w:p w14:paraId="75D2A81D">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2D885CC5">
            <w:pPr>
              <w:widowControl/>
              <w:jc w:val="center"/>
              <w:rPr>
                <w:rFonts w:hint="eastAsia" w:ascii="宋体" w:hAnsi="宋体" w:cs="宋体"/>
                <w:color w:val="auto"/>
                <w:kern w:val="0"/>
                <w:szCs w:val="21"/>
                <w:highlight w:val="none"/>
              </w:rPr>
            </w:pPr>
          </w:p>
        </w:tc>
        <w:tc>
          <w:tcPr>
            <w:tcW w:w="1987" w:type="dxa"/>
            <w:gridSpan w:val="2"/>
            <w:vMerge w:val="continue"/>
            <w:tcBorders>
              <w:top w:val="single" w:color="auto" w:sz="4" w:space="0"/>
              <w:left w:val="single" w:color="auto" w:sz="4" w:space="0"/>
              <w:bottom w:val="single" w:color="auto" w:sz="4" w:space="0"/>
              <w:right w:val="single" w:color="auto" w:sz="4" w:space="0"/>
            </w:tcBorders>
            <w:vAlign w:val="center"/>
          </w:tcPr>
          <w:p w14:paraId="635BAB56">
            <w:pPr>
              <w:widowControl/>
              <w:jc w:val="center"/>
              <w:rPr>
                <w:rFonts w:hint="eastAsia" w:ascii="宋体" w:hAnsi="宋体" w:cs="宋体"/>
                <w:color w:val="auto"/>
                <w:kern w:val="0"/>
                <w:szCs w:val="21"/>
                <w:highlight w:val="none"/>
              </w:rPr>
            </w:pPr>
          </w:p>
        </w:tc>
        <w:tc>
          <w:tcPr>
            <w:tcW w:w="2002" w:type="dxa"/>
            <w:tcBorders>
              <w:top w:val="single" w:color="auto" w:sz="4" w:space="0"/>
              <w:left w:val="single" w:color="auto" w:sz="4" w:space="0"/>
              <w:right w:val="single" w:color="auto" w:sz="4" w:space="0"/>
            </w:tcBorders>
            <w:vAlign w:val="center"/>
          </w:tcPr>
          <w:p w14:paraId="4EC8DDCE">
            <w:pPr>
              <w:pStyle w:val="90"/>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单元式空气调节机</w:t>
            </w:r>
          </w:p>
          <w:p w14:paraId="0AF20054">
            <w:pPr>
              <w:pStyle w:val="90"/>
              <w:spacing w:line="256" w:lineRule="exact"/>
              <w:ind w:lef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(制冷量&gt;14000W)</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01035DDA">
            <w:pPr>
              <w:pStyle w:val="90"/>
              <w:spacing w:before="9"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《单元式空气调节机能效限定值及能效等级》（GB19576）《风管送风式空调机组能效限定值及能效等级》（GB37479）</w:t>
            </w:r>
          </w:p>
        </w:tc>
      </w:tr>
      <w:tr w14:paraId="500630B0">
        <w:tblPrEx>
          <w:tblCellMar>
            <w:top w:w="0" w:type="dxa"/>
            <w:left w:w="0" w:type="dxa"/>
            <w:bottom w:w="0" w:type="dxa"/>
            <w:right w:w="0" w:type="dxa"/>
          </w:tblCellMar>
        </w:tblPrEx>
        <w:trPr>
          <w:trHeight w:val="637" w:hRule="atLeast"/>
          <w:jc w:val="center"/>
        </w:trPr>
        <w:tc>
          <w:tcPr>
            <w:tcW w:w="716" w:type="dxa"/>
            <w:vMerge w:val="continue"/>
            <w:tcBorders>
              <w:left w:val="single" w:color="auto" w:sz="4" w:space="0"/>
              <w:right w:val="single" w:color="auto" w:sz="4" w:space="0"/>
            </w:tcBorders>
            <w:vAlign w:val="center"/>
          </w:tcPr>
          <w:p w14:paraId="606FC854">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3B652ED5">
            <w:pPr>
              <w:widowControl/>
              <w:jc w:val="center"/>
              <w:rPr>
                <w:rFonts w:hint="eastAsia" w:ascii="宋体" w:hAnsi="宋体" w:cs="宋体"/>
                <w:color w:val="auto"/>
                <w:kern w:val="0"/>
                <w:szCs w:val="21"/>
                <w:highlight w:val="none"/>
              </w:rPr>
            </w:pPr>
          </w:p>
        </w:tc>
        <w:tc>
          <w:tcPr>
            <w:tcW w:w="1987" w:type="dxa"/>
            <w:gridSpan w:val="2"/>
            <w:tcBorders>
              <w:top w:val="single" w:color="auto" w:sz="4" w:space="0"/>
              <w:left w:val="single" w:color="auto" w:sz="4" w:space="0"/>
              <w:right w:val="single" w:color="auto" w:sz="4" w:space="0"/>
            </w:tcBorders>
            <w:vAlign w:val="center"/>
          </w:tcPr>
          <w:p w14:paraId="33C285EF">
            <w:pPr>
              <w:pStyle w:val="90"/>
              <w:spacing w:before="83"/>
              <w:ind w:lef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★A02052309专用制冷、空调设备</w:t>
            </w:r>
          </w:p>
        </w:tc>
        <w:tc>
          <w:tcPr>
            <w:tcW w:w="2002" w:type="dxa"/>
            <w:tcBorders>
              <w:top w:val="single" w:color="auto" w:sz="4" w:space="0"/>
              <w:left w:val="single" w:color="auto" w:sz="4" w:space="0"/>
              <w:bottom w:val="single" w:color="auto" w:sz="4" w:space="0"/>
              <w:right w:val="single" w:color="auto" w:sz="4" w:space="0"/>
            </w:tcBorders>
            <w:vAlign w:val="center"/>
          </w:tcPr>
          <w:p w14:paraId="4898F286">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机房空调</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2E9CCA35">
            <w:pPr>
              <w:pStyle w:val="90"/>
              <w:spacing w:before="83"/>
              <w:ind w:lef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《单元式空气调节机能效限定值及能效等级》（GB19576）</w:t>
            </w:r>
          </w:p>
        </w:tc>
      </w:tr>
      <w:tr w14:paraId="494CB4AF">
        <w:tblPrEx>
          <w:tblCellMar>
            <w:top w:w="0" w:type="dxa"/>
            <w:left w:w="0" w:type="dxa"/>
            <w:bottom w:w="0" w:type="dxa"/>
            <w:right w:w="0" w:type="dxa"/>
          </w:tblCellMar>
        </w:tblPrEx>
        <w:trPr>
          <w:trHeight w:val="1070" w:hRule="atLeast"/>
          <w:jc w:val="center"/>
        </w:trPr>
        <w:tc>
          <w:tcPr>
            <w:tcW w:w="716" w:type="dxa"/>
            <w:vMerge w:val="continue"/>
            <w:tcBorders>
              <w:left w:val="single" w:color="auto" w:sz="4" w:space="0"/>
              <w:right w:val="single" w:color="auto" w:sz="4" w:space="0"/>
            </w:tcBorders>
            <w:vAlign w:val="center"/>
          </w:tcPr>
          <w:p w14:paraId="1886BD30">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04148779">
            <w:pPr>
              <w:widowControl/>
              <w:jc w:val="center"/>
              <w:rPr>
                <w:rFonts w:hint="eastAsia" w:ascii="宋体" w:hAnsi="宋体" w:cs="宋体"/>
                <w:color w:val="auto"/>
                <w:kern w:val="0"/>
                <w:szCs w:val="21"/>
                <w:highlight w:val="none"/>
              </w:rPr>
            </w:pPr>
          </w:p>
        </w:tc>
        <w:tc>
          <w:tcPr>
            <w:tcW w:w="1987" w:type="dxa"/>
            <w:gridSpan w:val="2"/>
            <w:tcBorders>
              <w:top w:val="single" w:color="auto" w:sz="4" w:space="0"/>
              <w:left w:val="single" w:color="auto" w:sz="4" w:space="0"/>
              <w:right w:val="single" w:color="auto" w:sz="4" w:space="0"/>
            </w:tcBorders>
            <w:vAlign w:val="center"/>
          </w:tcPr>
          <w:p w14:paraId="229DE6CE">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A02052399其他制冷空调设备</w:t>
            </w:r>
          </w:p>
        </w:tc>
        <w:tc>
          <w:tcPr>
            <w:tcW w:w="2002" w:type="dxa"/>
            <w:tcBorders>
              <w:top w:val="single" w:color="auto" w:sz="4" w:space="0"/>
              <w:left w:val="single" w:color="auto" w:sz="4" w:space="0"/>
              <w:bottom w:val="single" w:color="auto" w:sz="4" w:space="0"/>
              <w:right w:val="single" w:color="auto" w:sz="4" w:space="0"/>
            </w:tcBorders>
            <w:vAlign w:val="center"/>
          </w:tcPr>
          <w:p w14:paraId="1EAC2901">
            <w:pPr>
              <w:pStyle w:val="90"/>
              <w:spacing w:before="16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冷却塔</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4DADDFBB">
            <w:pPr>
              <w:pStyle w:val="90"/>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《机械通风冷却塔第1部分：中小型开式冷却塔》（GB/T7190.1）</w:t>
            </w:r>
          </w:p>
          <w:p w14:paraId="226CF701">
            <w:pPr>
              <w:pStyle w:val="90"/>
              <w:spacing w:line="256" w:lineRule="exact"/>
              <w:ind w:lef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《机械通风冷却塔第2部分：大型开式冷却塔》（GB/T7190.2</w:t>
            </w:r>
          </w:p>
        </w:tc>
      </w:tr>
      <w:tr w14:paraId="0A6242F7">
        <w:tblPrEx>
          <w:tblCellMar>
            <w:top w:w="0" w:type="dxa"/>
            <w:left w:w="0" w:type="dxa"/>
            <w:bottom w:w="0" w:type="dxa"/>
            <w:right w:w="0" w:type="dxa"/>
          </w:tblCellMar>
        </w:tblPrEx>
        <w:trPr>
          <w:jc w:val="center"/>
        </w:trPr>
        <w:tc>
          <w:tcPr>
            <w:tcW w:w="716" w:type="dxa"/>
            <w:tcBorders>
              <w:top w:val="single" w:color="auto" w:sz="4" w:space="0"/>
              <w:left w:val="single" w:color="auto" w:sz="4" w:space="0"/>
              <w:bottom w:val="single" w:color="auto" w:sz="4" w:space="0"/>
              <w:right w:val="single" w:color="auto" w:sz="4" w:space="0"/>
            </w:tcBorders>
            <w:vAlign w:val="center"/>
          </w:tcPr>
          <w:p w14:paraId="1EBC76D1">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7</w:t>
            </w:r>
          </w:p>
        </w:tc>
        <w:tc>
          <w:tcPr>
            <w:tcW w:w="1590" w:type="dxa"/>
            <w:tcBorders>
              <w:top w:val="single" w:color="auto" w:sz="4" w:space="0"/>
              <w:left w:val="single" w:color="auto" w:sz="4" w:space="0"/>
              <w:bottom w:val="single" w:color="auto" w:sz="4" w:space="0"/>
              <w:right w:val="single" w:color="auto" w:sz="4" w:space="0"/>
            </w:tcBorders>
            <w:vAlign w:val="center"/>
          </w:tcPr>
          <w:p w14:paraId="3F26F037">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A020601电机</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53DA41F9">
            <w:pPr>
              <w:pStyle w:val="90"/>
              <w:spacing w:before="124" w:line="283" w:lineRule="auto"/>
              <w:ind w:left="7" w:right="4"/>
              <w:jc w:val="center"/>
              <w:rPr>
                <w:rFonts w:hint="eastAsia" w:ascii="宋体" w:hAnsi="宋体" w:cs="宋体"/>
                <w:color w:val="auto"/>
                <w:sz w:val="21"/>
                <w:szCs w:val="21"/>
                <w:highlight w:val="none"/>
              </w:rPr>
            </w:pPr>
          </w:p>
        </w:tc>
        <w:tc>
          <w:tcPr>
            <w:tcW w:w="2002" w:type="dxa"/>
            <w:tcBorders>
              <w:top w:val="single" w:color="auto" w:sz="4" w:space="0"/>
              <w:left w:val="single" w:color="auto" w:sz="4" w:space="0"/>
              <w:bottom w:val="single" w:color="auto" w:sz="4" w:space="0"/>
              <w:right w:val="single" w:color="auto" w:sz="4" w:space="0"/>
            </w:tcBorders>
            <w:vAlign w:val="center"/>
          </w:tcPr>
          <w:p w14:paraId="7721DF0C">
            <w:pPr>
              <w:pStyle w:val="90"/>
              <w:spacing w:before="124" w:line="283" w:lineRule="auto"/>
              <w:ind w:left="7" w:right="4"/>
              <w:jc w:val="center"/>
              <w:rPr>
                <w:rFonts w:hint="eastAsia" w:ascii="宋体" w:hAnsi="宋体" w:cs="宋体"/>
                <w:color w:val="auto"/>
                <w:sz w:val="21"/>
                <w:szCs w:val="21"/>
                <w:highlight w:val="none"/>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6976B748">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《中小型三相异步电动机能效限定值及能效等级》（GB18613）</w:t>
            </w:r>
          </w:p>
        </w:tc>
      </w:tr>
      <w:tr w14:paraId="0146D97F">
        <w:tblPrEx>
          <w:tblCellMar>
            <w:top w:w="0" w:type="dxa"/>
            <w:left w:w="0" w:type="dxa"/>
            <w:bottom w:w="0" w:type="dxa"/>
            <w:right w:w="0" w:type="dxa"/>
          </w:tblCellMar>
        </w:tblPrEx>
        <w:trPr>
          <w:trHeight w:val="558"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76AFB03B">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8</w:t>
            </w:r>
          </w:p>
        </w:tc>
        <w:tc>
          <w:tcPr>
            <w:tcW w:w="1590" w:type="dxa"/>
            <w:tcBorders>
              <w:top w:val="single" w:color="auto" w:sz="4" w:space="0"/>
              <w:left w:val="single" w:color="auto" w:sz="4" w:space="0"/>
              <w:right w:val="single" w:color="auto" w:sz="4" w:space="0"/>
            </w:tcBorders>
            <w:vAlign w:val="center"/>
          </w:tcPr>
          <w:p w14:paraId="4D08B19B">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A020602变压器</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61926FFB">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配电变压器</w:t>
            </w:r>
          </w:p>
        </w:tc>
        <w:tc>
          <w:tcPr>
            <w:tcW w:w="2002" w:type="dxa"/>
            <w:tcBorders>
              <w:top w:val="single" w:color="auto" w:sz="4" w:space="0"/>
              <w:left w:val="single" w:color="auto" w:sz="4" w:space="0"/>
              <w:bottom w:val="single" w:color="auto" w:sz="4" w:space="0"/>
              <w:right w:val="single" w:color="auto" w:sz="4" w:space="0"/>
            </w:tcBorders>
            <w:vAlign w:val="center"/>
          </w:tcPr>
          <w:p w14:paraId="49DEE6DF">
            <w:pPr>
              <w:pStyle w:val="90"/>
              <w:spacing w:before="124" w:line="283" w:lineRule="auto"/>
              <w:ind w:left="7" w:right="4"/>
              <w:jc w:val="center"/>
              <w:rPr>
                <w:rFonts w:hint="eastAsia" w:ascii="宋体" w:hAnsi="宋体" w:cs="宋体"/>
                <w:color w:val="auto"/>
                <w:sz w:val="21"/>
                <w:szCs w:val="21"/>
                <w:highlight w:val="none"/>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074BC811">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《三相配电变压器能效限定值及能效等级》（GB20052）</w:t>
            </w:r>
          </w:p>
        </w:tc>
      </w:tr>
      <w:tr w14:paraId="68CDC66E">
        <w:tblPrEx>
          <w:tblCellMar>
            <w:top w:w="0" w:type="dxa"/>
            <w:left w:w="0" w:type="dxa"/>
            <w:bottom w:w="0" w:type="dxa"/>
            <w:right w:w="0" w:type="dxa"/>
          </w:tblCellMar>
        </w:tblPrEx>
        <w:trPr>
          <w:trHeight w:val="660" w:hRule="atLeast"/>
          <w:jc w:val="center"/>
        </w:trPr>
        <w:tc>
          <w:tcPr>
            <w:tcW w:w="716" w:type="dxa"/>
            <w:tcBorders>
              <w:top w:val="single" w:color="auto" w:sz="4" w:space="0"/>
              <w:left w:val="single" w:color="auto" w:sz="4" w:space="0"/>
              <w:bottom w:val="single" w:color="auto" w:sz="4" w:space="0"/>
              <w:right w:val="single" w:color="auto" w:sz="4" w:space="0"/>
            </w:tcBorders>
            <w:vAlign w:val="center"/>
          </w:tcPr>
          <w:p w14:paraId="16127BC9">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9</w:t>
            </w:r>
          </w:p>
        </w:tc>
        <w:tc>
          <w:tcPr>
            <w:tcW w:w="1590" w:type="dxa"/>
            <w:tcBorders>
              <w:top w:val="single" w:color="auto" w:sz="4" w:space="0"/>
              <w:left w:val="single" w:color="auto" w:sz="4" w:space="0"/>
              <w:right w:val="single" w:color="auto" w:sz="4" w:space="0"/>
            </w:tcBorders>
            <w:vAlign w:val="center"/>
          </w:tcPr>
          <w:p w14:paraId="5E238CA9">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★A020609镇流器</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14D80F0B">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管型荧光灯镇流器</w:t>
            </w:r>
          </w:p>
        </w:tc>
        <w:tc>
          <w:tcPr>
            <w:tcW w:w="2002" w:type="dxa"/>
            <w:tcBorders>
              <w:top w:val="single" w:color="auto" w:sz="4" w:space="0"/>
              <w:left w:val="single" w:color="auto" w:sz="4" w:space="0"/>
              <w:bottom w:val="single" w:color="auto" w:sz="4" w:space="0"/>
              <w:right w:val="single" w:color="auto" w:sz="4" w:space="0"/>
            </w:tcBorders>
            <w:vAlign w:val="center"/>
          </w:tcPr>
          <w:p w14:paraId="3FC5DA7C">
            <w:pPr>
              <w:pStyle w:val="90"/>
              <w:spacing w:before="124" w:line="283" w:lineRule="auto"/>
              <w:ind w:left="7" w:right="4"/>
              <w:jc w:val="center"/>
              <w:rPr>
                <w:rFonts w:hint="eastAsia" w:ascii="宋体" w:hAnsi="宋体" w:cs="宋体"/>
                <w:color w:val="auto"/>
                <w:sz w:val="21"/>
                <w:szCs w:val="21"/>
                <w:highlight w:val="none"/>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245B9772">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《管形荧光灯镇流器能效限定值及能效等级》（GB17896）</w:t>
            </w:r>
          </w:p>
        </w:tc>
      </w:tr>
      <w:tr w14:paraId="76E350B6">
        <w:tblPrEx>
          <w:tblCellMar>
            <w:top w:w="0" w:type="dxa"/>
            <w:left w:w="0" w:type="dxa"/>
            <w:bottom w:w="0" w:type="dxa"/>
            <w:right w:w="0" w:type="dxa"/>
          </w:tblCellMar>
        </w:tblPrEx>
        <w:trPr>
          <w:trHeight w:val="562" w:hRule="atLeast"/>
          <w:jc w:val="center"/>
        </w:trPr>
        <w:tc>
          <w:tcPr>
            <w:tcW w:w="716" w:type="dxa"/>
            <w:vMerge w:val="restart"/>
            <w:tcBorders>
              <w:top w:val="single" w:color="auto" w:sz="4" w:space="0"/>
              <w:left w:val="single" w:color="auto" w:sz="4" w:space="0"/>
              <w:right w:val="single" w:color="auto" w:sz="4" w:space="0"/>
            </w:tcBorders>
            <w:vAlign w:val="center"/>
          </w:tcPr>
          <w:p w14:paraId="394257E2">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10</w:t>
            </w:r>
          </w:p>
        </w:tc>
        <w:tc>
          <w:tcPr>
            <w:tcW w:w="1590" w:type="dxa"/>
            <w:vMerge w:val="restart"/>
            <w:tcBorders>
              <w:top w:val="single" w:color="auto" w:sz="4" w:space="0"/>
              <w:left w:val="single" w:color="auto" w:sz="4" w:space="0"/>
              <w:right w:val="single" w:color="auto" w:sz="4" w:space="0"/>
            </w:tcBorders>
            <w:vAlign w:val="center"/>
          </w:tcPr>
          <w:p w14:paraId="41323E7C">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A020618生活用电器</w:t>
            </w: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3F93FC87">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A0206180101电冰箱</w:t>
            </w:r>
          </w:p>
        </w:tc>
        <w:tc>
          <w:tcPr>
            <w:tcW w:w="2002" w:type="dxa"/>
            <w:tcBorders>
              <w:top w:val="single" w:color="auto" w:sz="4" w:space="0"/>
              <w:left w:val="single" w:color="auto" w:sz="4" w:space="0"/>
              <w:bottom w:val="single" w:color="auto" w:sz="4" w:space="0"/>
              <w:right w:val="single" w:color="auto" w:sz="4" w:space="0"/>
            </w:tcBorders>
            <w:vAlign w:val="center"/>
          </w:tcPr>
          <w:p w14:paraId="2B4BACF2">
            <w:pPr>
              <w:pStyle w:val="90"/>
              <w:spacing w:before="124" w:line="283" w:lineRule="auto"/>
              <w:ind w:left="7" w:right="4"/>
              <w:jc w:val="center"/>
              <w:rPr>
                <w:rFonts w:hint="eastAsia" w:ascii="宋体" w:hAnsi="宋体" w:cs="宋体"/>
                <w:color w:val="auto"/>
                <w:sz w:val="21"/>
                <w:szCs w:val="21"/>
                <w:highlight w:val="none"/>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11369AF5">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《家用电冰箱耗电量限定值及能效等级》（GB12021.2）</w:t>
            </w:r>
          </w:p>
        </w:tc>
      </w:tr>
      <w:tr w14:paraId="7469EE79">
        <w:tblPrEx>
          <w:tblCellMar>
            <w:top w:w="0" w:type="dxa"/>
            <w:left w:w="0" w:type="dxa"/>
            <w:bottom w:w="0" w:type="dxa"/>
            <w:right w:w="0" w:type="dxa"/>
          </w:tblCellMar>
        </w:tblPrEx>
        <w:trPr>
          <w:trHeight w:val="1496" w:hRule="atLeast"/>
          <w:jc w:val="center"/>
        </w:trPr>
        <w:tc>
          <w:tcPr>
            <w:tcW w:w="716" w:type="dxa"/>
            <w:vMerge w:val="continue"/>
            <w:tcBorders>
              <w:left w:val="single" w:color="auto" w:sz="4" w:space="0"/>
              <w:right w:val="single" w:color="auto" w:sz="4" w:space="0"/>
            </w:tcBorders>
            <w:vAlign w:val="center"/>
          </w:tcPr>
          <w:p w14:paraId="099C60AA">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4F3507B0">
            <w:pPr>
              <w:widowControl/>
              <w:jc w:val="center"/>
              <w:rPr>
                <w:rFonts w:hint="eastAsia" w:ascii="宋体" w:hAnsi="宋体" w:cs="宋体"/>
                <w:color w:val="auto"/>
                <w:kern w:val="0"/>
                <w:szCs w:val="21"/>
                <w:highlight w:val="none"/>
              </w:rPr>
            </w:pPr>
          </w:p>
        </w:tc>
        <w:tc>
          <w:tcPr>
            <w:tcW w:w="1987" w:type="dxa"/>
            <w:gridSpan w:val="2"/>
            <w:vMerge w:val="restart"/>
            <w:tcBorders>
              <w:top w:val="single" w:color="auto" w:sz="4" w:space="0"/>
              <w:left w:val="single" w:color="auto" w:sz="4" w:space="0"/>
              <w:bottom w:val="single" w:color="auto" w:sz="4" w:space="0"/>
              <w:right w:val="single" w:color="auto" w:sz="4" w:space="0"/>
            </w:tcBorders>
            <w:vAlign w:val="center"/>
          </w:tcPr>
          <w:p w14:paraId="4074D20A">
            <w:pPr>
              <w:pStyle w:val="90"/>
              <w:spacing w:before="171"/>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★A0206180203空调</w:t>
            </w:r>
          </w:p>
          <w:p w14:paraId="5CAAA113">
            <w:pPr>
              <w:pStyle w:val="90"/>
              <w:spacing w:before="50"/>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机</w:t>
            </w:r>
          </w:p>
        </w:tc>
        <w:tc>
          <w:tcPr>
            <w:tcW w:w="2002" w:type="dxa"/>
            <w:tcBorders>
              <w:top w:val="single" w:color="auto" w:sz="4" w:space="0"/>
              <w:left w:val="single" w:color="auto" w:sz="4" w:space="0"/>
              <w:bottom w:val="single" w:color="auto" w:sz="4" w:space="0"/>
              <w:right w:val="single" w:color="auto" w:sz="4" w:space="0"/>
            </w:tcBorders>
            <w:vAlign w:val="center"/>
          </w:tcPr>
          <w:p w14:paraId="18F22EC5">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房间空气调节器</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1DF8FF61">
            <w:pPr>
              <w:pStyle w:val="90"/>
              <w:spacing w:before="4"/>
              <w:ind w:lef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《转速可控型房间空气调节器能效限定值及能效等级》（GB21455-2013），待2019年修订发布后，按《房间空气调节器能效限定值及能效等级》（GB21455-2019）实施。</w:t>
            </w:r>
          </w:p>
        </w:tc>
      </w:tr>
      <w:tr w14:paraId="5B9A46EA">
        <w:tblPrEx>
          <w:tblCellMar>
            <w:top w:w="0" w:type="dxa"/>
            <w:left w:w="0" w:type="dxa"/>
            <w:bottom w:w="0" w:type="dxa"/>
            <w:right w:w="0" w:type="dxa"/>
          </w:tblCellMar>
        </w:tblPrEx>
        <w:trPr>
          <w:jc w:val="center"/>
        </w:trPr>
        <w:tc>
          <w:tcPr>
            <w:tcW w:w="716" w:type="dxa"/>
            <w:vMerge w:val="continue"/>
            <w:tcBorders>
              <w:left w:val="single" w:color="auto" w:sz="4" w:space="0"/>
              <w:right w:val="single" w:color="auto" w:sz="4" w:space="0"/>
            </w:tcBorders>
            <w:vAlign w:val="center"/>
          </w:tcPr>
          <w:p w14:paraId="1EEE87AD">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3FD7CB18">
            <w:pPr>
              <w:widowControl/>
              <w:jc w:val="center"/>
              <w:rPr>
                <w:rFonts w:hint="eastAsia" w:ascii="宋体" w:hAnsi="宋体" w:cs="宋体"/>
                <w:color w:val="auto"/>
                <w:kern w:val="0"/>
                <w:szCs w:val="21"/>
                <w:highlight w:val="none"/>
              </w:rPr>
            </w:pPr>
          </w:p>
        </w:tc>
        <w:tc>
          <w:tcPr>
            <w:tcW w:w="1987" w:type="dxa"/>
            <w:gridSpan w:val="2"/>
            <w:vMerge w:val="continue"/>
            <w:tcBorders>
              <w:top w:val="single" w:color="auto" w:sz="4" w:space="0"/>
              <w:left w:val="single" w:color="auto" w:sz="4" w:space="0"/>
              <w:bottom w:val="single" w:color="auto" w:sz="4" w:space="0"/>
              <w:right w:val="single" w:color="auto" w:sz="4" w:space="0"/>
            </w:tcBorders>
            <w:vAlign w:val="center"/>
          </w:tcPr>
          <w:p w14:paraId="549729FD">
            <w:pPr>
              <w:widowControl/>
              <w:jc w:val="center"/>
              <w:rPr>
                <w:rFonts w:hint="eastAsia" w:ascii="宋体" w:hAnsi="宋体" w:cs="宋体"/>
                <w:color w:val="auto"/>
                <w:kern w:val="0"/>
                <w:szCs w:val="21"/>
                <w:highlight w:val="none"/>
              </w:rPr>
            </w:pPr>
          </w:p>
        </w:tc>
        <w:tc>
          <w:tcPr>
            <w:tcW w:w="2002" w:type="dxa"/>
            <w:tcBorders>
              <w:top w:val="single" w:color="auto" w:sz="4" w:space="0"/>
              <w:left w:val="single" w:color="auto" w:sz="4" w:space="0"/>
              <w:bottom w:val="single" w:color="auto" w:sz="4" w:space="0"/>
              <w:right w:val="single" w:color="auto" w:sz="4" w:space="0"/>
            </w:tcBorders>
            <w:vAlign w:val="center"/>
          </w:tcPr>
          <w:p w14:paraId="4632B9AF">
            <w:pPr>
              <w:pStyle w:val="90"/>
              <w:spacing w:before="4"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多联式空调（热泵）机组（制冷量≤14000W）</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230A4232">
            <w:pPr>
              <w:pStyle w:val="90"/>
              <w:spacing w:before="160"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《多联式空调（热泵）机组能效限定值及能源效率等级》（GB21454</w:t>
            </w:r>
          </w:p>
        </w:tc>
      </w:tr>
      <w:tr w14:paraId="3F0EA35B">
        <w:tblPrEx>
          <w:tblCellMar>
            <w:top w:w="0" w:type="dxa"/>
            <w:left w:w="0" w:type="dxa"/>
            <w:bottom w:w="0" w:type="dxa"/>
            <w:right w:w="0" w:type="dxa"/>
          </w:tblCellMar>
        </w:tblPrEx>
        <w:trPr>
          <w:trHeight w:val="512" w:hRule="atLeast"/>
          <w:jc w:val="center"/>
        </w:trPr>
        <w:tc>
          <w:tcPr>
            <w:tcW w:w="716" w:type="dxa"/>
            <w:vMerge w:val="continue"/>
            <w:tcBorders>
              <w:left w:val="single" w:color="auto" w:sz="4" w:space="0"/>
              <w:right w:val="single" w:color="auto" w:sz="4" w:space="0"/>
            </w:tcBorders>
            <w:vAlign w:val="center"/>
          </w:tcPr>
          <w:p w14:paraId="489F552D">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239374D8">
            <w:pPr>
              <w:widowControl/>
              <w:jc w:val="center"/>
              <w:rPr>
                <w:rFonts w:hint="eastAsia" w:ascii="宋体" w:hAnsi="宋体" w:cs="宋体"/>
                <w:color w:val="auto"/>
                <w:kern w:val="0"/>
                <w:szCs w:val="21"/>
                <w:highlight w:val="none"/>
              </w:rPr>
            </w:pPr>
          </w:p>
        </w:tc>
        <w:tc>
          <w:tcPr>
            <w:tcW w:w="1987" w:type="dxa"/>
            <w:gridSpan w:val="2"/>
            <w:vMerge w:val="continue"/>
            <w:tcBorders>
              <w:top w:val="single" w:color="auto" w:sz="4" w:space="0"/>
              <w:left w:val="single" w:color="auto" w:sz="4" w:space="0"/>
              <w:bottom w:val="single" w:color="auto" w:sz="4" w:space="0"/>
              <w:right w:val="single" w:color="auto" w:sz="4" w:space="0"/>
            </w:tcBorders>
            <w:vAlign w:val="center"/>
          </w:tcPr>
          <w:p w14:paraId="6AF63F9C">
            <w:pPr>
              <w:widowControl/>
              <w:jc w:val="center"/>
              <w:rPr>
                <w:rFonts w:hint="eastAsia" w:ascii="宋体" w:hAnsi="宋体" w:cs="宋体"/>
                <w:color w:val="auto"/>
                <w:kern w:val="0"/>
                <w:szCs w:val="21"/>
                <w:highlight w:val="none"/>
              </w:rPr>
            </w:pPr>
          </w:p>
        </w:tc>
        <w:tc>
          <w:tcPr>
            <w:tcW w:w="2002" w:type="dxa"/>
            <w:tcBorders>
              <w:top w:val="single" w:color="auto" w:sz="4" w:space="0"/>
              <w:left w:val="single" w:color="auto" w:sz="4" w:space="0"/>
              <w:bottom w:val="single" w:color="auto" w:sz="4" w:space="0"/>
              <w:right w:val="single" w:color="auto" w:sz="4" w:space="0"/>
            </w:tcBorders>
            <w:vAlign w:val="center"/>
          </w:tcPr>
          <w:p w14:paraId="03F325E8">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单元式空气调节机</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2201EDDB">
            <w:pPr>
              <w:pStyle w:val="90"/>
              <w:spacing w:before="4"/>
              <w:ind w:lef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《单元式空气调节机能效限定值及能源效率等级》（GB19576）《风</w:t>
            </w:r>
          </w:p>
        </w:tc>
      </w:tr>
      <w:tr w14:paraId="1E16122B">
        <w:tblPrEx>
          <w:tblCellMar>
            <w:top w:w="0" w:type="dxa"/>
            <w:left w:w="0" w:type="dxa"/>
            <w:bottom w:w="0" w:type="dxa"/>
            <w:right w:w="0" w:type="dxa"/>
          </w:tblCellMar>
        </w:tblPrEx>
        <w:trPr>
          <w:trHeight w:val="492" w:hRule="atLeast"/>
          <w:jc w:val="center"/>
        </w:trPr>
        <w:tc>
          <w:tcPr>
            <w:tcW w:w="716" w:type="dxa"/>
            <w:vMerge w:val="continue"/>
            <w:tcBorders>
              <w:left w:val="single" w:color="auto" w:sz="4" w:space="0"/>
              <w:right w:val="single" w:color="auto" w:sz="4" w:space="0"/>
            </w:tcBorders>
            <w:vAlign w:val="center"/>
          </w:tcPr>
          <w:p w14:paraId="2F9DA7C3">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4E39A52D">
            <w:pPr>
              <w:widowControl/>
              <w:jc w:val="center"/>
              <w:rPr>
                <w:rFonts w:hint="eastAsia" w:ascii="宋体" w:hAnsi="宋体" w:cs="宋体"/>
                <w:color w:val="auto"/>
                <w:kern w:val="0"/>
                <w:szCs w:val="21"/>
                <w:highlight w:val="none"/>
              </w:rPr>
            </w:pPr>
          </w:p>
        </w:tc>
        <w:tc>
          <w:tcPr>
            <w:tcW w:w="1987" w:type="dxa"/>
            <w:gridSpan w:val="2"/>
            <w:vMerge w:val="continue"/>
            <w:tcBorders>
              <w:top w:val="single" w:color="auto" w:sz="4" w:space="0"/>
              <w:left w:val="single" w:color="auto" w:sz="4" w:space="0"/>
              <w:bottom w:val="single" w:color="auto" w:sz="4" w:space="0"/>
              <w:right w:val="single" w:color="auto" w:sz="4" w:space="0"/>
            </w:tcBorders>
            <w:vAlign w:val="center"/>
          </w:tcPr>
          <w:p w14:paraId="1482982D">
            <w:pPr>
              <w:widowControl/>
              <w:jc w:val="center"/>
              <w:rPr>
                <w:rFonts w:hint="eastAsia" w:ascii="宋体" w:hAnsi="宋体" w:cs="宋体"/>
                <w:color w:val="auto"/>
                <w:kern w:val="0"/>
                <w:szCs w:val="21"/>
                <w:highlight w:val="none"/>
              </w:rPr>
            </w:pPr>
          </w:p>
        </w:tc>
        <w:tc>
          <w:tcPr>
            <w:tcW w:w="2002" w:type="dxa"/>
            <w:tcBorders>
              <w:top w:val="single" w:color="auto" w:sz="4" w:space="0"/>
              <w:left w:val="single" w:color="auto" w:sz="4" w:space="0"/>
              <w:bottom w:val="single" w:color="auto" w:sz="4" w:space="0"/>
              <w:right w:val="single" w:color="auto" w:sz="4" w:space="0"/>
            </w:tcBorders>
            <w:vAlign w:val="center"/>
          </w:tcPr>
          <w:p w14:paraId="7114AE3E">
            <w:pPr>
              <w:pStyle w:val="90"/>
              <w:spacing w:line="256" w:lineRule="exact"/>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(制冷量≤14000W)</w:t>
            </w: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416D6DB2">
            <w:pPr>
              <w:pStyle w:val="90"/>
              <w:spacing w:line="256" w:lineRule="exact"/>
              <w:ind w:lef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管送风式空调机组能效限定值及能效等级》（GB37479）</w:t>
            </w:r>
          </w:p>
        </w:tc>
      </w:tr>
      <w:tr w14:paraId="2B2F3039">
        <w:tblPrEx>
          <w:tblCellMar>
            <w:top w:w="0" w:type="dxa"/>
            <w:left w:w="0" w:type="dxa"/>
            <w:bottom w:w="0" w:type="dxa"/>
            <w:right w:w="0" w:type="dxa"/>
          </w:tblCellMar>
        </w:tblPrEx>
        <w:trPr>
          <w:jc w:val="center"/>
        </w:trPr>
        <w:tc>
          <w:tcPr>
            <w:tcW w:w="716" w:type="dxa"/>
            <w:vMerge w:val="continue"/>
            <w:tcBorders>
              <w:left w:val="single" w:color="auto" w:sz="4" w:space="0"/>
              <w:right w:val="single" w:color="auto" w:sz="4" w:space="0"/>
            </w:tcBorders>
            <w:vAlign w:val="center"/>
          </w:tcPr>
          <w:p w14:paraId="4FC3C08E">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23BEE59F">
            <w:pPr>
              <w:widowControl/>
              <w:jc w:val="center"/>
              <w:rPr>
                <w:rFonts w:hint="eastAsia" w:ascii="宋体" w:hAnsi="宋体" w:cs="宋体"/>
                <w:color w:val="auto"/>
                <w:kern w:val="0"/>
                <w:szCs w:val="21"/>
                <w:highlight w:val="none"/>
              </w:rPr>
            </w:pPr>
          </w:p>
        </w:tc>
        <w:tc>
          <w:tcPr>
            <w:tcW w:w="1987" w:type="dxa"/>
            <w:gridSpan w:val="2"/>
            <w:tcBorders>
              <w:top w:val="single" w:color="auto" w:sz="4" w:space="0"/>
              <w:left w:val="single" w:color="auto" w:sz="4" w:space="0"/>
              <w:bottom w:val="single" w:color="auto" w:sz="4" w:space="0"/>
              <w:right w:val="single" w:color="auto" w:sz="4" w:space="0"/>
            </w:tcBorders>
            <w:vAlign w:val="center"/>
          </w:tcPr>
          <w:p w14:paraId="6D7BDD06">
            <w:pPr>
              <w:pStyle w:val="90"/>
              <w:spacing w:before="162"/>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A0206180301洗衣机</w:t>
            </w:r>
          </w:p>
        </w:tc>
        <w:tc>
          <w:tcPr>
            <w:tcW w:w="2002" w:type="dxa"/>
            <w:tcBorders>
              <w:top w:val="single" w:color="auto" w:sz="4" w:space="0"/>
              <w:left w:val="single" w:color="auto" w:sz="4" w:space="0"/>
              <w:bottom w:val="single" w:color="auto" w:sz="4" w:space="0"/>
              <w:right w:val="single" w:color="auto" w:sz="4" w:space="0"/>
            </w:tcBorders>
            <w:vAlign w:val="center"/>
          </w:tcPr>
          <w:p w14:paraId="43DB2E55">
            <w:pPr>
              <w:jc w:val="center"/>
              <w:rPr>
                <w:rFonts w:hint="eastAsia" w:ascii="宋体" w:hAnsi="宋体" w:cs="宋体"/>
                <w:color w:val="auto"/>
                <w:kern w:val="0"/>
                <w:szCs w:val="21"/>
                <w:highlight w:val="none"/>
                <w:lang w:eastAsia="en-US"/>
              </w:rPr>
            </w:pPr>
          </w:p>
        </w:tc>
        <w:tc>
          <w:tcPr>
            <w:tcW w:w="3910" w:type="dxa"/>
            <w:gridSpan w:val="2"/>
            <w:tcBorders>
              <w:top w:val="single" w:color="auto" w:sz="4" w:space="0"/>
              <w:left w:val="single" w:color="auto" w:sz="4" w:space="0"/>
              <w:bottom w:val="single" w:color="auto" w:sz="4" w:space="0"/>
              <w:right w:val="single" w:color="auto" w:sz="4" w:space="0"/>
            </w:tcBorders>
            <w:vAlign w:val="center"/>
          </w:tcPr>
          <w:p w14:paraId="4A8D5629">
            <w:pPr>
              <w:pStyle w:val="90"/>
              <w:spacing w:before="6"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《电动洗衣机能效水效限定值及等级》（GB12021.4）</w:t>
            </w:r>
          </w:p>
        </w:tc>
      </w:tr>
      <w:tr w14:paraId="57EB5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continue"/>
            <w:tcBorders>
              <w:left w:val="single" w:color="auto" w:sz="4" w:space="0"/>
              <w:right w:val="single" w:color="auto" w:sz="4" w:space="0"/>
            </w:tcBorders>
            <w:vAlign w:val="center"/>
          </w:tcPr>
          <w:p w14:paraId="4C59BF91">
            <w:pPr>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2A16F4BE">
            <w:pPr>
              <w:jc w:val="center"/>
              <w:rPr>
                <w:rFonts w:hint="eastAsia" w:ascii="宋体" w:hAnsi="宋体" w:cs="宋体"/>
                <w:color w:val="auto"/>
                <w:kern w:val="0"/>
                <w:szCs w:val="21"/>
                <w:highlight w:val="none"/>
              </w:rPr>
            </w:pPr>
          </w:p>
        </w:tc>
        <w:tc>
          <w:tcPr>
            <w:tcW w:w="1981" w:type="dxa"/>
            <w:vMerge w:val="restart"/>
            <w:tcBorders>
              <w:top w:val="single" w:color="auto" w:sz="4" w:space="0"/>
              <w:left w:val="single" w:color="auto" w:sz="4" w:space="0"/>
              <w:bottom w:val="single" w:color="auto" w:sz="4" w:space="0"/>
              <w:right w:val="single" w:color="auto" w:sz="4" w:space="0"/>
            </w:tcBorders>
            <w:vAlign w:val="center"/>
          </w:tcPr>
          <w:p w14:paraId="4DB7F969">
            <w:pPr>
              <w:pStyle w:val="90"/>
              <w:spacing w:before="161"/>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A02061808热水器</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25E80990">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★电热水器</w:t>
            </w:r>
          </w:p>
        </w:tc>
        <w:tc>
          <w:tcPr>
            <w:tcW w:w="3903" w:type="dxa"/>
            <w:tcBorders>
              <w:top w:val="single" w:color="auto" w:sz="4" w:space="0"/>
              <w:left w:val="single" w:color="auto" w:sz="4" w:space="0"/>
              <w:bottom w:val="single" w:color="auto" w:sz="4" w:space="0"/>
              <w:right w:val="single" w:color="auto" w:sz="4" w:space="0"/>
            </w:tcBorders>
            <w:vAlign w:val="center"/>
          </w:tcPr>
          <w:p w14:paraId="51C399AD">
            <w:pPr>
              <w:pStyle w:val="90"/>
              <w:tabs>
                <w:tab w:val="left" w:pos="1608"/>
              </w:tabs>
              <w:spacing w:before="52"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《储水式电热水器能效限定值及能效等级》（GB21519）</w:t>
            </w:r>
          </w:p>
        </w:tc>
      </w:tr>
      <w:tr w14:paraId="1107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continue"/>
            <w:tcBorders>
              <w:left w:val="single" w:color="auto" w:sz="4" w:space="0"/>
              <w:right w:val="single" w:color="auto" w:sz="4" w:space="0"/>
            </w:tcBorders>
            <w:vAlign w:val="center"/>
          </w:tcPr>
          <w:p w14:paraId="7B545EAB">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right w:val="single" w:color="auto" w:sz="4" w:space="0"/>
            </w:tcBorders>
            <w:vAlign w:val="center"/>
          </w:tcPr>
          <w:p w14:paraId="6EC0AE6B">
            <w:pPr>
              <w:widowControl/>
              <w:jc w:val="center"/>
              <w:rPr>
                <w:rFonts w:hint="eastAsia" w:ascii="宋体" w:hAnsi="宋体" w:cs="宋体"/>
                <w:color w:val="auto"/>
                <w:kern w:val="0"/>
                <w:szCs w:val="21"/>
                <w:highlight w:val="none"/>
              </w:rPr>
            </w:pPr>
          </w:p>
        </w:tc>
        <w:tc>
          <w:tcPr>
            <w:tcW w:w="1981" w:type="dxa"/>
            <w:vMerge w:val="continue"/>
            <w:tcBorders>
              <w:top w:val="single" w:color="auto" w:sz="4" w:space="0"/>
              <w:left w:val="single" w:color="auto" w:sz="4" w:space="0"/>
              <w:bottom w:val="single" w:color="auto" w:sz="4" w:space="0"/>
              <w:right w:val="single" w:color="auto" w:sz="4" w:space="0"/>
            </w:tcBorders>
            <w:vAlign w:val="center"/>
          </w:tcPr>
          <w:p w14:paraId="70F03914">
            <w:pPr>
              <w:widowControl/>
              <w:jc w:val="center"/>
              <w:rPr>
                <w:rFonts w:hint="eastAsia" w:ascii="宋体" w:hAnsi="宋体" w:cs="宋体"/>
                <w:color w:val="auto"/>
                <w:kern w:val="0"/>
                <w:szCs w:val="21"/>
                <w:highlight w:val="none"/>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4ACA97FF">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燃气热水器</w:t>
            </w:r>
          </w:p>
        </w:tc>
        <w:tc>
          <w:tcPr>
            <w:tcW w:w="3903" w:type="dxa"/>
            <w:tcBorders>
              <w:top w:val="single" w:color="auto" w:sz="4" w:space="0"/>
              <w:left w:val="single" w:color="auto" w:sz="4" w:space="0"/>
              <w:bottom w:val="single" w:color="auto" w:sz="4" w:space="0"/>
              <w:right w:val="single" w:color="auto" w:sz="4" w:space="0"/>
            </w:tcBorders>
            <w:vAlign w:val="center"/>
          </w:tcPr>
          <w:p w14:paraId="5935E27C">
            <w:pPr>
              <w:pStyle w:val="90"/>
              <w:spacing w:before="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《家用燃气快速热水器和燃气采暖热水炉能效限定值及能效等级》</w:t>
            </w:r>
          </w:p>
          <w:p w14:paraId="033E8884">
            <w:pPr>
              <w:pStyle w:val="90"/>
              <w:spacing w:before="12"/>
              <w:ind w:left="7"/>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（GB20665）</w:t>
            </w:r>
          </w:p>
        </w:tc>
      </w:tr>
      <w:tr w14:paraId="38FB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continue"/>
            <w:tcBorders>
              <w:left w:val="single" w:color="auto" w:sz="4" w:space="0"/>
              <w:right w:val="single" w:color="auto" w:sz="4" w:space="0"/>
            </w:tcBorders>
            <w:vAlign w:val="center"/>
          </w:tcPr>
          <w:p w14:paraId="75FA8CA6">
            <w:pPr>
              <w:widowControl/>
              <w:jc w:val="center"/>
              <w:rPr>
                <w:rFonts w:hint="eastAsia" w:ascii="宋体" w:hAnsi="宋体" w:cs="宋体"/>
                <w:color w:val="auto"/>
                <w:kern w:val="0"/>
                <w:szCs w:val="21"/>
                <w:highlight w:val="none"/>
                <w:lang w:eastAsia="en-US"/>
              </w:rPr>
            </w:pPr>
          </w:p>
        </w:tc>
        <w:tc>
          <w:tcPr>
            <w:tcW w:w="1590" w:type="dxa"/>
            <w:vMerge w:val="continue"/>
            <w:tcBorders>
              <w:left w:val="single" w:color="auto" w:sz="4" w:space="0"/>
              <w:right w:val="single" w:color="auto" w:sz="4" w:space="0"/>
            </w:tcBorders>
            <w:vAlign w:val="center"/>
          </w:tcPr>
          <w:p w14:paraId="27F2C606">
            <w:pPr>
              <w:widowControl/>
              <w:jc w:val="center"/>
              <w:rPr>
                <w:rFonts w:hint="eastAsia" w:ascii="宋体" w:hAnsi="宋体" w:cs="宋体"/>
                <w:color w:val="auto"/>
                <w:kern w:val="0"/>
                <w:szCs w:val="21"/>
                <w:highlight w:val="none"/>
                <w:lang w:eastAsia="en-US"/>
              </w:rPr>
            </w:pPr>
          </w:p>
        </w:tc>
        <w:tc>
          <w:tcPr>
            <w:tcW w:w="1981" w:type="dxa"/>
            <w:vMerge w:val="continue"/>
            <w:tcBorders>
              <w:top w:val="single" w:color="auto" w:sz="4" w:space="0"/>
              <w:left w:val="single" w:color="auto" w:sz="4" w:space="0"/>
              <w:bottom w:val="single" w:color="auto" w:sz="4" w:space="0"/>
              <w:right w:val="single" w:color="auto" w:sz="4" w:space="0"/>
            </w:tcBorders>
            <w:vAlign w:val="center"/>
          </w:tcPr>
          <w:p w14:paraId="27A3A8A0">
            <w:pPr>
              <w:widowControl/>
              <w:jc w:val="center"/>
              <w:rPr>
                <w:rFonts w:hint="eastAsia" w:ascii="宋体" w:hAnsi="宋体" w:cs="宋体"/>
                <w:color w:val="auto"/>
                <w:kern w:val="0"/>
                <w:szCs w:val="21"/>
                <w:highlight w:val="none"/>
                <w:lang w:eastAsia="en-US"/>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4C88D0CD">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热泵热水器</w:t>
            </w:r>
          </w:p>
        </w:tc>
        <w:tc>
          <w:tcPr>
            <w:tcW w:w="3903" w:type="dxa"/>
            <w:tcBorders>
              <w:top w:val="single" w:color="auto" w:sz="4" w:space="0"/>
              <w:left w:val="single" w:color="auto" w:sz="4" w:space="0"/>
              <w:bottom w:val="single" w:color="auto" w:sz="4" w:space="0"/>
              <w:right w:val="single" w:color="auto" w:sz="4" w:space="0"/>
            </w:tcBorders>
            <w:vAlign w:val="center"/>
          </w:tcPr>
          <w:p w14:paraId="37BF17AC">
            <w:pPr>
              <w:pStyle w:val="90"/>
              <w:spacing w:before="93"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《热泵热水机（器）能效限定值及能效等级》（GB29541）</w:t>
            </w:r>
          </w:p>
        </w:tc>
      </w:tr>
      <w:tr w14:paraId="2BC92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continue"/>
            <w:tcBorders>
              <w:left w:val="single" w:color="auto" w:sz="4" w:space="0"/>
              <w:bottom w:val="single" w:color="auto" w:sz="4" w:space="0"/>
              <w:right w:val="single" w:color="auto" w:sz="4" w:space="0"/>
            </w:tcBorders>
            <w:vAlign w:val="center"/>
          </w:tcPr>
          <w:p w14:paraId="35DCD137">
            <w:pPr>
              <w:widowControl/>
              <w:jc w:val="center"/>
              <w:rPr>
                <w:rFonts w:hint="eastAsia" w:ascii="宋体" w:hAnsi="宋体" w:cs="宋体"/>
                <w:color w:val="auto"/>
                <w:kern w:val="0"/>
                <w:szCs w:val="21"/>
                <w:highlight w:val="none"/>
              </w:rPr>
            </w:pPr>
          </w:p>
        </w:tc>
        <w:tc>
          <w:tcPr>
            <w:tcW w:w="1590" w:type="dxa"/>
            <w:vMerge w:val="continue"/>
            <w:tcBorders>
              <w:left w:val="single" w:color="auto" w:sz="4" w:space="0"/>
              <w:bottom w:val="single" w:color="auto" w:sz="4" w:space="0"/>
              <w:right w:val="single" w:color="auto" w:sz="4" w:space="0"/>
            </w:tcBorders>
            <w:vAlign w:val="center"/>
          </w:tcPr>
          <w:p w14:paraId="7352EA5E">
            <w:pPr>
              <w:widowControl/>
              <w:jc w:val="center"/>
              <w:rPr>
                <w:rFonts w:hint="eastAsia" w:ascii="宋体" w:hAnsi="宋体" w:cs="宋体"/>
                <w:color w:val="auto"/>
                <w:kern w:val="0"/>
                <w:szCs w:val="21"/>
                <w:highlight w:val="none"/>
              </w:rPr>
            </w:pPr>
          </w:p>
        </w:tc>
        <w:tc>
          <w:tcPr>
            <w:tcW w:w="1981" w:type="dxa"/>
            <w:vMerge w:val="continue"/>
            <w:tcBorders>
              <w:top w:val="single" w:color="auto" w:sz="4" w:space="0"/>
              <w:left w:val="single" w:color="auto" w:sz="4" w:space="0"/>
              <w:bottom w:val="single" w:color="auto" w:sz="4" w:space="0"/>
              <w:right w:val="single" w:color="auto" w:sz="4" w:space="0"/>
            </w:tcBorders>
            <w:vAlign w:val="center"/>
          </w:tcPr>
          <w:p w14:paraId="4EF60B9D">
            <w:pPr>
              <w:widowControl/>
              <w:jc w:val="center"/>
              <w:rPr>
                <w:rFonts w:hint="eastAsia" w:ascii="宋体" w:hAnsi="宋体" w:cs="宋体"/>
                <w:color w:val="auto"/>
                <w:kern w:val="0"/>
                <w:szCs w:val="21"/>
                <w:highlight w:val="none"/>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50285C6D">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太阳能热水系统</w:t>
            </w:r>
          </w:p>
        </w:tc>
        <w:tc>
          <w:tcPr>
            <w:tcW w:w="3903" w:type="dxa"/>
            <w:tcBorders>
              <w:top w:val="single" w:color="auto" w:sz="4" w:space="0"/>
              <w:left w:val="single" w:color="auto" w:sz="4" w:space="0"/>
              <w:bottom w:val="single" w:color="auto" w:sz="4" w:space="0"/>
              <w:right w:val="single" w:color="auto" w:sz="4" w:space="0"/>
            </w:tcBorders>
            <w:vAlign w:val="center"/>
          </w:tcPr>
          <w:p w14:paraId="376EABFF">
            <w:pPr>
              <w:pStyle w:val="90"/>
              <w:spacing w:before="52"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《家用太阳能热水系统能效限定值及能效等级》（GB26969）</w:t>
            </w:r>
          </w:p>
        </w:tc>
      </w:tr>
      <w:tr w14:paraId="7C82C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restart"/>
            <w:tcBorders>
              <w:top w:val="single" w:color="auto" w:sz="4" w:space="0"/>
              <w:left w:val="single" w:color="auto" w:sz="4" w:space="0"/>
              <w:bottom w:val="single" w:color="auto" w:sz="4" w:space="0"/>
              <w:right w:val="single" w:color="auto" w:sz="4" w:space="0"/>
            </w:tcBorders>
            <w:vAlign w:val="center"/>
          </w:tcPr>
          <w:p w14:paraId="5FC7B1A5">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11</w:t>
            </w:r>
          </w:p>
        </w:tc>
        <w:tc>
          <w:tcPr>
            <w:tcW w:w="1590" w:type="dxa"/>
            <w:vMerge w:val="restart"/>
            <w:tcBorders>
              <w:top w:val="single" w:color="auto" w:sz="4" w:space="0"/>
              <w:left w:val="single" w:color="auto" w:sz="4" w:space="0"/>
              <w:bottom w:val="single" w:color="auto" w:sz="4" w:space="0"/>
              <w:right w:val="single" w:color="auto" w:sz="4" w:space="0"/>
            </w:tcBorders>
            <w:vAlign w:val="center"/>
          </w:tcPr>
          <w:p w14:paraId="0AF7019A">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A020619照明设备</w:t>
            </w:r>
          </w:p>
        </w:tc>
        <w:tc>
          <w:tcPr>
            <w:tcW w:w="1981" w:type="dxa"/>
            <w:tcBorders>
              <w:top w:val="single" w:color="auto" w:sz="4" w:space="0"/>
              <w:left w:val="single" w:color="auto" w:sz="4" w:space="0"/>
              <w:bottom w:val="single" w:color="auto" w:sz="4" w:space="0"/>
              <w:right w:val="single" w:color="auto" w:sz="4" w:space="0"/>
            </w:tcBorders>
            <w:vAlign w:val="center"/>
          </w:tcPr>
          <w:p w14:paraId="410531AF">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★普通照明用双端荧光灯</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7F4FDE03">
            <w:pPr>
              <w:pStyle w:val="90"/>
              <w:spacing w:before="124" w:line="283" w:lineRule="auto"/>
              <w:ind w:left="7" w:right="4"/>
              <w:jc w:val="center"/>
              <w:rPr>
                <w:rFonts w:hint="eastAsia" w:ascii="宋体" w:hAnsi="宋体" w:cs="宋体"/>
                <w:color w:val="auto"/>
                <w:sz w:val="21"/>
                <w:szCs w:val="21"/>
                <w:highlight w:val="none"/>
                <w:lang w:eastAsia="zh-CN"/>
              </w:rPr>
            </w:pPr>
          </w:p>
        </w:tc>
        <w:tc>
          <w:tcPr>
            <w:tcW w:w="3903" w:type="dxa"/>
            <w:tcBorders>
              <w:top w:val="single" w:color="auto" w:sz="4" w:space="0"/>
              <w:left w:val="single" w:color="auto" w:sz="4" w:space="0"/>
              <w:bottom w:val="single" w:color="auto" w:sz="4" w:space="0"/>
              <w:right w:val="single" w:color="auto" w:sz="4" w:space="0"/>
            </w:tcBorders>
            <w:vAlign w:val="center"/>
          </w:tcPr>
          <w:p w14:paraId="36051852">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《普通照明用双端荧光灯能效限定值及能效等级》（GB19043）</w:t>
            </w:r>
          </w:p>
        </w:tc>
      </w:tr>
      <w:tr w14:paraId="13D5A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3FE926EC">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6E87135C">
            <w:pPr>
              <w:widowControl/>
              <w:jc w:val="center"/>
              <w:rPr>
                <w:rFonts w:hint="eastAsia" w:ascii="宋体" w:hAnsi="宋体" w:cs="宋体"/>
                <w:color w:val="auto"/>
                <w:kern w:val="0"/>
                <w:szCs w:val="21"/>
                <w:highlight w:val="none"/>
              </w:rPr>
            </w:pPr>
          </w:p>
        </w:tc>
        <w:tc>
          <w:tcPr>
            <w:tcW w:w="1981" w:type="dxa"/>
            <w:tcBorders>
              <w:top w:val="single" w:color="auto" w:sz="4" w:space="0"/>
              <w:left w:val="single" w:color="auto" w:sz="4" w:space="0"/>
              <w:bottom w:val="single" w:color="auto" w:sz="4" w:space="0"/>
              <w:right w:val="single" w:color="auto" w:sz="4" w:space="0"/>
            </w:tcBorders>
            <w:vAlign w:val="center"/>
          </w:tcPr>
          <w:p w14:paraId="4EFE9247">
            <w:pPr>
              <w:pStyle w:val="90"/>
              <w:spacing w:before="92" w:line="283" w:lineRule="auto"/>
              <w:ind w:left="7" w:right="2"/>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LED道路/隧道照明产品</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173E9054">
            <w:pPr>
              <w:jc w:val="center"/>
              <w:rPr>
                <w:rFonts w:hint="eastAsia" w:ascii="宋体" w:hAnsi="宋体" w:cs="宋体"/>
                <w:color w:val="auto"/>
                <w:kern w:val="0"/>
                <w:szCs w:val="21"/>
                <w:highlight w:val="none"/>
                <w:lang w:eastAsia="en-US"/>
              </w:rPr>
            </w:pPr>
          </w:p>
        </w:tc>
        <w:tc>
          <w:tcPr>
            <w:tcW w:w="3903" w:type="dxa"/>
            <w:tcBorders>
              <w:top w:val="single" w:color="auto" w:sz="4" w:space="0"/>
              <w:left w:val="single" w:color="auto" w:sz="4" w:space="0"/>
              <w:bottom w:val="single" w:color="auto" w:sz="4" w:space="0"/>
              <w:right w:val="single" w:color="auto" w:sz="4" w:space="0"/>
            </w:tcBorders>
            <w:vAlign w:val="center"/>
          </w:tcPr>
          <w:p w14:paraId="56339485">
            <w:pPr>
              <w:pStyle w:val="90"/>
              <w:spacing w:before="92"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《道路和隧道照明用LED灯具能效限定值及能效等级》（GB37478</w:t>
            </w:r>
          </w:p>
        </w:tc>
      </w:tr>
      <w:tr w14:paraId="1E3B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0576C94A">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3914CEC3">
            <w:pPr>
              <w:widowControl/>
              <w:jc w:val="center"/>
              <w:rPr>
                <w:rFonts w:hint="eastAsia" w:ascii="宋体" w:hAnsi="宋体" w:cs="宋体"/>
                <w:color w:val="auto"/>
                <w:kern w:val="0"/>
                <w:szCs w:val="21"/>
                <w:highlight w:val="none"/>
              </w:rPr>
            </w:pPr>
          </w:p>
        </w:tc>
        <w:tc>
          <w:tcPr>
            <w:tcW w:w="1981" w:type="dxa"/>
            <w:tcBorders>
              <w:top w:val="single" w:color="auto" w:sz="4" w:space="0"/>
              <w:left w:val="single" w:color="auto" w:sz="4" w:space="0"/>
              <w:bottom w:val="single" w:color="auto" w:sz="4" w:space="0"/>
              <w:right w:val="single" w:color="auto" w:sz="4" w:space="0"/>
            </w:tcBorders>
            <w:vAlign w:val="center"/>
          </w:tcPr>
          <w:p w14:paraId="6E4CCF20">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LED筒灯</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13B2F8FC">
            <w:pPr>
              <w:jc w:val="center"/>
              <w:rPr>
                <w:rFonts w:hint="eastAsia" w:ascii="宋体" w:hAnsi="宋体" w:cs="宋体"/>
                <w:color w:val="auto"/>
                <w:kern w:val="0"/>
                <w:szCs w:val="21"/>
                <w:highlight w:val="none"/>
                <w:lang w:eastAsia="en-US"/>
              </w:rPr>
            </w:pPr>
          </w:p>
        </w:tc>
        <w:tc>
          <w:tcPr>
            <w:tcW w:w="3903" w:type="dxa"/>
            <w:tcBorders>
              <w:top w:val="single" w:color="auto" w:sz="4" w:space="0"/>
              <w:left w:val="single" w:color="auto" w:sz="4" w:space="0"/>
              <w:bottom w:val="single" w:color="auto" w:sz="4" w:space="0"/>
              <w:right w:val="single" w:color="auto" w:sz="4" w:space="0"/>
            </w:tcBorders>
            <w:vAlign w:val="center"/>
          </w:tcPr>
          <w:p w14:paraId="5406A6D9">
            <w:pPr>
              <w:pStyle w:val="90"/>
              <w:spacing w:before="83" w:line="283" w:lineRule="auto"/>
              <w:ind w:left="7"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《室内照明用LED产品能效限定值及能效等级》（GB30255）</w:t>
            </w:r>
          </w:p>
        </w:tc>
      </w:tr>
      <w:tr w14:paraId="01AE3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7583CFD0">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5CC85732">
            <w:pPr>
              <w:widowControl/>
              <w:jc w:val="center"/>
              <w:rPr>
                <w:rFonts w:hint="eastAsia" w:ascii="宋体" w:hAnsi="宋体" w:cs="宋体"/>
                <w:color w:val="auto"/>
                <w:kern w:val="0"/>
                <w:szCs w:val="21"/>
                <w:highlight w:val="none"/>
              </w:rPr>
            </w:pPr>
          </w:p>
        </w:tc>
        <w:tc>
          <w:tcPr>
            <w:tcW w:w="1981" w:type="dxa"/>
            <w:tcBorders>
              <w:top w:val="single" w:color="auto" w:sz="4" w:space="0"/>
              <w:left w:val="single" w:color="auto" w:sz="4" w:space="0"/>
              <w:bottom w:val="single" w:color="auto" w:sz="4" w:space="0"/>
              <w:right w:val="single" w:color="auto" w:sz="4" w:space="0"/>
            </w:tcBorders>
            <w:vAlign w:val="center"/>
          </w:tcPr>
          <w:p w14:paraId="0CC60417">
            <w:pPr>
              <w:pStyle w:val="90"/>
              <w:spacing w:line="283" w:lineRule="auto"/>
              <w:ind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普通照明用非定向自镇流LED灯</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2397A18D">
            <w:pPr>
              <w:jc w:val="center"/>
              <w:rPr>
                <w:rFonts w:hint="eastAsia" w:ascii="宋体" w:hAnsi="宋体" w:cs="宋体"/>
                <w:color w:val="auto"/>
                <w:kern w:val="0"/>
                <w:szCs w:val="21"/>
                <w:highlight w:val="none"/>
              </w:rPr>
            </w:pPr>
          </w:p>
        </w:tc>
        <w:tc>
          <w:tcPr>
            <w:tcW w:w="3903" w:type="dxa"/>
            <w:tcBorders>
              <w:top w:val="single" w:color="auto" w:sz="4" w:space="0"/>
              <w:left w:val="single" w:color="auto" w:sz="4" w:space="0"/>
              <w:bottom w:val="single" w:color="auto" w:sz="4" w:space="0"/>
              <w:right w:val="single" w:color="auto" w:sz="4" w:space="0"/>
            </w:tcBorders>
            <w:vAlign w:val="center"/>
          </w:tcPr>
          <w:p w14:paraId="0B1D64BC">
            <w:pPr>
              <w:pStyle w:val="90"/>
              <w:spacing w:line="283" w:lineRule="auto"/>
              <w:ind w:right="7"/>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《室内照明用LED产品能效限定值及能效等级》（GB30255）</w:t>
            </w:r>
          </w:p>
        </w:tc>
      </w:tr>
      <w:tr w14:paraId="421FD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tcBorders>
              <w:top w:val="single" w:color="auto" w:sz="4" w:space="0"/>
              <w:left w:val="single" w:color="auto" w:sz="4" w:space="0"/>
              <w:bottom w:val="single" w:color="auto" w:sz="4" w:space="0"/>
              <w:right w:val="single" w:color="auto" w:sz="4" w:space="0"/>
            </w:tcBorders>
            <w:vAlign w:val="center"/>
          </w:tcPr>
          <w:p w14:paraId="1294E9A6">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12</w:t>
            </w:r>
          </w:p>
        </w:tc>
        <w:tc>
          <w:tcPr>
            <w:tcW w:w="1590" w:type="dxa"/>
            <w:tcBorders>
              <w:top w:val="single" w:color="auto" w:sz="4" w:space="0"/>
              <w:left w:val="single" w:color="auto" w:sz="4" w:space="0"/>
              <w:bottom w:val="single" w:color="auto" w:sz="4" w:space="0"/>
              <w:right w:val="single" w:color="auto" w:sz="4" w:space="0"/>
            </w:tcBorders>
            <w:vAlign w:val="center"/>
          </w:tcPr>
          <w:p w14:paraId="75D43F99">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★A020910电视设备</w:t>
            </w:r>
          </w:p>
        </w:tc>
        <w:tc>
          <w:tcPr>
            <w:tcW w:w="1981" w:type="dxa"/>
            <w:tcBorders>
              <w:top w:val="single" w:color="auto" w:sz="4" w:space="0"/>
              <w:left w:val="single" w:color="auto" w:sz="4" w:space="0"/>
              <w:bottom w:val="single" w:color="auto" w:sz="4" w:space="0"/>
              <w:right w:val="single" w:color="auto" w:sz="4" w:space="0"/>
            </w:tcBorders>
            <w:vAlign w:val="center"/>
          </w:tcPr>
          <w:p w14:paraId="6A98CD8F">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A02091001普通电视设备（电视机）</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0312E642">
            <w:pPr>
              <w:pStyle w:val="90"/>
              <w:spacing w:before="124" w:line="283" w:lineRule="auto"/>
              <w:ind w:left="7" w:right="4"/>
              <w:jc w:val="center"/>
              <w:rPr>
                <w:rFonts w:hint="eastAsia" w:ascii="宋体" w:hAnsi="宋体" w:cs="宋体"/>
                <w:color w:val="auto"/>
                <w:sz w:val="21"/>
                <w:szCs w:val="21"/>
                <w:highlight w:val="none"/>
                <w:lang w:eastAsia="zh-CN"/>
              </w:rPr>
            </w:pPr>
          </w:p>
        </w:tc>
        <w:tc>
          <w:tcPr>
            <w:tcW w:w="3903" w:type="dxa"/>
            <w:tcBorders>
              <w:top w:val="single" w:color="auto" w:sz="4" w:space="0"/>
              <w:left w:val="single" w:color="auto" w:sz="4" w:space="0"/>
              <w:bottom w:val="single" w:color="auto" w:sz="4" w:space="0"/>
              <w:right w:val="single" w:color="auto" w:sz="4" w:space="0"/>
            </w:tcBorders>
            <w:vAlign w:val="center"/>
          </w:tcPr>
          <w:p w14:paraId="07181665">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《平板电视能效限定值及能效等级》（GB24850）</w:t>
            </w:r>
          </w:p>
        </w:tc>
      </w:tr>
      <w:tr w14:paraId="48446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tcBorders>
              <w:top w:val="single" w:color="auto" w:sz="4" w:space="0"/>
              <w:left w:val="single" w:color="auto" w:sz="4" w:space="0"/>
              <w:bottom w:val="single" w:color="auto" w:sz="4" w:space="0"/>
              <w:right w:val="single" w:color="auto" w:sz="4" w:space="0"/>
            </w:tcBorders>
            <w:vAlign w:val="center"/>
          </w:tcPr>
          <w:p w14:paraId="5BB38BEC">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13</w:t>
            </w:r>
          </w:p>
        </w:tc>
        <w:tc>
          <w:tcPr>
            <w:tcW w:w="1590" w:type="dxa"/>
            <w:tcBorders>
              <w:top w:val="single" w:color="auto" w:sz="4" w:space="0"/>
              <w:left w:val="single" w:color="auto" w:sz="4" w:space="0"/>
              <w:bottom w:val="single" w:color="auto" w:sz="4" w:space="0"/>
              <w:right w:val="single" w:color="auto" w:sz="4" w:space="0"/>
            </w:tcBorders>
            <w:vAlign w:val="center"/>
          </w:tcPr>
          <w:p w14:paraId="120BBA66">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★A020911视频设备</w:t>
            </w:r>
          </w:p>
        </w:tc>
        <w:tc>
          <w:tcPr>
            <w:tcW w:w="1981" w:type="dxa"/>
            <w:tcBorders>
              <w:top w:val="single" w:color="auto" w:sz="4" w:space="0"/>
              <w:left w:val="single" w:color="auto" w:sz="4" w:space="0"/>
              <w:bottom w:val="single" w:color="auto" w:sz="4" w:space="0"/>
              <w:right w:val="single" w:color="auto" w:sz="4" w:space="0"/>
            </w:tcBorders>
            <w:vAlign w:val="center"/>
          </w:tcPr>
          <w:p w14:paraId="66FA907A">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A02091107视频监控设备</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358585B7">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监视器</w:t>
            </w:r>
          </w:p>
        </w:tc>
        <w:tc>
          <w:tcPr>
            <w:tcW w:w="3903" w:type="dxa"/>
            <w:tcBorders>
              <w:top w:val="single" w:color="auto" w:sz="4" w:space="0"/>
              <w:left w:val="single" w:color="auto" w:sz="4" w:space="0"/>
              <w:bottom w:val="single" w:color="auto" w:sz="4" w:space="0"/>
              <w:right w:val="single" w:color="auto" w:sz="4" w:space="0"/>
            </w:tcBorders>
            <w:vAlign w:val="center"/>
          </w:tcPr>
          <w:p w14:paraId="5E679ED0">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以射频信号为主要信号输入的监视器应符合《平板电视能效限定值及能效等级》（GB24850），以数字信号为主要信号输入的监视器应符合《计算机显示器能效限定值及能效等级》（GB21520）</w:t>
            </w:r>
          </w:p>
        </w:tc>
      </w:tr>
      <w:tr w14:paraId="1B87D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tcBorders>
              <w:top w:val="single" w:color="auto" w:sz="4" w:space="0"/>
              <w:left w:val="single" w:color="auto" w:sz="4" w:space="0"/>
              <w:bottom w:val="single" w:color="auto" w:sz="4" w:space="0"/>
              <w:right w:val="single" w:color="auto" w:sz="4" w:space="0"/>
            </w:tcBorders>
            <w:vAlign w:val="center"/>
          </w:tcPr>
          <w:p w14:paraId="03914354">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14</w:t>
            </w:r>
          </w:p>
        </w:tc>
        <w:tc>
          <w:tcPr>
            <w:tcW w:w="1590" w:type="dxa"/>
            <w:tcBorders>
              <w:top w:val="single" w:color="auto" w:sz="4" w:space="0"/>
              <w:left w:val="single" w:color="auto" w:sz="4" w:space="0"/>
              <w:bottom w:val="single" w:color="auto" w:sz="4" w:space="0"/>
              <w:right w:val="single" w:color="auto" w:sz="4" w:space="0"/>
            </w:tcBorders>
            <w:vAlign w:val="center"/>
          </w:tcPr>
          <w:p w14:paraId="76D0947A">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A031210饮食炊事机械</w:t>
            </w:r>
          </w:p>
        </w:tc>
        <w:tc>
          <w:tcPr>
            <w:tcW w:w="1981" w:type="dxa"/>
            <w:tcBorders>
              <w:top w:val="single" w:color="auto" w:sz="4" w:space="0"/>
              <w:left w:val="single" w:color="auto" w:sz="4" w:space="0"/>
              <w:bottom w:val="single" w:color="auto" w:sz="4" w:space="0"/>
              <w:right w:val="single" w:color="auto" w:sz="4" w:space="0"/>
            </w:tcBorders>
            <w:vAlign w:val="center"/>
          </w:tcPr>
          <w:p w14:paraId="3ADCF78B">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商用燃气灶具</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4A1166A3">
            <w:pPr>
              <w:pStyle w:val="90"/>
              <w:spacing w:before="124" w:line="283" w:lineRule="auto"/>
              <w:ind w:left="7" w:right="4"/>
              <w:jc w:val="center"/>
              <w:rPr>
                <w:rFonts w:hint="eastAsia" w:ascii="宋体" w:hAnsi="宋体" w:cs="宋体"/>
                <w:color w:val="auto"/>
                <w:sz w:val="21"/>
                <w:szCs w:val="21"/>
                <w:highlight w:val="none"/>
              </w:rPr>
            </w:pPr>
          </w:p>
        </w:tc>
        <w:tc>
          <w:tcPr>
            <w:tcW w:w="3903" w:type="dxa"/>
            <w:tcBorders>
              <w:top w:val="single" w:color="auto" w:sz="4" w:space="0"/>
              <w:left w:val="single" w:color="auto" w:sz="4" w:space="0"/>
              <w:bottom w:val="single" w:color="auto" w:sz="4" w:space="0"/>
              <w:right w:val="single" w:color="auto" w:sz="4" w:space="0"/>
            </w:tcBorders>
            <w:vAlign w:val="center"/>
          </w:tcPr>
          <w:p w14:paraId="189B5E93">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《商用燃气灶具能效限定值及能效等级》（GB30531）</w:t>
            </w:r>
          </w:p>
        </w:tc>
      </w:tr>
      <w:tr w14:paraId="3FBC5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restart"/>
            <w:tcBorders>
              <w:top w:val="single" w:color="auto" w:sz="4" w:space="0"/>
              <w:left w:val="single" w:color="auto" w:sz="4" w:space="0"/>
              <w:bottom w:val="single" w:color="auto" w:sz="4" w:space="0"/>
              <w:right w:val="single" w:color="auto" w:sz="4" w:space="0"/>
            </w:tcBorders>
            <w:vAlign w:val="center"/>
          </w:tcPr>
          <w:p w14:paraId="45F632FB">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15</w:t>
            </w:r>
          </w:p>
        </w:tc>
        <w:tc>
          <w:tcPr>
            <w:tcW w:w="1590" w:type="dxa"/>
            <w:vMerge w:val="restart"/>
            <w:tcBorders>
              <w:top w:val="single" w:color="auto" w:sz="4" w:space="0"/>
              <w:left w:val="single" w:color="auto" w:sz="4" w:space="0"/>
              <w:bottom w:val="single" w:color="auto" w:sz="4" w:space="0"/>
              <w:right w:val="single" w:color="auto" w:sz="4" w:space="0"/>
            </w:tcBorders>
            <w:vAlign w:val="center"/>
          </w:tcPr>
          <w:p w14:paraId="110E9EA1">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★A060805便器</w:t>
            </w:r>
          </w:p>
        </w:tc>
        <w:tc>
          <w:tcPr>
            <w:tcW w:w="1981" w:type="dxa"/>
            <w:tcBorders>
              <w:top w:val="single" w:color="auto" w:sz="4" w:space="0"/>
              <w:left w:val="single" w:color="auto" w:sz="4" w:space="0"/>
              <w:bottom w:val="single" w:color="auto" w:sz="4" w:space="0"/>
              <w:right w:val="single" w:color="auto" w:sz="4" w:space="0"/>
            </w:tcBorders>
            <w:vAlign w:val="center"/>
          </w:tcPr>
          <w:p w14:paraId="78E838FD">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坐便器</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7FDF2C14">
            <w:pPr>
              <w:pStyle w:val="90"/>
              <w:spacing w:before="124" w:line="283" w:lineRule="auto"/>
              <w:ind w:left="7" w:right="4"/>
              <w:jc w:val="center"/>
              <w:rPr>
                <w:rFonts w:hint="eastAsia" w:ascii="宋体" w:hAnsi="宋体" w:cs="宋体"/>
                <w:color w:val="auto"/>
                <w:sz w:val="21"/>
                <w:szCs w:val="21"/>
                <w:highlight w:val="none"/>
              </w:rPr>
            </w:pPr>
          </w:p>
        </w:tc>
        <w:tc>
          <w:tcPr>
            <w:tcW w:w="3903" w:type="dxa"/>
            <w:tcBorders>
              <w:top w:val="single" w:color="auto" w:sz="4" w:space="0"/>
              <w:left w:val="single" w:color="auto" w:sz="4" w:space="0"/>
              <w:bottom w:val="single" w:color="auto" w:sz="4" w:space="0"/>
              <w:right w:val="single" w:color="auto" w:sz="4" w:space="0"/>
            </w:tcBorders>
            <w:vAlign w:val="center"/>
          </w:tcPr>
          <w:p w14:paraId="2FAB0A4E">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《坐便器水效限定值及水效等级》</w:t>
            </w:r>
          </w:p>
          <w:p w14:paraId="4FB722BC">
            <w:pPr>
              <w:pStyle w:val="90"/>
              <w:spacing w:before="124" w:line="283" w:lineRule="auto"/>
              <w:ind w:left="7" w:right="4"/>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（GB25502）</w:t>
            </w:r>
          </w:p>
        </w:tc>
      </w:tr>
      <w:tr w14:paraId="4461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382E56FC">
            <w:pPr>
              <w:widowControl/>
              <w:jc w:val="center"/>
              <w:rPr>
                <w:rFonts w:hint="eastAsia" w:ascii="宋体" w:hAnsi="宋体" w:cs="宋体"/>
                <w:color w:val="auto"/>
                <w:kern w:val="0"/>
                <w:szCs w:val="21"/>
                <w:highlight w:val="none"/>
                <w:lang w:eastAsia="en-US"/>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64CBC6EE">
            <w:pPr>
              <w:widowControl/>
              <w:jc w:val="center"/>
              <w:rPr>
                <w:rFonts w:hint="eastAsia" w:ascii="宋体" w:hAnsi="宋体" w:cs="宋体"/>
                <w:color w:val="auto"/>
                <w:kern w:val="0"/>
                <w:szCs w:val="21"/>
                <w:highlight w:val="none"/>
                <w:lang w:eastAsia="en-US"/>
              </w:rPr>
            </w:pPr>
          </w:p>
        </w:tc>
        <w:tc>
          <w:tcPr>
            <w:tcW w:w="1981" w:type="dxa"/>
            <w:tcBorders>
              <w:top w:val="single" w:color="auto" w:sz="4" w:space="0"/>
              <w:left w:val="single" w:color="auto" w:sz="4" w:space="0"/>
              <w:bottom w:val="single" w:color="auto" w:sz="4" w:space="0"/>
              <w:right w:val="single" w:color="auto" w:sz="4" w:space="0"/>
            </w:tcBorders>
            <w:vAlign w:val="center"/>
          </w:tcPr>
          <w:p w14:paraId="789B79F1">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蹲便器</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7FA1F873">
            <w:pPr>
              <w:jc w:val="center"/>
              <w:rPr>
                <w:rFonts w:hint="eastAsia" w:ascii="宋体" w:hAnsi="宋体" w:cs="宋体"/>
                <w:color w:val="auto"/>
                <w:kern w:val="0"/>
                <w:szCs w:val="21"/>
                <w:highlight w:val="none"/>
                <w:lang w:eastAsia="en-US"/>
              </w:rPr>
            </w:pPr>
          </w:p>
        </w:tc>
        <w:tc>
          <w:tcPr>
            <w:tcW w:w="3903" w:type="dxa"/>
            <w:tcBorders>
              <w:top w:val="single" w:color="auto" w:sz="4" w:space="0"/>
              <w:left w:val="single" w:color="auto" w:sz="4" w:space="0"/>
              <w:bottom w:val="single" w:color="auto" w:sz="4" w:space="0"/>
              <w:right w:val="single" w:color="auto" w:sz="4" w:space="0"/>
            </w:tcBorders>
            <w:vAlign w:val="center"/>
          </w:tcPr>
          <w:p w14:paraId="03C5552F">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《蹲便器用水效率限定值及用水效率等级》（GB30717）</w:t>
            </w:r>
          </w:p>
        </w:tc>
      </w:tr>
      <w:tr w14:paraId="6DE66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jc w:val="center"/>
        </w:trPr>
        <w:tc>
          <w:tcPr>
            <w:tcW w:w="716" w:type="dxa"/>
            <w:vMerge w:val="continue"/>
            <w:tcBorders>
              <w:top w:val="single" w:color="auto" w:sz="4" w:space="0"/>
              <w:left w:val="single" w:color="auto" w:sz="4" w:space="0"/>
              <w:bottom w:val="single" w:color="auto" w:sz="4" w:space="0"/>
              <w:right w:val="single" w:color="auto" w:sz="4" w:space="0"/>
            </w:tcBorders>
            <w:vAlign w:val="center"/>
          </w:tcPr>
          <w:p w14:paraId="6E724A11">
            <w:pPr>
              <w:widowControl/>
              <w:jc w:val="center"/>
              <w:rPr>
                <w:rFonts w:hint="eastAsia" w:ascii="宋体" w:hAnsi="宋体" w:cs="宋体"/>
                <w:color w:val="auto"/>
                <w:kern w:val="0"/>
                <w:szCs w:val="21"/>
                <w:highlight w:val="none"/>
              </w:rPr>
            </w:pPr>
          </w:p>
        </w:tc>
        <w:tc>
          <w:tcPr>
            <w:tcW w:w="1590" w:type="dxa"/>
            <w:vMerge w:val="continue"/>
            <w:tcBorders>
              <w:top w:val="single" w:color="auto" w:sz="4" w:space="0"/>
              <w:left w:val="single" w:color="auto" w:sz="4" w:space="0"/>
              <w:bottom w:val="single" w:color="auto" w:sz="4" w:space="0"/>
              <w:right w:val="single" w:color="auto" w:sz="4" w:space="0"/>
            </w:tcBorders>
            <w:vAlign w:val="center"/>
          </w:tcPr>
          <w:p w14:paraId="319064A3">
            <w:pPr>
              <w:widowControl/>
              <w:jc w:val="center"/>
              <w:rPr>
                <w:rFonts w:hint="eastAsia" w:ascii="宋体" w:hAnsi="宋体" w:cs="宋体"/>
                <w:color w:val="auto"/>
                <w:kern w:val="0"/>
                <w:szCs w:val="21"/>
                <w:highlight w:val="none"/>
              </w:rPr>
            </w:pPr>
          </w:p>
        </w:tc>
        <w:tc>
          <w:tcPr>
            <w:tcW w:w="1981" w:type="dxa"/>
            <w:tcBorders>
              <w:top w:val="single" w:color="auto" w:sz="4" w:space="0"/>
              <w:left w:val="single" w:color="auto" w:sz="4" w:space="0"/>
              <w:bottom w:val="single" w:color="auto" w:sz="4" w:space="0"/>
              <w:right w:val="single" w:color="auto" w:sz="4" w:space="0"/>
            </w:tcBorders>
            <w:vAlign w:val="center"/>
          </w:tcPr>
          <w:p w14:paraId="0B71A1CD">
            <w:pPr>
              <w:pStyle w:val="90"/>
              <w:jc w:val="center"/>
              <w:rPr>
                <w:rFonts w:hint="eastAsia" w:ascii="宋体" w:hAnsi="宋体" w:cs="宋体"/>
                <w:color w:val="auto"/>
                <w:sz w:val="21"/>
                <w:szCs w:val="21"/>
                <w:highlight w:val="none"/>
              </w:rPr>
            </w:pPr>
            <w:r>
              <w:rPr>
                <w:rFonts w:hint="eastAsia" w:ascii="宋体" w:hAnsi="宋体" w:cs="宋体"/>
                <w:color w:val="auto"/>
                <w:sz w:val="21"/>
                <w:szCs w:val="21"/>
                <w:highlight w:val="none"/>
              </w:rPr>
              <w:t>小便器</w:t>
            </w: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2158EE1F">
            <w:pPr>
              <w:jc w:val="center"/>
              <w:rPr>
                <w:rFonts w:hint="eastAsia" w:ascii="宋体" w:hAnsi="宋体" w:cs="宋体"/>
                <w:color w:val="auto"/>
                <w:kern w:val="0"/>
                <w:szCs w:val="21"/>
                <w:highlight w:val="none"/>
                <w:lang w:eastAsia="en-US"/>
              </w:rPr>
            </w:pPr>
          </w:p>
        </w:tc>
        <w:tc>
          <w:tcPr>
            <w:tcW w:w="3903" w:type="dxa"/>
            <w:tcBorders>
              <w:top w:val="single" w:color="auto" w:sz="4" w:space="0"/>
              <w:left w:val="single" w:color="auto" w:sz="4" w:space="0"/>
              <w:bottom w:val="single" w:color="auto" w:sz="4" w:space="0"/>
              <w:right w:val="single" w:color="auto" w:sz="4" w:space="0"/>
            </w:tcBorders>
            <w:vAlign w:val="center"/>
          </w:tcPr>
          <w:p w14:paraId="6BB3DB06">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《小便器用水效率限定值及用水效率等级》（GB28377）</w:t>
            </w:r>
          </w:p>
        </w:tc>
      </w:tr>
      <w:tr w14:paraId="7D777A6C">
        <w:tblPrEx>
          <w:tblCellMar>
            <w:top w:w="0" w:type="dxa"/>
            <w:left w:w="0" w:type="dxa"/>
            <w:bottom w:w="0" w:type="dxa"/>
            <w:right w:w="0" w:type="dxa"/>
          </w:tblCellMar>
        </w:tblPrEx>
        <w:trPr>
          <w:gridAfter w:val="1"/>
          <w:wAfter w:w="7" w:type="dxa"/>
          <w:jc w:val="center"/>
        </w:trPr>
        <w:tc>
          <w:tcPr>
            <w:tcW w:w="716" w:type="dxa"/>
            <w:tcBorders>
              <w:top w:val="single" w:color="auto" w:sz="4" w:space="0"/>
              <w:left w:val="single" w:color="auto" w:sz="4" w:space="0"/>
              <w:bottom w:val="single" w:color="auto" w:sz="4" w:space="0"/>
              <w:right w:val="single" w:color="auto" w:sz="4" w:space="0"/>
            </w:tcBorders>
            <w:vAlign w:val="center"/>
          </w:tcPr>
          <w:p w14:paraId="3AC23E7D">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16</w:t>
            </w:r>
          </w:p>
        </w:tc>
        <w:tc>
          <w:tcPr>
            <w:tcW w:w="1590" w:type="dxa"/>
            <w:tcBorders>
              <w:top w:val="single" w:color="auto" w:sz="4" w:space="0"/>
              <w:left w:val="single" w:color="auto" w:sz="4" w:space="0"/>
              <w:bottom w:val="single" w:color="auto" w:sz="4" w:space="0"/>
              <w:right w:val="single" w:color="auto" w:sz="4" w:space="0"/>
            </w:tcBorders>
            <w:vAlign w:val="center"/>
          </w:tcPr>
          <w:p w14:paraId="48E40E5C">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★A060806水嘴</w:t>
            </w:r>
          </w:p>
        </w:tc>
        <w:tc>
          <w:tcPr>
            <w:tcW w:w="1981" w:type="dxa"/>
            <w:tcBorders>
              <w:top w:val="single" w:color="auto" w:sz="4" w:space="0"/>
              <w:left w:val="single" w:color="auto" w:sz="4" w:space="0"/>
              <w:bottom w:val="single" w:color="auto" w:sz="4" w:space="0"/>
              <w:right w:val="single" w:color="auto" w:sz="4" w:space="0"/>
            </w:tcBorders>
            <w:vAlign w:val="center"/>
          </w:tcPr>
          <w:p w14:paraId="7007CE2A">
            <w:pPr>
              <w:pStyle w:val="90"/>
              <w:spacing w:before="124" w:line="283" w:lineRule="auto"/>
              <w:ind w:left="7" w:right="4"/>
              <w:jc w:val="center"/>
              <w:rPr>
                <w:rFonts w:hint="eastAsia" w:ascii="宋体" w:hAnsi="宋体" w:cs="宋体"/>
                <w:color w:val="auto"/>
                <w:sz w:val="21"/>
                <w:szCs w:val="21"/>
                <w:highlight w:val="none"/>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767D0CED">
            <w:pPr>
              <w:pStyle w:val="90"/>
              <w:spacing w:before="124" w:line="283" w:lineRule="auto"/>
              <w:ind w:left="7" w:right="4"/>
              <w:jc w:val="center"/>
              <w:rPr>
                <w:rFonts w:hint="eastAsia" w:ascii="宋体" w:hAnsi="宋体" w:cs="宋体"/>
                <w:color w:val="auto"/>
                <w:sz w:val="21"/>
                <w:szCs w:val="21"/>
                <w:highlight w:val="none"/>
              </w:rPr>
            </w:pPr>
          </w:p>
        </w:tc>
        <w:tc>
          <w:tcPr>
            <w:tcW w:w="3903" w:type="dxa"/>
            <w:tcBorders>
              <w:top w:val="single" w:color="auto" w:sz="4" w:space="0"/>
              <w:left w:val="single" w:color="auto" w:sz="4" w:space="0"/>
              <w:bottom w:val="single" w:color="auto" w:sz="4" w:space="0"/>
              <w:right w:val="single" w:color="auto" w:sz="4" w:space="0"/>
            </w:tcBorders>
            <w:vAlign w:val="center"/>
          </w:tcPr>
          <w:p w14:paraId="3665E10D">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《水嘴用水效率限定值及用水效率等级》（GB 25501）</w:t>
            </w:r>
          </w:p>
        </w:tc>
      </w:tr>
      <w:tr w14:paraId="29012850">
        <w:tblPrEx>
          <w:tblCellMar>
            <w:top w:w="0" w:type="dxa"/>
            <w:left w:w="0" w:type="dxa"/>
            <w:bottom w:w="0" w:type="dxa"/>
            <w:right w:w="0" w:type="dxa"/>
          </w:tblCellMar>
        </w:tblPrEx>
        <w:trPr>
          <w:gridAfter w:val="1"/>
          <w:wAfter w:w="7" w:type="dxa"/>
          <w:jc w:val="center"/>
        </w:trPr>
        <w:tc>
          <w:tcPr>
            <w:tcW w:w="716" w:type="dxa"/>
            <w:tcBorders>
              <w:top w:val="single" w:color="auto" w:sz="4" w:space="0"/>
              <w:left w:val="single" w:color="auto" w:sz="4" w:space="0"/>
              <w:bottom w:val="single" w:color="auto" w:sz="4" w:space="0"/>
              <w:right w:val="single" w:color="auto" w:sz="4" w:space="0"/>
            </w:tcBorders>
            <w:vAlign w:val="center"/>
          </w:tcPr>
          <w:p w14:paraId="6BA0851B">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17</w:t>
            </w:r>
          </w:p>
        </w:tc>
        <w:tc>
          <w:tcPr>
            <w:tcW w:w="1590" w:type="dxa"/>
            <w:tcBorders>
              <w:top w:val="single" w:color="auto" w:sz="4" w:space="0"/>
              <w:left w:val="single" w:color="auto" w:sz="4" w:space="0"/>
              <w:bottom w:val="single" w:color="auto" w:sz="4" w:space="0"/>
              <w:right w:val="single" w:color="auto" w:sz="4" w:space="0"/>
            </w:tcBorders>
            <w:vAlign w:val="center"/>
          </w:tcPr>
          <w:p w14:paraId="081F5107">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A060807便器冲洗阀</w:t>
            </w:r>
          </w:p>
        </w:tc>
        <w:tc>
          <w:tcPr>
            <w:tcW w:w="1981" w:type="dxa"/>
            <w:tcBorders>
              <w:top w:val="single" w:color="auto" w:sz="4" w:space="0"/>
              <w:left w:val="single" w:color="auto" w:sz="4" w:space="0"/>
              <w:bottom w:val="single" w:color="auto" w:sz="4" w:space="0"/>
              <w:right w:val="single" w:color="auto" w:sz="4" w:space="0"/>
            </w:tcBorders>
            <w:vAlign w:val="center"/>
          </w:tcPr>
          <w:p w14:paraId="34742288">
            <w:pPr>
              <w:pStyle w:val="90"/>
              <w:spacing w:before="124" w:line="283" w:lineRule="auto"/>
              <w:ind w:left="7" w:right="4"/>
              <w:jc w:val="center"/>
              <w:rPr>
                <w:rFonts w:hint="eastAsia" w:ascii="宋体" w:hAnsi="宋体" w:cs="宋体"/>
                <w:color w:val="auto"/>
                <w:sz w:val="21"/>
                <w:szCs w:val="21"/>
                <w:highlight w:val="none"/>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665D7C98">
            <w:pPr>
              <w:pStyle w:val="90"/>
              <w:spacing w:before="124" w:line="283" w:lineRule="auto"/>
              <w:ind w:left="7" w:right="4"/>
              <w:jc w:val="center"/>
              <w:rPr>
                <w:rFonts w:hint="eastAsia" w:ascii="宋体" w:hAnsi="宋体" w:cs="宋体"/>
                <w:color w:val="auto"/>
                <w:sz w:val="21"/>
                <w:szCs w:val="21"/>
                <w:highlight w:val="none"/>
              </w:rPr>
            </w:pPr>
          </w:p>
        </w:tc>
        <w:tc>
          <w:tcPr>
            <w:tcW w:w="3903" w:type="dxa"/>
            <w:tcBorders>
              <w:top w:val="single" w:color="auto" w:sz="4" w:space="0"/>
              <w:left w:val="single" w:color="auto" w:sz="4" w:space="0"/>
              <w:bottom w:val="single" w:color="auto" w:sz="4" w:space="0"/>
              <w:right w:val="single" w:color="auto" w:sz="4" w:space="0"/>
            </w:tcBorders>
            <w:vAlign w:val="center"/>
          </w:tcPr>
          <w:p w14:paraId="2B81AE1C">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《便器冲洗阀用水效率限定值及用水效率等级》（GB28379）</w:t>
            </w:r>
          </w:p>
        </w:tc>
      </w:tr>
      <w:tr w14:paraId="7956758E">
        <w:tblPrEx>
          <w:tblCellMar>
            <w:top w:w="0" w:type="dxa"/>
            <w:left w:w="0" w:type="dxa"/>
            <w:bottom w:w="0" w:type="dxa"/>
            <w:right w:w="0" w:type="dxa"/>
          </w:tblCellMar>
        </w:tblPrEx>
        <w:trPr>
          <w:gridAfter w:val="1"/>
          <w:wAfter w:w="7" w:type="dxa"/>
          <w:trHeight w:val="902" w:hRule="exact"/>
          <w:jc w:val="center"/>
        </w:trPr>
        <w:tc>
          <w:tcPr>
            <w:tcW w:w="716" w:type="dxa"/>
            <w:tcBorders>
              <w:top w:val="single" w:color="auto" w:sz="4" w:space="0"/>
              <w:left w:val="single" w:color="auto" w:sz="4" w:space="0"/>
              <w:bottom w:val="single" w:color="auto" w:sz="4" w:space="0"/>
              <w:right w:val="single" w:color="auto" w:sz="4" w:space="0"/>
            </w:tcBorders>
            <w:vAlign w:val="center"/>
          </w:tcPr>
          <w:p w14:paraId="2C744B1F">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18</w:t>
            </w:r>
          </w:p>
        </w:tc>
        <w:tc>
          <w:tcPr>
            <w:tcW w:w="1590" w:type="dxa"/>
            <w:tcBorders>
              <w:top w:val="single" w:color="auto" w:sz="4" w:space="0"/>
              <w:left w:val="single" w:color="auto" w:sz="4" w:space="0"/>
              <w:bottom w:val="single" w:color="auto" w:sz="4" w:space="0"/>
              <w:right w:val="single" w:color="auto" w:sz="4" w:space="0"/>
            </w:tcBorders>
            <w:vAlign w:val="center"/>
          </w:tcPr>
          <w:p w14:paraId="0472B7BC">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A060810淋浴器</w:t>
            </w:r>
          </w:p>
        </w:tc>
        <w:tc>
          <w:tcPr>
            <w:tcW w:w="1981" w:type="dxa"/>
            <w:tcBorders>
              <w:top w:val="single" w:color="auto" w:sz="4" w:space="0"/>
              <w:left w:val="single" w:color="auto" w:sz="4" w:space="0"/>
              <w:bottom w:val="single" w:color="auto" w:sz="4" w:space="0"/>
              <w:right w:val="single" w:color="auto" w:sz="4" w:space="0"/>
            </w:tcBorders>
            <w:vAlign w:val="center"/>
          </w:tcPr>
          <w:p w14:paraId="3FFF681C">
            <w:pPr>
              <w:pStyle w:val="90"/>
              <w:spacing w:before="124" w:line="283" w:lineRule="auto"/>
              <w:ind w:left="7" w:right="4"/>
              <w:jc w:val="center"/>
              <w:rPr>
                <w:rFonts w:hint="eastAsia" w:ascii="宋体" w:hAnsi="宋体" w:cs="宋体"/>
                <w:color w:val="auto"/>
                <w:sz w:val="21"/>
                <w:szCs w:val="21"/>
                <w:highlight w:val="none"/>
                <w:lang w:eastAsia="zh-CN"/>
              </w:rPr>
            </w:pPr>
          </w:p>
        </w:tc>
        <w:tc>
          <w:tcPr>
            <w:tcW w:w="2008" w:type="dxa"/>
            <w:gridSpan w:val="2"/>
            <w:tcBorders>
              <w:top w:val="single" w:color="auto" w:sz="4" w:space="0"/>
              <w:left w:val="single" w:color="auto" w:sz="4" w:space="0"/>
              <w:bottom w:val="single" w:color="auto" w:sz="4" w:space="0"/>
              <w:right w:val="single" w:color="auto" w:sz="4" w:space="0"/>
            </w:tcBorders>
            <w:vAlign w:val="center"/>
          </w:tcPr>
          <w:p w14:paraId="4449D895">
            <w:pPr>
              <w:pStyle w:val="90"/>
              <w:spacing w:before="124" w:line="283" w:lineRule="auto"/>
              <w:ind w:left="7" w:right="4"/>
              <w:jc w:val="center"/>
              <w:rPr>
                <w:rFonts w:hint="eastAsia" w:ascii="宋体" w:hAnsi="宋体" w:cs="宋体"/>
                <w:color w:val="auto"/>
                <w:sz w:val="21"/>
                <w:szCs w:val="21"/>
                <w:highlight w:val="none"/>
              </w:rPr>
            </w:pPr>
          </w:p>
        </w:tc>
        <w:tc>
          <w:tcPr>
            <w:tcW w:w="3903" w:type="dxa"/>
            <w:tcBorders>
              <w:top w:val="single" w:color="auto" w:sz="4" w:space="0"/>
              <w:left w:val="single" w:color="auto" w:sz="4" w:space="0"/>
              <w:bottom w:val="single" w:color="auto" w:sz="4" w:space="0"/>
              <w:right w:val="single" w:color="auto" w:sz="4" w:space="0"/>
            </w:tcBorders>
            <w:vAlign w:val="center"/>
          </w:tcPr>
          <w:p w14:paraId="6006A0DF">
            <w:pPr>
              <w:pStyle w:val="90"/>
              <w:spacing w:before="124" w:line="283" w:lineRule="auto"/>
              <w:ind w:left="7" w:right="4"/>
              <w:jc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eastAsia="zh-CN"/>
              </w:rPr>
              <w:t>《淋浴器用水效率限定值及用水效率等级》（GB28378）</w:t>
            </w:r>
          </w:p>
        </w:tc>
      </w:tr>
    </w:tbl>
    <w:p w14:paraId="04E8D408">
      <w:pPr>
        <w:pStyle w:val="14"/>
        <w:rPr>
          <w:rFonts w:hint="eastAsia" w:ascii="宋体" w:hAnsi="宋体" w:cs="宋体"/>
          <w:color w:val="auto"/>
          <w:szCs w:val="21"/>
          <w:highlight w:val="none"/>
        </w:rPr>
      </w:pPr>
      <w:r>
        <w:rPr>
          <w:rFonts w:hint="eastAsia" w:ascii="宋体" w:hAnsi="宋体" w:cs="宋体"/>
          <w:color w:val="auto"/>
          <w:spacing w:val="-3"/>
          <w:szCs w:val="21"/>
          <w:highlight w:val="none"/>
        </w:rPr>
        <w:t>注：1.节能产品认证应依据相关国家标准的最新版本，依据国家标准中二级能效（水效）</w:t>
      </w:r>
      <w:r>
        <w:rPr>
          <w:rFonts w:hint="eastAsia" w:ascii="宋体" w:hAnsi="宋体" w:cs="宋体"/>
          <w:color w:val="auto"/>
          <w:szCs w:val="21"/>
          <w:highlight w:val="none"/>
        </w:rPr>
        <w:t>指标。</w:t>
      </w:r>
    </w:p>
    <w:p w14:paraId="731AEBBA">
      <w:pPr>
        <w:snapToGrid w:val="0"/>
        <w:jc w:val="left"/>
        <w:rPr>
          <w:rFonts w:hint="eastAsia" w:ascii="宋体" w:hAnsi="宋体" w:cs="宋体"/>
          <w:color w:val="auto"/>
          <w:szCs w:val="21"/>
          <w:highlight w:val="none"/>
        </w:rPr>
      </w:pPr>
      <w:r>
        <w:rPr>
          <w:rFonts w:hint="eastAsia" w:ascii="宋体" w:hAnsi="宋体" w:cs="宋体"/>
          <w:color w:val="auto"/>
          <w:szCs w:val="21"/>
          <w:highlight w:val="none"/>
        </w:rPr>
        <w:t xml:space="preserve">    2.以“★”标注的为政府强制采购产品。</w:t>
      </w:r>
    </w:p>
    <w:p w14:paraId="6AD240F1">
      <w:pPr>
        <w:spacing w:line="420" w:lineRule="exact"/>
        <w:ind w:firstLine="422" w:firstLineChars="200"/>
        <w:jc w:val="left"/>
        <w:rPr>
          <w:rFonts w:hint="eastAsia" w:ascii="宋体" w:hAnsi="宋体" w:cs="宋体"/>
          <w:b/>
          <w:bCs/>
          <w:color w:val="auto"/>
          <w:szCs w:val="21"/>
          <w:highlight w:val="none"/>
        </w:rPr>
      </w:pPr>
    </w:p>
    <w:p w14:paraId="1F125FDA">
      <w:pPr>
        <w:spacing w:line="420" w:lineRule="exact"/>
        <w:ind w:firstLine="422" w:firstLineChars="200"/>
        <w:jc w:val="left"/>
        <w:rPr>
          <w:rFonts w:hint="eastAsia" w:ascii="宋体" w:hAnsi="宋体" w:cs="宋体"/>
          <w:b/>
          <w:bCs/>
          <w:color w:val="auto"/>
          <w:szCs w:val="21"/>
          <w:highlight w:val="none"/>
        </w:rPr>
      </w:pPr>
    </w:p>
    <w:p w14:paraId="1EF4033E">
      <w:pPr>
        <w:spacing w:line="420" w:lineRule="exact"/>
        <w:ind w:firstLine="422" w:firstLineChars="200"/>
        <w:jc w:val="left"/>
        <w:rPr>
          <w:rFonts w:hint="eastAsia" w:ascii="宋体" w:hAnsi="宋体" w:cs="宋体"/>
          <w:b/>
          <w:bCs/>
          <w:color w:val="auto"/>
          <w:szCs w:val="21"/>
          <w:highlight w:val="none"/>
        </w:rPr>
      </w:pPr>
    </w:p>
    <w:p w14:paraId="122D1B39">
      <w:pPr>
        <w:spacing w:line="420" w:lineRule="exact"/>
        <w:ind w:firstLine="422" w:firstLineChars="200"/>
        <w:jc w:val="left"/>
        <w:rPr>
          <w:rFonts w:hint="eastAsia" w:ascii="宋体" w:hAnsi="宋体" w:cs="宋体"/>
          <w:b/>
          <w:bCs/>
          <w:color w:val="auto"/>
          <w:szCs w:val="21"/>
          <w:highlight w:val="none"/>
        </w:rPr>
      </w:pPr>
    </w:p>
    <w:p w14:paraId="677A07F0">
      <w:pPr>
        <w:spacing w:line="420" w:lineRule="exact"/>
        <w:ind w:firstLine="422" w:firstLineChars="200"/>
        <w:jc w:val="left"/>
        <w:rPr>
          <w:rFonts w:hint="eastAsia" w:ascii="宋体" w:hAnsi="宋体" w:cs="宋体"/>
          <w:b/>
          <w:bCs/>
          <w:color w:val="auto"/>
          <w:szCs w:val="21"/>
          <w:highlight w:val="none"/>
        </w:rPr>
      </w:pPr>
    </w:p>
    <w:p w14:paraId="4F8F5ECC">
      <w:pPr>
        <w:spacing w:line="420" w:lineRule="exact"/>
        <w:ind w:firstLine="422" w:firstLineChars="200"/>
        <w:jc w:val="left"/>
        <w:rPr>
          <w:rFonts w:hint="eastAsia" w:ascii="宋体" w:hAnsi="宋体" w:cs="宋体"/>
          <w:b/>
          <w:bCs/>
          <w:color w:val="auto"/>
          <w:szCs w:val="21"/>
          <w:highlight w:val="none"/>
        </w:rPr>
      </w:pPr>
    </w:p>
    <w:p w14:paraId="4A34A56E">
      <w:pPr>
        <w:spacing w:line="420" w:lineRule="exact"/>
        <w:ind w:firstLine="422" w:firstLineChars="200"/>
        <w:jc w:val="left"/>
        <w:rPr>
          <w:rFonts w:hint="eastAsia" w:ascii="宋体" w:hAnsi="宋体" w:cs="宋体"/>
          <w:b/>
          <w:bCs/>
          <w:color w:val="auto"/>
          <w:szCs w:val="21"/>
          <w:highlight w:val="none"/>
        </w:rPr>
      </w:pPr>
    </w:p>
    <w:p w14:paraId="60BB4753">
      <w:pPr>
        <w:spacing w:line="420" w:lineRule="exact"/>
        <w:ind w:firstLine="422" w:firstLineChars="200"/>
        <w:jc w:val="left"/>
        <w:rPr>
          <w:rFonts w:hint="eastAsia" w:ascii="宋体" w:hAnsi="宋体" w:cs="宋体"/>
          <w:b/>
          <w:bCs/>
          <w:color w:val="auto"/>
          <w:szCs w:val="21"/>
          <w:highlight w:val="none"/>
        </w:rPr>
      </w:pPr>
    </w:p>
    <w:p w14:paraId="0BAC173E">
      <w:pPr>
        <w:spacing w:line="420" w:lineRule="exact"/>
        <w:ind w:firstLine="422" w:firstLineChars="200"/>
        <w:jc w:val="left"/>
        <w:rPr>
          <w:rFonts w:hint="eastAsia" w:ascii="宋体" w:hAnsi="宋体" w:cs="宋体"/>
          <w:b/>
          <w:bCs/>
          <w:color w:val="auto"/>
          <w:szCs w:val="21"/>
          <w:highlight w:val="none"/>
        </w:rPr>
      </w:pPr>
    </w:p>
    <w:p w14:paraId="64046210">
      <w:pPr>
        <w:spacing w:line="420" w:lineRule="exact"/>
        <w:ind w:firstLine="422" w:firstLineChars="200"/>
        <w:jc w:val="left"/>
        <w:rPr>
          <w:rFonts w:hint="eastAsia" w:ascii="宋体" w:hAnsi="宋体" w:cs="宋体"/>
          <w:b/>
          <w:bCs/>
          <w:color w:val="auto"/>
          <w:szCs w:val="21"/>
          <w:highlight w:val="none"/>
        </w:rPr>
      </w:pPr>
    </w:p>
    <w:p w14:paraId="1732F707">
      <w:pPr>
        <w:spacing w:line="420" w:lineRule="exact"/>
        <w:ind w:firstLine="422" w:firstLineChars="200"/>
        <w:jc w:val="left"/>
        <w:rPr>
          <w:rFonts w:hint="eastAsia" w:ascii="宋体" w:hAnsi="宋体" w:cs="宋体"/>
          <w:b/>
          <w:bCs/>
          <w:color w:val="auto"/>
          <w:szCs w:val="21"/>
          <w:highlight w:val="none"/>
        </w:rPr>
      </w:pPr>
    </w:p>
    <w:p w14:paraId="193B7AA6">
      <w:pPr>
        <w:spacing w:line="420" w:lineRule="exact"/>
        <w:ind w:firstLine="422" w:firstLineChars="200"/>
        <w:jc w:val="left"/>
        <w:rPr>
          <w:rFonts w:hint="eastAsia" w:ascii="宋体" w:hAnsi="宋体" w:cs="宋体"/>
          <w:b/>
          <w:bCs/>
          <w:color w:val="auto"/>
          <w:szCs w:val="21"/>
          <w:highlight w:val="none"/>
        </w:rPr>
      </w:pPr>
    </w:p>
    <w:p w14:paraId="19DCE123">
      <w:pPr>
        <w:spacing w:line="420" w:lineRule="exact"/>
        <w:ind w:firstLine="422" w:firstLineChars="200"/>
        <w:jc w:val="left"/>
        <w:rPr>
          <w:rFonts w:hint="eastAsia" w:ascii="宋体" w:hAnsi="宋体" w:cs="宋体"/>
          <w:b/>
          <w:bCs/>
          <w:color w:val="auto"/>
          <w:szCs w:val="21"/>
          <w:highlight w:val="none"/>
        </w:rPr>
      </w:pPr>
    </w:p>
    <w:p w14:paraId="49B5C359">
      <w:pPr>
        <w:pStyle w:val="15"/>
        <w:ind w:firstLine="422"/>
        <w:rPr>
          <w:rFonts w:hint="eastAsia" w:ascii="宋体" w:hAnsi="宋体" w:cs="宋体"/>
          <w:b/>
          <w:bCs/>
          <w:color w:val="auto"/>
          <w:szCs w:val="21"/>
          <w:highlight w:val="none"/>
        </w:rPr>
      </w:pPr>
    </w:p>
    <w:p w14:paraId="5D13F9AF">
      <w:pPr>
        <w:pStyle w:val="15"/>
        <w:ind w:firstLine="422"/>
        <w:rPr>
          <w:rFonts w:hint="eastAsia" w:ascii="宋体" w:hAnsi="宋体" w:cs="宋体"/>
          <w:b/>
          <w:bCs/>
          <w:color w:val="auto"/>
          <w:szCs w:val="21"/>
          <w:highlight w:val="none"/>
        </w:rPr>
      </w:pPr>
    </w:p>
    <w:p w14:paraId="625E8BEF">
      <w:pPr>
        <w:pStyle w:val="15"/>
        <w:ind w:firstLine="422"/>
        <w:rPr>
          <w:rFonts w:hint="eastAsia" w:ascii="宋体" w:hAnsi="宋体" w:cs="宋体"/>
          <w:b/>
          <w:bCs/>
          <w:color w:val="auto"/>
          <w:szCs w:val="21"/>
          <w:highlight w:val="none"/>
        </w:rPr>
      </w:pPr>
    </w:p>
    <w:p w14:paraId="602B361A">
      <w:pPr>
        <w:spacing w:line="420" w:lineRule="exact"/>
        <w:ind w:firstLine="422" w:firstLineChars="200"/>
        <w:jc w:val="left"/>
        <w:rPr>
          <w:rFonts w:hint="eastAsia" w:ascii="宋体" w:hAnsi="宋体" w:cs="宋体"/>
          <w:b/>
          <w:bCs/>
          <w:color w:val="auto"/>
          <w:szCs w:val="21"/>
          <w:highlight w:val="none"/>
        </w:rPr>
      </w:pPr>
    </w:p>
    <w:p w14:paraId="74C75AF5">
      <w:pPr>
        <w:jc w:val="left"/>
        <w:rPr>
          <w:rFonts w:hint="eastAsia" w:ascii="宋体" w:hAnsi="宋体" w:cs="宋体"/>
          <w:color w:val="auto"/>
          <w:kern w:val="0"/>
          <w:sz w:val="32"/>
          <w:szCs w:val="32"/>
          <w:highlight w:val="none"/>
        </w:rPr>
      </w:pPr>
      <w:r>
        <w:rPr>
          <w:rFonts w:hint="eastAsia" w:ascii="宋体" w:hAnsi="宋体" w:cs="宋体"/>
          <w:color w:val="auto"/>
          <w:kern w:val="0"/>
          <w:sz w:val="32"/>
          <w:szCs w:val="32"/>
          <w:highlight w:val="none"/>
        </w:rPr>
        <w:br w:type="page"/>
      </w:r>
      <w:r>
        <w:rPr>
          <w:rFonts w:hint="eastAsia" w:ascii="宋体" w:hAnsi="宋体" w:cs="宋体"/>
          <w:color w:val="auto"/>
          <w:kern w:val="0"/>
          <w:sz w:val="32"/>
          <w:szCs w:val="32"/>
          <w:highlight w:val="none"/>
        </w:rPr>
        <w:t>附件2：</w:t>
      </w:r>
    </w:p>
    <w:p w14:paraId="1EF96F34">
      <w:pPr>
        <w:widowControl/>
        <w:spacing w:line="330" w:lineRule="atLeast"/>
        <w:jc w:val="center"/>
        <w:rPr>
          <w:rFonts w:hint="eastAsia" w:ascii="方正小标宋_GBK" w:hAnsi="宋体" w:eastAsia="方正小标宋_GBK" w:cs="宋体"/>
          <w:color w:val="auto"/>
          <w:kern w:val="0"/>
          <w:sz w:val="36"/>
          <w:szCs w:val="32"/>
          <w:highlight w:val="none"/>
        </w:rPr>
      </w:pPr>
      <w:r>
        <w:rPr>
          <w:rFonts w:hint="eastAsia" w:ascii="方正小标宋_GBK" w:hAnsi="宋体" w:eastAsia="方正小标宋_GBK" w:cs="宋体"/>
          <w:color w:val="auto"/>
          <w:kern w:val="0"/>
          <w:sz w:val="36"/>
          <w:szCs w:val="32"/>
          <w:highlight w:val="none"/>
        </w:rPr>
        <w:t>统计上大中小微型企业划分标准</w:t>
      </w:r>
    </w:p>
    <w:tbl>
      <w:tblPr>
        <w:tblStyle w:val="33"/>
        <w:tblW w:w="0" w:type="auto"/>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402F239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622" w:hRule="exact"/>
          <w:jc w:val="center"/>
        </w:trPr>
        <w:tc>
          <w:tcPr>
            <w:tcW w:w="2113" w:type="dxa"/>
            <w:tcBorders>
              <w:bottom w:val="single" w:color="auto" w:sz="4" w:space="0"/>
              <w:right w:val="single" w:color="auto" w:sz="4" w:space="0"/>
            </w:tcBorders>
            <w:vAlign w:val="center"/>
          </w:tcPr>
          <w:p w14:paraId="622BDDA7">
            <w:pPr>
              <w:widowControl/>
              <w:spacing w:line="240" w:lineRule="exact"/>
              <w:jc w:val="center"/>
              <w:rPr>
                <w:rFonts w:hint="eastAsia" w:ascii="宋体" w:hAnsi="宋体" w:cs="宋体"/>
                <w:b/>
                <w:bCs/>
                <w:color w:val="auto"/>
                <w:kern w:val="0"/>
                <w:sz w:val="18"/>
                <w:szCs w:val="21"/>
                <w:highlight w:val="none"/>
              </w:rPr>
            </w:pPr>
            <w:r>
              <w:rPr>
                <w:rFonts w:hint="eastAsia" w:ascii="宋体" w:hAnsi="宋体" w:cs="宋体"/>
                <w:b/>
                <w:bCs/>
                <w:color w:val="auto"/>
                <w:kern w:val="0"/>
                <w:sz w:val="18"/>
                <w:szCs w:val="21"/>
                <w:highlight w:val="none"/>
              </w:rPr>
              <w:t>行业名称</w:t>
            </w:r>
          </w:p>
        </w:tc>
        <w:tc>
          <w:tcPr>
            <w:tcW w:w="1369" w:type="dxa"/>
            <w:tcBorders>
              <w:left w:val="nil"/>
              <w:bottom w:val="single" w:color="auto" w:sz="4" w:space="0"/>
              <w:right w:val="single" w:color="auto" w:sz="4" w:space="0"/>
            </w:tcBorders>
            <w:vAlign w:val="center"/>
          </w:tcPr>
          <w:p w14:paraId="47E33F9C">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指标名称</w:t>
            </w:r>
          </w:p>
        </w:tc>
        <w:tc>
          <w:tcPr>
            <w:tcW w:w="709" w:type="dxa"/>
            <w:tcBorders>
              <w:left w:val="nil"/>
              <w:bottom w:val="single" w:color="auto" w:sz="4" w:space="0"/>
              <w:right w:val="single" w:color="auto" w:sz="4" w:space="0"/>
            </w:tcBorders>
            <w:vAlign w:val="center"/>
          </w:tcPr>
          <w:p w14:paraId="740C2BBF">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计量</w:t>
            </w:r>
            <w:r>
              <w:rPr>
                <w:rFonts w:hint="eastAsia" w:ascii="宋体" w:hAnsi="宋体" w:cs="宋体"/>
                <w:b/>
                <w:bCs/>
                <w:color w:val="auto"/>
                <w:kern w:val="0"/>
                <w:sz w:val="18"/>
                <w:szCs w:val="18"/>
                <w:highlight w:val="none"/>
              </w:rPr>
              <w:br w:type="textWrapping"/>
            </w:r>
            <w:r>
              <w:rPr>
                <w:rFonts w:hint="eastAsia" w:ascii="宋体" w:hAnsi="宋体" w:cs="宋体"/>
                <w:b/>
                <w:bCs/>
                <w:color w:val="auto"/>
                <w:kern w:val="0"/>
                <w:sz w:val="18"/>
                <w:szCs w:val="18"/>
                <w:highlight w:val="none"/>
              </w:rPr>
              <w:t>单位</w:t>
            </w:r>
          </w:p>
        </w:tc>
        <w:tc>
          <w:tcPr>
            <w:tcW w:w="1125" w:type="dxa"/>
            <w:tcBorders>
              <w:left w:val="nil"/>
              <w:bottom w:val="single" w:color="auto" w:sz="4" w:space="0"/>
              <w:right w:val="single" w:color="auto" w:sz="4" w:space="0"/>
            </w:tcBorders>
            <w:vAlign w:val="center"/>
          </w:tcPr>
          <w:p w14:paraId="11F723B1">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大型</w:t>
            </w:r>
          </w:p>
        </w:tc>
        <w:tc>
          <w:tcPr>
            <w:tcW w:w="1701" w:type="dxa"/>
            <w:tcBorders>
              <w:left w:val="nil"/>
              <w:bottom w:val="single" w:color="auto" w:sz="4" w:space="0"/>
              <w:right w:val="single" w:color="auto" w:sz="4" w:space="0"/>
            </w:tcBorders>
            <w:vAlign w:val="center"/>
          </w:tcPr>
          <w:p w14:paraId="512106F4">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中型</w:t>
            </w:r>
          </w:p>
        </w:tc>
        <w:tc>
          <w:tcPr>
            <w:tcW w:w="1426" w:type="dxa"/>
            <w:tcBorders>
              <w:left w:val="nil"/>
              <w:bottom w:val="single" w:color="auto" w:sz="4" w:space="0"/>
              <w:right w:val="single" w:color="auto" w:sz="4" w:space="0"/>
            </w:tcBorders>
            <w:vAlign w:val="center"/>
          </w:tcPr>
          <w:p w14:paraId="7B14ADAE">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小型</w:t>
            </w:r>
          </w:p>
        </w:tc>
        <w:tc>
          <w:tcPr>
            <w:tcW w:w="992" w:type="dxa"/>
            <w:tcBorders>
              <w:left w:val="nil"/>
              <w:bottom w:val="single" w:color="auto" w:sz="4" w:space="0"/>
            </w:tcBorders>
            <w:vAlign w:val="center"/>
          </w:tcPr>
          <w:p w14:paraId="6357F3C1">
            <w:pPr>
              <w:widowControl/>
              <w:jc w:val="center"/>
              <w:rPr>
                <w:rFonts w:hint="eastAsia" w:ascii="宋体" w:hAnsi="宋体" w:cs="宋体"/>
                <w:b/>
                <w:bCs/>
                <w:color w:val="auto"/>
                <w:kern w:val="0"/>
                <w:sz w:val="18"/>
                <w:szCs w:val="18"/>
                <w:highlight w:val="none"/>
              </w:rPr>
            </w:pPr>
            <w:r>
              <w:rPr>
                <w:rFonts w:hint="eastAsia" w:ascii="宋体" w:hAnsi="宋体" w:cs="宋体"/>
                <w:b/>
                <w:bCs/>
                <w:color w:val="auto"/>
                <w:kern w:val="0"/>
                <w:sz w:val="18"/>
                <w:szCs w:val="18"/>
                <w:highlight w:val="none"/>
              </w:rPr>
              <w:t>微型</w:t>
            </w:r>
          </w:p>
        </w:tc>
      </w:tr>
      <w:tr w14:paraId="1804DB0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tcBorders>
              <w:top w:val="nil"/>
              <w:bottom w:val="single" w:color="auto" w:sz="4" w:space="0"/>
              <w:right w:val="single" w:color="auto" w:sz="4" w:space="0"/>
            </w:tcBorders>
            <w:vAlign w:val="center"/>
          </w:tcPr>
          <w:p w14:paraId="6B74D741">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农、林、牧、渔业</w:t>
            </w:r>
          </w:p>
        </w:tc>
        <w:tc>
          <w:tcPr>
            <w:tcW w:w="1369" w:type="dxa"/>
            <w:tcBorders>
              <w:top w:val="nil"/>
              <w:left w:val="nil"/>
              <w:bottom w:val="single" w:color="auto" w:sz="4" w:space="0"/>
              <w:right w:val="single" w:color="auto" w:sz="4" w:space="0"/>
            </w:tcBorders>
            <w:vAlign w:val="center"/>
          </w:tcPr>
          <w:p w14:paraId="7C72C76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5A59B9AD">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3F34FF4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tcBorders>
              <w:top w:val="nil"/>
              <w:left w:val="nil"/>
              <w:bottom w:val="single" w:color="auto" w:sz="4" w:space="0"/>
              <w:right w:val="single" w:color="auto" w:sz="4" w:space="0"/>
            </w:tcBorders>
            <w:vAlign w:val="center"/>
          </w:tcPr>
          <w:p w14:paraId="6F325A6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500≤Y＜20000</w:t>
            </w:r>
          </w:p>
        </w:tc>
        <w:tc>
          <w:tcPr>
            <w:tcW w:w="1426" w:type="dxa"/>
            <w:tcBorders>
              <w:top w:val="nil"/>
              <w:left w:val="nil"/>
              <w:bottom w:val="single" w:color="auto" w:sz="4" w:space="0"/>
              <w:right w:val="single" w:color="auto" w:sz="4" w:space="0"/>
            </w:tcBorders>
            <w:vAlign w:val="center"/>
          </w:tcPr>
          <w:p w14:paraId="79C2F4CF">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50≤Y＜500</w:t>
            </w:r>
          </w:p>
        </w:tc>
        <w:tc>
          <w:tcPr>
            <w:tcW w:w="992" w:type="dxa"/>
            <w:tcBorders>
              <w:top w:val="nil"/>
              <w:left w:val="nil"/>
              <w:bottom w:val="single" w:color="auto" w:sz="4" w:space="0"/>
            </w:tcBorders>
            <w:vAlign w:val="center"/>
          </w:tcPr>
          <w:p w14:paraId="4736AFD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5D86796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0D540C37">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工业 *</w:t>
            </w:r>
          </w:p>
        </w:tc>
        <w:tc>
          <w:tcPr>
            <w:tcW w:w="1369" w:type="dxa"/>
            <w:tcBorders>
              <w:top w:val="nil"/>
              <w:left w:val="nil"/>
              <w:bottom w:val="nil"/>
              <w:right w:val="single" w:color="auto" w:sz="4" w:space="0"/>
            </w:tcBorders>
            <w:vAlign w:val="center"/>
          </w:tcPr>
          <w:p w14:paraId="6C655DF0">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07D1B6B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135BBED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nil"/>
              <w:left w:val="nil"/>
              <w:bottom w:val="nil"/>
              <w:right w:val="single" w:color="auto" w:sz="4" w:space="0"/>
            </w:tcBorders>
            <w:vAlign w:val="center"/>
          </w:tcPr>
          <w:p w14:paraId="41B4D33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nil"/>
              <w:left w:val="nil"/>
              <w:bottom w:val="nil"/>
              <w:right w:val="single" w:color="auto" w:sz="4" w:space="0"/>
            </w:tcBorders>
            <w:vAlign w:val="center"/>
          </w:tcPr>
          <w:p w14:paraId="5118872D">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20≤X＜300</w:t>
            </w:r>
          </w:p>
        </w:tc>
        <w:tc>
          <w:tcPr>
            <w:tcW w:w="992" w:type="dxa"/>
            <w:tcBorders>
              <w:top w:val="nil"/>
              <w:left w:val="nil"/>
              <w:bottom w:val="nil"/>
            </w:tcBorders>
            <w:vAlign w:val="center"/>
          </w:tcPr>
          <w:p w14:paraId="3506B62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67166B2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0AEBC3E7">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11C72ED7">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215CB13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7C0867C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tcBorders>
              <w:top w:val="nil"/>
              <w:left w:val="nil"/>
              <w:bottom w:val="single" w:color="auto" w:sz="4" w:space="0"/>
              <w:right w:val="single" w:color="auto" w:sz="4" w:space="0"/>
            </w:tcBorders>
            <w:vAlign w:val="center"/>
          </w:tcPr>
          <w:p w14:paraId="6981DF02">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2000≤Y＜40000</w:t>
            </w:r>
          </w:p>
        </w:tc>
        <w:tc>
          <w:tcPr>
            <w:tcW w:w="1426" w:type="dxa"/>
            <w:tcBorders>
              <w:top w:val="nil"/>
              <w:left w:val="nil"/>
              <w:bottom w:val="single" w:color="auto" w:sz="4" w:space="0"/>
              <w:right w:val="single" w:color="auto" w:sz="4" w:space="0"/>
            </w:tcBorders>
            <w:vAlign w:val="center"/>
          </w:tcPr>
          <w:p w14:paraId="3655460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300≤Y＜2000</w:t>
            </w:r>
          </w:p>
        </w:tc>
        <w:tc>
          <w:tcPr>
            <w:tcW w:w="992" w:type="dxa"/>
            <w:tcBorders>
              <w:top w:val="nil"/>
              <w:left w:val="nil"/>
              <w:bottom w:val="single" w:color="auto" w:sz="4" w:space="0"/>
            </w:tcBorders>
            <w:vAlign w:val="center"/>
          </w:tcPr>
          <w:p w14:paraId="006CC03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7F063A0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621A607C">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建筑业</w:t>
            </w:r>
          </w:p>
        </w:tc>
        <w:tc>
          <w:tcPr>
            <w:tcW w:w="1369" w:type="dxa"/>
            <w:tcBorders>
              <w:top w:val="nil"/>
              <w:left w:val="nil"/>
              <w:bottom w:val="nil"/>
              <w:right w:val="single" w:color="auto" w:sz="4" w:space="0"/>
            </w:tcBorders>
            <w:vAlign w:val="center"/>
          </w:tcPr>
          <w:p w14:paraId="28F450C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nil"/>
              <w:right w:val="single" w:color="auto" w:sz="4" w:space="0"/>
            </w:tcBorders>
            <w:vAlign w:val="center"/>
          </w:tcPr>
          <w:p w14:paraId="3FCB08E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nil"/>
              <w:right w:val="single" w:color="auto" w:sz="4" w:space="0"/>
            </w:tcBorders>
            <w:vAlign w:val="center"/>
          </w:tcPr>
          <w:p w14:paraId="6B216B5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Y≥80000</w:t>
            </w:r>
          </w:p>
        </w:tc>
        <w:tc>
          <w:tcPr>
            <w:tcW w:w="1701" w:type="dxa"/>
            <w:tcBorders>
              <w:top w:val="nil"/>
              <w:left w:val="nil"/>
              <w:bottom w:val="nil"/>
              <w:right w:val="single" w:color="auto" w:sz="4" w:space="0"/>
            </w:tcBorders>
            <w:vAlign w:val="center"/>
          </w:tcPr>
          <w:p w14:paraId="7C20F31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6000≤Y＜80000</w:t>
            </w:r>
          </w:p>
        </w:tc>
        <w:tc>
          <w:tcPr>
            <w:tcW w:w="1426" w:type="dxa"/>
            <w:tcBorders>
              <w:top w:val="nil"/>
              <w:left w:val="nil"/>
              <w:bottom w:val="nil"/>
              <w:right w:val="single" w:color="auto" w:sz="4" w:space="0"/>
            </w:tcBorders>
            <w:vAlign w:val="center"/>
          </w:tcPr>
          <w:p w14:paraId="171B135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300≤Y＜6000</w:t>
            </w:r>
          </w:p>
        </w:tc>
        <w:tc>
          <w:tcPr>
            <w:tcW w:w="992" w:type="dxa"/>
            <w:tcBorders>
              <w:top w:val="nil"/>
              <w:left w:val="nil"/>
              <w:bottom w:val="nil"/>
            </w:tcBorders>
            <w:vAlign w:val="center"/>
          </w:tcPr>
          <w:p w14:paraId="04C119C4">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w:t>
            </w:r>
          </w:p>
        </w:tc>
      </w:tr>
      <w:tr w14:paraId="2BE2155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2CED5033">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72A81C8">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tcBorders>
              <w:top w:val="nil"/>
              <w:left w:val="nil"/>
              <w:bottom w:val="single" w:color="auto" w:sz="4" w:space="0"/>
              <w:right w:val="single" w:color="auto" w:sz="4" w:space="0"/>
            </w:tcBorders>
            <w:vAlign w:val="center"/>
          </w:tcPr>
          <w:p w14:paraId="24C1938D">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31463D0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Z≥80000</w:t>
            </w:r>
          </w:p>
        </w:tc>
        <w:tc>
          <w:tcPr>
            <w:tcW w:w="1701" w:type="dxa"/>
            <w:tcBorders>
              <w:top w:val="nil"/>
              <w:left w:val="nil"/>
              <w:bottom w:val="single" w:color="auto" w:sz="4" w:space="0"/>
              <w:right w:val="single" w:color="auto" w:sz="4" w:space="0"/>
            </w:tcBorders>
            <w:vAlign w:val="center"/>
          </w:tcPr>
          <w:p w14:paraId="6EA0D15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5000≤Z＜80000</w:t>
            </w:r>
          </w:p>
        </w:tc>
        <w:tc>
          <w:tcPr>
            <w:tcW w:w="1426" w:type="dxa"/>
            <w:tcBorders>
              <w:top w:val="nil"/>
              <w:left w:val="nil"/>
              <w:bottom w:val="single" w:color="auto" w:sz="4" w:space="0"/>
              <w:right w:val="single" w:color="auto" w:sz="4" w:space="0"/>
            </w:tcBorders>
            <w:vAlign w:val="center"/>
          </w:tcPr>
          <w:p w14:paraId="2A8D057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300≤Z＜5000</w:t>
            </w:r>
          </w:p>
        </w:tc>
        <w:tc>
          <w:tcPr>
            <w:tcW w:w="992" w:type="dxa"/>
            <w:tcBorders>
              <w:top w:val="nil"/>
              <w:left w:val="nil"/>
              <w:bottom w:val="single" w:color="auto" w:sz="4" w:space="0"/>
            </w:tcBorders>
            <w:vAlign w:val="center"/>
          </w:tcPr>
          <w:p w14:paraId="7F16E1D1">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Z＜300</w:t>
            </w:r>
          </w:p>
        </w:tc>
      </w:tr>
      <w:tr w14:paraId="01B0FB4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1B59CC14">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批发业</w:t>
            </w:r>
          </w:p>
        </w:tc>
        <w:tc>
          <w:tcPr>
            <w:tcW w:w="1369" w:type="dxa"/>
            <w:tcBorders>
              <w:top w:val="nil"/>
              <w:left w:val="nil"/>
              <w:bottom w:val="nil"/>
              <w:right w:val="single" w:color="auto" w:sz="4" w:space="0"/>
            </w:tcBorders>
            <w:vAlign w:val="center"/>
          </w:tcPr>
          <w:p w14:paraId="5EF6DF7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3FE723DB">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215763A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tcBorders>
              <w:top w:val="nil"/>
              <w:left w:val="nil"/>
              <w:bottom w:val="nil"/>
              <w:right w:val="single" w:color="auto" w:sz="4" w:space="0"/>
            </w:tcBorders>
            <w:vAlign w:val="center"/>
          </w:tcPr>
          <w:p w14:paraId="3097928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20≤X＜200</w:t>
            </w:r>
          </w:p>
        </w:tc>
        <w:tc>
          <w:tcPr>
            <w:tcW w:w="1426" w:type="dxa"/>
            <w:tcBorders>
              <w:top w:val="nil"/>
              <w:left w:val="nil"/>
              <w:bottom w:val="nil"/>
              <w:right w:val="single" w:color="auto" w:sz="4" w:space="0"/>
            </w:tcBorders>
            <w:vAlign w:val="center"/>
          </w:tcPr>
          <w:p w14:paraId="41DD251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5≤X＜20</w:t>
            </w:r>
          </w:p>
        </w:tc>
        <w:tc>
          <w:tcPr>
            <w:tcW w:w="992" w:type="dxa"/>
            <w:tcBorders>
              <w:top w:val="nil"/>
              <w:left w:val="nil"/>
              <w:bottom w:val="nil"/>
            </w:tcBorders>
            <w:vAlign w:val="center"/>
          </w:tcPr>
          <w:p w14:paraId="5BE52B0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X＜5</w:t>
            </w:r>
          </w:p>
        </w:tc>
      </w:tr>
      <w:tr w14:paraId="6AE9224B">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7DA366D7">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00AD46D7">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12834C8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521C514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Y≥40000</w:t>
            </w:r>
          </w:p>
        </w:tc>
        <w:tc>
          <w:tcPr>
            <w:tcW w:w="1701" w:type="dxa"/>
            <w:tcBorders>
              <w:top w:val="nil"/>
              <w:left w:val="nil"/>
              <w:bottom w:val="single" w:color="auto" w:sz="4" w:space="0"/>
              <w:right w:val="single" w:color="auto" w:sz="4" w:space="0"/>
            </w:tcBorders>
            <w:vAlign w:val="center"/>
          </w:tcPr>
          <w:p w14:paraId="2367F664">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5000≤Y＜40000</w:t>
            </w:r>
          </w:p>
        </w:tc>
        <w:tc>
          <w:tcPr>
            <w:tcW w:w="1426" w:type="dxa"/>
            <w:tcBorders>
              <w:top w:val="nil"/>
              <w:left w:val="nil"/>
              <w:bottom w:val="single" w:color="auto" w:sz="4" w:space="0"/>
              <w:right w:val="single" w:color="auto" w:sz="4" w:space="0"/>
            </w:tcBorders>
            <w:vAlign w:val="center"/>
          </w:tcPr>
          <w:p w14:paraId="66641C6A">
            <w:pPr>
              <w:widowControl/>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1000≤Y＜5000</w:t>
            </w:r>
          </w:p>
        </w:tc>
        <w:tc>
          <w:tcPr>
            <w:tcW w:w="992" w:type="dxa"/>
            <w:tcBorders>
              <w:top w:val="nil"/>
              <w:left w:val="nil"/>
              <w:bottom w:val="single" w:color="auto" w:sz="4" w:space="0"/>
            </w:tcBorders>
            <w:vAlign w:val="center"/>
          </w:tcPr>
          <w:p w14:paraId="29A2F04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w:t>
            </w:r>
          </w:p>
        </w:tc>
      </w:tr>
      <w:tr w14:paraId="1F1D73A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0CD5882B">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零售业</w:t>
            </w:r>
          </w:p>
        </w:tc>
        <w:tc>
          <w:tcPr>
            <w:tcW w:w="1369" w:type="dxa"/>
            <w:tcBorders>
              <w:top w:val="nil"/>
              <w:left w:val="nil"/>
              <w:bottom w:val="nil"/>
              <w:right w:val="single" w:color="auto" w:sz="4" w:space="0"/>
            </w:tcBorders>
            <w:vAlign w:val="center"/>
          </w:tcPr>
          <w:p w14:paraId="76D582E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780BDB5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79EA898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35AAA954">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50≤X＜300</w:t>
            </w:r>
          </w:p>
        </w:tc>
        <w:tc>
          <w:tcPr>
            <w:tcW w:w="1426" w:type="dxa"/>
            <w:tcBorders>
              <w:top w:val="nil"/>
              <w:left w:val="nil"/>
              <w:bottom w:val="nil"/>
              <w:right w:val="single" w:color="auto" w:sz="4" w:space="0"/>
            </w:tcBorders>
            <w:vAlign w:val="center"/>
          </w:tcPr>
          <w:p w14:paraId="6F2ED8A6">
            <w:pPr>
              <w:widowControl/>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10≤X＜50 </w:t>
            </w:r>
          </w:p>
        </w:tc>
        <w:tc>
          <w:tcPr>
            <w:tcW w:w="992" w:type="dxa"/>
            <w:tcBorders>
              <w:top w:val="nil"/>
              <w:left w:val="nil"/>
              <w:bottom w:val="nil"/>
            </w:tcBorders>
            <w:vAlign w:val="center"/>
          </w:tcPr>
          <w:p w14:paraId="733A500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F02F30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47EB071E">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1E7CD2E2">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35B2D86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2925D3DF">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w:t>
            </w:r>
          </w:p>
        </w:tc>
        <w:tc>
          <w:tcPr>
            <w:tcW w:w="1701" w:type="dxa"/>
            <w:tcBorders>
              <w:top w:val="nil"/>
              <w:left w:val="nil"/>
              <w:bottom w:val="single" w:color="auto" w:sz="4" w:space="0"/>
              <w:right w:val="single" w:color="auto" w:sz="4" w:space="0"/>
            </w:tcBorders>
            <w:vAlign w:val="center"/>
          </w:tcPr>
          <w:p w14:paraId="2B3DD8A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500≤Y＜20000</w:t>
            </w:r>
          </w:p>
        </w:tc>
        <w:tc>
          <w:tcPr>
            <w:tcW w:w="1426" w:type="dxa"/>
            <w:tcBorders>
              <w:top w:val="nil"/>
              <w:left w:val="nil"/>
              <w:bottom w:val="single" w:color="auto" w:sz="4" w:space="0"/>
              <w:right w:val="single" w:color="auto" w:sz="4" w:space="0"/>
            </w:tcBorders>
            <w:vAlign w:val="center"/>
          </w:tcPr>
          <w:p w14:paraId="7EADFCF9">
            <w:pPr>
              <w:widowControl/>
              <w:ind w:left="-1" w:leftChars="-1" w:hanging="1"/>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100≤Y＜500 </w:t>
            </w:r>
          </w:p>
        </w:tc>
        <w:tc>
          <w:tcPr>
            <w:tcW w:w="992" w:type="dxa"/>
            <w:tcBorders>
              <w:top w:val="nil"/>
              <w:left w:val="nil"/>
              <w:bottom w:val="single" w:color="auto" w:sz="4" w:space="0"/>
            </w:tcBorders>
            <w:vAlign w:val="center"/>
          </w:tcPr>
          <w:p w14:paraId="73CEC90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8A0B95C">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0F321329">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交通运输业 *</w:t>
            </w:r>
          </w:p>
        </w:tc>
        <w:tc>
          <w:tcPr>
            <w:tcW w:w="1369" w:type="dxa"/>
            <w:tcBorders>
              <w:top w:val="nil"/>
              <w:left w:val="nil"/>
              <w:bottom w:val="nil"/>
              <w:right w:val="single" w:color="auto" w:sz="4" w:space="0"/>
            </w:tcBorders>
            <w:vAlign w:val="center"/>
          </w:tcPr>
          <w:p w14:paraId="0F15C78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5194C31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530D078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nil"/>
              <w:left w:val="nil"/>
              <w:bottom w:val="nil"/>
              <w:right w:val="single" w:color="auto" w:sz="4" w:space="0"/>
            </w:tcBorders>
            <w:vAlign w:val="center"/>
          </w:tcPr>
          <w:p w14:paraId="35E7568F">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nil"/>
              <w:left w:val="nil"/>
              <w:bottom w:val="nil"/>
              <w:right w:val="single" w:color="auto" w:sz="4" w:space="0"/>
            </w:tcBorders>
            <w:vAlign w:val="center"/>
          </w:tcPr>
          <w:p w14:paraId="06F0777B">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20≤X＜300</w:t>
            </w:r>
          </w:p>
        </w:tc>
        <w:tc>
          <w:tcPr>
            <w:tcW w:w="992" w:type="dxa"/>
            <w:tcBorders>
              <w:top w:val="nil"/>
              <w:left w:val="nil"/>
              <w:bottom w:val="nil"/>
            </w:tcBorders>
            <w:vAlign w:val="center"/>
          </w:tcPr>
          <w:p w14:paraId="522460C1">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092FEA6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28F3D1D2">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CC51F23">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21483DE2">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6B7ADB7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tcBorders>
              <w:top w:val="nil"/>
              <w:left w:val="nil"/>
              <w:bottom w:val="single" w:color="auto" w:sz="4" w:space="0"/>
              <w:right w:val="single" w:color="auto" w:sz="4" w:space="0"/>
            </w:tcBorders>
            <w:vAlign w:val="center"/>
          </w:tcPr>
          <w:p w14:paraId="634278A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3000≤Y＜30000</w:t>
            </w:r>
          </w:p>
        </w:tc>
        <w:tc>
          <w:tcPr>
            <w:tcW w:w="1426" w:type="dxa"/>
            <w:tcBorders>
              <w:top w:val="nil"/>
              <w:left w:val="nil"/>
              <w:bottom w:val="single" w:color="auto" w:sz="4" w:space="0"/>
              <w:right w:val="single" w:color="auto" w:sz="4" w:space="0"/>
            </w:tcBorders>
            <w:vAlign w:val="center"/>
          </w:tcPr>
          <w:p w14:paraId="081BE52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200≤Y＜3000</w:t>
            </w:r>
          </w:p>
        </w:tc>
        <w:tc>
          <w:tcPr>
            <w:tcW w:w="992" w:type="dxa"/>
            <w:tcBorders>
              <w:top w:val="nil"/>
              <w:left w:val="nil"/>
              <w:bottom w:val="single" w:color="auto" w:sz="4" w:space="0"/>
            </w:tcBorders>
            <w:vAlign w:val="center"/>
          </w:tcPr>
          <w:p w14:paraId="3132E961">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w:t>
            </w:r>
          </w:p>
        </w:tc>
      </w:tr>
      <w:tr w14:paraId="4751411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0E406C27">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仓储业*</w:t>
            </w:r>
          </w:p>
        </w:tc>
        <w:tc>
          <w:tcPr>
            <w:tcW w:w="1369" w:type="dxa"/>
            <w:tcBorders>
              <w:top w:val="nil"/>
              <w:left w:val="nil"/>
              <w:bottom w:val="nil"/>
              <w:right w:val="single" w:color="auto" w:sz="4" w:space="0"/>
            </w:tcBorders>
            <w:vAlign w:val="center"/>
          </w:tcPr>
          <w:p w14:paraId="5881DBE0">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08DCF3B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1F7DCCE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w:t>
            </w:r>
          </w:p>
        </w:tc>
        <w:tc>
          <w:tcPr>
            <w:tcW w:w="1701" w:type="dxa"/>
            <w:tcBorders>
              <w:top w:val="nil"/>
              <w:left w:val="nil"/>
              <w:bottom w:val="nil"/>
              <w:right w:val="single" w:color="auto" w:sz="4" w:space="0"/>
            </w:tcBorders>
            <w:vAlign w:val="center"/>
          </w:tcPr>
          <w:p w14:paraId="382AA092">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w:t>
            </w:r>
          </w:p>
        </w:tc>
        <w:tc>
          <w:tcPr>
            <w:tcW w:w="1426" w:type="dxa"/>
            <w:tcBorders>
              <w:top w:val="nil"/>
              <w:left w:val="nil"/>
              <w:bottom w:val="nil"/>
              <w:right w:val="single" w:color="auto" w:sz="4" w:space="0"/>
            </w:tcBorders>
            <w:vAlign w:val="center"/>
          </w:tcPr>
          <w:p w14:paraId="565ED50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20≤X＜100</w:t>
            </w:r>
          </w:p>
        </w:tc>
        <w:tc>
          <w:tcPr>
            <w:tcW w:w="992" w:type="dxa"/>
            <w:tcBorders>
              <w:top w:val="nil"/>
              <w:left w:val="nil"/>
              <w:bottom w:val="nil"/>
            </w:tcBorders>
            <w:vAlign w:val="center"/>
          </w:tcPr>
          <w:p w14:paraId="0F1F8580">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2E4185A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1339DA2F">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D73E89C">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52AF709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2F7FAC2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tcBorders>
              <w:top w:val="nil"/>
              <w:left w:val="nil"/>
              <w:bottom w:val="single" w:color="auto" w:sz="4" w:space="0"/>
              <w:right w:val="single" w:color="auto" w:sz="4" w:space="0"/>
            </w:tcBorders>
            <w:vAlign w:val="center"/>
          </w:tcPr>
          <w:p w14:paraId="4FFCE0D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1000≤Y＜30000</w:t>
            </w:r>
          </w:p>
        </w:tc>
        <w:tc>
          <w:tcPr>
            <w:tcW w:w="1426" w:type="dxa"/>
            <w:tcBorders>
              <w:top w:val="nil"/>
              <w:left w:val="nil"/>
              <w:bottom w:val="single" w:color="auto" w:sz="4" w:space="0"/>
              <w:right w:val="single" w:color="auto" w:sz="4" w:space="0"/>
            </w:tcBorders>
            <w:vAlign w:val="center"/>
          </w:tcPr>
          <w:p w14:paraId="334B3FB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100≤Y＜1000</w:t>
            </w:r>
          </w:p>
        </w:tc>
        <w:tc>
          <w:tcPr>
            <w:tcW w:w="992" w:type="dxa"/>
            <w:tcBorders>
              <w:top w:val="nil"/>
              <w:left w:val="nil"/>
              <w:bottom w:val="single" w:color="auto" w:sz="4" w:space="0"/>
            </w:tcBorders>
            <w:vAlign w:val="center"/>
          </w:tcPr>
          <w:p w14:paraId="68D77F74">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5F84DE48">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22B0D220">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邮政业</w:t>
            </w:r>
          </w:p>
        </w:tc>
        <w:tc>
          <w:tcPr>
            <w:tcW w:w="1369" w:type="dxa"/>
            <w:tcBorders>
              <w:top w:val="nil"/>
              <w:left w:val="nil"/>
              <w:bottom w:val="nil"/>
              <w:right w:val="single" w:color="auto" w:sz="4" w:space="0"/>
            </w:tcBorders>
            <w:vAlign w:val="center"/>
          </w:tcPr>
          <w:p w14:paraId="7479DE8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025AD722">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71FBF104">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nil"/>
              <w:left w:val="nil"/>
              <w:bottom w:val="nil"/>
              <w:right w:val="single" w:color="auto" w:sz="4" w:space="0"/>
            </w:tcBorders>
            <w:vAlign w:val="center"/>
          </w:tcPr>
          <w:p w14:paraId="695A131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nil"/>
              <w:left w:val="nil"/>
              <w:bottom w:val="nil"/>
              <w:right w:val="single" w:color="auto" w:sz="4" w:space="0"/>
            </w:tcBorders>
            <w:vAlign w:val="center"/>
          </w:tcPr>
          <w:p w14:paraId="3F9BA58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20≤X＜300</w:t>
            </w:r>
          </w:p>
        </w:tc>
        <w:tc>
          <w:tcPr>
            <w:tcW w:w="992" w:type="dxa"/>
            <w:tcBorders>
              <w:top w:val="nil"/>
              <w:left w:val="nil"/>
              <w:bottom w:val="nil"/>
            </w:tcBorders>
            <w:vAlign w:val="center"/>
          </w:tcPr>
          <w:p w14:paraId="512A517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w:t>
            </w:r>
          </w:p>
        </w:tc>
      </w:tr>
      <w:tr w14:paraId="14A85B4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07506101">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31A6059B">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4931E58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1A3F13D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Y≥30000</w:t>
            </w:r>
          </w:p>
        </w:tc>
        <w:tc>
          <w:tcPr>
            <w:tcW w:w="1701" w:type="dxa"/>
            <w:tcBorders>
              <w:top w:val="nil"/>
              <w:left w:val="nil"/>
              <w:bottom w:val="single" w:color="auto" w:sz="4" w:space="0"/>
              <w:right w:val="single" w:color="auto" w:sz="4" w:space="0"/>
            </w:tcBorders>
            <w:vAlign w:val="center"/>
          </w:tcPr>
          <w:p w14:paraId="00E8972B">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2000≤Y＜30000</w:t>
            </w:r>
          </w:p>
        </w:tc>
        <w:tc>
          <w:tcPr>
            <w:tcW w:w="1426" w:type="dxa"/>
            <w:tcBorders>
              <w:top w:val="nil"/>
              <w:left w:val="nil"/>
              <w:bottom w:val="single" w:color="auto" w:sz="4" w:space="0"/>
              <w:right w:val="single" w:color="auto" w:sz="4" w:space="0"/>
            </w:tcBorders>
            <w:vAlign w:val="center"/>
          </w:tcPr>
          <w:p w14:paraId="75FBF65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100≤Y＜2000</w:t>
            </w:r>
          </w:p>
        </w:tc>
        <w:tc>
          <w:tcPr>
            <w:tcW w:w="992" w:type="dxa"/>
            <w:tcBorders>
              <w:top w:val="nil"/>
              <w:left w:val="nil"/>
              <w:bottom w:val="single" w:color="auto" w:sz="4" w:space="0"/>
            </w:tcBorders>
            <w:vAlign w:val="center"/>
          </w:tcPr>
          <w:p w14:paraId="5E26E191">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22BE1A4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19C1B5D1">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住宿业</w:t>
            </w:r>
          </w:p>
        </w:tc>
        <w:tc>
          <w:tcPr>
            <w:tcW w:w="1369" w:type="dxa"/>
            <w:tcBorders>
              <w:top w:val="nil"/>
              <w:left w:val="nil"/>
              <w:bottom w:val="nil"/>
              <w:right w:val="single" w:color="auto" w:sz="4" w:space="0"/>
            </w:tcBorders>
            <w:vAlign w:val="center"/>
          </w:tcPr>
          <w:p w14:paraId="3768C74D">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49B2AD8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66B8556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48B2560B">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bottom w:val="nil"/>
              <w:right w:val="single" w:color="auto" w:sz="4" w:space="0"/>
            </w:tcBorders>
            <w:vAlign w:val="center"/>
          </w:tcPr>
          <w:p w14:paraId="7C9BD23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tcBorders>
            <w:vAlign w:val="center"/>
          </w:tcPr>
          <w:p w14:paraId="00DC693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7DDFACD5">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720417AC">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20D1810">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6B60CF5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7BFF18E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tcBorders>
              <w:top w:val="nil"/>
              <w:left w:val="nil"/>
              <w:bottom w:val="single" w:color="auto" w:sz="4" w:space="0"/>
              <w:right w:val="single" w:color="auto" w:sz="4" w:space="0"/>
            </w:tcBorders>
            <w:vAlign w:val="center"/>
          </w:tcPr>
          <w:p w14:paraId="046BC0D2">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tcBorders>
              <w:top w:val="nil"/>
              <w:left w:val="nil"/>
              <w:bottom w:val="single" w:color="auto" w:sz="4" w:space="0"/>
              <w:right w:val="single" w:color="auto" w:sz="4" w:space="0"/>
            </w:tcBorders>
            <w:vAlign w:val="center"/>
          </w:tcPr>
          <w:p w14:paraId="34D0FCD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100≤Y＜2000</w:t>
            </w:r>
          </w:p>
        </w:tc>
        <w:tc>
          <w:tcPr>
            <w:tcW w:w="992" w:type="dxa"/>
            <w:tcBorders>
              <w:top w:val="nil"/>
              <w:left w:val="nil"/>
              <w:bottom w:val="single" w:color="auto" w:sz="4" w:space="0"/>
            </w:tcBorders>
            <w:vAlign w:val="center"/>
          </w:tcPr>
          <w:p w14:paraId="5080F26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657BFE5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08F664AA">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餐饮业</w:t>
            </w:r>
          </w:p>
        </w:tc>
        <w:tc>
          <w:tcPr>
            <w:tcW w:w="1369" w:type="dxa"/>
            <w:tcBorders>
              <w:top w:val="nil"/>
              <w:left w:val="nil"/>
              <w:bottom w:val="nil"/>
              <w:right w:val="single" w:color="auto" w:sz="4" w:space="0"/>
            </w:tcBorders>
            <w:vAlign w:val="center"/>
          </w:tcPr>
          <w:p w14:paraId="6F8075D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2E35C021">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5F1871C0">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47D0C2B1">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bottom w:val="nil"/>
              <w:right w:val="single" w:color="auto" w:sz="4" w:space="0"/>
            </w:tcBorders>
            <w:vAlign w:val="center"/>
          </w:tcPr>
          <w:p w14:paraId="2EC9E861">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tcBorders>
            <w:vAlign w:val="center"/>
          </w:tcPr>
          <w:p w14:paraId="12E4902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00F9FEC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60DA24D4">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BC3BA33">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0ECB008F">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1CE1331C">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tcBorders>
              <w:top w:val="nil"/>
              <w:left w:val="nil"/>
              <w:bottom w:val="single" w:color="auto" w:sz="4" w:space="0"/>
              <w:right w:val="single" w:color="auto" w:sz="4" w:space="0"/>
            </w:tcBorders>
            <w:vAlign w:val="center"/>
          </w:tcPr>
          <w:p w14:paraId="067285C1">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2000≤Y＜10000</w:t>
            </w:r>
          </w:p>
        </w:tc>
        <w:tc>
          <w:tcPr>
            <w:tcW w:w="1426" w:type="dxa"/>
            <w:tcBorders>
              <w:top w:val="nil"/>
              <w:left w:val="nil"/>
              <w:bottom w:val="single" w:color="auto" w:sz="4" w:space="0"/>
              <w:right w:val="single" w:color="auto" w:sz="4" w:space="0"/>
            </w:tcBorders>
            <w:vAlign w:val="center"/>
          </w:tcPr>
          <w:p w14:paraId="7281E2A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100≤Y＜2000</w:t>
            </w:r>
          </w:p>
        </w:tc>
        <w:tc>
          <w:tcPr>
            <w:tcW w:w="992" w:type="dxa"/>
            <w:tcBorders>
              <w:top w:val="nil"/>
              <w:left w:val="nil"/>
              <w:bottom w:val="single" w:color="auto" w:sz="4" w:space="0"/>
            </w:tcBorders>
            <w:vAlign w:val="center"/>
          </w:tcPr>
          <w:p w14:paraId="7BE0FA94">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70AE95C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restart"/>
            <w:tcBorders>
              <w:top w:val="nil"/>
              <w:bottom w:val="single" w:color="auto" w:sz="4" w:space="0"/>
              <w:right w:val="single" w:color="auto" w:sz="4" w:space="0"/>
            </w:tcBorders>
            <w:vAlign w:val="center"/>
          </w:tcPr>
          <w:p w14:paraId="11AFA0EA">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信息传输业 *</w:t>
            </w:r>
          </w:p>
        </w:tc>
        <w:tc>
          <w:tcPr>
            <w:tcW w:w="1369" w:type="dxa"/>
            <w:tcBorders>
              <w:top w:val="nil"/>
              <w:left w:val="nil"/>
              <w:bottom w:val="nil"/>
              <w:right w:val="single" w:color="auto" w:sz="4" w:space="0"/>
            </w:tcBorders>
            <w:vAlign w:val="center"/>
          </w:tcPr>
          <w:p w14:paraId="19BCE03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7DF26D9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5863269D">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X≥2000</w:t>
            </w:r>
          </w:p>
        </w:tc>
        <w:tc>
          <w:tcPr>
            <w:tcW w:w="1701" w:type="dxa"/>
            <w:tcBorders>
              <w:top w:val="nil"/>
              <w:left w:val="nil"/>
              <w:bottom w:val="nil"/>
              <w:right w:val="single" w:color="auto" w:sz="4" w:space="0"/>
            </w:tcBorders>
            <w:vAlign w:val="center"/>
          </w:tcPr>
          <w:p w14:paraId="6ECD34B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100≤X＜2000</w:t>
            </w:r>
          </w:p>
        </w:tc>
        <w:tc>
          <w:tcPr>
            <w:tcW w:w="1426" w:type="dxa"/>
            <w:tcBorders>
              <w:top w:val="nil"/>
              <w:left w:val="nil"/>
              <w:bottom w:val="nil"/>
              <w:right w:val="single" w:color="auto" w:sz="4" w:space="0"/>
            </w:tcBorders>
            <w:vAlign w:val="center"/>
          </w:tcPr>
          <w:p w14:paraId="516C4EF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tcBorders>
            <w:vAlign w:val="center"/>
          </w:tcPr>
          <w:p w14:paraId="431DFE3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580D5AE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vMerge w:val="continue"/>
            <w:tcBorders>
              <w:top w:val="nil"/>
              <w:bottom w:val="single" w:color="auto" w:sz="4" w:space="0"/>
              <w:right w:val="single" w:color="auto" w:sz="4" w:space="0"/>
            </w:tcBorders>
            <w:vAlign w:val="center"/>
          </w:tcPr>
          <w:p w14:paraId="74B5525A">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6B253D28">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0EA8081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5F4C1F9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Y≥100000</w:t>
            </w:r>
          </w:p>
        </w:tc>
        <w:tc>
          <w:tcPr>
            <w:tcW w:w="1701" w:type="dxa"/>
            <w:tcBorders>
              <w:top w:val="nil"/>
              <w:left w:val="nil"/>
              <w:bottom w:val="single" w:color="auto" w:sz="4" w:space="0"/>
              <w:right w:val="single" w:color="auto" w:sz="4" w:space="0"/>
            </w:tcBorders>
            <w:vAlign w:val="center"/>
          </w:tcPr>
          <w:p w14:paraId="0665DD7F">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1000≤Y＜100000</w:t>
            </w:r>
          </w:p>
        </w:tc>
        <w:tc>
          <w:tcPr>
            <w:tcW w:w="1426" w:type="dxa"/>
            <w:tcBorders>
              <w:top w:val="nil"/>
              <w:left w:val="nil"/>
              <w:bottom w:val="single" w:color="auto" w:sz="4" w:space="0"/>
              <w:right w:val="single" w:color="auto" w:sz="4" w:space="0"/>
            </w:tcBorders>
            <w:vAlign w:val="center"/>
          </w:tcPr>
          <w:p w14:paraId="0CEF169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100≤Y＜1000</w:t>
            </w:r>
          </w:p>
        </w:tc>
        <w:tc>
          <w:tcPr>
            <w:tcW w:w="992" w:type="dxa"/>
            <w:tcBorders>
              <w:top w:val="nil"/>
              <w:left w:val="nil"/>
              <w:bottom w:val="single" w:color="auto" w:sz="4" w:space="0"/>
            </w:tcBorders>
            <w:vAlign w:val="center"/>
          </w:tcPr>
          <w:p w14:paraId="4B42ADAB">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46B879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40" w:hRule="exact"/>
          <w:jc w:val="center"/>
        </w:trPr>
        <w:tc>
          <w:tcPr>
            <w:tcW w:w="2113" w:type="dxa"/>
            <w:vMerge w:val="restart"/>
            <w:tcBorders>
              <w:top w:val="single" w:color="auto" w:sz="4" w:space="0"/>
              <w:bottom w:val="single" w:color="auto" w:sz="4" w:space="0"/>
              <w:right w:val="single" w:color="auto" w:sz="4" w:space="0"/>
            </w:tcBorders>
            <w:vAlign w:val="center"/>
          </w:tcPr>
          <w:p w14:paraId="13652B55">
            <w:pPr>
              <w:widowControl/>
              <w:spacing w:line="240" w:lineRule="exact"/>
              <w:jc w:val="left"/>
              <w:rPr>
                <w:rFonts w:hint="eastAsia" w:ascii="宋体" w:hAnsi="宋体" w:cs="宋体"/>
                <w:color w:val="auto"/>
                <w:spacing w:val="-12"/>
                <w:kern w:val="0"/>
                <w:sz w:val="18"/>
                <w:szCs w:val="18"/>
                <w:highlight w:val="none"/>
              </w:rPr>
            </w:pPr>
            <w:r>
              <w:rPr>
                <w:rFonts w:hint="eastAsia" w:ascii="宋体" w:hAnsi="宋体" w:cs="宋体"/>
                <w:color w:val="auto"/>
                <w:spacing w:val="-12"/>
                <w:kern w:val="0"/>
                <w:sz w:val="18"/>
                <w:szCs w:val="18"/>
                <w:highlight w:val="none"/>
              </w:rPr>
              <w:t>软件和信息技术服</w:t>
            </w:r>
            <w:r>
              <w:rPr>
                <w:rFonts w:hint="eastAsia" w:ascii="宋体" w:hAnsi="宋体" w:cs="宋体"/>
                <w:color w:val="auto"/>
                <w:kern w:val="0"/>
                <w:sz w:val="18"/>
                <w:szCs w:val="18"/>
                <w:highlight w:val="none"/>
              </w:rPr>
              <w:t>务业</w:t>
            </w:r>
          </w:p>
        </w:tc>
        <w:tc>
          <w:tcPr>
            <w:tcW w:w="1369" w:type="dxa"/>
            <w:tcBorders>
              <w:top w:val="nil"/>
              <w:left w:val="nil"/>
              <w:bottom w:val="nil"/>
              <w:right w:val="single" w:color="auto" w:sz="4" w:space="0"/>
            </w:tcBorders>
            <w:vAlign w:val="center"/>
          </w:tcPr>
          <w:p w14:paraId="2B3C266F">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3D9B3FE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07EF30A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7E2A1ED3">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bottom w:val="nil"/>
              <w:right w:val="single" w:color="auto" w:sz="4" w:space="0"/>
            </w:tcBorders>
            <w:vAlign w:val="center"/>
          </w:tcPr>
          <w:p w14:paraId="30ED92A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tcBorders>
            <w:vAlign w:val="center"/>
          </w:tcPr>
          <w:p w14:paraId="251F7F8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99746A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40" w:hRule="exact"/>
          <w:jc w:val="center"/>
        </w:trPr>
        <w:tc>
          <w:tcPr>
            <w:tcW w:w="2113" w:type="dxa"/>
            <w:vMerge w:val="continue"/>
            <w:tcBorders>
              <w:top w:val="single" w:color="auto" w:sz="4" w:space="0"/>
              <w:bottom w:val="single" w:color="auto" w:sz="4" w:space="0"/>
              <w:right w:val="single" w:color="auto" w:sz="4" w:space="0"/>
            </w:tcBorders>
            <w:vAlign w:val="center"/>
          </w:tcPr>
          <w:p w14:paraId="6C3CFB13">
            <w:pPr>
              <w:widowControl/>
              <w:jc w:val="left"/>
              <w:rPr>
                <w:rFonts w:hint="eastAsia" w:ascii="宋体" w:hAnsi="宋体" w:cs="宋体"/>
                <w:color w:val="auto"/>
                <w:spacing w:val="-12"/>
                <w:kern w:val="0"/>
                <w:sz w:val="18"/>
                <w:szCs w:val="18"/>
                <w:highlight w:val="none"/>
              </w:rPr>
            </w:pPr>
          </w:p>
        </w:tc>
        <w:tc>
          <w:tcPr>
            <w:tcW w:w="1369" w:type="dxa"/>
            <w:tcBorders>
              <w:top w:val="nil"/>
              <w:left w:val="nil"/>
              <w:bottom w:val="single" w:color="auto" w:sz="4" w:space="0"/>
              <w:right w:val="single" w:color="auto" w:sz="4" w:space="0"/>
            </w:tcBorders>
            <w:vAlign w:val="center"/>
          </w:tcPr>
          <w:p w14:paraId="7A78FE9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0ECBB5E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380E510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Y≥10000</w:t>
            </w:r>
          </w:p>
        </w:tc>
        <w:tc>
          <w:tcPr>
            <w:tcW w:w="1701" w:type="dxa"/>
            <w:tcBorders>
              <w:top w:val="nil"/>
              <w:left w:val="nil"/>
              <w:bottom w:val="single" w:color="auto" w:sz="4" w:space="0"/>
              <w:right w:val="single" w:color="auto" w:sz="4" w:space="0"/>
            </w:tcBorders>
            <w:vAlign w:val="center"/>
          </w:tcPr>
          <w:p w14:paraId="18479240">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1000≤Y＜10000</w:t>
            </w:r>
          </w:p>
        </w:tc>
        <w:tc>
          <w:tcPr>
            <w:tcW w:w="1426" w:type="dxa"/>
            <w:tcBorders>
              <w:top w:val="nil"/>
              <w:left w:val="nil"/>
              <w:bottom w:val="single" w:color="auto" w:sz="4" w:space="0"/>
              <w:right w:val="single" w:color="auto" w:sz="4" w:space="0"/>
            </w:tcBorders>
            <w:vAlign w:val="center"/>
          </w:tcPr>
          <w:p w14:paraId="0CC25BC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50≤Y＜1000</w:t>
            </w:r>
          </w:p>
        </w:tc>
        <w:tc>
          <w:tcPr>
            <w:tcW w:w="992" w:type="dxa"/>
            <w:tcBorders>
              <w:top w:val="nil"/>
              <w:left w:val="nil"/>
              <w:bottom w:val="single" w:color="auto" w:sz="4" w:space="0"/>
            </w:tcBorders>
            <w:vAlign w:val="center"/>
          </w:tcPr>
          <w:p w14:paraId="1747691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w:t>
            </w:r>
          </w:p>
        </w:tc>
      </w:tr>
      <w:tr w14:paraId="380F47B4">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40" w:hRule="exact"/>
          <w:jc w:val="center"/>
        </w:trPr>
        <w:tc>
          <w:tcPr>
            <w:tcW w:w="2113" w:type="dxa"/>
            <w:vMerge w:val="restart"/>
            <w:tcBorders>
              <w:top w:val="nil"/>
              <w:bottom w:val="single" w:color="auto" w:sz="4" w:space="0"/>
              <w:right w:val="single" w:color="auto" w:sz="4" w:space="0"/>
            </w:tcBorders>
            <w:vAlign w:val="center"/>
          </w:tcPr>
          <w:p w14:paraId="2B7DA64B">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房地产开发经营</w:t>
            </w:r>
          </w:p>
        </w:tc>
        <w:tc>
          <w:tcPr>
            <w:tcW w:w="1369" w:type="dxa"/>
            <w:tcBorders>
              <w:top w:val="nil"/>
              <w:left w:val="nil"/>
              <w:bottom w:val="nil"/>
              <w:right w:val="single" w:color="auto" w:sz="4" w:space="0"/>
            </w:tcBorders>
            <w:vAlign w:val="center"/>
          </w:tcPr>
          <w:p w14:paraId="0E61653D">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nil"/>
              <w:right w:val="single" w:color="auto" w:sz="4" w:space="0"/>
            </w:tcBorders>
            <w:vAlign w:val="center"/>
          </w:tcPr>
          <w:p w14:paraId="49758E6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nil"/>
              <w:right w:val="single" w:color="auto" w:sz="4" w:space="0"/>
            </w:tcBorders>
            <w:vAlign w:val="center"/>
          </w:tcPr>
          <w:p w14:paraId="3DE4FCE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Y≥200000</w:t>
            </w:r>
          </w:p>
        </w:tc>
        <w:tc>
          <w:tcPr>
            <w:tcW w:w="1701" w:type="dxa"/>
            <w:tcBorders>
              <w:top w:val="nil"/>
              <w:left w:val="nil"/>
              <w:bottom w:val="nil"/>
              <w:right w:val="single" w:color="auto" w:sz="4" w:space="0"/>
            </w:tcBorders>
            <w:vAlign w:val="center"/>
          </w:tcPr>
          <w:p w14:paraId="14C80570">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1000≤Y＜200000</w:t>
            </w:r>
          </w:p>
        </w:tc>
        <w:tc>
          <w:tcPr>
            <w:tcW w:w="1426" w:type="dxa"/>
            <w:tcBorders>
              <w:top w:val="nil"/>
              <w:left w:val="nil"/>
              <w:bottom w:val="nil"/>
              <w:right w:val="single" w:color="auto" w:sz="4" w:space="0"/>
            </w:tcBorders>
            <w:vAlign w:val="center"/>
          </w:tcPr>
          <w:p w14:paraId="58855E6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100≤Y＜1000</w:t>
            </w:r>
          </w:p>
        </w:tc>
        <w:tc>
          <w:tcPr>
            <w:tcW w:w="992" w:type="dxa"/>
            <w:tcBorders>
              <w:top w:val="nil"/>
              <w:left w:val="nil"/>
              <w:bottom w:val="nil"/>
            </w:tcBorders>
            <w:vAlign w:val="center"/>
          </w:tcPr>
          <w:p w14:paraId="0F833830">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Y＜100</w:t>
            </w:r>
          </w:p>
        </w:tc>
      </w:tr>
      <w:tr w14:paraId="42A3A659">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40" w:hRule="exact"/>
          <w:jc w:val="center"/>
        </w:trPr>
        <w:tc>
          <w:tcPr>
            <w:tcW w:w="2113" w:type="dxa"/>
            <w:vMerge w:val="continue"/>
            <w:tcBorders>
              <w:top w:val="nil"/>
              <w:bottom w:val="single" w:color="auto" w:sz="4" w:space="0"/>
              <w:right w:val="single" w:color="auto" w:sz="4" w:space="0"/>
            </w:tcBorders>
            <w:vAlign w:val="center"/>
          </w:tcPr>
          <w:p w14:paraId="3D3E9C0F">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25F5B2DC">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tcBorders>
              <w:top w:val="nil"/>
              <w:left w:val="nil"/>
              <w:bottom w:val="single" w:color="auto" w:sz="4" w:space="0"/>
              <w:right w:val="single" w:color="auto" w:sz="4" w:space="0"/>
            </w:tcBorders>
            <w:vAlign w:val="center"/>
          </w:tcPr>
          <w:p w14:paraId="5DDB595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430054DF">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Z≥10000</w:t>
            </w:r>
          </w:p>
        </w:tc>
        <w:tc>
          <w:tcPr>
            <w:tcW w:w="1701" w:type="dxa"/>
            <w:tcBorders>
              <w:top w:val="nil"/>
              <w:left w:val="nil"/>
              <w:bottom w:val="single" w:color="auto" w:sz="4" w:space="0"/>
              <w:right w:val="single" w:color="auto" w:sz="4" w:space="0"/>
            </w:tcBorders>
            <w:vAlign w:val="center"/>
          </w:tcPr>
          <w:p w14:paraId="7EC4D42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5000≤Z＜10000</w:t>
            </w:r>
          </w:p>
        </w:tc>
        <w:tc>
          <w:tcPr>
            <w:tcW w:w="1426" w:type="dxa"/>
            <w:tcBorders>
              <w:top w:val="nil"/>
              <w:left w:val="nil"/>
              <w:bottom w:val="single" w:color="auto" w:sz="4" w:space="0"/>
              <w:right w:val="single" w:color="auto" w:sz="4" w:space="0"/>
            </w:tcBorders>
            <w:vAlign w:val="center"/>
          </w:tcPr>
          <w:p w14:paraId="600C315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2000≤Z＜5000   </w:t>
            </w:r>
          </w:p>
        </w:tc>
        <w:tc>
          <w:tcPr>
            <w:tcW w:w="992" w:type="dxa"/>
            <w:tcBorders>
              <w:top w:val="nil"/>
              <w:left w:val="nil"/>
              <w:bottom w:val="single" w:color="auto" w:sz="4" w:space="0"/>
            </w:tcBorders>
            <w:vAlign w:val="center"/>
          </w:tcPr>
          <w:p w14:paraId="4ECDA79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Z＜2000</w:t>
            </w:r>
          </w:p>
        </w:tc>
      </w:tr>
      <w:tr w14:paraId="0E66EC3F">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40" w:hRule="exact"/>
          <w:jc w:val="center"/>
        </w:trPr>
        <w:tc>
          <w:tcPr>
            <w:tcW w:w="2113" w:type="dxa"/>
            <w:vMerge w:val="restart"/>
            <w:tcBorders>
              <w:top w:val="nil"/>
              <w:bottom w:val="single" w:color="auto" w:sz="4" w:space="0"/>
              <w:right w:val="single" w:color="auto" w:sz="4" w:space="0"/>
            </w:tcBorders>
            <w:vAlign w:val="center"/>
          </w:tcPr>
          <w:p w14:paraId="1B317149">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物业管理</w:t>
            </w:r>
          </w:p>
        </w:tc>
        <w:tc>
          <w:tcPr>
            <w:tcW w:w="1369" w:type="dxa"/>
            <w:tcBorders>
              <w:top w:val="nil"/>
              <w:left w:val="nil"/>
              <w:bottom w:val="nil"/>
              <w:right w:val="single" w:color="auto" w:sz="4" w:space="0"/>
            </w:tcBorders>
            <w:vAlign w:val="center"/>
          </w:tcPr>
          <w:p w14:paraId="52D3C5E6">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215BF43B">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5FB52F9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X≥1000</w:t>
            </w:r>
          </w:p>
        </w:tc>
        <w:tc>
          <w:tcPr>
            <w:tcW w:w="1701" w:type="dxa"/>
            <w:tcBorders>
              <w:top w:val="nil"/>
              <w:left w:val="nil"/>
              <w:bottom w:val="nil"/>
              <w:right w:val="single" w:color="auto" w:sz="4" w:space="0"/>
            </w:tcBorders>
            <w:vAlign w:val="center"/>
          </w:tcPr>
          <w:p w14:paraId="44EF512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300≤X＜1000</w:t>
            </w:r>
          </w:p>
        </w:tc>
        <w:tc>
          <w:tcPr>
            <w:tcW w:w="1426" w:type="dxa"/>
            <w:tcBorders>
              <w:top w:val="nil"/>
              <w:left w:val="nil"/>
              <w:bottom w:val="nil"/>
              <w:right w:val="single" w:color="auto" w:sz="4" w:space="0"/>
            </w:tcBorders>
            <w:vAlign w:val="center"/>
          </w:tcPr>
          <w:p w14:paraId="2C091FD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992" w:type="dxa"/>
            <w:tcBorders>
              <w:top w:val="nil"/>
              <w:left w:val="nil"/>
              <w:bottom w:val="nil"/>
            </w:tcBorders>
            <w:vAlign w:val="center"/>
          </w:tcPr>
          <w:p w14:paraId="7516FFF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X＜100</w:t>
            </w:r>
          </w:p>
        </w:tc>
      </w:tr>
      <w:tr w14:paraId="1B34BBBA">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40" w:hRule="exact"/>
          <w:jc w:val="center"/>
        </w:trPr>
        <w:tc>
          <w:tcPr>
            <w:tcW w:w="2113" w:type="dxa"/>
            <w:vMerge w:val="continue"/>
            <w:tcBorders>
              <w:top w:val="nil"/>
              <w:bottom w:val="single" w:color="auto" w:sz="4" w:space="0"/>
              <w:right w:val="single" w:color="auto" w:sz="4" w:space="0"/>
            </w:tcBorders>
            <w:vAlign w:val="center"/>
          </w:tcPr>
          <w:p w14:paraId="1D81D8DF">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1969AE64">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营业收入(Y)</w:t>
            </w:r>
          </w:p>
        </w:tc>
        <w:tc>
          <w:tcPr>
            <w:tcW w:w="709" w:type="dxa"/>
            <w:tcBorders>
              <w:top w:val="nil"/>
              <w:left w:val="nil"/>
              <w:bottom w:val="single" w:color="auto" w:sz="4" w:space="0"/>
              <w:right w:val="single" w:color="auto" w:sz="4" w:space="0"/>
            </w:tcBorders>
            <w:vAlign w:val="center"/>
          </w:tcPr>
          <w:p w14:paraId="065401D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5FD6F12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Y≥5000</w:t>
            </w:r>
          </w:p>
        </w:tc>
        <w:tc>
          <w:tcPr>
            <w:tcW w:w="1701" w:type="dxa"/>
            <w:tcBorders>
              <w:top w:val="nil"/>
              <w:left w:val="nil"/>
              <w:bottom w:val="single" w:color="auto" w:sz="4" w:space="0"/>
              <w:right w:val="single" w:color="auto" w:sz="4" w:space="0"/>
            </w:tcBorders>
            <w:vAlign w:val="center"/>
          </w:tcPr>
          <w:p w14:paraId="53EDC4B9">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1000≤Y＜5000 </w:t>
            </w:r>
          </w:p>
        </w:tc>
        <w:tc>
          <w:tcPr>
            <w:tcW w:w="1426" w:type="dxa"/>
            <w:tcBorders>
              <w:top w:val="nil"/>
              <w:left w:val="nil"/>
              <w:bottom w:val="single" w:color="auto" w:sz="4" w:space="0"/>
              <w:right w:val="single" w:color="auto" w:sz="4" w:space="0"/>
            </w:tcBorders>
            <w:vAlign w:val="center"/>
          </w:tcPr>
          <w:p w14:paraId="63A0D475">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500≤Y＜1000</w:t>
            </w:r>
          </w:p>
        </w:tc>
        <w:tc>
          <w:tcPr>
            <w:tcW w:w="992" w:type="dxa"/>
            <w:tcBorders>
              <w:top w:val="nil"/>
              <w:left w:val="nil"/>
              <w:bottom w:val="single" w:color="auto" w:sz="4" w:space="0"/>
            </w:tcBorders>
            <w:vAlign w:val="center"/>
          </w:tcPr>
          <w:p w14:paraId="2C0371E2">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Y＜500</w:t>
            </w:r>
          </w:p>
        </w:tc>
      </w:tr>
      <w:tr w14:paraId="028C8EF0">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40" w:hRule="exact"/>
          <w:jc w:val="center"/>
        </w:trPr>
        <w:tc>
          <w:tcPr>
            <w:tcW w:w="2113" w:type="dxa"/>
            <w:vMerge w:val="restart"/>
            <w:tcBorders>
              <w:top w:val="nil"/>
              <w:bottom w:val="single" w:color="auto" w:sz="4" w:space="0"/>
              <w:right w:val="single" w:color="auto" w:sz="4" w:space="0"/>
            </w:tcBorders>
            <w:vAlign w:val="center"/>
          </w:tcPr>
          <w:p w14:paraId="51129321">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租赁和商务服务业</w:t>
            </w:r>
          </w:p>
        </w:tc>
        <w:tc>
          <w:tcPr>
            <w:tcW w:w="1369" w:type="dxa"/>
            <w:tcBorders>
              <w:top w:val="nil"/>
              <w:left w:val="nil"/>
              <w:bottom w:val="nil"/>
              <w:right w:val="single" w:color="auto" w:sz="4" w:space="0"/>
            </w:tcBorders>
            <w:vAlign w:val="center"/>
          </w:tcPr>
          <w:p w14:paraId="50A33A8B">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bottom w:val="nil"/>
              <w:right w:val="single" w:color="auto" w:sz="4" w:space="0"/>
            </w:tcBorders>
            <w:vAlign w:val="center"/>
          </w:tcPr>
          <w:p w14:paraId="2109D35E">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bottom w:val="nil"/>
              <w:right w:val="single" w:color="auto" w:sz="4" w:space="0"/>
            </w:tcBorders>
            <w:vAlign w:val="center"/>
          </w:tcPr>
          <w:p w14:paraId="10FE9412">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bottom w:val="nil"/>
              <w:right w:val="single" w:color="auto" w:sz="4" w:space="0"/>
            </w:tcBorders>
            <w:vAlign w:val="center"/>
          </w:tcPr>
          <w:p w14:paraId="11831EA1">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bottom w:val="nil"/>
              <w:right w:val="single" w:color="auto" w:sz="4" w:space="0"/>
            </w:tcBorders>
            <w:vAlign w:val="center"/>
          </w:tcPr>
          <w:p w14:paraId="6E3AC0C8">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bottom w:val="nil"/>
            </w:tcBorders>
            <w:vAlign w:val="center"/>
          </w:tcPr>
          <w:p w14:paraId="5F029EA2">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r w14:paraId="2DC7A326">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40" w:hRule="exact"/>
          <w:jc w:val="center"/>
        </w:trPr>
        <w:tc>
          <w:tcPr>
            <w:tcW w:w="2113" w:type="dxa"/>
            <w:vMerge w:val="continue"/>
            <w:tcBorders>
              <w:top w:val="nil"/>
              <w:bottom w:val="single" w:color="auto" w:sz="4" w:space="0"/>
              <w:right w:val="single" w:color="auto" w:sz="4" w:space="0"/>
            </w:tcBorders>
            <w:vAlign w:val="center"/>
          </w:tcPr>
          <w:p w14:paraId="655437BF">
            <w:pPr>
              <w:widowControl/>
              <w:jc w:val="left"/>
              <w:rPr>
                <w:rFonts w:hint="eastAsia" w:ascii="宋体" w:hAnsi="宋体" w:cs="宋体"/>
                <w:color w:val="auto"/>
                <w:kern w:val="0"/>
                <w:sz w:val="18"/>
                <w:szCs w:val="18"/>
                <w:highlight w:val="none"/>
              </w:rPr>
            </w:pPr>
          </w:p>
        </w:tc>
        <w:tc>
          <w:tcPr>
            <w:tcW w:w="1369" w:type="dxa"/>
            <w:tcBorders>
              <w:top w:val="nil"/>
              <w:left w:val="nil"/>
              <w:bottom w:val="single" w:color="auto" w:sz="4" w:space="0"/>
              <w:right w:val="single" w:color="auto" w:sz="4" w:space="0"/>
            </w:tcBorders>
            <w:vAlign w:val="center"/>
          </w:tcPr>
          <w:p w14:paraId="6AEB7AD2">
            <w:pPr>
              <w:widowControl/>
              <w:spacing w:line="240" w:lineRule="exact"/>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资产总额(Z)</w:t>
            </w:r>
          </w:p>
        </w:tc>
        <w:tc>
          <w:tcPr>
            <w:tcW w:w="709" w:type="dxa"/>
            <w:tcBorders>
              <w:top w:val="nil"/>
              <w:left w:val="nil"/>
              <w:bottom w:val="single" w:color="auto" w:sz="4" w:space="0"/>
              <w:right w:val="single" w:color="auto" w:sz="4" w:space="0"/>
            </w:tcBorders>
            <w:vAlign w:val="center"/>
          </w:tcPr>
          <w:p w14:paraId="66D3B25D">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万元</w:t>
            </w:r>
          </w:p>
        </w:tc>
        <w:tc>
          <w:tcPr>
            <w:tcW w:w="1125" w:type="dxa"/>
            <w:tcBorders>
              <w:top w:val="nil"/>
              <w:left w:val="nil"/>
              <w:bottom w:val="single" w:color="auto" w:sz="4" w:space="0"/>
              <w:right w:val="single" w:color="auto" w:sz="4" w:space="0"/>
            </w:tcBorders>
            <w:vAlign w:val="center"/>
          </w:tcPr>
          <w:p w14:paraId="626E7F2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Z≥120000</w:t>
            </w:r>
          </w:p>
        </w:tc>
        <w:tc>
          <w:tcPr>
            <w:tcW w:w="1701" w:type="dxa"/>
            <w:tcBorders>
              <w:top w:val="nil"/>
              <w:left w:val="nil"/>
              <w:bottom w:val="single" w:color="auto" w:sz="4" w:space="0"/>
              <w:right w:val="single" w:color="auto" w:sz="4" w:space="0"/>
            </w:tcBorders>
            <w:vAlign w:val="center"/>
          </w:tcPr>
          <w:p w14:paraId="44113EE1">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8000≤Z＜120000</w:t>
            </w:r>
          </w:p>
        </w:tc>
        <w:tc>
          <w:tcPr>
            <w:tcW w:w="1426" w:type="dxa"/>
            <w:tcBorders>
              <w:top w:val="nil"/>
              <w:left w:val="nil"/>
              <w:bottom w:val="single" w:color="auto" w:sz="4" w:space="0"/>
              <w:right w:val="single" w:color="auto" w:sz="4" w:space="0"/>
            </w:tcBorders>
            <w:vAlign w:val="center"/>
          </w:tcPr>
          <w:p w14:paraId="64A628A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100≤Z＜8000</w:t>
            </w:r>
          </w:p>
        </w:tc>
        <w:tc>
          <w:tcPr>
            <w:tcW w:w="992" w:type="dxa"/>
            <w:tcBorders>
              <w:top w:val="nil"/>
              <w:left w:val="nil"/>
              <w:bottom w:val="single" w:color="auto" w:sz="4" w:space="0"/>
            </w:tcBorders>
            <w:vAlign w:val="center"/>
          </w:tcPr>
          <w:p w14:paraId="5572BCF3">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Z＜100</w:t>
            </w:r>
          </w:p>
        </w:tc>
      </w:tr>
      <w:tr w14:paraId="02BFB7F2">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108" w:type="dxa"/>
            <w:bottom w:w="0" w:type="dxa"/>
            <w:right w:w="108" w:type="dxa"/>
          </w:tblCellMar>
        </w:tblPrEx>
        <w:trPr>
          <w:trHeight w:val="397" w:hRule="exact"/>
          <w:jc w:val="center"/>
        </w:trPr>
        <w:tc>
          <w:tcPr>
            <w:tcW w:w="2113" w:type="dxa"/>
            <w:tcBorders>
              <w:top w:val="nil"/>
              <w:right w:val="single" w:color="auto" w:sz="4" w:space="0"/>
            </w:tcBorders>
            <w:vAlign w:val="center"/>
          </w:tcPr>
          <w:p w14:paraId="5ECABFB8">
            <w:pPr>
              <w:widowControl/>
              <w:spacing w:line="240" w:lineRule="exact"/>
              <w:jc w:val="left"/>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其他未列明行业 *</w:t>
            </w:r>
          </w:p>
        </w:tc>
        <w:tc>
          <w:tcPr>
            <w:tcW w:w="1369" w:type="dxa"/>
            <w:tcBorders>
              <w:top w:val="nil"/>
              <w:left w:val="nil"/>
              <w:right w:val="single" w:color="auto" w:sz="4" w:space="0"/>
            </w:tcBorders>
            <w:vAlign w:val="center"/>
          </w:tcPr>
          <w:p w14:paraId="2329EAA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从业人员(X)</w:t>
            </w:r>
          </w:p>
        </w:tc>
        <w:tc>
          <w:tcPr>
            <w:tcW w:w="709" w:type="dxa"/>
            <w:tcBorders>
              <w:top w:val="nil"/>
              <w:left w:val="nil"/>
              <w:right w:val="single" w:color="auto" w:sz="4" w:space="0"/>
            </w:tcBorders>
            <w:vAlign w:val="center"/>
          </w:tcPr>
          <w:p w14:paraId="1A1C0FB1">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人</w:t>
            </w:r>
          </w:p>
        </w:tc>
        <w:tc>
          <w:tcPr>
            <w:tcW w:w="1125" w:type="dxa"/>
            <w:tcBorders>
              <w:top w:val="nil"/>
              <w:left w:val="nil"/>
              <w:right w:val="single" w:color="auto" w:sz="4" w:space="0"/>
            </w:tcBorders>
            <w:vAlign w:val="center"/>
          </w:tcPr>
          <w:p w14:paraId="4192B8EA">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X≥300</w:t>
            </w:r>
          </w:p>
        </w:tc>
        <w:tc>
          <w:tcPr>
            <w:tcW w:w="1701" w:type="dxa"/>
            <w:tcBorders>
              <w:top w:val="nil"/>
              <w:left w:val="nil"/>
              <w:right w:val="single" w:color="auto" w:sz="4" w:space="0"/>
            </w:tcBorders>
            <w:vAlign w:val="center"/>
          </w:tcPr>
          <w:p w14:paraId="34CCCB04">
            <w:pPr>
              <w:widowControl/>
              <w:ind w:left="1" w:leftChars="-51" w:hanging="108" w:hangingChars="60"/>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100≤X＜300 </w:t>
            </w:r>
          </w:p>
        </w:tc>
        <w:tc>
          <w:tcPr>
            <w:tcW w:w="1426" w:type="dxa"/>
            <w:tcBorders>
              <w:top w:val="nil"/>
              <w:left w:val="nil"/>
              <w:right w:val="single" w:color="auto" w:sz="4" w:space="0"/>
            </w:tcBorders>
            <w:vAlign w:val="center"/>
          </w:tcPr>
          <w:p w14:paraId="2F952269">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 xml:space="preserve"> 10≤X＜100</w:t>
            </w:r>
          </w:p>
        </w:tc>
        <w:tc>
          <w:tcPr>
            <w:tcW w:w="992" w:type="dxa"/>
            <w:tcBorders>
              <w:top w:val="nil"/>
              <w:left w:val="nil"/>
            </w:tcBorders>
            <w:vAlign w:val="center"/>
          </w:tcPr>
          <w:p w14:paraId="0755D457">
            <w:pPr>
              <w:widowControl/>
              <w:jc w:val="center"/>
              <w:rPr>
                <w:rFonts w:hint="eastAsia" w:ascii="宋体" w:hAnsi="宋体" w:cs="宋体"/>
                <w:color w:val="auto"/>
                <w:kern w:val="0"/>
                <w:sz w:val="18"/>
                <w:szCs w:val="18"/>
                <w:highlight w:val="none"/>
              </w:rPr>
            </w:pPr>
            <w:r>
              <w:rPr>
                <w:rFonts w:hint="eastAsia" w:ascii="宋体" w:hAnsi="宋体" w:cs="宋体"/>
                <w:color w:val="auto"/>
                <w:kern w:val="0"/>
                <w:sz w:val="18"/>
                <w:szCs w:val="18"/>
                <w:highlight w:val="none"/>
              </w:rPr>
              <w:t>X＜10</w:t>
            </w:r>
          </w:p>
        </w:tc>
      </w:tr>
    </w:tbl>
    <w:p w14:paraId="10006415">
      <w:pPr>
        <w:widowControl/>
        <w:ind w:firstLine="452" w:firstLineChars="200"/>
        <w:rPr>
          <w:rFonts w:hint="eastAsia" w:ascii="宋体" w:hAnsi="宋体" w:cs="宋体"/>
          <w:color w:val="auto"/>
          <w:spacing w:val="8"/>
          <w:kern w:val="0"/>
          <w:szCs w:val="21"/>
          <w:highlight w:val="none"/>
        </w:rPr>
      </w:pPr>
      <w:r>
        <w:rPr>
          <w:rFonts w:hint="eastAsia" w:ascii="宋体" w:hAnsi="宋体" w:cs="宋体"/>
          <w:color w:val="auto"/>
          <w:spacing w:val="8"/>
          <w:kern w:val="0"/>
          <w:szCs w:val="21"/>
          <w:highlight w:val="none"/>
        </w:rPr>
        <w:t>说明：</w:t>
      </w:r>
    </w:p>
    <w:p w14:paraId="7A0C30B3">
      <w:pPr>
        <w:ind w:firstLine="452" w:firstLineChars="200"/>
        <w:rPr>
          <w:rFonts w:hint="eastAsia" w:ascii="宋体" w:hAnsi="宋体" w:cs="宋体"/>
          <w:color w:val="auto"/>
          <w:spacing w:val="8"/>
          <w:kern w:val="0"/>
          <w:szCs w:val="21"/>
          <w:highlight w:val="none"/>
        </w:rPr>
      </w:pPr>
      <w:r>
        <w:rPr>
          <w:rFonts w:hint="eastAsia" w:ascii="宋体" w:hAnsi="宋体" w:cs="宋体"/>
          <w:color w:val="auto"/>
          <w:spacing w:val="8"/>
          <w:kern w:val="0"/>
          <w:szCs w:val="21"/>
          <w:highlight w:val="none"/>
        </w:rPr>
        <w:t>1.大型、中型和小型企业须同时满足所列指标的下限，否则下划一档；微型企业只须满足所列指标中的一项即可。</w:t>
      </w:r>
    </w:p>
    <w:p w14:paraId="40B54747">
      <w:pPr>
        <w:ind w:firstLine="452" w:firstLineChars="200"/>
        <w:rPr>
          <w:rFonts w:hint="eastAsia" w:ascii="宋体" w:hAnsi="宋体" w:cs="宋体"/>
          <w:color w:val="auto"/>
          <w:spacing w:val="8"/>
          <w:kern w:val="0"/>
          <w:szCs w:val="21"/>
          <w:highlight w:val="none"/>
        </w:rPr>
      </w:pPr>
      <w:r>
        <w:rPr>
          <w:rFonts w:hint="eastAsia" w:ascii="宋体" w:hAnsi="宋体" w:cs="宋体"/>
          <w:color w:val="auto"/>
          <w:spacing w:val="8"/>
          <w:kern w:val="0"/>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057C3933">
      <w:pPr>
        <w:ind w:firstLine="452" w:firstLineChars="200"/>
        <w:rPr>
          <w:rFonts w:hint="eastAsia" w:ascii="宋体" w:hAnsi="宋体" w:cs="宋体"/>
          <w:color w:val="auto"/>
          <w:szCs w:val="21"/>
          <w:highlight w:val="none"/>
        </w:rPr>
      </w:pPr>
      <w:r>
        <w:rPr>
          <w:rFonts w:hint="eastAsia" w:ascii="宋体" w:hAnsi="宋体" w:cs="宋体"/>
          <w:color w:val="auto"/>
          <w:spacing w:val="8"/>
          <w:kern w:val="0"/>
          <w:szCs w:val="21"/>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r>
        <w:rPr>
          <w:rFonts w:hint="eastAsia" w:ascii="宋体" w:hAnsi="宋体" w:cs="宋体"/>
          <w:color w:val="auto"/>
          <w:szCs w:val="21"/>
          <w:highlight w:val="none"/>
        </w:rPr>
        <w:t>。</w:t>
      </w:r>
    </w:p>
    <w:p w14:paraId="09AB1B2B">
      <w:pPr>
        <w:spacing w:line="560" w:lineRule="exact"/>
        <w:ind w:firstLine="500" w:firstLineChars="250"/>
        <w:rPr>
          <w:rFonts w:hint="eastAsia" w:ascii="宋体" w:hAnsi="宋体" w:cs="宋体"/>
          <w:color w:val="auto"/>
          <w:kern w:val="0"/>
          <w:sz w:val="20"/>
          <w:szCs w:val="21"/>
          <w:highlight w:val="none"/>
        </w:rPr>
        <w:sectPr>
          <w:pgSz w:w="11906" w:h="16838"/>
          <w:pgMar w:top="1440" w:right="1080" w:bottom="1440" w:left="1080" w:header="720" w:footer="720" w:gutter="0"/>
          <w:cols w:space="720" w:num="1"/>
          <w:docGrid w:type="lines" w:linePitch="331" w:charSpace="0"/>
        </w:sectPr>
      </w:pPr>
    </w:p>
    <w:p w14:paraId="043DF899">
      <w:pPr>
        <w:keepNext/>
        <w:keepLines/>
        <w:spacing w:before="340" w:after="330" w:line="578" w:lineRule="auto"/>
        <w:jc w:val="center"/>
        <w:outlineLvl w:val="0"/>
        <w:rPr>
          <w:rFonts w:hint="eastAsia" w:ascii="宋体" w:hAnsi="宋体" w:cs="宋体"/>
          <w:b/>
          <w:bCs/>
          <w:color w:val="auto"/>
          <w:kern w:val="44"/>
          <w:sz w:val="44"/>
          <w:szCs w:val="44"/>
          <w:highlight w:val="none"/>
        </w:rPr>
      </w:pPr>
      <w:bookmarkStart w:id="27" w:name="_Toc24399"/>
      <w:r>
        <w:rPr>
          <w:rFonts w:hint="eastAsia" w:ascii="宋体" w:hAnsi="宋体" w:cs="宋体"/>
          <w:b/>
          <w:color w:val="auto"/>
          <w:kern w:val="44"/>
          <w:sz w:val="32"/>
          <w:szCs w:val="32"/>
          <w:highlight w:val="none"/>
        </w:rPr>
        <w:t>第三章 供应商须知</w:t>
      </w:r>
      <w:bookmarkEnd w:id="27"/>
    </w:p>
    <w:p w14:paraId="5876ACFE">
      <w:pPr>
        <w:keepNext/>
        <w:keepLines/>
        <w:spacing w:before="260" w:after="260" w:line="416" w:lineRule="auto"/>
        <w:jc w:val="center"/>
        <w:outlineLvl w:val="1"/>
        <w:rPr>
          <w:rFonts w:hint="eastAsia" w:ascii="宋体" w:hAnsi="宋体" w:cs="宋体"/>
          <w:bCs/>
          <w:color w:val="auto"/>
          <w:sz w:val="32"/>
          <w:szCs w:val="32"/>
          <w:highlight w:val="none"/>
        </w:rPr>
      </w:pPr>
      <w:bookmarkStart w:id="28" w:name="_Toc9856"/>
      <w:r>
        <w:rPr>
          <w:rFonts w:hint="eastAsia" w:ascii="宋体" w:hAnsi="宋体" w:cs="宋体"/>
          <w:bCs/>
          <w:color w:val="auto"/>
          <w:sz w:val="32"/>
          <w:szCs w:val="32"/>
          <w:highlight w:val="none"/>
        </w:rPr>
        <w:t>第一节 供应商须知前附表</w:t>
      </w:r>
      <w:bookmarkEnd w:id="28"/>
    </w:p>
    <w:p w14:paraId="5BD77AF1">
      <w:pPr>
        <w:spacing w:line="400" w:lineRule="exact"/>
        <w:jc w:val="center"/>
        <w:rPr>
          <w:rFonts w:hint="eastAsia" w:ascii="宋体" w:hAnsi="宋体" w:cs="宋体"/>
          <w:b/>
          <w:color w:val="auto"/>
          <w:sz w:val="32"/>
          <w:szCs w:val="32"/>
          <w:highlight w:val="none"/>
        </w:rPr>
      </w:pPr>
    </w:p>
    <w:tbl>
      <w:tblPr>
        <w:tblStyle w:val="33"/>
        <w:tblW w:w="1036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5"/>
        <w:gridCol w:w="1345"/>
        <w:gridCol w:w="8294"/>
      </w:tblGrid>
      <w:tr w14:paraId="02111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Pr>
          <w:p w14:paraId="74945440">
            <w:pPr>
              <w:wordWrap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条款号</w:t>
            </w:r>
          </w:p>
        </w:tc>
        <w:tc>
          <w:tcPr>
            <w:tcW w:w="1345" w:type="dxa"/>
            <w:vAlign w:val="center"/>
          </w:tcPr>
          <w:p w14:paraId="7971203F">
            <w:pPr>
              <w:wordWrap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条款内容</w:t>
            </w:r>
          </w:p>
        </w:tc>
        <w:tc>
          <w:tcPr>
            <w:tcW w:w="8294" w:type="dxa"/>
          </w:tcPr>
          <w:p w14:paraId="03EEFA9D">
            <w:pPr>
              <w:wordWrap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具体要求</w:t>
            </w:r>
          </w:p>
        </w:tc>
      </w:tr>
      <w:tr w14:paraId="391A93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93" w:hRule="atLeast"/>
          <w:jc w:val="center"/>
        </w:trPr>
        <w:tc>
          <w:tcPr>
            <w:tcW w:w="725" w:type="dxa"/>
          </w:tcPr>
          <w:p w14:paraId="64CEBB9A">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3.1</w:t>
            </w:r>
          </w:p>
        </w:tc>
        <w:tc>
          <w:tcPr>
            <w:tcW w:w="1345" w:type="dxa"/>
            <w:vAlign w:val="center"/>
          </w:tcPr>
          <w:p w14:paraId="69FFF61C">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供应商资格条件</w:t>
            </w:r>
          </w:p>
        </w:tc>
        <w:tc>
          <w:tcPr>
            <w:tcW w:w="8294" w:type="dxa"/>
          </w:tcPr>
          <w:p w14:paraId="1B9187FC">
            <w:pPr>
              <w:wordWrap w:val="0"/>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 xml:space="preserve">供应商资格条件要求详见公告。 </w:t>
            </w:r>
          </w:p>
        </w:tc>
      </w:tr>
      <w:tr w14:paraId="1DA7D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4B87747F">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5.1</w:t>
            </w:r>
          </w:p>
        </w:tc>
        <w:tc>
          <w:tcPr>
            <w:tcW w:w="1345" w:type="dxa"/>
            <w:vAlign w:val="center"/>
          </w:tcPr>
          <w:p w14:paraId="268CF6C4">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是否接受联合体竞标</w:t>
            </w:r>
          </w:p>
        </w:tc>
        <w:tc>
          <w:tcPr>
            <w:tcW w:w="8294" w:type="dxa"/>
            <w:vAlign w:val="center"/>
          </w:tcPr>
          <w:p w14:paraId="08E393C0">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是否接受联合体竞标： 详见竞争性谈判公告</w:t>
            </w:r>
          </w:p>
        </w:tc>
      </w:tr>
      <w:tr w14:paraId="3DE15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4B241052">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5.2</w:t>
            </w:r>
          </w:p>
        </w:tc>
        <w:tc>
          <w:tcPr>
            <w:tcW w:w="1345" w:type="dxa"/>
            <w:vAlign w:val="center"/>
          </w:tcPr>
          <w:p w14:paraId="4192FDE5">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联合体竞标要求</w:t>
            </w:r>
          </w:p>
        </w:tc>
        <w:tc>
          <w:tcPr>
            <w:tcW w:w="8294" w:type="dxa"/>
            <w:vAlign w:val="center"/>
          </w:tcPr>
          <w:p w14:paraId="3F230771">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无</w:t>
            </w:r>
          </w:p>
        </w:tc>
      </w:tr>
      <w:tr w14:paraId="783D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09EBB187">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6.1</w:t>
            </w:r>
          </w:p>
        </w:tc>
        <w:tc>
          <w:tcPr>
            <w:tcW w:w="1345" w:type="dxa"/>
            <w:vAlign w:val="center"/>
          </w:tcPr>
          <w:p w14:paraId="32063DB1">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是否允许分包</w:t>
            </w:r>
          </w:p>
        </w:tc>
        <w:tc>
          <w:tcPr>
            <w:tcW w:w="8294" w:type="dxa"/>
            <w:vAlign w:val="center"/>
          </w:tcPr>
          <w:p w14:paraId="34798B3D">
            <w:pPr>
              <w:pStyle w:val="12"/>
              <w:spacing w:line="360" w:lineRule="auto"/>
              <w:rPr>
                <w:color w:val="auto"/>
                <w:highlight w:val="none"/>
              </w:rPr>
            </w:pPr>
            <w:r>
              <w:rPr>
                <w:rFonts w:hint="eastAsia"/>
                <w:color w:val="auto"/>
                <w:highlight w:val="none"/>
              </w:rPr>
              <w:t>☑不允许分包</w:t>
            </w:r>
          </w:p>
          <w:p w14:paraId="35DF7821">
            <w:pPr>
              <w:pStyle w:val="12"/>
              <w:spacing w:line="360" w:lineRule="auto"/>
              <w:rPr>
                <w:color w:val="auto"/>
                <w:highlight w:val="none"/>
              </w:rPr>
            </w:pPr>
            <w:r>
              <w:rPr>
                <w:rFonts w:hint="eastAsia"/>
                <w:color w:val="auto"/>
                <w:highlight w:val="none"/>
              </w:rPr>
              <w:t>□允许分包</w:t>
            </w:r>
          </w:p>
          <w:p w14:paraId="59106314">
            <w:pPr>
              <w:pStyle w:val="12"/>
              <w:spacing w:line="360" w:lineRule="auto"/>
              <w:rPr>
                <w:color w:val="auto"/>
                <w:highlight w:val="none"/>
                <w:u w:val="single"/>
              </w:rPr>
            </w:pPr>
            <w:r>
              <w:rPr>
                <w:rFonts w:hint="eastAsia"/>
                <w:color w:val="auto"/>
                <w:highlight w:val="none"/>
              </w:rPr>
              <w:t>分包内容：</w:t>
            </w:r>
            <w:r>
              <w:rPr>
                <w:rFonts w:hint="eastAsia"/>
                <w:color w:val="auto"/>
                <w:highlight w:val="none"/>
                <w:u w:val="single"/>
              </w:rPr>
              <w:t xml:space="preserve">                  /                   。</w:t>
            </w:r>
          </w:p>
          <w:p w14:paraId="64B5CEFB">
            <w:pPr>
              <w:pStyle w:val="12"/>
              <w:spacing w:line="360" w:lineRule="auto"/>
              <w:rPr>
                <w:color w:val="auto"/>
                <w:highlight w:val="none"/>
                <w:u w:val="single"/>
              </w:rPr>
            </w:pPr>
            <w:r>
              <w:rPr>
                <w:rFonts w:hint="eastAsia"/>
                <w:color w:val="auto"/>
                <w:highlight w:val="none"/>
              </w:rPr>
              <w:t>分包金额或者比例：</w:t>
            </w:r>
            <w:r>
              <w:rPr>
                <w:rFonts w:hint="eastAsia"/>
                <w:color w:val="auto"/>
                <w:highlight w:val="none"/>
                <w:u w:val="single"/>
              </w:rPr>
              <w:t xml:space="preserve">                 /                    。</w:t>
            </w:r>
          </w:p>
          <w:p w14:paraId="2DD24F6C">
            <w:pPr>
              <w:wordWrap w:val="0"/>
              <w:spacing w:line="360" w:lineRule="auto"/>
              <w:jc w:val="left"/>
              <w:rPr>
                <w:rFonts w:hint="eastAsia" w:ascii="宋体" w:hAnsi="宋体" w:cs="宋体"/>
                <w:color w:val="auto"/>
                <w:szCs w:val="21"/>
                <w:highlight w:val="none"/>
              </w:rPr>
            </w:pPr>
            <w:r>
              <w:rPr>
                <w:rFonts w:hint="eastAsia" w:ascii="宋体" w:hAnsi="宋体"/>
                <w:color w:val="auto"/>
                <w:szCs w:val="21"/>
                <w:highlight w:val="none"/>
              </w:rPr>
              <w:t>分包供应商必须具备的资质：</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w:t>
            </w:r>
            <w:r>
              <w:rPr>
                <w:rFonts w:ascii="宋体" w:hAnsi="宋体"/>
                <w:color w:val="auto"/>
                <w:szCs w:val="21"/>
                <w:highlight w:val="none"/>
                <w:u w:val="single"/>
              </w:rPr>
              <w:t xml:space="preserve">                   </w:t>
            </w:r>
            <w:r>
              <w:rPr>
                <w:rFonts w:hint="eastAsia" w:ascii="宋体" w:hAnsi="宋体"/>
                <w:color w:val="auto"/>
                <w:szCs w:val="21"/>
                <w:highlight w:val="none"/>
                <w:u w:val="single"/>
              </w:rPr>
              <w:t>。</w:t>
            </w:r>
          </w:p>
        </w:tc>
      </w:tr>
      <w:tr w14:paraId="2E18B4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7117B115">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12.1.1</w:t>
            </w:r>
          </w:p>
        </w:tc>
        <w:tc>
          <w:tcPr>
            <w:tcW w:w="1345" w:type="dxa"/>
            <w:vAlign w:val="center"/>
          </w:tcPr>
          <w:p w14:paraId="34F17348">
            <w:pPr>
              <w:wordWrap w:val="0"/>
              <w:spacing w:line="360" w:lineRule="auto"/>
              <w:jc w:val="center"/>
              <w:rPr>
                <w:rFonts w:hint="eastAsia" w:ascii="宋体" w:hAnsi="宋体" w:cs="宋体"/>
                <w:b/>
                <w:color w:val="auto"/>
                <w:szCs w:val="21"/>
                <w:highlight w:val="none"/>
              </w:rPr>
            </w:pPr>
            <w:r>
              <w:rPr>
                <w:rFonts w:hint="eastAsia" w:ascii="宋体" w:hAnsi="宋体" w:cs="宋体"/>
                <w:b/>
                <w:color w:val="auto"/>
                <w:szCs w:val="21"/>
                <w:highlight w:val="none"/>
              </w:rPr>
              <w:t>资格证明文件组成</w:t>
            </w:r>
          </w:p>
          <w:p w14:paraId="2DE0665A">
            <w:pPr>
              <w:wordWrap w:val="0"/>
              <w:spacing w:line="360" w:lineRule="auto"/>
              <w:jc w:val="center"/>
              <w:rPr>
                <w:rFonts w:hint="eastAsia" w:ascii="宋体" w:hAnsi="宋体" w:cs="宋体"/>
                <w:color w:val="auto"/>
                <w:szCs w:val="21"/>
                <w:highlight w:val="none"/>
              </w:rPr>
            </w:pPr>
          </w:p>
        </w:tc>
        <w:tc>
          <w:tcPr>
            <w:tcW w:w="8294" w:type="dxa"/>
            <w:vAlign w:val="center"/>
          </w:tcPr>
          <w:p w14:paraId="14C35254">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243A2CDF">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2.供应商依法缴纳税收的相关材料（首次响应文件提交截止时间前半年内供应商连续3个月的依法缴纳税收的凭据复印件；</w:t>
            </w:r>
            <w:r>
              <w:rPr>
                <w:rFonts w:hint="eastAsia" w:ascii="宋体" w:hAnsi="宋体"/>
                <w:color w:val="auto"/>
                <w:szCs w:val="21"/>
                <w:highlight w:val="none"/>
              </w:rPr>
              <w:t>依法免税的供应商，必须提供相应文件证明其依法免税。</w:t>
            </w:r>
            <w:r>
              <w:rPr>
                <w:rFonts w:hint="eastAsia" w:ascii="宋体" w:hAnsi="宋体" w:cs="宋体"/>
                <w:color w:val="auto"/>
                <w:szCs w:val="21"/>
                <w:highlight w:val="none"/>
              </w:rPr>
              <w:t>从取得营业执照时间起到首次响应文件提交截止时间为止不足要求月数的，只需提供从取得营业执照起的依法缴纳税收</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6D81E02">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3.供应商依法缴纳社会保障资金的相关材料[首次响应文件提交截止时间前半年内供应商连续3个月的依法缴纳社会保障资金的缴费凭证（专用收据或者社会保险缴纳清单）复印件；</w:t>
            </w:r>
            <w:r>
              <w:rPr>
                <w:rFonts w:hint="eastAsia" w:ascii="宋体" w:hAnsi="宋体"/>
                <w:color w:val="auto"/>
                <w:szCs w:val="21"/>
                <w:highlight w:val="none"/>
              </w:rPr>
              <w:t>依法不需要缴纳社会保障资金的供应商，必须提供相应文件证明不需要缴纳社会保障资金。</w:t>
            </w:r>
            <w:r>
              <w:rPr>
                <w:rFonts w:hint="eastAsia" w:ascii="宋体" w:hAnsi="宋体" w:cs="宋体"/>
                <w:color w:val="auto"/>
                <w:szCs w:val="21"/>
                <w:highlight w:val="none"/>
              </w:rPr>
              <w:t>从取得营业执照时间起到首次响应文件提交截止时间为止不足要求月数的只需提供从取得营业执照起的依法缴纳社会保障资金的</w:t>
            </w:r>
            <w:r>
              <w:rPr>
                <w:rFonts w:hint="eastAsia" w:ascii="宋体" w:hAnsi="宋体"/>
                <w:color w:val="auto"/>
                <w:szCs w:val="21"/>
                <w:highlight w:val="none"/>
              </w:rPr>
              <w:t>相应证明文件</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C041902">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4.供应商财务状况报告[2025年财务状况报告：</w:t>
            </w:r>
            <w:r>
              <w:rPr>
                <w:rFonts w:hint="eastAsia" w:ascii="宋体" w:hAnsi="宋体" w:cs="宋体"/>
                <w:b/>
                <w:bCs/>
                <w:color w:val="auto"/>
                <w:szCs w:val="21"/>
                <w:highlight w:val="none"/>
              </w:rPr>
              <w:t>经审计的财务报告</w:t>
            </w:r>
            <w:r>
              <w:rPr>
                <w:rFonts w:hint="eastAsia" w:ascii="宋体" w:hAnsi="宋体" w:cs="宋体"/>
                <w:color w:val="auto"/>
                <w:szCs w:val="21"/>
                <w:highlight w:val="none"/>
              </w:rPr>
              <w:t>或者</w:t>
            </w:r>
            <w:r>
              <w:rPr>
                <w:rFonts w:hint="eastAsia" w:ascii="宋体" w:hAnsi="宋体" w:cs="宋体"/>
                <w:b/>
                <w:bCs/>
                <w:color w:val="auto"/>
                <w:szCs w:val="21"/>
                <w:highlight w:val="none"/>
              </w:rPr>
              <w:t>其基本开户银行出具的资信证明</w:t>
            </w:r>
            <w:r>
              <w:rPr>
                <w:rFonts w:hint="eastAsia" w:ascii="宋体" w:hAnsi="宋体" w:cs="宋体"/>
                <w:color w:val="auto"/>
                <w:szCs w:val="21"/>
                <w:highlight w:val="none"/>
              </w:rPr>
              <w:t>（注明有效期的，应在有效期内；未注明有效期的，出具时间至首次响应文件提交截止时间不超过一年）；供应商是其他组织或者自然人的，应提供经审计的财务报告或者银行出具的资信证明（注明有效期的，应在有效期内；未注明有效期的，出具时间至首次响应文件提交截止时间不超过一年），供应商成立时间在规定年度之后的，需提供成立之日起至响应文件提交截止时间前的月报表或银行出具的资信证明]；</w:t>
            </w:r>
            <w:r>
              <w:rPr>
                <w:rFonts w:hint="eastAsia" w:ascii="宋体" w:hAnsi="宋体" w:cs="宋体"/>
                <w:bCs/>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bCs/>
                <w:color w:val="auto"/>
                <w:szCs w:val="21"/>
                <w:highlight w:val="none"/>
              </w:rPr>
              <w:t>）</w:t>
            </w:r>
          </w:p>
          <w:p w14:paraId="144012E2">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5.供应商直接控股、管理关系信息表（格式后附）；（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79212192">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6.竞标声明函（格式后附）；（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711C418">
            <w:pPr>
              <w:wordWrap w:val="0"/>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7.除谈判文件规定必须提供以外，供应商认为需要提供的其他证明材料。</w:t>
            </w:r>
            <w:r>
              <w:rPr>
                <w:rFonts w:hint="eastAsia" w:ascii="宋体" w:hAnsi="宋体" w:cs="宋体"/>
                <w:b/>
                <w:bCs/>
                <w:color w:val="auto"/>
                <w:szCs w:val="21"/>
                <w:highlight w:val="none"/>
              </w:rPr>
              <w:t>（如有请提供）</w:t>
            </w:r>
          </w:p>
          <w:p w14:paraId="4F9C8F7B">
            <w:pPr>
              <w:wordWrap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44393574">
            <w:pPr>
              <w:wordWrap w:val="0"/>
              <w:spacing w:line="360" w:lineRule="auto"/>
              <w:jc w:val="left"/>
              <w:rPr>
                <w:rFonts w:hint="eastAsia" w:ascii="宋体" w:hAnsi="宋体" w:cs="宋体"/>
                <w:b/>
                <w:color w:val="auto"/>
                <w:szCs w:val="21"/>
                <w:highlight w:val="none"/>
              </w:rPr>
            </w:pPr>
          </w:p>
          <w:p w14:paraId="4E13436E">
            <w:pPr>
              <w:wordWrap w:val="0"/>
              <w:spacing w:line="360" w:lineRule="auto"/>
              <w:ind w:firstLine="422" w:firstLineChars="200"/>
              <w:jc w:val="left"/>
              <w:rPr>
                <w:rFonts w:hint="default" w:ascii="宋体" w:hAnsi="宋体" w:eastAsia="宋体" w:cs="宋体"/>
                <w:b/>
                <w:color w:val="auto"/>
                <w:szCs w:val="21"/>
                <w:highlight w:val="none"/>
                <w:lang w:val="en-US" w:eastAsia="zh-CN"/>
              </w:rPr>
            </w:pPr>
            <w:r>
              <w:rPr>
                <w:rFonts w:hint="eastAsia" w:ascii="宋体" w:hAnsi="宋体" w:cs="宋体"/>
                <w:b/>
                <w:color w:val="auto"/>
                <w:szCs w:val="21"/>
                <w:highlight w:val="none"/>
              </w:rPr>
              <w:t>1.以上标明“必须提供”的材料属于复印件的扫描件的，必须加盖供应商公章（或电子签章），否则响应文件按无效响应处理。</w:t>
            </w:r>
          </w:p>
        </w:tc>
      </w:tr>
      <w:tr w14:paraId="0404E7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vAlign w:val="center"/>
          </w:tcPr>
          <w:p w14:paraId="04DCAC36">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12.1.2</w:t>
            </w:r>
          </w:p>
        </w:tc>
        <w:tc>
          <w:tcPr>
            <w:tcW w:w="1345" w:type="dxa"/>
            <w:vAlign w:val="center"/>
          </w:tcPr>
          <w:p w14:paraId="20C74CA4">
            <w:pPr>
              <w:wordWrap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商务文件组成</w:t>
            </w:r>
          </w:p>
        </w:tc>
        <w:tc>
          <w:tcPr>
            <w:tcW w:w="8294" w:type="dxa"/>
            <w:vAlign w:val="center"/>
          </w:tcPr>
          <w:p w14:paraId="18D3EBD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1.无串通竞标行为的承诺函（格式后附）；（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50AB2A1">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2.法定代表人身份证明书及法定代表人有效身份证正反面复印件（格式后附）；（</w:t>
            </w:r>
            <w:r>
              <w:rPr>
                <w:rFonts w:hint="eastAsia" w:ascii="宋体" w:hAnsi="宋体" w:cs="宋体"/>
                <w:b/>
                <w:bCs/>
                <w:color w:val="auto"/>
                <w:szCs w:val="21"/>
                <w:highlight w:val="none"/>
              </w:rPr>
              <w:t>除自然人竞标外</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56738E1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3.法定代表人授权委托书及委托代理人有效身份证正反面复印件（格式后附）；（</w:t>
            </w:r>
            <w:r>
              <w:rPr>
                <w:rFonts w:hint="eastAsia" w:ascii="宋体" w:hAnsi="宋体" w:cs="宋体"/>
                <w:b/>
                <w:color w:val="auto"/>
                <w:szCs w:val="21"/>
                <w:highlight w:val="none"/>
              </w:rPr>
              <w:t>委托时必须提供，否则响应文件按无效响应处理</w:t>
            </w:r>
            <w:r>
              <w:rPr>
                <w:rFonts w:hint="eastAsia" w:ascii="宋体" w:hAnsi="宋体" w:cs="宋体"/>
                <w:color w:val="auto"/>
                <w:szCs w:val="21"/>
                <w:highlight w:val="none"/>
              </w:rPr>
              <w:t>）</w:t>
            </w:r>
          </w:p>
          <w:p w14:paraId="2A1E4299">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4.竞标保证金提交凭证；（</w:t>
            </w:r>
            <w:r>
              <w:rPr>
                <w:rFonts w:hint="eastAsia" w:ascii="宋体" w:hAnsi="宋体" w:cs="宋体"/>
                <w:b/>
                <w:bCs/>
                <w:color w:val="auto"/>
                <w:szCs w:val="21"/>
                <w:highlight w:val="none"/>
              </w:rPr>
              <w:t>必须提供</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65EDBD4C">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5.商务条款偏离表（格式后附）；（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6C840504">
            <w:pPr>
              <w:wordWrap w:val="0"/>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6.竞标人情况介绍（格式自拟）；</w:t>
            </w:r>
            <w:r>
              <w:rPr>
                <w:rFonts w:hint="eastAsia" w:ascii="宋体" w:hAnsi="宋体" w:cs="宋体"/>
                <w:b/>
                <w:bCs/>
                <w:color w:val="auto"/>
                <w:szCs w:val="21"/>
                <w:highlight w:val="none"/>
              </w:rPr>
              <w:t>（如有请提供）</w:t>
            </w:r>
          </w:p>
          <w:p w14:paraId="1FC166B0">
            <w:pPr>
              <w:wordWrap w:val="0"/>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rPr>
              <w:t>7.供应商认为需要提供的其他有关资料。</w:t>
            </w:r>
            <w:r>
              <w:rPr>
                <w:rFonts w:hint="eastAsia" w:ascii="宋体" w:hAnsi="宋体" w:cs="宋体"/>
                <w:b/>
                <w:bCs/>
                <w:color w:val="auto"/>
                <w:szCs w:val="21"/>
                <w:highlight w:val="none"/>
              </w:rPr>
              <w:t>（如有请提供）</w:t>
            </w:r>
          </w:p>
          <w:p w14:paraId="598D27B5">
            <w:pPr>
              <w:wordWrap w:val="0"/>
              <w:spacing w:line="360" w:lineRule="auto"/>
              <w:jc w:val="left"/>
              <w:rPr>
                <w:rFonts w:hint="eastAsia" w:ascii="宋体" w:hAnsi="宋体" w:cs="宋体"/>
                <w:b/>
                <w:color w:val="auto"/>
                <w:szCs w:val="21"/>
                <w:highlight w:val="none"/>
              </w:rPr>
            </w:pPr>
            <w:r>
              <w:rPr>
                <w:rFonts w:hint="eastAsia" w:ascii="宋体" w:hAnsi="宋体" w:cs="宋体"/>
                <w:b/>
                <w:color w:val="auto"/>
                <w:szCs w:val="21"/>
                <w:highlight w:val="none"/>
              </w:rPr>
              <w:t>注：</w:t>
            </w:r>
          </w:p>
          <w:p w14:paraId="17392652">
            <w:pPr>
              <w:wordWrap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1.法定代表人授权委托书必须由法定代表人及委托代理人签字，并加盖供应商公章（或电子签章），否则响应文件按无效响应处理。</w:t>
            </w:r>
          </w:p>
          <w:p w14:paraId="067FC9EC">
            <w:pPr>
              <w:wordWrap w:val="0"/>
              <w:spacing w:line="360" w:lineRule="auto"/>
              <w:ind w:firstLine="413" w:firstLineChars="196"/>
              <w:rPr>
                <w:rFonts w:hint="eastAsia" w:ascii="宋体" w:hAnsi="宋体" w:cs="宋体"/>
                <w:b/>
                <w:color w:val="auto"/>
                <w:szCs w:val="21"/>
                <w:highlight w:val="none"/>
              </w:rPr>
            </w:pPr>
            <w:r>
              <w:rPr>
                <w:rFonts w:hint="eastAsia" w:ascii="宋体" w:hAnsi="宋体" w:cs="宋体"/>
                <w:b/>
                <w:color w:val="auto"/>
                <w:szCs w:val="21"/>
                <w:highlight w:val="none"/>
              </w:rPr>
              <w:t>2.以上标明“必须提供”的材料属于复印件的扫描件的，必须加盖供应商公章（或电子签章），否则响应文件按无效响应处理。</w:t>
            </w:r>
          </w:p>
          <w:p w14:paraId="6F7203B3">
            <w:pPr>
              <w:wordWrap w:val="0"/>
              <w:spacing w:line="360" w:lineRule="auto"/>
              <w:ind w:firstLine="413" w:firstLineChars="196"/>
              <w:rPr>
                <w:rFonts w:hint="eastAsia" w:ascii="宋体" w:hAnsi="宋体" w:cs="宋体"/>
                <w:b/>
                <w:color w:val="auto"/>
                <w:szCs w:val="21"/>
                <w:highlight w:val="none"/>
              </w:rPr>
            </w:pPr>
          </w:p>
          <w:p w14:paraId="56974B53">
            <w:pPr>
              <w:wordWrap w:val="0"/>
              <w:spacing w:line="360" w:lineRule="auto"/>
              <w:ind w:firstLine="413" w:firstLineChars="196"/>
              <w:rPr>
                <w:rFonts w:hint="eastAsia" w:ascii="宋体" w:hAnsi="宋体" w:cs="宋体"/>
                <w:b/>
                <w:color w:val="auto"/>
                <w:szCs w:val="21"/>
                <w:highlight w:val="none"/>
              </w:rPr>
            </w:pPr>
          </w:p>
        </w:tc>
      </w:tr>
      <w:tr w14:paraId="70DB42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vAlign w:val="center"/>
          </w:tcPr>
          <w:p w14:paraId="4B27B05A">
            <w:pPr>
              <w:wordWrap w:val="0"/>
              <w:spacing w:line="360" w:lineRule="auto"/>
              <w:jc w:val="center"/>
              <w:rPr>
                <w:rFonts w:hint="eastAsia" w:ascii="宋体" w:hAnsi="宋体" w:cs="宋体"/>
                <w:color w:val="auto"/>
                <w:szCs w:val="21"/>
                <w:highlight w:val="none"/>
              </w:rPr>
            </w:pPr>
          </w:p>
        </w:tc>
        <w:tc>
          <w:tcPr>
            <w:tcW w:w="1345" w:type="dxa"/>
            <w:vAlign w:val="center"/>
          </w:tcPr>
          <w:p w14:paraId="4CA55871">
            <w:pPr>
              <w:wordWrap w:val="0"/>
              <w:spacing w:line="360" w:lineRule="auto"/>
              <w:jc w:val="center"/>
              <w:rPr>
                <w:rFonts w:hint="eastAsia" w:ascii="宋体" w:hAnsi="宋体" w:cs="宋体"/>
                <w:b/>
                <w:bCs/>
                <w:color w:val="auto"/>
                <w:szCs w:val="21"/>
                <w:highlight w:val="none"/>
              </w:rPr>
            </w:pPr>
            <w:r>
              <w:rPr>
                <w:rFonts w:hint="eastAsia" w:ascii="宋体" w:hAnsi="宋体" w:cs="宋体"/>
                <w:b/>
                <w:bCs/>
                <w:color w:val="auto"/>
                <w:szCs w:val="21"/>
                <w:highlight w:val="none"/>
              </w:rPr>
              <w:t>技术文件组成</w:t>
            </w:r>
          </w:p>
        </w:tc>
        <w:tc>
          <w:tcPr>
            <w:tcW w:w="8294" w:type="dxa"/>
            <w:vAlign w:val="center"/>
          </w:tcPr>
          <w:p w14:paraId="7E3EC887">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1.技术要求偏离表（格式后附）；（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499FEF4F">
            <w:pPr>
              <w:wordWrap w:val="0"/>
              <w:spacing w:line="360" w:lineRule="auto"/>
              <w:rPr>
                <w:rFonts w:hint="eastAsia" w:ascii="宋体" w:hAnsi="宋体" w:cs="宋体"/>
                <w:color w:val="auto"/>
                <w:sz w:val="22"/>
                <w:szCs w:val="22"/>
                <w:highlight w:val="none"/>
              </w:rPr>
            </w:pPr>
            <w:r>
              <w:rPr>
                <w:rFonts w:hint="eastAsia" w:ascii="宋体" w:hAnsi="宋体" w:cs="宋体"/>
                <w:color w:val="auto"/>
                <w:szCs w:val="21"/>
                <w:highlight w:val="none"/>
              </w:rPr>
              <w:t>2.</w:t>
            </w:r>
            <w:r>
              <w:rPr>
                <w:rFonts w:hint="eastAsia" w:ascii="宋体" w:hAnsi="宋体"/>
                <w:color w:val="auto"/>
                <w:szCs w:val="21"/>
                <w:highlight w:val="none"/>
              </w:rPr>
              <w:t>竞标人的技术服务、技术培训</w:t>
            </w:r>
            <w:r>
              <w:rPr>
                <w:rFonts w:hint="eastAsia" w:ascii="宋体" w:hAnsi="宋体"/>
                <w:color w:val="auto"/>
                <w:szCs w:val="21"/>
                <w:highlight w:val="none"/>
                <w:lang w:val="en-US" w:eastAsia="zh-CN"/>
              </w:rPr>
              <w:t>方案</w:t>
            </w:r>
            <w:r>
              <w:rPr>
                <w:rFonts w:hint="eastAsia" w:ascii="宋体" w:hAnsi="宋体"/>
                <w:color w:val="auto"/>
                <w:szCs w:val="21"/>
                <w:highlight w:val="none"/>
              </w:rPr>
              <w:t>（格式自拟）</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7AC84BD">
            <w:pPr>
              <w:wordWrap w:val="0"/>
              <w:snapToGrid w:val="0"/>
              <w:spacing w:line="360" w:lineRule="auto"/>
              <w:jc w:val="left"/>
              <w:rPr>
                <w:rFonts w:hint="eastAsia" w:ascii="宋体" w:hAnsi="宋体" w:cs="宋体"/>
                <w:color w:val="auto"/>
                <w:szCs w:val="21"/>
                <w:highlight w:val="none"/>
              </w:rPr>
            </w:pPr>
            <w:r>
              <w:rPr>
                <w:rFonts w:hint="eastAsia" w:ascii="宋体" w:hAnsi="宋体" w:cs="宋体"/>
                <w:color w:val="auto"/>
                <w:sz w:val="22"/>
                <w:szCs w:val="22"/>
                <w:highlight w:val="none"/>
              </w:rPr>
              <w:t>3.售后服务承诺、</w:t>
            </w:r>
            <w:r>
              <w:rPr>
                <w:rFonts w:hint="eastAsia" w:ascii="宋体" w:hAnsi="宋体"/>
                <w:color w:val="auto"/>
                <w:sz w:val="22"/>
                <w:szCs w:val="22"/>
                <w:highlight w:val="none"/>
              </w:rPr>
              <w:t>售</w:t>
            </w:r>
            <w:r>
              <w:rPr>
                <w:rFonts w:hint="eastAsia" w:ascii="宋体" w:hAnsi="宋体"/>
                <w:color w:val="auto"/>
                <w:szCs w:val="21"/>
                <w:highlight w:val="none"/>
              </w:rPr>
              <w:t>后服务方案（格式自拟）</w:t>
            </w:r>
            <w:r>
              <w:rPr>
                <w:rFonts w:hint="eastAsia" w:ascii="宋体" w:hAnsi="宋体" w:cs="宋体"/>
                <w:color w:val="auto"/>
                <w:szCs w:val="21"/>
                <w:highlight w:val="none"/>
              </w:rPr>
              <w:t>；（</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03C1547B">
            <w:pPr>
              <w:wordWrap w:val="0"/>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.对应采购需求的货物需求、商务条款提供的其他文件资料；</w:t>
            </w:r>
            <w:r>
              <w:rPr>
                <w:rFonts w:hint="eastAsia" w:ascii="宋体" w:hAnsi="宋体" w:cs="宋体"/>
                <w:b/>
                <w:bCs/>
                <w:color w:val="auto"/>
                <w:szCs w:val="21"/>
                <w:highlight w:val="none"/>
              </w:rPr>
              <w:t>（如有请提供）</w:t>
            </w:r>
          </w:p>
          <w:p w14:paraId="2AD2A08B">
            <w:pPr>
              <w:wordWrap w:val="0"/>
              <w:snapToGrid w:val="0"/>
              <w:spacing w:line="360" w:lineRule="auto"/>
              <w:jc w:val="left"/>
              <w:rPr>
                <w:rFonts w:hint="eastAsia" w:ascii="宋体" w:hAnsi="宋体" w:cs="宋体"/>
                <w:b/>
                <w:bCs/>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.供应商认为需要提供的其他有关资料。</w:t>
            </w:r>
            <w:r>
              <w:rPr>
                <w:rFonts w:hint="eastAsia" w:ascii="宋体" w:hAnsi="宋体" w:cs="宋体"/>
                <w:b/>
                <w:bCs/>
                <w:color w:val="auto"/>
                <w:szCs w:val="21"/>
                <w:highlight w:val="none"/>
              </w:rPr>
              <w:t>（如有请提供）</w:t>
            </w:r>
          </w:p>
          <w:p w14:paraId="6D65AE43">
            <w:pPr>
              <w:wordWrap w:val="0"/>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注：以上标明“必须提供”的材料属于复印件的扫描件的，必须加盖供应商公章（或电子签章），否则响应文件按无效响应处理。</w:t>
            </w:r>
          </w:p>
        </w:tc>
      </w:tr>
      <w:tr w14:paraId="6D4363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268A0358">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12.1.3</w:t>
            </w:r>
          </w:p>
        </w:tc>
        <w:tc>
          <w:tcPr>
            <w:tcW w:w="1345" w:type="dxa"/>
            <w:vAlign w:val="center"/>
          </w:tcPr>
          <w:p w14:paraId="17AF1C51">
            <w:pPr>
              <w:wordWrap w:val="0"/>
              <w:spacing w:line="360" w:lineRule="auto"/>
              <w:jc w:val="center"/>
              <w:rPr>
                <w:rFonts w:hint="eastAsia" w:ascii="宋体" w:hAnsi="宋体" w:cs="宋体"/>
                <w:color w:val="auto"/>
                <w:szCs w:val="21"/>
                <w:highlight w:val="none"/>
              </w:rPr>
            </w:pPr>
            <w:r>
              <w:rPr>
                <w:rFonts w:hint="eastAsia" w:ascii="宋体" w:hAnsi="宋体" w:cs="宋体"/>
                <w:b/>
                <w:bCs/>
                <w:color w:val="auto"/>
                <w:szCs w:val="21"/>
                <w:highlight w:val="none"/>
              </w:rPr>
              <w:t>报价文件组成</w:t>
            </w:r>
          </w:p>
        </w:tc>
        <w:tc>
          <w:tcPr>
            <w:tcW w:w="8294" w:type="dxa"/>
            <w:vAlign w:val="center"/>
          </w:tcPr>
          <w:p w14:paraId="33DDFEA2">
            <w:pPr>
              <w:tabs>
                <w:tab w:val="left" w:pos="459"/>
              </w:tabs>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1.响应函（格式后附）；</w:t>
            </w:r>
            <w:r>
              <w:rPr>
                <w:rFonts w:hint="eastAsia" w:ascii="宋体" w:hAnsi="宋体" w:cs="宋体"/>
                <w:b/>
                <w:color w:val="auto"/>
                <w:szCs w:val="21"/>
                <w:highlight w:val="none"/>
              </w:rPr>
              <w:t>（必须提供，否则作无效响应处理）</w:t>
            </w:r>
          </w:p>
          <w:p w14:paraId="667E50F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2.响应报价表（格式后附）；（</w:t>
            </w:r>
            <w:r>
              <w:rPr>
                <w:rFonts w:hint="eastAsia" w:ascii="宋体" w:hAnsi="宋体" w:cs="宋体"/>
                <w:b/>
                <w:color w:val="auto"/>
                <w:szCs w:val="21"/>
                <w:highlight w:val="none"/>
              </w:rPr>
              <w:t>必须提供，否则响应文件按无效响应处理</w:t>
            </w:r>
            <w:r>
              <w:rPr>
                <w:rFonts w:hint="eastAsia" w:ascii="宋体" w:hAnsi="宋体" w:cs="宋体"/>
                <w:color w:val="auto"/>
                <w:szCs w:val="21"/>
                <w:highlight w:val="none"/>
              </w:rPr>
              <w:t>）</w:t>
            </w:r>
          </w:p>
          <w:p w14:paraId="16F4CB7B">
            <w:pPr>
              <w:wordWrap w:val="0"/>
              <w:spacing w:line="360" w:lineRule="auto"/>
              <w:rPr>
                <w:rFonts w:hint="eastAsia" w:ascii="宋体" w:hAnsi="宋体" w:cs="宋体"/>
                <w:b/>
                <w:bCs/>
                <w:color w:val="auto"/>
                <w:szCs w:val="21"/>
                <w:highlight w:val="none"/>
              </w:rPr>
            </w:pPr>
            <w:r>
              <w:rPr>
                <w:rFonts w:hint="eastAsia" w:ascii="宋体" w:hAnsi="宋体" w:cs="宋体"/>
                <w:color w:val="auto"/>
                <w:szCs w:val="21"/>
                <w:highlight w:val="none"/>
              </w:rPr>
              <w:t>3.中小企业声明函（格式后附）；</w:t>
            </w:r>
            <w:r>
              <w:rPr>
                <w:rFonts w:hint="eastAsia" w:ascii="宋体" w:hAnsi="宋体" w:cs="宋体"/>
                <w:b/>
                <w:bCs/>
                <w:color w:val="auto"/>
                <w:szCs w:val="21"/>
                <w:highlight w:val="none"/>
              </w:rPr>
              <w:t>（如有请提供）</w:t>
            </w:r>
          </w:p>
          <w:p w14:paraId="0CA9D769">
            <w:pPr>
              <w:bidi w:val="0"/>
              <w:rPr>
                <w:rFonts w:hint="eastAsia" w:ascii="宋体" w:hAnsi="宋体" w:cs="宋体"/>
                <w:b/>
                <w:bCs/>
                <w:color w:val="auto"/>
                <w:szCs w:val="21"/>
                <w:highlight w:val="none"/>
              </w:rPr>
            </w:pPr>
            <w:r>
              <w:rPr>
                <w:rFonts w:hint="eastAsia"/>
                <w:color w:val="auto"/>
                <w:highlight w:val="none"/>
                <w:lang w:val="en-US" w:eastAsia="zh-CN"/>
              </w:rPr>
              <w:t>4.</w:t>
            </w:r>
            <w:r>
              <w:rPr>
                <w:rFonts w:hint="eastAsia"/>
                <w:color w:val="auto"/>
                <w:highlight w:val="none"/>
              </w:rPr>
              <w:t>关于符合本国产品标准的声明函（格式后附）；</w:t>
            </w:r>
            <w:r>
              <w:rPr>
                <w:rFonts w:hint="eastAsia"/>
                <w:b/>
                <w:bCs/>
                <w:color w:val="auto"/>
                <w:highlight w:val="none"/>
              </w:rPr>
              <w:t>（如有请提供）</w:t>
            </w:r>
          </w:p>
          <w:p w14:paraId="482EE68E">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.供应商认为需要提供的其他有关资料。</w:t>
            </w:r>
            <w:r>
              <w:rPr>
                <w:rFonts w:hint="eastAsia" w:ascii="宋体" w:hAnsi="宋体" w:cs="宋体"/>
                <w:b/>
                <w:bCs/>
                <w:color w:val="auto"/>
                <w:szCs w:val="21"/>
                <w:highlight w:val="none"/>
              </w:rPr>
              <w:t>（如有请提供）</w:t>
            </w:r>
          </w:p>
          <w:p w14:paraId="4A4FAA41">
            <w:pPr>
              <w:wordWrap w:val="0"/>
              <w:spacing w:line="360" w:lineRule="auto"/>
              <w:rPr>
                <w:rFonts w:hint="eastAsia" w:ascii="宋体" w:hAnsi="宋体" w:cs="宋体"/>
                <w:b/>
                <w:bCs/>
                <w:color w:val="auto"/>
                <w:szCs w:val="21"/>
                <w:highlight w:val="none"/>
              </w:rPr>
            </w:pPr>
            <w:r>
              <w:rPr>
                <w:rFonts w:hint="eastAsia" w:ascii="宋体" w:hAnsi="宋体" w:cs="宋体"/>
                <w:b/>
                <w:color w:val="auto"/>
                <w:szCs w:val="21"/>
                <w:highlight w:val="none"/>
              </w:rPr>
              <w:t>注：以上标明“必须提供”的材料属于复印件的扫描件的，必须加盖供应商公章（或电子签章），否则响应文件按无效响应处理。</w:t>
            </w:r>
          </w:p>
        </w:tc>
      </w:tr>
      <w:tr w14:paraId="7F2CEF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4D413800">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12.2</w:t>
            </w:r>
          </w:p>
        </w:tc>
        <w:tc>
          <w:tcPr>
            <w:tcW w:w="1345" w:type="dxa"/>
            <w:vAlign w:val="center"/>
          </w:tcPr>
          <w:p w14:paraId="5A0E32BD">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响应文件电子版要求</w:t>
            </w:r>
          </w:p>
        </w:tc>
        <w:tc>
          <w:tcPr>
            <w:tcW w:w="8294" w:type="dxa"/>
            <w:vAlign w:val="center"/>
          </w:tcPr>
          <w:p w14:paraId="6DBD5539">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1.响应文件电子版要求：</w:t>
            </w:r>
            <w:r>
              <w:rPr>
                <w:rFonts w:hint="eastAsia" w:ascii="宋体" w:hAnsi="宋体" w:cs="宋体"/>
                <w:color w:val="auto"/>
                <w:szCs w:val="21"/>
                <w:highlight w:val="none"/>
                <w:lang w:val="zh-CN"/>
              </w:rPr>
              <w:t>按照本采购文件“第五章响应文件格式”编写（第五章未附格式的，由供应商自行拟定），不可涂改并在规定加盖公章处加盖电子公章，</w:t>
            </w:r>
            <w:r>
              <w:rPr>
                <w:rFonts w:hint="eastAsia" w:ascii="宋体" w:hAnsi="宋体" w:cs="宋体"/>
                <w:b/>
                <w:bCs/>
                <w:color w:val="auto"/>
                <w:szCs w:val="21"/>
                <w:highlight w:val="none"/>
                <w:lang w:val="zh-CN"/>
              </w:rPr>
              <w:t>否则响应文件按无效响应处理</w:t>
            </w:r>
            <w:r>
              <w:rPr>
                <w:rFonts w:hint="eastAsia" w:ascii="宋体" w:hAnsi="宋体" w:cs="宋体"/>
                <w:color w:val="auto"/>
                <w:szCs w:val="21"/>
                <w:highlight w:val="none"/>
                <w:lang w:val="zh-CN"/>
              </w:rPr>
              <w:t>。</w:t>
            </w:r>
          </w:p>
          <w:p w14:paraId="137B6060">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2.响应文件电子版密封方式：电子响应文件通过平台有效CA加密后在广西政府采购云平台投送。（操作方式见公告附件“电子响应文件制作与投送教程” ）</w:t>
            </w:r>
          </w:p>
        </w:tc>
      </w:tr>
      <w:tr w14:paraId="045B6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79E57885">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15.2</w:t>
            </w:r>
          </w:p>
        </w:tc>
        <w:tc>
          <w:tcPr>
            <w:tcW w:w="1345" w:type="dxa"/>
            <w:vAlign w:val="center"/>
          </w:tcPr>
          <w:p w14:paraId="734D89D0">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响应报价要求</w:t>
            </w:r>
          </w:p>
        </w:tc>
        <w:tc>
          <w:tcPr>
            <w:tcW w:w="8294" w:type="dxa"/>
            <w:vAlign w:val="center"/>
          </w:tcPr>
          <w:p w14:paraId="00ACE861">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响应报价必须包含满足本次竞标全部采购需求所应提供的货物，以及伴随的货物和工程（如有）的价格；包含竞标货物、货物、工程的成本、运输（含保险）、安装（如有）、调试、检验、技术货物、培训、税费等所有费用。（</w:t>
            </w:r>
            <w:r>
              <w:rPr>
                <w:rFonts w:hint="eastAsia" w:ascii="宋体" w:hAnsi="宋体" w:cs="宋体"/>
                <w:b/>
                <w:color w:val="auto"/>
                <w:szCs w:val="21"/>
                <w:highlight w:val="none"/>
              </w:rPr>
              <w:t>本采购文件第二章“采购需求”另有约定的，从其约定；响应报价范围如有不完整，响应文件按无效响应处理）</w:t>
            </w:r>
          </w:p>
        </w:tc>
      </w:tr>
      <w:tr w14:paraId="59B75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42CED6E2">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16.2</w:t>
            </w:r>
          </w:p>
        </w:tc>
        <w:tc>
          <w:tcPr>
            <w:tcW w:w="1345" w:type="dxa"/>
            <w:vAlign w:val="center"/>
          </w:tcPr>
          <w:p w14:paraId="14166E1C">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竞标有效期</w:t>
            </w:r>
          </w:p>
        </w:tc>
        <w:tc>
          <w:tcPr>
            <w:tcW w:w="8294" w:type="dxa"/>
            <w:vAlign w:val="center"/>
          </w:tcPr>
          <w:p w14:paraId="3B8ADFC5">
            <w:pPr>
              <w:tabs>
                <w:tab w:val="left" w:pos="720"/>
                <w:tab w:val="left" w:pos="840"/>
              </w:tabs>
              <w:wordWrap w:val="0"/>
              <w:spacing w:line="360" w:lineRule="auto"/>
              <w:ind w:left="283" w:hanging="283" w:hangingChars="135"/>
              <w:jc w:val="left"/>
              <w:rPr>
                <w:rFonts w:hint="eastAsia" w:ascii="宋体" w:hAnsi="宋体" w:cs="宋体"/>
                <w:color w:val="auto"/>
                <w:szCs w:val="21"/>
                <w:highlight w:val="none"/>
              </w:rPr>
            </w:pPr>
            <w:r>
              <w:rPr>
                <w:rFonts w:hint="eastAsia" w:ascii="宋体" w:hAnsi="宋体" w:cs="宋体"/>
                <w:color w:val="auto"/>
                <w:szCs w:val="21"/>
                <w:highlight w:val="none"/>
              </w:rPr>
              <w:t>自首次响应文件提交截止之日起 90 日。</w:t>
            </w:r>
          </w:p>
        </w:tc>
      </w:tr>
      <w:tr w14:paraId="348EE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69FF5032">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17.1</w:t>
            </w:r>
          </w:p>
        </w:tc>
        <w:tc>
          <w:tcPr>
            <w:tcW w:w="1345" w:type="dxa"/>
            <w:vAlign w:val="center"/>
          </w:tcPr>
          <w:p w14:paraId="02B47100">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竞标保证金</w:t>
            </w:r>
          </w:p>
        </w:tc>
        <w:tc>
          <w:tcPr>
            <w:tcW w:w="8294" w:type="dxa"/>
            <w:vAlign w:val="center"/>
          </w:tcPr>
          <w:p w14:paraId="5F5FB084">
            <w:pPr>
              <w:snapToGrid w:val="0"/>
              <w:spacing w:line="360" w:lineRule="auto"/>
              <w:rPr>
                <w:rFonts w:hint="eastAsia" w:ascii="宋体" w:hAnsi="宋体"/>
                <w:color w:val="auto"/>
                <w:szCs w:val="21"/>
                <w:highlight w:val="none"/>
              </w:rPr>
            </w:pPr>
            <w:r>
              <w:rPr>
                <w:rFonts w:hint="eastAsia" w:ascii="宋体" w:hAnsi="宋体"/>
                <w:b/>
                <w:bCs/>
                <w:color w:val="auto"/>
                <w:szCs w:val="21"/>
                <w:highlight w:val="none"/>
              </w:rPr>
              <w:t>本项目收取</w:t>
            </w:r>
            <w:r>
              <w:rPr>
                <w:rFonts w:hint="eastAsia" w:ascii="宋体" w:hAnsi="宋体" w:cs="宋体"/>
                <w:b/>
                <w:bCs/>
                <w:color w:val="auto"/>
                <w:szCs w:val="21"/>
                <w:highlight w:val="none"/>
              </w:rPr>
              <w:t>竞标保证金</w:t>
            </w:r>
            <w:r>
              <w:rPr>
                <w:rFonts w:hint="eastAsia" w:ascii="宋体" w:hAnsi="宋体"/>
                <w:color w:val="auto"/>
                <w:szCs w:val="21"/>
                <w:highlight w:val="none"/>
              </w:rPr>
              <w:t>，具体规定如下：</w:t>
            </w:r>
          </w:p>
          <w:p w14:paraId="7503958A">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竞标保证金（人民币）：</w:t>
            </w:r>
            <w:r>
              <w:rPr>
                <w:rFonts w:hint="eastAsia" w:ascii="宋体" w:hAnsi="宋体" w:cs="宋体"/>
                <w:color w:val="auto"/>
                <w:szCs w:val="21"/>
                <w:highlight w:val="none"/>
              </w:rPr>
              <w:t>详见竞争性谈判公告</w:t>
            </w:r>
            <w:r>
              <w:rPr>
                <w:rFonts w:hint="eastAsia" w:ascii="宋体" w:hAnsi="宋体" w:cs="宋体"/>
                <w:color w:val="auto"/>
                <w:kern w:val="0"/>
                <w:szCs w:val="21"/>
                <w:highlight w:val="none"/>
              </w:rPr>
              <w:t>；</w:t>
            </w:r>
          </w:p>
          <w:p w14:paraId="258CBAF5">
            <w:pPr>
              <w:snapToGrid w:val="0"/>
              <w:spacing w:line="360" w:lineRule="auto"/>
              <w:rPr>
                <w:rFonts w:hint="eastAsia" w:ascii="宋体" w:hAnsi="宋体" w:cs="宋体"/>
                <w:color w:val="auto"/>
                <w:kern w:val="0"/>
                <w:szCs w:val="21"/>
                <w:highlight w:val="none"/>
              </w:rPr>
            </w:pPr>
            <w:r>
              <w:rPr>
                <w:rFonts w:hint="eastAsia" w:ascii="宋体" w:hAnsi="宋体" w:cs="宋体"/>
                <w:color w:val="auto"/>
                <w:szCs w:val="21"/>
                <w:highlight w:val="none"/>
              </w:rPr>
              <w:t>竞标保证金</w:t>
            </w:r>
            <w:r>
              <w:rPr>
                <w:rFonts w:hint="eastAsia" w:ascii="宋体" w:hAnsi="宋体" w:cs="宋体"/>
                <w:color w:val="auto"/>
                <w:kern w:val="0"/>
                <w:szCs w:val="21"/>
                <w:highlight w:val="none"/>
              </w:rPr>
              <w:t>的交纳方式：</w:t>
            </w:r>
            <w:r>
              <w:rPr>
                <w:rFonts w:hint="eastAsia" w:ascii="宋体" w:hAnsi="宋体" w:cs="宋体"/>
                <w:color w:val="auto"/>
                <w:szCs w:val="21"/>
                <w:highlight w:val="none"/>
              </w:rPr>
              <w:t>详见竞争性谈判公告</w:t>
            </w:r>
            <w:r>
              <w:rPr>
                <w:rFonts w:hint="eastAsia" w:ascii="宋体" w:hAnsi="宋体" w:cs="宋体"/>
                <w:color w:val="auto"/>
                <w:kern w:val="0"/>
                <w:szCs w:val="21"/>
                <w:highlight w:val="none"/>
              </w:rPr>
              <w:t>。</w:t>
            </w:r>
          </w:p>
          <w:p w14:paraId="22ED0B2B">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相关要求：</w:t>
            </w:r>
          </w:p>
          <w:p w14:paraId="7AD23301">
            <w:pPr>
              <w:snapToGrid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1.竞标保证金采用银行转账交纳方式的，在响应文件提交截止时间前交至指定账户并且到账，供应商应将银行转账底单的复印件作为竞标保证金提交凭证，放置于报价商务技术文件中，</w:t>
            </w:r>
            <w:r>
              <w:rPr>
                <w:rFonts w:hint="eastAsia" w:ascii="宋体" w:hAnsi="宋体" w:cs="宋体"/>
                <w:b/>
                <w:color w:val="auto"/>
                <w:szCs w:val="21"/>
                <w:highlight w:val="none"/>
              </w:rPr>
              <w:t>否则响应文件按无效响应处理</w:t>
            </w:r>
            <w:r>
              <w:rPr>
                <w:rFonts w:hint="eastAsia" w:ascii="宋体" w:hAnsi="宋体" w:cs="宋体"/>
                <w:color w:val="auto"/>
                <w:szCs w:val="21"/>
                <w:highlight w:val="none"/>
              </w:rPr>
              <w:t>。</w:t>
            </w:r>
          </w:p>
          <w:p w14:paraId="6CFBAB04">
            <w:pPr>
              <w:snapToGrid w:val="0"/>
              <w:spacing w:line="360" w:lineRule="auto"/>
              <w:rPr>
                <w:rFonts w:hint="eastAsia" w:ascii="宋体" w:hAnsi="宋体"/>
                <w:b/>
                <w:color w:val="auto"/>
                <w:szCs w:val="21"/>
                <w:highlight w:val="none"/>
              </w:rPr>
            </w:pPr>
            <w:r>
              <w:rPr>
                <w:rFonts w:hint="eastAsia" w:ascii="宋体" w:hAnsi="宋体"/>
                <w:color w:val="auto"/>
                <w:szCs w:val="21"/>
                <w:highlight w:val="none"/>
              </w:rPr>
              <w:t>2.</w:t>
            </w:r>
            <w:r>
              <w:rPr>
                <w:rFonts w:hint="eastAsia" w:ascii="宋体" w:hAnsi="宋体" w:cs="宋体"/>
                <w:color w:val="auto"/>
                <w:szCs w:val="21"/>
                <w:highlight w:val="none"/>
              </w:rPr>
              <w:t>竞标保证金</w:t>
            </w:r>
            <w:r>
              <w:rPr>
                <w:rFonts w:hint="eastAsia" w:ascii="宋体" w:hAnsi="宋体"/>
                <w:color w:val="auto"/>
                <w:szCs w:val="21"/>
                <w:highlight w:val="none"/>
              </w:rPr>
              <w:t>采用支票、汇票、本票或者金融、担保机构出具的保函交纳方式的，供应商应将支票、汇票、本票或者金融、担保机构出具的保函的复印件作为</w:t>
            </w:r>
            <w:r>
              <w:rPr>
                <w:rFonts w:hint="eastAsia" w:ascii="宋体" w:hAnsi="宋体" w:cs="宋体"/>
                <w:color w:val="auto"/>
                <w:szCs w:val="21"/>
                <w:highlight w:val="none"/>
              </w:rPr>
              <w:t>竞标保证金</w:t>
            </w:r>
            <w:r>
              <w:rPr>
                <w:rFonts w:hint="eastAsia" w:ascii="宋体" w:hAnsi="宋体"/>
                <w:color w:val="auto"/>
                <w:szCs w:val="21"/>
                <w:highlight w:val="none"/>
              </w:rPr>
              <w:t>提交凭证，放置于</w:t>
            </w:r>
            <w:r>
              <w:rPr>
                <w:rFonts w:hint="eastAsia" w:ascii="宋体" w:hAnsi="宋体" w:cs="宋体"/>
                <w:color w:val="auto"/>
                <w:szCs w:val="21"/>
                <w:highlight w:val="none"/>
              </w:rPr>
              <w:t>报价商务技术文件</w:t>
            </w:r>
            <w:r>
              <w:rPr>
                <w:rFonts w:hint="eastAsia" w:ascii="宋体" w:hAnsi="宋体"/>
                <w:color w:val="auto"/>
                <w:szCs w:val="21"/>
                <w:highlight w:val="none"/>
              </w:rPr>
              <w:t>中，</w:t>
            </w:r>
            <w:r>
              <w:rPr>
                <w:rFonts w:hint="eastAsia" w:ascii="宋体" w:hAnsi="宋体" w:cs="宋体"/>
                <w:b/>
                <w:color w:val="auto"/>
                <w:szCs w:val="21"/>
                <w:highlight w:val="none"/>
              </w:rPr>
              <w:t>否则响应文件按无效响应处理</w:t>
            </w:r>
            <w:r>
              <w:rPr>
                <w:rFonts w:hint="eastAsia" w:ascii="宋体" w:hAnsi="宋体"/>
                <w:color w:val="auto"/>
                <w:szCs w:val="21"/>
                <w:highlight w:val="none"/>
              </w:rPr>
              <w:t>。</w:t>
            </w:r>
            <w:r>
              <w:rPr>
                <w:rFonts w:hint="eastAsia" w:ascii="宋体" w:hAnsi="宋体"/>
                <w:b/>
                <w:color w:val="auto"/>
                <w:szCs w:val="21"/>
                <w:highlight w:val="none"/>
              </w:rPr>
              <w:t>供应商必须在首次响应文件提交截止时间前将支票、汇票、本票或者金融、担保机构出具的保函原件提交给采购代理机构，由采购代理机构向供应商出具回执，并妥善保管。</w:t>
            </w:r>
          </w:p>
          <w:p w14:paraId="0DDCA9D3">
            <w:pPr>
              <w:snapToGrid w:val="0"/>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3.供应商为联合体的，可以由联合体中的一方或者多方共同交纳竞标保证金，其交纳的保证金对联合体各方均具有约束力。</w:t>
            </w:r>
          </w:p>
          <w:p w14:paraId="656BB062">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 xml:space="preserve">备注： </w:t>
            </w:r>
          </w:p>
          <w:p w14:paraId="6F5A8A4C">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1. 响应文件提交截止时间后提交的，或者未足额交纳的，或者保函额度不足的，视为无效竞标保证金。</w:t>
            </w:r>
          </w:p>
          <w:p w14:paraId="7F78789F">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2.供应商采用现钞方式或者从个人账户（自然人竞标除外）转出的竞标保证金，视为无效竞标保证金。</w:t>
            </w:r>
          </w:p>
          <w:p w14:paraId="4BB86512">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3.支票、汇票或者本票出现无效或者背书情形的，视为无效竞标保证金。</w:t>
            </w:r>
          </w:p>
          <w:p w14:paraId="7C0A405F">
            <w:pPr>
              <w:snapToGrid w:val="0"/>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4.保函有效期低于竞标有效期的，视为无效竞标保证金。</w:t>
            </w:r>
          </w:p>
          <w:p w14:paraId="30547EBD">
            <w:pPr>
              <w:wordWrap w:val="0"/>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5.竞标保证金采用金融、担保机构出具的保函为有条件保函的，视为无效竞标保证金。</w:t>
            </w:r>
          </w:p>
        </w:tc>
      </w:tr>
      <w:tr w14:paraId="12968B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8" w:hRule="atLeast"/>
          <w:jc w:val="center"/>
        </w:trPr>
        <w:tc>
          <w:tcPr>
            <w:tcW w:w="725" w:type="dxa"/>
            <w:vMerge w:val="restart"/>
            <w:vAlign w:val="center"/>
          </w:tcPr>
          <w:p w14:paraId="69397E58">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20.1</w:t>
            </w:r>
          </w:p>
        </w:tc>
        <w:tc>
          <w:tcPr>
            <w:tcW w:w="1345" w:type="dxa"/>
            <w:vAlign w:val="center"/>
          </w:tcPr>
          <w:p w14:paraId="5DB0EC6E">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首次响应文件提交起止时间</w:t>
            </w:r>
          </w:p>
        </w:tc>
        <w:tc>
          <w:tcPr>
            <w:tcW w:w="8294" w:type="dxa"/>
            <w:vAlign w:val="center"/>
          </w:tcPr>
          <w:p w14:paraId="676B1877">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详见竞争性谈判公告。</w:t>
            </w:r>
          </w:p>
        </w:tc>
      </w:tr>
      <w:tr w14:paraId="0E713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Merge w:val="continue"/>
            <w:vAlign w:val="center"/>
          </w:tcPr>
          <w:p w14:paraId="3477B01A">
            <w:pPr>
              <w:wordWrap w:val="0"/>
              <w:spacing w:line="360" w:lineRule="auto"/>
              <w:jc w:val="center"/>
              <w:rPr>
                <w:rFonts w:hint="eastAsia" w:ascii="宋体" w:hAnsi="宋体" w:cs="宋体"/>
                <w:color w:val="auto"/>
                <w:szCs w:val="21"/>
                <w:highlight w:val="none"/>
              </w:rPr>
            </w:pPr>
          </w:p>
        </w:tc>
        <w:tc>
          <w:tcPr>
            <w:tcW w:w="1345" w:type="dxa"/>
            <w:vAlign w:val="center"/>
          </w:tcPr>
          <w:p w14:paraId="6EAB9EA6">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首次响应文件提交地点</w:t>
            </w:r>
          </w:p>
        </w:tc>
        <w:tc>
          <w:tcPr>
            <w:tcW w:w="8294" w:type="dxa"/>
            <w:vAlign w:val="center"/>
          </w:tcPr>
          <w:p w14:paraId="48F231E7">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详见竞争性谈判公告。</w:t>
            </w:r>
          </w:p>
        </w:tc>
      </w:tr>
      <w:tr w14:paraId="79F0D4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Align w:val="center"/>
          </w:tcPr>
          <w:p w14:paraId="29762303">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20.6</w:t>
            </w:r>
          </w:p>
        </w:tc>
        <w:tc>
          <w:tcPr>
            <w:tcW w:w="1345" w:type="dxa"/>
            <w:vAlign w:val="center"/>
          </w:tcPr>
          <w:p w14:paraId="342A0461">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备份响应文件</w:t>
            </w:r>
          </w:p>
        </w:tc>
        <w:tc>
          <w:tcPr>
            <w:tcW w:w="8294" w:type="dxa"/>
            <w:vAlign w:val="center"/>
          </w:tcPr>
          <w:p w14:paraId="4AF6D25B">
            <w:pPr>
              <w:wordWrap w:val="0"/>
              <w:spacing w:line="360" w:lineRule="auto"/>
              <w:jc w:val="left"/>
              <w:rPr>
                <w:rFonts w:hint="eastAsia" w:ascii="宋体" w:hAnsi="宋体" w:cs="宋体"/>
                <w:color w:val="auto"/>
                <w:szCs w:val="21"/>
                <w:highlight w:val="none"/>
              </w:rPr>
            </w:pPr>
            <w:r>
              <w:rPr>
                <w:rFonts w:hint="eastAsia" w:ascii="宋体" w:hAnsi="宋体" w:cs="宋体"/>
                <w:color w:val="auto"/>
                <w:kern w:val="0"/>
                <w:szCs w:val="21"/>
                <w:highlight w:val="none"/>
              </w:rPr>
              <w:t>供应商在在线上传加密文件后可以在开标前向代理机构提供加密副本文件（与加密文件同时生成的），当解密时间内供应商由于非人为操作导致无法解密的，可以由代理机构用备份文件进行异常处理，</w:t>
            </w:r>
            <w:r>
              <w:rPr>
                <w:rFonts w:hint="eastAsia" w:ascii="宋体" w:hAnsi="宋体" w:cs="宋体"/>
                <w:color w:val="auto"/>
                <w:szCs w:val="21"/>
                <w:highlight w:val="none"/>
              </w:rPr>
              <w:t>详见竞争性谈判公告。</w:t>
            </w:r>
          </w:p>
        </w:tc>
      </w:tr>
      <w:tr w14:paraId="58CE1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2" w:hRule="atLeast"/>
          <w:jc w:val="center"/>
        </w:trPr>
        <w:tc>
          <w:tcPr>
            <w:tcW w:w="725" w:type="dxa"/>
            <w:vAlign w:val="center"/>
          </w:tcPr>
          <w:p w14:paraId="27052078">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21</w:t>
            </w:r>
          </w:p>
        </w:tc>
        <w:tc>
          <w:tcPr>
            <w:tcW w:w="1345" w:type="dxa"/>
            <w:vAlign w:val="center"/>
          </w:tcPr>
          <w:p w14:paraId="0ABB525F">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首次响应文件的退回</w:t>
            </w:r>
          </w:p>
        </w:tc>
        <w:tc>
          <w:tcPr>
            <w:tcW w:w="8294" w:type="dxa"/>
            <w:vAlign w:val="center"/>
          </w:tcPr>
          <w:p w14:paraId="4F53B185">
            <w:pPr>
              <w:wordWrap w:val="0"/>
              <w:spacing w:line="360" w:lineRule="auto"/>
              <w:jc w:val="left"/>
              <w:rPr>
                <w:rFonts w:hint="eastAsia" w:ascii="宋体" w:hAnsi="宋体" w:cs="宋体"/>
                <w:color w:val="auto"/>
                <w:szCs w:val="21"/>
                <w:highlight w:val="none"/>
              </w:rPr>
            </w:pPr>
            <w:r>
              <w:rPr>
                <w:rFonts w:hint="eastAsia" w:ascii="宋体" w:hAnsi="宋体" w:cs="宋体"/>
                <w:color w:val="auto"/>
                <w:szCs w:val="21"/>
                <w:highlight w:val="none"/>
              </w:rPr>
              <w:t>详见竞争性谈判公告。</w:t>
            </w:r>
          </w:p>
        </w:tc>
      </w:tr>
      <w:tr w14:paraId="48AF3A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725" w:type="dxa"/>
            <w:vMerge w:val="restart"/>
            <w:vAlign w:val="center"/>
          </w:tcPr>
          <w:p w14:paraId="768F9FDF">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26.2</w:t>
            </w:r>
          </w:p>
        </w:tc>
        <w:tc>
          <w:tcPr>
            <w:tcW w:w="1345" w:type="dxa"/>
            <w:vAlign w:val="center"/>
          </w:tcPr>
          <w:p w14:paraId="7EF51EA0">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负偏离要求</w:t>
            </w:r>
          </w:p>
        </w:tc>
        <w:tc>
          <w:tcPr>
            <w:tcW w:w="8294" w:type="dxa"/>
            <w:vAlign w:val="center"/>
          </w:tcPr>
          <w:p w14:paraId="1CA4E0A1">
            <w:pPr>
              <w:wordWrap w:val="0"/>
              <w:spacing w:line="360" w:lineRule="auto"/>
              <w:rPr>
                <w:rFonts w:hint="eastAsia" w:ascii="宋体" w:hAnsi="宋体" w:cs="宋体"/>
                <w:b/>
                <w:bCs/>
                <w:color w:val="auto"/>
                <w:szCs w:val="21"/>
                <w:highlight w:val="none"/>
              </w:rPr>
            </w:pPr>
            <w:r>
              <w:rPr>
                <w:rFonts w:hint="eastAsia" w:ascii="宋体" w:hAnsi="宋体" w:cs="宋体"/>
                <w:b/>
                <w:bCs/>
                <w:color w:val="auto"/>
                <w:szCs w:val="21"/>
                <w:highlight w:val="none"/>
              </w:rPr>
              <w:t>商务条款评审中允许负偏离的条款数为 0项。（不含实质性条款，即标记“▲”的条款）</w:t>
            </w:r>
          </w:p>
          <w:p w14:paraId="7C4A47BE">
            <w:pPr>
              <w:wordWrap w:val="0"/>
              <w:spacing w:line="360" w:lineRule="auto"/>
              <w:rPr>
                <w:rFonts w:hint="eastAsia" w:ascii="宋体" w:hAnsi="宋体" w:cs="宋体"/>
                <w:color w:val="auto"/>
                <w:szCs w:val="21"/>
                <w:highlight w:val="none"/>
              </w:rPr>
            </w:pPr>
            <w:r>
              <w:rPr>
                <w:rFonts w:hint="eastAsia" w:ascii="宋体" w:hAnsi="宋体" w:cs="宋体"/>
                <w:b/>
                <w:bCs/>
                <w:color w:val="auto"/>
                <w:szCs w:val="21"/>
                <w:highlight w:val="none"/>
              </w:rPr>
              <w:t>货物需求评审中允许技术负偏离的条款</w:t>
            </w:r>
            <w:r>
              <w:rPr>
                <w:rFonts w:hint="eastAsia" w:ascii="宋体" w:hAnsi="宋体" w:cs="宋体"/>
                <w:b/>
                <w:bCs/>
                <w:color w:val="auto"/>
                <w:szCs w:val="21"/>
                <w:highlight w:val="none"/>
                <w:lang w:val="en-US" w:eastAsia="zh-CN"/>
              </w:rPr>
              <w:t>总</w:t>
            </w:r>
            <w:r>
              <w:rPr>
                <w:rFonts w:hint="eastAsia" w:ascii="宋体" w:hAnsi="宋体" w:cs="宋体"/>
                <w:b/>
                <w:bCs/>
                <w:color w:val="auto"/>
                <w:szCs w:val="21"/>
                <w:highlight w:val="none"/>
              </w:rPr>
              <w:t>数为</w:t>
            </w:r>
            <w:r>
              <w:rPr>
                <w:rFonts w:hint="eastAsia" w:ascii="宋体" w:hAnsi="宋体" w:cs="宋体"/>
                <w:b/>
                <w:bCs/>
                <w:color w:val="auto"/>
                <w:szCs w:val="21"/>
                <w:highlight w:val="none"/>
                <w:lang w:val="en-US" w:eastAsia="zh-CN"/>
              </w:rPr>
              <w:t>2</w:t>
            </w:r>
            <w:r>
              <w:rPr>
                <w:rFonts w:hint="eastAsia" w:ascii="宋体" w:hAnsi="宋体" w:cs="宋体"/>
                <w:b/>
                <w:bCs/>
                <w:color w:val="auto"/>
                <w:szCs w:val="21"/>
                <w:highlight w:val="none"/>
              </w:rPr>
              <w:t>项。（不含实质性条款，即标记“▲”的条款）</w:t>
            </w:r>
          </w:p>
        </w:tc>
      </w:tr>
      <w:tr w14:paraId="252714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vAlign w:val="center"/>
          </w:tcPr>
          <w:p w14:paraId="055AE819">
            <w:pPr>
              <w:wordWrap w:val="0"/>
              <w:spacing w:line="360" w:lineRule="auto"/>
              <w:jc w:val="center"/>
              <w:rPr>
                <w:rFonts w:hint="eastAsia" w:ascii="宋体" w:hAnsi="宋体" w:cs="宋体"/>
                <w:color w:val="auto"/>
                <w:szCs w:val="21"/>
                <w:highlight w:val="none"/>
              </w:rPr>
            </w:pPr>
          </w:p>
        </w:tc>
        <w:tc>
          <w:tcPr>
            <w:tcW w:w="1345" w:type="dxa"/>
            <w:vAlign w:val="center"/>
          </w:tcPr>
          <w:p w14:paraId="0B86ACB3">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谈判的顺序</w:t>
            </w:r>
          </w:p>
        </w:tc>
        <w:tc>
          <w:tcPr>
            <w:tcW w:w="8294" w:type="dxa"/>
            <w:vAlign w:val="center"/>
          </w:tcPr>
          <w:p w14:paraId="489C098C">
            <w:pPr>
              <w:wordWrap w:val="0"/>
              <w:spacing w:line="360" w:lineRule="auto"/>
              <w:rPr>
                <w:rFonts w:hint="eastAsia" w:ascii="宋体" w:hAnsi="宋体" w:cs="宋体"/>
                <w:b/>
                <w:color w:val="auto"/>
                <w:szCs w:val="21"/>
                <w:highlight w:val="none"/>
              </w:rPr>
            </w:pPr>
            <w:r>
              <w:rPr>
                <w:rFonts w:hint="eastAsia" w:ascii="宋体" w:hAnsi="宋体" w:cs="宋体"/>
                <w:color w:val="auto"/>
                <w:szCs w:val="21"/>
                <w:highlight w:val="none"/>
              </w:rPr>
              <w:t>系统自动提取的顺序</w:t>
            </w:r>
          </w:p>
        </w:tc>
      </w:tr>
      <w:tr w14:paraId="5B0A1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vAlign w:val="center"/>
          </w:tcPr>
          <w:p w14:paraId="6745A2E1">
            <w:pPr>
              <w:wordWrap w:val="0"/>
              <w:spacing w:line="360" w:lineRule="auto"/>
              <w:jc w:val="center"/>
              <w:rPr>
                <w:rFonts w:hint="eastAsia" w:ascii="宋体" w:hAnsi="宋体" w:cs="宋体"/>
                <w:color w:val="auto"/>
                <w:szCs w:val="21"/>
                <w:highlight w:val="none"/>
              </w:rPr>
            </w:pPr>
          </w:p>
        </w:tc>
        <w:tc>
          <w:tcPr>
            <w:tcW w:w="1345" w:type="dxa"/>
            <w:vAlign w:val="center"/>
          </w:tcPr>
          <w:p w14:paraId="7586832D">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评审价相同时成交原则</w:t>
            </w:r>
          </w:p>
        </w:tc>
        <w:tc>
          <w:tcPr>
            <w:tcW w:w="8294" w:type="dxa"/>
            <w:vAlign w:val="center"/>
          </w:tcPr>
          <w:p w14:paraId="446355B3">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评审价相同时，按照最后报价由低到高顺序依次推荐；最后报价相同时，按以下原则确定成交候选人的顺序：</w:t>
            </w:r>
          </w:p>
          <w:p w14:paraId="31DB93B6">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sym w:font="Wingdings 2" w:char="0052"/>
            </w:r>
            <w:r>
              <w:rPr>
                <w:rFonts w:hint="eastAsia" w:ascii="宋体" w:hAnsi="宋体" w:cs="宋体"/>
                <w:color w:val="auto"/>
                <w:szCs w:val="21"/>
                <w:highlight w:val="none"/>
              </w:rPr>
              <w:t>依次按带“</w:t>
            </w:r>
            <w:r>
              <w:rPr>
                <w:rFonts w:hint="eastAsia" w:ascii="宋体" w:hAnsi="宋体"/>
                <w:color w:val="auto"/>
                <w:szCs w:val="21"/>
                <w:highlight w:val="none"/>
              </w:rPr>
              <w:t>▲</w:t>
            </w:r>
            <w:r>
              <w:rPr>
                <w:rFonts w:hint="eastAsia" w:ascii="宋体" w:hAnsi="宋体" w:cs="宋体"/>
                <w:color w:val="auto"/>
                <w:szCs w:val="21"/>
                <w:highlight w:val="none"/>
              </w:rPr>
              <w:t>”的实质性要求正偏离项数多的优先、均无正偏离或者正偏离项数一致时负偏离项数少的优先、质量保证期长优先、交货期短优先、故障响应时间短优先的顺序排列。</w:t>
            </w:r>
          </w:p>
          <w:p w14:paraId="4FBE853B">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□由谈判小组推荐代表随机抽取。</w:t>
            </w:r>
          </w:p>
        </w:tc>
      </w:tr>
      <w:tr w14:paraId="0872B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2D86E0C1">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28</w:t>
            </w:r>
          </w:p>
        </w:tc>
        <w:tc>
          <w:tcPr>
            <w:tcW w:w="1345" w:type="dxa"/>
            <w:vAlign w:val="center"/>
          </w:tcPr>
          <w:p w14:paraId="2A6911B9">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履约保证金</w:t>
            </w:r>
          </w:p>
        </w:tc>
        <w:tc>
          <w:tcPr>
            <w:tcW w:w="8294" w:type="dxa"/>
            <w:vAlign w:val="center"/>
          </w:tcPr>
          <w:p w14:paraId="1BD9B63C">
            <w:pPr>
              <w:autoSpaceDE w:val="0"/>
              <w:autoSpaceDN w:val="0"/>
              <w:snapToGrid w:val="0"/>
              <w:spacing w:line="360" w:lineRule="auto"/>
              <w:textAlignment w:val="bottom"/>
              <w:rPr>
                <w:rFonts w:hint="eastAsia" w:ascii="宋体" w:hAnsi="宋体"/>
                <w:color w:val="auto"/>
                <w:szCs w:val="21"/>
                <w:highlight w:val="none"/>
              </w:rPr>
            </w:pPr>
            <w:r>
              <w:rPr>
                <w:rFonts w:hint="eastAsia" w:ascii="宋体" w:hAnsi="宋体"/>
                <w:color w:val="auto"/>
                <w:highlight w:val="none"/>
                <w:lang w:eastAsia="zh-CN"/>
              </w:rPr>
              <w:t>☑</w:t>
            </w:r>
            <w:r>
              <w:rPr>
                <w:rFonts w:hint="eastAsia" w:ascii="宋体" w:hAnsi="宋体"/>
                <w:color w:val="auto"/>
                <w:highlight w:val="none"/>
              </w:rPr>
              <w:t>本项目不收取履约保证金。</w:t>
            </w:r>
          </w:p>
          <w:p w14:paraId="0A30CEFA">
            <w:pPr>
              <w:autoSpaceDE w:val="0"/>
              <w:autoSpaceDN w:val="0"/>
              <w:snapToGrid w:val="0"/>
              <w:spacing w:line="360" w:lineRule="auto"/>
              <w:textAlignment w:val="bottom"/>
              <w:rPr>
                <w:rFonts w:hint="eastAsia" w:ascii="宋体" w:hAnsi="宋体"/>
                <w:color w:val="auto"/>
                <w:highlight w:val="none"/>
              </w:rPr>
            </w:pPr>
            <w:r>
              <w:rPr>
                <w:rFonts w:hint="eastAsia" w:ascii="宋体" w:hAnsi="宋体"/>
                <w:color w:val="auto"/>
                <w:highlight w:val="none"/>
                <w:lang w:eastAsia="zh-CN"/>
              </w:rPr>
              <w:t>□</w:t>
            </w:r>
            <w:r>
              <w:rPr>
                <w:rFonts w:hint="eastAsia" w:ascii="宋体" w:hAnsi="宋体" w:cs="宋体"/>
                <w:color w:val="auto"/>
                <w:highlight w:val="none"/>
              </w:rPr>
              <w:t>本项目收取履约保证金，具体规定如下：</w:t>
            </w:r>
          </w:p>
          <w:p w14:paraId="0D81029F">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履约保证金金额：合同金额的</w:t>
            </w:r>
            <w:r>
              <w:rPr>
                <w:rFonts w:hint="eastAsia" w:ascii="宋体" w:hAnsi="宋体" w:cs="宋体"/>
                <w:bCs/>
                <w:color w:val="auto"/>
                <w:szCs w:val="21"/>
                <w:highlight w:val="none"/>
                <w:lang w:val="en-US" w:eastAsia="zh-CN"/>
              </w:rPr>
              <w:t>/</w:t>
            </w:r>
            <w:r>
              <w:rPr>
                <w:rFonts w:hint="eastAsia" w:ascii="宋体" w:hAnsi="宋体" w:cs="宋体"/>
                <w:bCs/>
                <w:color w:val="auto"/>
                <w:szCs w:val="21"/>
                <w:highlight w:val="none"/>
              </w:rPr>
              <w:t>%。</w:t>
            </w:r>
          </w:p>
          <w:p w14:paraId="294E5146">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履约保证金提交方式：</w:t>
            </w:r>
            <w:r>
              <w:rPr>
                <w:rFonts w:hint="eastAsia" w:ascii="宋体" w:hAnsi="宋体" w:cs="宋体"/>
                <w:bCs/>
                <w:color w:val="auto"/>
                <w:szCs w:val="21"/>
                <w:highlight w:val="none"/>
                <w:lang w:val="en-US" w:eastAsia="zh-CN"/>
              </w:rPr>
              <w:t>/</w:t>
            </w:r>
            <w:r>
              <w:rPr>
                <w:rFonts w:hint="eastAsia" w:ascii="宋体" w:hAnsi="宋体" w:cs="宋体"/>
                <w:bCs/>
                <w:color w:val="auto"/>
                <w:szCs w:val="21"/>
                <w:highlight w:val="none"/>
              </w:rPr>
              <w:t>。</w:t>
            </w:r>
          </w:p>
          <w:p w14:paraId="3C90B728">
            <w:pPr>
              <w:adjustRightInd w:val="0"/>
              <w:snapToGrid w:val="0"/>
              <w:spacing w:line="360" w:lineRule="auto"/>
              <w:ind w:firstLine="420" w:firstLineChars="200"/>
              <w:rPr>
                <w:rFonts w:hint="eastAsia" w:ascii="宋体" w:hAnsi="宋体" w:cs="宋体"/>
                <w:bCs/>
                <w:color w:val="auto"/>
                <w:szCs w:val="21"/>
                <w:highlight w:val="none"/>
              </w:rPr>
            </w:pPr>
            <w:r>
              <w:rPr>
                <w:rFonts w:hint="eastAsia" w:ascii="宋体" w:hAnsi="宋体" w:cs="宋体"/>
                <w:bCs/>
                <w:color w:val="auto"/>
                <w:szCs w:val="21"/>
                <w:highlight w:val="none"/>
              </w:rPr>
              <w:t>履约保证金退付方式、时间及条件：</w:t>
            </w:r>
            <w:r>
              <w:rPr>
                <w:rFonts w:hint="eastAsia" w:ascii="宋体" w:hAnsi="宋体" w:cs="宋体"/>
                <w:bCs/>
                <w:color w:val="auto"/>
                <w:szCs w:val="21"/>
                <w:highlight w:val="none"/>
                <w:lang w:val="en-US" w:eastAsia="zh-CN"/>
              </w:rPr>
              <w:t>/</w:t>
            </w:r>
            <w:r>
              <w:rPr>
                <w:rFonts w:hint="eastAsia" w:ascii="宋体" w:hAnsi="宋体" w:cs="宋体"/>
                <w:bCs/>
                <w:color w:val="auto"/>
                <w:szCs w:val="21"/>
                <w:highlight w:val="none"/>
              </w:rPr>
              <w:t>。</w:t>
            </w:r>
          </w:p>
          <w:p w14:paraId="2ABE352F">
            <w:pPr>
              <w:spacing w:line="360" w:lineRule="auto"/>
              <w:ind w:firstLine="420" w:firstLineChars="200"/>
              <w:contextualSpacing/>
              <w:rPr>
                <w:rFonts w:hint="eastAsia" w:ascii="宋体" w:hAnsi="宋体"/>
                <w:color w:val="auto"/>
                <w:highlight w:val="none"/>
              </w:rPr>
            </w:pPr>
            <w:r>
              <w:rPr>
                <w:rFonts w:hint="eastAsia" w:ascii="宋体" w:hAnsi="宋体" w:cs="宋体"/>
                <w:bCs/>
                <w:color w:val="auto"/>
                <w:szCs w:val="21"/>
                <w:highlight w:val="none"/>
              </w:rPr>
              <w:t>缴纳履约保证金指定账户的信息</w:t>
            </w:r>
            <w:r>
              <w:rPr>
                <w:rFonts w:hint="eastAsia" w:ascii="宋体" w:hAnsi="宋体"/>
                <w:color w:val="auto"/>
                <w:highlight w:val="none"/>
              </w:rPr>
              <w:t>：</w:t>
            </w:r>
          </w:p>
          <w:p w14:paraId="5E0B2576">
            <w:pPr>
              <w:autoSpaceDE w:val="0"/>
              <w:autoSpaceDN w:val="0"/>
              <w:snapToGrid w:val="0"/>
              <w:spacing w:line="360" w:lineRule="auto"/>
              <w:ind w:firstLine="420" w:firstLineChars="200"/>
              <w:textAlignment w:val="bottom"/>
              <w:rPr>
                <w:rFonts w:hint="eastAsia" w:ascii="宋体" w:hAnsi="宋体" w:eastAsia="宋体"/>
                <w:color w:val="auto"/>
                <w:highlight w:val="none"/>
                <w:lang w:eastAsia="zh-CN"/>
              </w:rPr>
            </w:pPr>
            <w:r>
              <w:rPr>
                <w:rFonts w:hint="eastAsia" w:ascii="宋体" w:hAnsi="宋体"/>
                <w:color w:val="auto"/>
                <w:highlight w:val="none"/>
              </w:rPr>
              <w:t>开户名称：</w:t>
            </w:r>
            <w:r>
              <w:rPr>
                <w:rFonts w:hint="eastAsia" w:ascii="宋体" w:hAnsi="宋体"/>
                <w:color w:val="auto"/>
                <w:highlight w:val="none"/>
                <w:u w:val="single"/>
                <w:lang w:val="en-US" w:eastAsia="zh-CN"/>
              </w:rPr>
              <w:t>/</w:t>
            </w:r>
          </w:p>
          <w:p w14:paraId="6CA91474">
            <w:pPr>
              <w:autoSpaceDE w:val="0"/>
              <w:autoSpaceDN w:val="0"/>
              <w:snapToGrid w:val="0"/>
              <w:spacing w:line="360" w:lineRule="auto"/>
              <w:ind w:firstLine="420" w:firstLineChars="200"/>
              <w:textAlignment w:val="bottom"/>
              <w:rPr>
                <w:rFonts w:hint="eastAsia" w:ascii="宋体" w:hAnsi="宋体" w:eastAsia="宋体"/>
                <w:color w:val="auto"/>
                <w:highlight w:val="none"/>
                <w:lang w:eastAsia="zh-CN"/>
              </w:rPr>
            </w:pPr>
            <w:r>
              <w:rPr>
                <w:rFonts w:hint="eastAsia" w:ascii="宋体" w:hAnsi="宋体"/>
                <w:color w:val="auto"/>
                <w:highlight w:val="none"/>
              </w:rPr>
              <w:t>开户银行：</w:t>
            </w:r>
            <w:r>
              <w:rPr>
                <w:rFonts w:hint="eastAsia" w:ascii="宋体" w:hAnsi="宋体"/>
                <w:color w:val="auto"/>
                <w:highlight w:val="none"/>
                <w:u w:val="single"/>
                <w:lang w:val="en-US" w:eastAsia="zh-CN"/>
              </w:rPr>
              <w:t>/</w:t>
            </w:r>
          </w:p>
          <w:p w14:paraId="2D829842">
            <w:pPr>
              <w:autoSpaceDE w:val="0"/>
              <w:autoSpaceDN w:val="0"/>
              <w:snapToGrid w:val="0"/>
              <w:spacing w:line="360" w:lineRule="auto"/>
              <w:ind w:firstLine="420" w:firstLineChars="200"/>
              <w:textAlignment w:val="bottom"/>
              <w:rPr>
                <w:rFonts w:hint="eastAsia" w:ascii="宋体" w:hAnsi="宋体" w:eastAsia="宋体"/>
                <w:color w:val="auto"/>
                <w:highlight w:val="none"/>
                <w:lang w:eastAsia="zh-CN"/>
              </w:rPr>
            </w:pPr>
            <w:r>
              <w:rPr>
                <w:rFonts w:hint="eastAsia" w:ascii="宋体" w:hAnsi="宋体"/>
                <w:color w:val="auto"/>
                <w:highlight w:val="none"/>
              </w:rPr>
              <w:t>银行账号：</w:t>
            </w:r>
            <w:r>
              <w:rPr>
                <w:rFonts w:hint="eastAsia" w:ascii="宋体" w:hAnsi="宋体"/>
                <w:color w:val="auto"/>
                <w:highlight w:val="none"/>
                <w:u w:val="single"/>
                <w:lang w:val="en-US" w:eastAsia="zh-CN"/>
              </w:rPr>
              <w:t>/</w:t>
            </w:r>
          </w:p>
          <w:p w14:paraId="0617E808">
            <w:pPr>
              <w:spacing w:line="360" w:lineRule="auto"/>
              <w:contextualSpacing/>
              <w:rPr>
                <w:rFonts w:hint="eastAsia" w:ascii="宋体" w:hAnsi="宋体"/>
                <w:b/>
                <w:color w:val="auto"/>
                <w:highlight w:val="none"/>
              </w:rPr>
            </w:pPr>
            <w:r>
              <w:rPr>
                <w:rFonts w:hint="eastAsia" w:ascii="宋体" w:hAnsi="宋体"/>
                <w:color w:val="auto"/>
                <w:highlight w:val="none"/>
              </w:rPr>
              <w:t>备注：</w:t>
            </w:r>
            <w:r>
              <w:rPr>
                <w:rFonts w:hint="eastAsia" w:ascii="宋体" w:hAnsi="宋体"/>
                <w:color w:val="auto"/>
                <w:highlight w:val="none"/>
              </w:rPr>
              <w:br w:type="textWrapping"/>
            </w:r>
            <w:r>
              <w:rPr>
                <w:rFonts w:hint="eastAsia" w:ascii="宋体" w:hAnsi="宋体"/>
                <w:b/>
                <w:color w:val="auto"/>
                <w:highlight w:val="none"/>
              </w:rPr>
              <w:t>1. 根据《广西壮族自治区财政厅关于贯彻落实政府采购优化营商环境百日攻坚行动方案的通知》（桂财采〔2020〕49号）规定，鼓励采购人在与中小微企业签订政府采购合同时，减少或免于收取履约保证金，有必要收取履约保证金的，收取的履约保证金不得超过政府采购合同金额的5%。</w:t>
            </w:r>
          </w:p>
          <w:p w14:paraId="5E2D3C64">
            <w:pPr>
              <w:snapToGrid w:val="0"/>
              <w:spacing w:line="360" w:lineRule="auto"/>
              <w:rPr>
                <w:rFonts w:hint="eastAsia" w:ascii="宋体" w:hAnsi="宋体" w:cs="宋体"/>
                <w:color w:val="auto"/>
                <w:szCs w:val="21"/>
                <w:highlight w:val="none"/>
              </w:rPr>
            </w:pPr>
            <w:r>
              <w:rPr>
                <w:rFonts w:hint="eastAsia" w:ascii="宋体" w:hAnsi="宋体"/>
                <w:b/>
                <w:color w:val="auto"/>
                <w:highlight w:val="none"/>
              </w:rPr>
              <w:t>2.履约保证金不足额缴纳的，或者金融、担保机构出具的保函额度不足的或者保函有效期低于交付时间（即签订采购合同之日起至履行完合同约定的权利及义务之日止）的，不予签订合同。</w:t>
            </w:r>
            <w:r>
              <w:rPr>
                <w:rFonts w:hint="eastAsia" w:ascii="宋体" w:hAnsi="宋体"/>
                <w:b/>
                <w:color w:val="auto"/>
                <w:highlight w:val="none"/>
              </w:rPr>
              <w:br w:type="textWrapping"/>
            </w:r>
            <w:r>
              <w:rPr>
                <w:rFonts w:hint="eastAsia" w:ascii="宋体" w:hAnsi="宋体"/>
                <w:b/>
                <w:color w:val="auto"/>
                <w:highlight w:val="none"/>
              </w:rPr>
              <w:t>3.采用金融、担保机构出具的保函的，必须为无条件保函，否则不予签订合同。</w:t>
            </w:r>
          </w:p>
        </w:tc>
      </w:tr>
      <w:tr w14:paraId="068EBD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3519AB60">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29.5</w:t>
            </w:r>
          </w:p>
        </w:tc>
        <w:tc>
          <w:tcPr>
            <w:tcW w:w="1345" w:type="dxa"/>
            <w:vAlign w:val="center"/>
          </w:tcPr>
          <w:p w14:paraId="34D0496F">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签订合同携带的材料</w:t>
            </w:r>
          </w:p>
        </w:tc>
        <w:tc>
          <w:tcPr>
            <w:tcW w:w="8294" w:type="dxa"/>
            <w:vAlign w:val="center"/>
          </w:tcPr>
          <w:p w14:paraId="359DECB5">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使用的有效CA证书加盖单位电子公章</w:t>
            </w:r>
          </w:p>
        </w:tc>
      </w:tr>
      <w:tr w14:paraId="48FC8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restart"/>
            <w:vAlign w:val="center"/>
          </w:tcPr>
          <w:p w14:paraId="2CFE8CB3">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31.2</w:t>
            </w:r>
          </w:p>
        </w:tc>
        <w:tc>
          <w:tcPr>
            <w:tcW w:w="1345" w:type="dxa"/>
            <w:vAlign w:val="center"/>
          </w:tcPr>
          <w:p w14:paraId="3C688A11">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接收质疑函方式</w:t>
            </w:r>
          </w:p>
        </w:tc>
        <w:tc>
          <w:tcPr>
            <w:tcW w:w="8294" w:type="dxa"/>
            <w:vAlign w:val="center"/>
          </w:tcPr>
          <w:p w14:paraId="11857C4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以书面形式</w:t>
            </w:r>
          </w:p>
        </w:tc>
      </w:tr>
      <w:tr w14:paraId="670721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vAlign w:val="center"/>
          </w:tcPr>
          <w:p w14:paraId="1AE45B2F">
            <w:pPr>
              <w:wordWrap w:val="0"/>
              <w:spacing w:line="360" w:lineRule="auto"/>
              <w:jc w:val="center"/>
              <w:rPr>
                <w:rFonts w:hint="eastAsia" w:ascii="宋体" w:hAnsi="宋体" w:cs="宋体"/>
                <w:color w:val="auto"/>
                <w:szCs w:val="21"/>
                <w:highlight w:val="none"/>
              </w:rPr>
            </w:pPr>
          </w:p>
        </w:tc>
        <w:tc>
          <w:tcPr>
            <w:tcW w:w="1345" w:type="dxa"/>
            <w:vAlign w:val="center"/>
          </w:tcPr>
          <w:p w14:paraId="458AD3D8">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质疑联系部门及联系方式</w:t>
            </w:r>
          </w:p>
        </w:tc>
        <w:tc>
          <w:tcPr>
            <w:tcW w:w="8294" w:type="dxa"/>
            <w:vAlign w:val="center"/>
          </w:tcPr>
          <w:p w14:paraId="79EDE107">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（1）广西建隆工程咨询有限公司；</w:t>
            </w:r>
          </w:p>
          <w:p w14:paraId="35DEC86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联系电话：0771-5345232，</w:t>
            </w:r>
          </w:p>
          <w:p w14:paraId="3EBAB876">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通讯地址：</w:t>
            </w:r>
            <w:r>
              <w:rPr>
                <w:rFonts w:hint="eastAsia" w:ascii="宋体" w:hAnsi="宋体" w:cs="宋体"/>
                <w:color w:val="auto"/>
                <w:highlight w:val="none"/>
              </w:rPr>
              <w:t>南宁市竹溪大道36号青湖中心13层1301号</w:t>
            </w:r>
            <w:r>
              <w:rPr>
                <w:rFonts w:hint="eastAsia" w:ascii="宋体" w:hAnsi="宋体" w:cs="宋体"/>
                <w:color w:val="auto"/>
                <w:szCs w:val="21"/>
                <w:highlight w:val="none"/>
              </w:rPr>
              <w:t xml:space="preserve"> </w:t>
            </w:r>
          </w:p>
          <w:p w14:paraId="1C4364AE">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color w:val="auto"/>
                <w:szCs w:val="21"/>
                <w:highlight w:val="none"/>
                <w:lang w:eastAsia="zh-CN"/>
              </w:rPr>
              <w:t>广西国际商务职业技术学院</w:t>
            </w:r>
            <w:r>
              <w:rPr>
                <w:rFonts w:hint="eastAsia" w:ascii="宋体" w:hAnsi="宋体" w:cs="宋体"/>
                <w:color w:val="auto"/>
                <w:szCs w:val="21"/>
                <w:highlight w:val="none"/>
              </w:rPr>
              <w:t>；</w:t>
            </w:r>
          </w:p>
          <w:p w14:paraId="607A2A92">
            <w:pPr>
              <w:spacing w:line="360" w:lineRule="auto"/>
              <w:rPr>
                <w:rFonts w:hint="eastAsia" w:ascii="宋体" w:hAnsi="宋体" w:cs="宋体"/>
                <w:color w:val="auto"/>
                <w:szCs w:val="21"/>
                <w:highlight w:val="none"/>
              </w:rPr>
            </w:pPr>
            <w:r>
              <w:rPr>
                <w:rFonts w:hint="eastAsia" w:ascii="宋体" w:hAnsi="宋体" w:cs="宋体"/>
                <w:color w:val="auto"/>
                <w:szCs w:val="21"/>
                <w:highlight w:val="none"/>
              </w:rPr>
              <w:t>联系电话：</w:t>
            </w:r>
            <w:r>
              <w:rPr>
                <w:rFonts w:hint="eastAsia" w:ascii="宋体" w:hAnsi="宋体" w:cs="宋体"/>
                <w:color w:val="auto"/>
                <w:szCs w:val="21"/>
                <w:highlight w:val="none"/>
                <w:lang w:eastAsia="zh-CN"/>
              </w:rPr>
              <w:t>0771-3224391</w:t>
            </w:r>
            <w:r>
              <w:rPr>
                <w:rFonts w:hint="eastAsia" w:ascii="宋体" w:hAnsi="宋体" w:cs="宋体"/>
                <w:color w:val="auto"/>
                <w:szCs w:val="21"/>
                <w:highlight w:val="none"/>
              </w:rPr>
              <w:t xml:space="preserve">  </w:t>
            </w:r>
          </w:p>
          <w:p w14:paraId="49C00831">
            <w:pPr>
              <w:wordWrap w:val="0"/>
              <w:spacing w:line="360" w:lineRule="auto"/>
              <w:rPr>
                <w:rFonts w:hint="eastAsia" w:ascii="宋体" w:hAnsi="宋体" w:cs="宋体"/>
                <w:color w:val="auto"/>
                <w:szCs w:val="21"/>
                <w:highlight w:val="none"/>
              </w:rPr>
            </w:pPr>
            <w:r>
              <w:rPr>
                <w:rFonts w:hint="eastAsia" w:ascii="宋体" w:hAnsi="宋体" w:cs="宋体"/>
                <w:color w:val="auto"/>
                <w:szCs w:val="21"/>
                <w:highlight w:val="none"/>
              </w:rPr>
              <w:t>通讯地址：</w:t>
            </w:r>
            <w:r>
              <w:rPr>
                <w:rFonts w:hint="eastAsia" w:ascii="宋体" w:hAnsi="宋体" w:cs="宋体"/>
                <w:color w:val="auto"/>
                <w:szCs w:val="21"/>
                <w:highlight w:val="none"/>
                <w:lang w:eastAsia="zh-CN"/>
              </w:rPr>
              <w:t>广西南宁市西乡塘区大学东路168号</w:t>
            </w:r>
            <w:r>
              <w:rPr>
                <w:rFonts w:hint="eastAsia" w:ascii="宋体" w:hAnsi="宋体" w:cs="宋体"/>
                <w:color w:val="auto"/>
                <w:szCs w:val="21"/>
                <w:highlight w:val="none"/>
              </w:rPr>
              <w:t xml:space="preserve"> </w:t>
            </w:r>
          </w:p>
        </w:tc>
      </w:tr>
      <w:tr w14:paraId="580DC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Merge w:val="continue"/>
            <w:vAlign w:val="center"/>
          </w:tcPr>
          <w:p w14:paraId="17ABAC07">
            <w:pPr>
              <w:wordWrap w:val="0"/>
              <w:spacing w:line="360" w:lineRule="auto"/>
              <w:jc w:val="center"/>
              <w:rPr>
                <w:rFonts w:hint="eastAsia" w:ascii="宋体" w:hAnsi="宋体" w:cs="宋体"/>
                <w:color w:val="auto"/>
                <w:szCs w:val="21"/>
                <w:highlight w:val="none"/>
              </w:rPr>
            </w:pPr>
          </w:p>
        </w:tc>
        <w:tc>
          <w:tcPr>
            <w:tcW w:w="1345" w:type="dxa"/>
            <w:vAlign w:val="center"/>
          </w:tcPr>
          <w:p w14:paraId="2FF3429D">
            <w:pPr>
              <w:wordWrap w:val="0"/>
              <w:spacing w:line="360" w:lineRule="auto"/>
              <w:jc w:val="center"/>
              <w:rPr>
                <w:rFonts w:hint="eastAsia" w:ascii="宋体" w:hAnsi="宋体" w:cs="宋体"/>
                <w:color w:val="auto"/>
                <w:szCs w:val="21"/>
                <w:highlight w:val="none"/>
              </w:rPr>
            </w:pPr>
            <w:r>
              <w:rPr>
                <w:rFonts w:hint="eastAsia" w:ascii="宋体" w:hAnsi="宋体" w:cs="宋体"/>
                <w:color w:val="auto"/>
                <w:highlight w:val="none"/>
              </w:rPr>
              <w:t>现场提交质疑办理业务时间</w:t>
            </w:r>
          </w:p>
        </w:tc>
        <w:tc>
          <w:tcPr>
            <w:tcW w:w="8294" w:type="dxa"/>
            <w:vAlign w:val="center"/>
          </w:tcPr>
          <w:p w14:paraId="224F521C">
            <w:pPr>
              <w:wordWrap w:val="0"/>
              <w:spacing w:line="360" w:lineRule="auto"/>
              <w:rPr>
                <w:rFonts w:hint="eastAsia" w:ascii="宋体" w:hAnsi="宋体" w:cs="宋体"/>
                <w:color w:val="auto"/>
                <w:szCs w:val="21"/>
                <w:highlight w:val="none"/>
              </w:rPr>
            </w:pPr>
            <w:r>
              <w:rPr>
                <w:rFonts w:hint="eastAsia" w:ascii="宋体" w:hAnsi="宋体" w:cs="宋体"/>
                <w:color w:val="auto"/>
                <w:highlight w:val="none"/>
              </w:rPr>
              <w:t>质疑期内每个工作日09时30分到12时00分，15时00分到18时00分</w:t>
            </w:r>
          </w:p>
        </w:tc>
      </w:tr>
      <w:tr w14:paraId="747D4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232BE18B">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33</w:t>
            </w:r>
          </w:p>
        </w:tc>
        <w:tc>
          <w:tcPr>
            <w:tcW w:w="1345" w:type="dxa"/>
            <w:vAlign w:val="center"/>
          </w:tcPr>
          <w:p w14:paraId="65785A40">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采购代理费</w:t>
            </w:r>
          </w:p>
        </w:tc>
        <w:tc>
          <w:tcPr>
            <w:tcW w:w="8294" w:type="dxa"/>
            <w:vAlign w:val="center"/>
          </w:tcPr>
          <w:p w14:paraId="552B3166">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1.是否收取采购代理费：</w:t>
            </w:r>
          </w:p>
          <w:p w14:paraId="75130253">
            <w:pPr>
              <w:spacing w:line="360" w:lineRule="auto"/>
              <w:rPr>
                <w:rFonts w:hint="eastAsia" w:ascii="宋体" w:hAnsi="宋体" w:cs="宋体"/>
                <w:color w:val="auto"/>
                <w:kern w:val="0"/>
                <w:szCs w:val="21"/>
                <w:highlight w:val="none"/>
              </w:rPr>
            </w:pPr>
            <w:r>
              <w:rPr>
                <w:rFonts w:hint="eastAsia" w:ascii="宋体" w:hAnsi="宋体" w:cs="宋体"/>
                <w:color w:val="auto"/>
                <w:kern w:val="0"/>
                <w:sz w:val="20"/>
                <w:szCs w:val="21"/>
                <w:highlight w:val="none"/>
              </w:rPr>
              <w:sym w:font="Wingdings 2" w:char="F052"/>
            </w:r>
            <w:r>
              <w:rPr>
                <w:rFonts w:hint="eastAsia" w:ascii="宋体" w:hAnsi="宋体" w:cs="宋体"/>
                <w:color w:val="auto"/>
                <w:kern w:val="0"/>
                <w:szCs w:val="21"/>
                <w:highlight w:val="none"/>
              </w:rPr>
              <w:t>是    □ 否</w:t>
            </w:r>
          </w:p>
          <w:p w14:paraId="754D160C">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2.采购代理费支付方式：</w:t>
            </w:r>
          </w:p>
          <w:p w14:paraId="2953B9C8">
            <w:pPr>
              <w:spacing w:line="360" w:lineRule="auto"/>
              <w:rPr>
                <w:rFonts w:hint="eastAsia" w:ascii="宋体" w:hAnsi="宋体" w:cs="宋体"/>
                <w:color w:val="auto"/>
                <w:kern w:val="0"/>
                <w:szCs w:val="21"/>
                <w:highlight w:val="none"/>
              </w:rPr>
            </w:pPr>
            <w:r>
              <w:rPr>
                <w:rFonts w:hint="eastAsia" w:ascii="宋体" w:hAnsi="宋体" w:cs="宋体"/>
                <w:color w:val="auto"/>
                <w:kern w:val="0"/>
                <w:sz w:val="20"/>
                <w:szCs w:val="21"/>
                <w:highlight w:val="none"/>
              </w:rPr>
              <w:sym w:font="Wingdings 2" w:char="F052"/>
            </w:r>
            <w:r>
              <w:rPr>
                <w:rFonts w:hint="eastAsia" w:ascii="宋体" w:hAnsi="宋体" w:cs="宋体"/>
                <w:color w:val="auto"/>
                <w:kern w:val="0"/>
                <w:szCs w:val="21"/>
                <w:highlight w:val="none"/>
              </w:rPr>
              <w:t>本项目代理服务费由成交供应商领取成交通知书前，一次性向采购代理机构支付。</w:t>
            </w:r>
          </w:p>
          <w:p w14:paraId="0C0AE508">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□采购人支付。</w:t>
            </w:r>
          </w:p>
          <w:p w14:paraId="1901204D">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3.采购代理费收取标准：</w:t>
            </w:r>
          </w:p>
          <w:p w14:paraId="5B40ECE2">
            <w:pPr>
              <w:spacing w:line="360" w:lineRule="auto"/>
              <w:rPr>
                <w:rFonts w:hint="eastAsia" w:ascii="宋体" w:hAnsi="宋体" w:cs="宋体"/>
                <w:b/>
                <w:bCs/>
                <w:color w:val="auto"/>
                <w:kern w:val="0"/>
                <w:szCs w:val="21"/>
                <w:highlight w:val="none"/>
              </w:rPr>
            </w:pPr>
            <w:r>
              <w:rPr>
                <w:rFonts w:hint="eastAsia" w:ascii="宋体" w:hAnsi="宋体" w:cs="宋体"/>
                <w:b/>
                <w:bCs/>
                <w:color w:val="auto"/>
                <w:kern w:val="0"/>
                <w:szCs w:val="21"/>
                <w:highlight w:val="none"/>
              </w:rPr>
              <w:t>以项目（☑成交金额）为计费额，招标代理服务费参照《招标代理服务收费管理暂行办法》（计价格 〔2002〕1980号文）、《广西壮族自治区物价局转发国家发展改革委关于降低部分建设项目收费标准规范收费行为等有关问题的通知》（桂价费〔2011〕55号）规定标准（不允许上浮）向每个采购项目的中标或成交供应商收取代理服务费。</w:t>
            </w:r>
          </w:p>
          <w:p w14:paraId="64CC7BCE">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4.采购代理费收取银行账户</w:t>
            </w:r>
          </w:p>
          <w:p w14:paraId="13B688A5">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账户名称：广西建隆工程咨询有限公司</w:t>
            </w:r>
          </w:p>
          <w:p w14:paraId="5CA4F09D">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开户银行：农行南宁古城支行</w:t>
            </w:r>
          </w:p>
          <w:p w14:paraId="3EAFAC99">
            <w:pPr>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 xml:space="preserve">银行账号：200102 0104 000 2372 </w:t>
            </w:r>
          </w:p>
        </w:tc>
      </w:tr>
      <w:tr w14:paraId="1C5837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0487B84C">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34.1</w:t>
            </w:r>
          </w:p>
        </w:tc>
        <w:tc>
          <w:tcPr>
            <w:tcW w:w="1345" w:type="dxa"/>
            <w:vAlign w:val="center"/>
          </w:tcPr>
          <w:p w14:paraId="65B5FB12">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解释</w:t>
            </w:r>
          </w:p>
        </w:tc>
        <w:tc>
          <w:tcPr>
            <w:tcW w:w="8294" w:type="dxa"/>
            <w:vAlign w:val="center"/>
          </w:tcPr>
          <w:p w14:paraId="116DDBFA">
            <w:pPr>
              <w:wordWrap w:val="0"/>
              <w:spacing w:line="360" w:lineRule="auto"/>
              <w:rPr>
                <w:rFonts w:hint="eastAsia" w:ascii="宋体" w:hAnsi="宋体" w:cs="宋体"/>
                <w:b/>
                <w:color w:val="auto"/>
                <w:kern w:val="0"/>
                <w:szCs w:val="21"/>
                <w:highlight w:val="none"/>
              </w:rPr>
            </w:pPr>
            <w:r>
              <w:rPr>
                <w:rFonts w:hint="eastAsia" w:ascii="宋体" w:hAnsi="宋体" w:cs="宋体"/>
                <w:color w:val="auto"/>
                <w:kern w:val="0"/>
                <w:szCs w:val="21"/>
                <w:highlight w:val="none"/>
              </w:rPr>
              <w:t>解释权：构成本谈判文件的各个组成文件应互为解释，互为说明；除谈判文件中有特别规定外，仅适用于竞标阶段的规定，按更正公告（澄清公告）、竞争性谈判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谈判文件不一致时以更正公告（澄清公告）为准。按本款前述规定仍不能形成结论的，</w:t>
            </w:r>
            <w:r>
              <w:rPr>
                <w:rFonts w:hint="eastAsia" w:ascii="宋体" w:hAnsi="宋体" w:cs="宋体"/>
                <w:b/>
                <w:color w:val="auto"/>
                <w:kern w:val="0"/>
                <w:szCs w:val="21"/>
                <w:highlight w:val="none"/>
              </w:rPr>
              <w:t>由采购人或者采购代理机构负责解释。</w:t>
            </w:r>
          </w:p>
          <w:p w14:paraId="3E9CB1A7">
            <w:pPr>
              <w:wordWrap w:val="0"/>
              <w:spacing w:line="360" w:lineRule="auto"/>
              <w:rPr>
                <w:rFonts w:hint="eastAsia" w:ascii="宋体" w:hAnsi="宋体" w:cs="宋体"/>
                <w:color w:val="auto"/>
                <w:szCs w:val="21"/>
                <w:highlight w:val="none"/>
              </w:rPr>
            </w:pPr>
            <w:r>
              <w:rPr>
                <w:rFonts w:hint="eastAsia" w:ascii="宋体" w:hAnsi="宋体" w:cs="宋体"/>
                <w:b/>
                <w:color w:val="auto"/>
                <w:szCs w:val="21"/>
                <w:highlight w:val="none"/>
              </w:rPr>
              <w:t>法律责任：</w:t>
            </w:r>
            <w:r>
              <w:rPr>
                <w:rFonts w:hint="eastAsia" w:ascii="宋体" w:hAnsi="宋体" w:cs="宋体"/>
                <w:color w:val="auto"/>
                <w:szCs w:val="21"/>
                <w:highlight w:val="none"/>
              </w:rPr>
              <w:t>本采购文件根据《中华人民共和国政府采购法》、《中华人民共和国民法典》；《中华人民共和国政府采购法实施条例》、《政府采购非招标采购方式管理办法》等有关法律、法规编制，参与本项目的各政府采购当事人依法享有上述法律法规所赋予的权利与义务。</w:t>
            </w:r>
          </w:p>
        </w:tc>
      </w:tr>
      <w:tr w14:paraId="77C7D3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25" w:type="dxa"/>
            <w:vAlign w:val="center"/>
          </w:tcPr>
          <w:p w14:paraId="7F54F4B2">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34.2</w:t>
            </w:r>
          </w:p>
        </w:tc>
        <w:tc>
          <w:tcPr>
            <w:tcW w:w="1345" w:type="dxa"/>
            <w:vAlign w:val="center"/>
          </w:tcPr>
          <w:p w14:paraId="793C4566">
            <w:pPr>
              <w:wordWrap w:val="0"/>
              <w:spacing w:line="360" w:lineRule="auto"/>
              <w:jc w:val="center"/>
              <w:rPr>
                <w:rFonts w:hint="eastAsia" w:ascii="宋体" w:hAnsi="宋体" w:cs="宋体"/>
                <w:color w:val="auto"/>
                <w:szCs w:val="21"/>
                <w:highlight w:val="none"/>
              </w:rPr>
            </w:pPr>
            <w:r>
              <w:rPr>
                <w:rFonts w:hint="eastAsia" w:ascii="宋体" w:hAnsi="宋体" w:cs="宋体"/>
                <w:color w:val="auto"/>
                <w:szCs w:val="21"/>
                <w:highlight w:val="none"/>
              </w:rPr>
              <w:t>其他</w:t>
            </w:r>
          </w:p>
        </w:tc>
        <w:tc>
          <w:tcPr>
            <w:tcW w:w="8294" w:type="dxa"/>
            <w:vAlign w:val="center"/>
          </w:tcPr>
          <w:p w14:paraId="183F5A42">
            <w:pPr>
              <w:wordWrap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1.本谈判文件中描述供应商的“公章”是指供应商通过指定电子化政府采购平台办理数字证书（CA认证）获得的以法定主体行为名称制作的电子印章。</w:t>
            </w:r>
          </w:p>
          <w:p w14:paraId="517667B9">
            <w:pPr>
              <w:wordWrap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2.本谈判文件中描述供应商的“签字”是指供应商通过指定电子化政府采购平台办理数字证书（CA认证）获得的以供应商法定代表人或者委托代理人姓名制作的电子印章或手写签字。</w:t>
            </w:r>
          </w:p>
          <w:p w14:paraId="46760491">
            <w:pPr>
              <w:wordWrap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3.供应商为其他组织或者自然人时，本谈判文件规定的法定代表人指负责人或者自然人。本谈判文件所称负责人是指参加竞标的其他组织营业执照上的负责人，本谈判文件所称自然人指参与竞标的自然人本人。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3899F8C8">
            <w:pPr>
              <w:wordWrap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4.自然人竞标的，谈判文件规定盖公章处由自然人摁手指指印。</w:t>
            </w:r>
          </w:p>
          <w:p w14:paraId="05E9DCCA">
            <w:pPr>
              <w:wordWrap w:val="0"/>
              <w:spacing w:line="360" w:lineRule="auto"/>
              <w:rPr>
                <w:rFonts w:hint="eastAsia" w:ascii="宋体" w:hAnsi="宋体" w:cs="宋体"/>
                <w:color w:val="auto"/>
                <w:kern w:val="0"/>
                <w:szCs w:val="21"/>
                <w:highlight w:val="none"/>
              </w:rPr>
            </w:pPr>
            <w:r>
              <w:rPr>
                <w:rFonts w:hint="eastAsia" w:ascii="宋体" w:hAnsi="宋体" w:cs="宋体"/>
                <w:color w:val="auto"/>
                <w:kern w:val="0"/>
                <w:szCs w:val="21"/>
                <w:highlight w:val="none"/>
              </w:rPr>
              <w:t>5.本谈判文件所称的“以上”“以下”“以内”“届满”，包括本数；所称的“不满”“超过”“以外”，不包括本数。</w:t>
            </w:r>
          </w:p>
        </w:tc>
      </w:tr>
    </w:tbl>
    <w:p w14:paraId="4808BB99">
      <w:pPr>
        <w:keepNext/>
        <w:keepLines/>
        <w:spacing w:before="260" w:after="260" w:line="420" w:lineRule="exact"/>
        <w:jc w:val="center"/>
        <w:outlineLvl w:val="1"/>
        <w:rPr>
          <w:rFonts w:hint="eastAsia" w:ascii="宋体" w:hAnsi="宋体" w:cs="宋体"/>
          <w:bCs/>
          <w:color w:val="auto"/>
          <w:sz w:val="32"/>
          <w:szCs w:val="32"/>
          <w:highlight w:val="none"/>
        </w:rPr>
      </w:pPr>
      <w:r>
        <w:rPr>
          <w:rFonts w:hint="eastAsia" w:ascii="宋体" w:hAnsi="宋体" w:cs="宋体"/>
          <w:bCs/>
          <w:color w:val="auto"/>
          <w:sz w:val="32"/>
          <w:szCs w:val="32"/>
          <w:highlight w:val="none"/>
        </w:rPr>
        <w:br w:type="page"/>
      </w:r>
      <w:bookmarkStart w:id="29" w:name="_Toc21605"/>
      <w:r>
        <w:rPr>
          <w:rFonts w:hint="eastAsia" w:ascii="宋体" w:hAnsi="宋体" w:cs="宋体"/>
          <w:bCs/>
          <w:color w:val="auto"/>
          <w:sz w:val="32"/>
          <w:szCs w:val="32"/>
          <w:highlight w:val="none"/>
        </w:rPr>
        <w:t>第二节 供应商须知正文</w:t>
      </w:r>
      <w:bookmarkEnd w:id="29"/>
    </w:p>
    <w:p w14:paraId="1211B321">
      <w:pPr>
        <w:keepNext/>
        <w:keepLines/>
        <w:spacing w:line="360" w:lineRule="auto"/>
        <w:ind w:firstLine="640" w:firstLineChars="200"/>
        <w:outlineLvl w:val="2"/>
        <w:rPr>
          <w:rFonts w:hint="eastAsia" w:ascii="宋体" w:hAnsi="宋体" w:cs="宋体"/>
          <w:bCs/>
          <w:color w:val="auto"/>
          <w:sz w:val="32"/>
          <w:szCs w:val="32"/>
          <w:highlight w:val="none"/>
        </w:rPr>
      </w:pPr>
      <w:bookmarkStart w:id="30" w:name="_Toc20988"/>
      <w:r>
        <w:rPr>
          <w:rFonts w:hint="eastAsia" w:ascii="宋体" w:hAnsi="宋体" w:cs="宋体"/>
          <w:bCs/>
          <w:color w:val="auto"/>
          <w:sz w:val="32"/>
          <w:szCs w:val="32"/>
          <w:highlight w:val="none"/>
        </w:rPr>
        <w:t>一、总则</w:t>
      </w:r>
      <w:bookmarkEnd w:id="30"/>
    </w:p>
    <w:p w14:paraId="4C11A499">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1.适用范围</w:t>
      </w:r>
    </w:p>
    <w:p w14:paraId="5BE4507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适用法律：本项目采购人、采购代理机构、供应商、谈判小组的相关行为均受《中华人民共和国政府采购法》《中华人民共和国政府采购法实施条例》《政府采购非招标采购方式管理办法》及本项目本级和上级财政部门政府采购有关规定的约束和保护。</w:t>
      </w:r>
    </w:p>
    <w:p w14:paraId="60F062C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w:t>
      </w:r>
      <w:r>
        <w:rPr>
          <w:rFonts w:hint="eastAsia" w:ascii="宋体" w:hAnsi="宋体" w:cs="宋体"/>
          <w:color w:val="auto"/>
          <w:spacing w:val="-6"/>
          <w:szCs w:val="21"/>
          <w:highlight w:val="none"/>
        </w:rPr>
        <w:t>本竞争性谈判文件（以下简称谈判文件）适用于本项目的所有采购程序和环节（法律、法规另有规定的，从其规定）。</w:t>
      </w:r>
    </w:p>
    <w:p w14:paraId="010AACA3">
      <w:pPr>
        <w:spacing w:line="360" w:lineRule="auto"/>
        <w:ind w:firstLine="482" w:firstLineChars="200"/>
        <w:rPr>
          <w:rFonts w:hint="eastAsia" w:ascii="宋体" w:hAnsi="宋体" w:cs="宋体"/>
          <w:color w:val="auto"/>
          <w:szCs w:val="21"/>
          <w:highlight w:val="none"/>
        </w:rPr>
      </w:pPr>
      <w:r>
        <w:rPr>
          <w:rFonts w:hint="eastAsia" w:ascii="宋体" w:hAnsi="宋体" w:cs="宋体"/>
          <w:b/>
          <w:bCs/>
          <w:color w:val="auto"/>
          <w:sz w:val="24"/>
          <w:highlight w:val="none"/>
        </w:rPr>
        <w:t>2.定义</w:t>
      </w:r>
    </w:p>
    <w:p w14:paraId="118DA71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2.1“采购人”是指依法进行采购的国家机关、事业单位、团体组织。</w:t>
      </w:r>
    </w:p>
    <w:p w14:paraId="02509200">
      <w:pPr>
        <w:spacing w:line="360" w:lineRule="auto"/>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2.2“采购代理机构”是指政府采购集中采购机构和集中采购机构以外的采购代理机构。</w:t>
      </w:r>
    </w:p>
    <w:p w14:paraId="67FDCB2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2.3“供应商”是指向采购人提供货物、工程或者货物的法人、其他组织或者自然人。</w:t>
      </w:r>
    </w:p>
    <w:p w14:paraId="0E675B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2.4“货物”是指各种形态和种类的物品，包括原材料、燃料、设备、产品等。</w:t>
      </w:r>
    </w:p>
    <w:p w14:paraId="2E29F7A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2.5“竞标”是指按照本项目竞争性谈判公告或者邀请函规定的方式供应商获取谈判文件、提交响应文件并希望获得标的的行为。</w:t>
      </w:r>
    </w:p>
    <w:p w14:paraId="1B0F745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2.6“售后服务” 是指包含但不限于供应商须承担的备品备件、包装、运输、装卸、保险、货到就位以及安装、调试、培训、保修和其他类似的义务。</w:t>
      </w:r>
    </w:p>
    <w:p w14:paraId="3AEF65A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2.7“书面形式”是指合同书、信件和数据电文（包括电报、电传、传真、电子数据交换和电子邮件）等可以有形地表现所载内容的形式。</w:t>
      </w:r>
    </w:p>
    <w:p w14:paraId="0D1AAF8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2.8“响应文件”</w:t>
      </w:r>
      <w:r>
        <w:rPr>
          <w:rFonts w:hint="eastAsia" w:ascii="宋体" w:hAnsi="宋体" w:cs="宋体"/>
          <w:color w:val="auto"/>
          <w:spacing w:val="-6"/>
          <w:szCs w:val="21"/>
          <w:highlight w:val="none"/>
        </w:rPr>
        <w:t>是指：供应商根据本文件要求，编制包含报价、技术和货物等所有内容的文件。</w:t>
      </w:r>
    </w:p>
    <w:p w14:paraId="53CC7F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 “实质性要求”是指采购需求中带“</w:t>
      </w:r>
      <w:r>
        <w:rPr>
          <w:rFonts w:hint="eastAsia" w:ascii="宋体" w:hAnsi="宋体"/>
          <w:color w:val="auto"/>
          <w:szCs w:val="21"/>
          <w:highlight w:val="none"/>
        </w:rPr>
        <w:t>▲</w:t>
      </w:r>
      <w:r>
        <w:rPr>
          <w:rFonts w:hint="eastAsia" w:ascii="宋体" w:hAnsi="宋体" w:cs="宋体"/>
          <w:color w:val="auto"/>
          <w:szCs w:val="21"/>
          <w:highlight w:val="none"/>
        </w:rPr>
        <w:t>”的条款或者不能负偏离的条款或者已经指明不满足按响应文件作无效处理的条款。</w:t>
      </w:r>
    </w:p>
    <w:p w14:paraId="67553FB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2.10“正偏离”，是指响应文件对谈判文件“采购需求”中有关条款作出优于条款要求并有利于采购人的响应情形；</w:t>
      </w:r>
    </w:p>
    <w:p w14:paraId="4C79BF9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2.11“负偏离”，是指响应文件对谈判文件“采购需求”中有关条款作出的响应不满足条款要求，导致采购人要求不能得到满足的情形。</w:t>
      </w:r>
    </w:p>
    <w:p w14:paraId="75B816F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2.12“允许负偏离的条款”是指采购需求中的不属于“实质性要求”的条款。</w:t>
      </w:r>
    </w:p>
    <w:p w14:paraId="3254E48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2.13“首次报价”是指供应商提交的首次响应文件中的竞标报价。</w:t>
      </w:r>
    </w:p>
    <w:p w14:paraId="7DD00C3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3.供应商的资格条件</w:t>
      </w:r>
    </w:p>
    <w:p w14:paraId="3172BAB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供应商的资格条件详见“供应商须知前附表”。</w:t>
      </w:r>
    </w:p>
    <w:p w14:paraId="19727CDD">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4.谈判费用</w:t>
      </w:r>
    </w:p>
    <w:p w14:paraId="582CF77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供应商应承担参与本次采购活动有关的所有费用，包括但不限于、勘查现场、编制和提交响应文件、参加谈判与应答、签订合同等，不论竞标结果如何，均应自行承担。</w:t>
      </w:r>
    </w:p>
    <w:p w14:paraId="501E4727">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5.联合体竞标</w:t>
      </w:r>
    </w:p>
    <w:p w14:paraId="349C827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5.1本项目是否接受联合体竞标，详见“供应商须知前附表”。</w:t>
      </w:r>
    </w:p>
    <w:p w14:paraId="73465DF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w:t>
      </w:r>
      <w:r>
        <w:rPr>
          <w:rFonts w:hint="eastAsia" w:ascii="宋体" w:hAnsi="宋体" w:cs="宋体"/>
          <w:color w:val="auto"/>
          <w:highlight w:val="none"/>
        </w:rPr>
        <w:t>如接受联合体竞标，</w:t>
      </w:r>
      <w:r>
        <w:rPr>
          <w:rFonts w:hint="eastAsia" w:ascii="宋体" w:hAnsi="宋体" w:cs="宋体"/>
          <w:color w:val="auto"/>
          <w:szCs w:val="21"/>
          <w:highlight w:val="none"/>
        </w:rPr>
        <w:t>联合体竞标要求详见“供应商须知前附表”。</w:t>
      </w:r>
    </w:p>
    <w:p w14:paraId="6D8F5F76">
      <w:pPr>
        <w:spacing w:line="360" w:lineRule="auto"/>
        <w:ind w:firstLine="420" w:firstLineChars="200"/>
        <w:rPr>
          <w:rFonts w:hint="eastAsia" w:ascii="宋体" w:hAnsi="宋体" w:cs="宋体"/>
          <w:bCs/>
          <w:color w:val="auto"/>
          <w:szCs w:val="21"/>
          <w:highlight w:val="none"/>
        </w:rPr>
      </w:pPr>
      <w:r>
        <w:rPr>
          <w:rFonts w:hint="eastAsia" w:ascii="宋体" w:hAnsi="宋体" w:cs="宋体"/>
          <w:color w:val="auto"/>
          <w:szCs w:val="21"/>
          <w:highlight w:val="none"/>
        </w:rPr>
        <w:t>5.3</w:t>
      </w:r>
      <w:r>
        <w:rPr>
          <w:rFonts w:hint="eastAsia" w:ascii="宋体" w:hAnsi="宋体" w:cs="宋体"/>
          <w:bCs/>
          <w:color w:val="auto"/>
          <w:szCs w:val="21"/>
          <w:highlight w:val="none"/>
        </w:rPr>
        <w:t>根据《政府采购促进中小企业发展</w:t>
      </w:r>
      <w:r>
        <w:rPr>
          <w:rFonts w:hint="eastAsia" w:ascii="宋体" w:hAnsi="宋体" w:cs="宋体"/>
          <w:color w:val="auto"/>
          <w:highlight w:val="none"/>
        </w:rPr>
        <w:t>管理</w:t>
      </w:r>
      <w:r>
        <w:rPr>
          <w:rFonts w:hint="eastAsia" w:ascii="宋体" w:hAnsi="宋体" w:cs="宋体"/>
          <w:bCs/>
          <w:color w:val="auto"/>
          <w:szCs w:val="21"/>
          <w:highlight w:val="none"/>
        </w:rPr>
        <w:t>办法》（财库[2020]46号）第九条规定、《广西壮族自治区财政厅关于持续优化政府采购营商环境推动高质量发展的通知》（桂财采〔2024〕55号）规定，接受大中型企业与小微企业组成联合体的采购项目，对于联合协议约定小微企业的合同份额占到合同总金额 30%以上的，采购人、采购代理机构应当对联合体的报价给予4%—6%的扣除，用扣除后的价格参加评审。组成联合体的小微企业与联合体内其他企业、分包企业之间存在直接控股、管理关系的，不享受价格扣除优惠政策。</w:t>
      </w:r>
    </w:p>
    <w:p w14:paraId="304E1B98">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 xml:space="preserve">6.转包与分包             </w:t>
      </w:r>
    </w:p>
    <w:p w14:paraId="3F85551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6.1本项目是否允许分包详见“供应商须知前附表”，本项目不允许违法分包。</w:t>
      </w:r>
    </w:p>
    <w:p w14:paraId="791DEFA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6.2</w:t>
      </w:r>
      <w:r>
        <w:rPr>
          <w:rFonts w:hint="eastAsia" w:ascii="宋体" w:hAnsi="宋体" w:cs="宋体"/>
          <w:bCs/>
          <w:color w:val="auto"/>
          <w:szCs w:val="21"/>
          <w:highlight w:val="none"/>
        </w:rPr>
        <w:t>根据《政府采购促进中小企业发展</w:t>
      </w:r>
      <w:r>
        <w:rPr>
          <w:rFonts w:hint="eastAsia" w:ascii="宋体" w:hAnsi="宋体" w:cs="宋体"/>
          <w:color w:val="auto"/>
          <w:highlight w:val="none"/>
        </w:rPr>
        <w:t>管理</w:t>
      </w:r>
      <w:r>
        <w:rPr>
          <w:rFonts w:hint="eastAsia" w:ascii="宋体" w:hAnsi="宋体" w:cs="宋体"/>
          <w:bCs/>
          <w:color w:val="auto"/>
          <w:szCs w:val="21"/>
          <w:highlight w:val="none"/>
        </w:rPr>
        <w:t>办法》（财库[2020]46号）第九条规定、《广西壮族自治区财政厅关于持续优化政府采购营商环境推动高质量发展的通知》（桂财采〔2024〕55号）规定，允许大中型企业向一家或者多家小微企业分包的采购项目，对于分包意向协议约定小微企业的合同份额占到合同总金额 30%以上的，采购人、采购代理机构应当对大中型企业的报价给予4%—6%的扣除，用扣除后的价格参加评审。接受分包的小微企业与分包企业之间存在直接控股、管理关系的，不享受价格扣除优惠政策。</w:t>
      </w:r>
    </w:p>
    <w:p w14:paraId="0C80B304">
      <w:pPr>
        <w:spacing w:line="360" w:lineRule="auto"/>
        <w:ind w:firstLine="482" w:firstLineChars="200"/>
        <w:rPr>
          <w:rFonts w:hint="eastAsia" w:ascii="宋体" w:hAnsi="宋体" w:cs="宋体"/>
          <w:b/>
          <w:bCs/>
          <w:color w:val="auto"/>
          <w:sz w:val="24"/>
          <w:highlight w:val="none"/>
        </w:rPr>
      </w:pPr>
      <w:bookmarkStart w:id="31" w:name="_Toc254970532"/>
      <w:bookmarkStart w:id="32" w:name="_Toc254970673"/>
      <w:r>
        <w:rPr>
          <w:rFonts w:hint="eastAsia" w:ascii="宋体" w:hAnsi="宋体" w:cs="宋体"/>
          <w:b/>
          <w:bCs/>
          <w:color w:val="auto"/>
          <w:sz w:val="24"/>
          <w:highlight w:val="none"/>
        </w:rPr>
        <w:t>7.特别说明</w:t>
      </w:r>
      <w:bookmarkEnd w:id="31"/>
      <w:bookmarkEnd w:id="32"/>
    </w:p>
    <w:p w14:paraId="40605AF9">
      <w:pPr>
        <w:spacing w:line="360" w:lineRule="auto"/>
        <w:ind w:firstLine="420" w:firstLineChars="200"/>
        <w:rPr>
          <w:rFonts w:hint="eastAsia" w:ascii="宋体" w:hAnsi="宋体" w:cs="宋体"/>
          <w:color w:val="auto"/>
          <w:szCs w:val="21"/>
          <w:highlight w:val="none"/>
        </w:rPr>
      </w:pPr>
      <w:bookmarkStart w:id="33" w:name="_8.1提供相同品牌产品且通过资格审查、符合性审查的不同投标人参加同一合"/>
      <w:bookmarkEnd w:id="33"/>
      <w:r>
        <w:rPr>
          <w:rFonts w:hint="eastAsia" w:ascii="宋体" w:hAnsi="宋体" w:cs="宋体"/>
          <w:color w:val="auto"/>
          <w:szCs w:val="21"/>
          <w:highlight w:val="none"/>
        </w:rPr>
        <w:t>7.1如果本谈判文件要求提供供应商或制造商的资格、信誉、荣誉、业绩与企业认证等材料的，资格、信誉、荣誉、业绩与企业认证等必须为供应商或者制造商所拥有或自身获得 。</w:t>
      </w:r>
    </w:p>
    <w:p w14:paraId="4B8ED6F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7.2供应商应仔细阅读谈判文件的所有内容，按照谈判文件的要求提交响应文件，并对所提供的全部资料的真实性承担法律责任。</w:t>
      </w:r>
    </w:p>
    <w:p w14:paraId="41DA0A7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7.3供应商在竞标活动中提供任何虚假材料，其响应文件作无效处理，并报监管部门查处；签订合同后发现的，成交供应商须依照《中华人民共和国消费者权益保护法》规定赔偿采购人，且民事赔偿并不免除违法供应商的行政与刑事责任。</w:t>
      </w:r>
    </w:p>
    <w:p w14:paraId="64D042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7.4在政府采购活动中，采购人员及相关人员与供应商有下列利害关系之一的，应当回避：</w:t>
      </w:r>
    </w:p>
    <w:p w14:paraId="248CAAB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（1）参加采购活动前3年内与供应商存在劳动关系；</w:t>
      </w:r>
    </w:p>
    <w:p w14:paraId="437D018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（2）参加采购活动前3年内担任供应商的董事、监事；</w:t>
      </w:r>
    </w:p>
    <w:p w14:paraId="2DB1290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（3）参加采购活动前3年内是供应商的控股股东或者实际控制人；</w:t>
      </w:r>
    </w:p>
    <w:p w14:paraId="007F00B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（4）与供应商的法定代表人或者负责人有夫妻、直系血亲、三代以内旁系血亲或者近姻亲关系；</w:t>
      </w:r>
    </w:p>
    <w:p w14:paraId="234ABE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（5）与供应商有其他可能影响政府采购活动公平、公正进行的关系。</w:t>
      </w:r>
    </w:p>
    <w:p w14:paraId="056BB49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0FFB5B8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7.5有下列情形之一的视为供应商相互串通竞标，响应文件将被视为无效：</w:t>
      </w:r>
    </w:p>
    <w:p w14:paraId="38F356B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（1）不同供应商的响应文件由同一单位或者个人编制；</w:t>
      </w:r>
    </w:p>
    <w:p w14:paraId="6A52BF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（2）不同供应商委托同一单位或者个人办理竞标事宜；</w:t>
      </w:r>
    </w:p>
    <w:p w14:paraId="03773A2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（3）不同的供应商的响应文件载明的项目管理员为同一个人；</w:t>
      </w:r>
    </w:p>
    <w:p w14:paraId="0FFF808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（4）不同供应商的响应文件异常一致或者报价呈规律性差异；</w:t>
      </w:r>
    </w:p>
    <w:p w14:paraId="57F28D0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（5）不同供应商的响应文件相互混装；</w:t>
      </w:r>
    </w:p>
    <w:p w14:paraId="0F18A15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（6）不同供应商的竞标保证金从同一单位或者个人账户转出。</w:t>
      </w:r>
    </w:p>
    <w:p w14:paraId="3EF2DDC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7.6供应商有下列情形之一的，属于恶意串通行为</w:t>
      </w:r>
      <w:bookmarkStart w:id="34" w:name="_Hlk54682620"/>
      <w:r>
        <w:rPr>
          <w:rFonts w:hint="eastAsia" w:ascii="宋体" w:hAnsi="宋体" w:cs="宋体"/>
          <w:color w:val="auto"/>
          <w:szCs w:val="21"/>
          <w:highlight w:val="none"/>
        </w:rPr>
        <w:t>，将报同级监督管理部门</w:t>
      </w:r>
      <w:bookmarkEnd w:id="34"/>
      <w:r>
        <w:rPr>
          <w:rFonts w:hint="eastAsia" w:ascii="宋体" w:hAnsi="宋体" w:cs="宋体"/>
          <w:color w:val="auto"/>
          <w:szCs w:val="21"/>
          <w:highlight w:val="none"/>
        </w:rPr>
        <w:t>：</w:t>
      </w:r>
    </w:p>
    <w:p w14:paraId="0633CEB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（1）供应商直接或者间接从采购人或者采购代理机构处获得其他供应商的相关信息并修改其响应文件；</w:t>
      </w:r>
    </w:p>
    <w:p w14:paraId="0C8E737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（2）供应商按照采购人或者采购代理机构的授意撤换、修改响应文件；</w:t>
      </w:r>
    </w:p>
    <w:p w14:paraId="4FF0510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（3）供应商之间协商报价、技术方案等响应文件或者响应文件的实质性内容；</w:t>
      </w:r>
    </w:p>
    <w:p w14:paraId="516262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（4）属于同一集团、协会、商会等组织成员的供应商按照该组织要求协同参加政府采购活动；</w:t>
      </w:r>
    </w:p>
    <w:p w14:paraId="465A350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（5）供应商之间事先约定一致抬高或者压低报价，或者在政府采购活动中事先约定轮流以高价位或者低价位成交，或者事先约定由某一特定供应商成交，然后再参加竞标；</w:t>
      </w:r>
    </w:p>
    <w:p w14:paraId="0DB0D5C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（6）供应商之间商定部分供应商放弃参加政府采购活动或者放弃成交；</w:t>
      </w:r>
    </w:p>
    <w:p w14:paraId="5406591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（7）供应商与采购人或者采购代理机构之间、供应商相互之间，为谋求特定供应商成交或者排斥其他供应商的其他串通行为。</w:t>
      </w:r>
      <w:bookmarkStart w:id="35" w:name="_Toc254970534"/>
      <w:bookmarkStart w:id="36" w:name="_Toc254970675"/>
    </w:p>
    <w:p w14:paraId="12955FE4">
      <w:pPr>
        <w:keepNext/>
        <w:keepLines/>
        <w:spacing w:line="360" w:lineRule="auto"/>
        <w:ind w:firstLine="640" w:firstLineChars="200"/>
        <w:outlineLvl w:val="2"/>
        <w:rPr>
          <w:rFonts w:hint="eastAsia" w:ascii="宋体" w:hAnsi="宋体" w:cs="宋体"/>
          <w:color w:val="auto"/>
          <w:sz w:val="32"/>
          <w:szCs w:val="32"/>
          <w:highlight w:val="none"/>
        </w:rPr>
      </w:pPr>
      <w:bookmarkStart w:id="37" w:name="_Toc20051"/>
      <w:r>
        <w:rPr>
          <w:rFonts w:hint="eastAsia" w:ascii="宋体" w:hAnsi="宋体" w:cs="宋体"/>
          <w:color w:val="auto"/>
          <w:sz w:val="32"/>
          <w:szCs w:val="32"/>
          <w:highlight w:val="none"/>
        </w:rPr>
        <w:t>二、谈判文件</w:t>
      </w:r>
      <w:bookmarkEnd w:id="35"/>
      <w:bookmarkEnd w:id="36"/>
      <w:bookmarkEnd w:id="37"/>
    </w:p>
    <w:p w14:paraId="078C63B5">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8.谈判文件的构成</w:t>
      </w:r>
    </w:p>
    <w:p w14:paraId="2FD9BADF">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第一章 竞争性谈判公告；</w:t>
      </w:r>
    </w:p>
    <w:p w14:paraId="4EE2C59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第二章 采购需求；</w:t>
      </w:r>
    </w:p>
    <w:p w14:paraId="6CC4189C">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 xml:space="preserve">第三章 供应商须知； </w:t>
      </w:r>
    </w:p>
    <w:p w14:paraId="39F10D30">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第四章 评审程序、评审方法和成交准；</w:t>
      </w:r>
    </w:p>
    <w:p w14:paraId="6F93AF4B">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第五章 响应文件格式；</w:t>
      </w:r>
    </w:p>
    <w:p w14:paraId="0FB8CDAE">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第六章 合同文本；</w:t>
      </w:r>
    </w:p>
    <w:p w14:paraId="3FB74262">
      <w:pPr>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第七章 质疑、投诉材料格式。</w:t>
      </w:r>
    </w:p>
    <w:p w14:paraId="747A8FF3">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9.供应商的询问</w:t>
      </w:r>
    </w:p>
    <w:p w14:paraId="1CF1622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供应商应认真阅读谈判文件的采购需求，如供应商对谈判文件有疑问的，如要求采购人作出澄清或者修改的，供应商尽应在提交首次响应文件截止之日前，以书面形式向采购人、采购代理机构提出。</w:t>
      </w:r>
    </w:p>
    <w:p w14:paraId="734E4169">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10.谈判文件的澄清和修改</w:t>
      </w:r>
    </w:p>
    <w:p w14:paraId="1C30468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10.1已获取谈判文件的潜在供应商，若有问题需要澄清，应于应标截止时间前，以书面形式向采购代理机构提出，采购代理机构与采购人研究后，对认为有必要回答的问题，将以书面解答形式通知所有谈判文件收受人。</w:t>
      </w:r>
    </w:p>
    <w:p w14:paraId="030EFD78">
      <w:pPr>
        <w:spacing w:line="360" w:lineRule="auto"/>
        <w:ind w:firstLine="422" w:firstLineChars="200"/>
        <w:rPr>
          <w:rFonts w:hint="eastAsia" w:ascii="宋体" w:hAnsi="宋体" w:cs="宋体"/>
          <w:b/>
          <w:color w:val="auto"/>
          <w:szCs w:val="21"/>
          <w:highlight w:val="none"/>
        </w:rPr>
      </w:pPr>
      <w:r>
        <w:rPr>
          <w:rFonts w:hint="eastAsia" w:ascii="宋体" w:hAnsi="宋体" w:cs="宋体"/>
          <w:b/>
          <w:color w:val="auto"/>
          <w:szCs w:val="21"/>
          <w:highlight w:val="none"/>
        </w:rPr>
        <w:t>10.2采购人或者采购代理机构可以对已发出的谈判文件进行必要的澄清或者修改，但不得改变采购标的和资格条件。澄清或者修改应当在原公告发布媒体上发布澄清公告。澄清或者修改的内容为谈判文件的组成部分。</w:t>
      </w:r>
    </w:p>
    <w:p w14:paraId="711E963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10.3提交首次响应文件截止之日前，采购人、采购代理机构或者谈判小组可以对已发出的谈判文件进行必要的澄清或者修改，澄清或者修改的内容作为谈判文件的组成部分。澄清或者修改的内容可能影响响应文件编制的，采购人、采购代理机构或者谈判小组在提交首次响应文件截止之日3个工作日前，以网上公告的形式通知所有获取谈判文件的供应商，不足3个工作日的，应当顺延提交首次响应文件截止之日。</w:t>
      </w:r>
    </w:p>
    <w:p w14:paraId="3D74DF7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10.4</w:t>
      </w:r>
      <w:r>
        <w:rPr>
          <w:rFonts w:hint="eastAsia" w:ascii="宋体" w:hAnsi="宋体" w:cs="宋体"/>
          <w:color w:val="auto"/>
          <w:highlight w:val="none"/>
          <w:shd w:val="clear" w:color="auto" w:fill="FFFFFF"/>
        </w:rPr>
        <w:t>采购信息更正公告的内容应当包括采购人和采购代理机构名称、地址、联系方式，原公告的采购项目名称及首次公告日期，更正事项、内容及日期，采购项目联系人和电话。</w:t>
      </w:r>
    </w:p>
    <w:p w14:paraId="47ACFCB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10.5  采购人和采购代理机构可以视采购具体情况，变更提交首次响应文件截止时间和竞谈时间，将变更时间将在“竞标人须知前附表”规定的政府采购信息发布媒体上发布更正公告。</w:t>
      </w:r>
    </w:p>
    <w:p w14:paraId="5268E72E">
      <w:pPr>
        <w:spacing w:line="360" w:lineRule="auto"/>
        <w:ind w:firstLine="420" w:firstLineChars="200"/>
        <w:rPr>
          <w:rFonts w:hint="eastAsia" w:ascii="宋体" w:hAnsi="宋体" w:cs="宋体"/>
          <w:color w:val="auto"/>
          <w:kern w:val="0"/>
          <w:sz w:val="20"/>
          <w:szCs w:val="21"/>
          <w:highlight w:val="none"/>
        </w:rPr>
      </w:pPr>
      <w:r>
        <w:rPr>
          <w:rFonts w:hint="eastAsia" w:ascii="宋体" w:hAnsi="宋体"/>
          <w:color w:val="auto"/>
          <w:szCs w:val="21"/>
          <w:highlight w:val="none"/>
        </w:rPr>
        <w:t>▲</w:t>
      </w:r>
      <w:r>
        <w:rPr>
          <w:rFonts w:hint="eastAsia" w:ascii="宋体" w:hAnsi="宋体" w:cs="宋体"/>
          <w:b/>
          <w:color w:val="auto"/>
          <w:kern w:val="0"/>
          <w:sz w:val="20"/>
          <w:szCs w:val="21"/>
          <w:highlight w:val="none"/>
        </w:rPr>
        <w:t>响应文件未按谈判文件的澄清、修改的内容编制，又不符合实质性要求的，其响应文件作无效处理。</w:t>
      </w:r>
    </w:p>
    <w:p w14:paraId="1D79A79B">
      <w:pPr>
        <w:keepNext/>
        <w:keepLines/>
        <w:spacing w:line="360" w:lineRule="auto"/>
        <w:ind w:firstLine="640" w:firstLineChars="200"/>
        <w:outlineLvl w:val="2"/>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bookmarkStart w:id="38" w:name="_Toc6436"/>
      <w:r>
        <w:rPr>
          <w:rFonts w:hint="eastAsia" w:ascii="宋体" w:hAnsi="宋体" w:cs="宋体"/>
          <w:color w:val="auto"/>
          <w:sz w:val="32"/>
          <w:szCs w:val="32"/>
          <w:highlight w:val="none"/>
        </w:rPr>
        <w:t>三、响应文件的编制</w:t>
      </w:r>
      <w:bookmarkEnd w:id="38"/>
    </w:p>
    <w:p w14:paraId="5F1F9B41">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11.响应文件的编制原则</w:t>
      </w:r>
    </w:p>
    <w:p w14:paraId="5A94046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供应商必须按照谈判文件的要求编制响应文件，并对其提交的响应文件的真实性、合法性承担法律责任。响应文件必须对谈判文件作出实质性响应。</w:t>
      </w:r>
    </w:p>
    <w:p w14:paraId="7B7A8E1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12.响应文件的组成</w:t>
      </w:r>
    </w:p>
    <w:p w14:paraId="27A9963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12.1响应文件由资格证明文件、报价文件、商务和技术文件三部分组成。</w:t>
      </w:r>
    </w:p>
    <w:p w14:paraId="2FF4AD0C">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12.1.1资格证明文件：详见须知前附表</w:t>
      </w:r>
    </w:p>
    <w:p w14:paraId="589F82DE">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12.1.2商务技术文件：详见须知前附表</w:t>
      </w:r>
    </w:p>
    <w:p w14:paraId="7A6C72DC">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12.1.3报价文件：详见须知前附表</w:t>
      </w:r>
    </w:p>
    <w:p w14:paraId="2D7F5790">
      <w:pPr>
        <w:spacing w:line="360" w:lineRule="auto"/>
        <w:ind w:left="420" w:leftChars="200"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12.2响应文件电子版：详见须知前附表</w:t>
      </w:r>
    </w:p>
    <w:p w14:paraId="094EE9A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13.计量单位</w:t>
      </w:r>
    </w:p>
    <w:p w14:paraId="3367A52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谈判文件已有明确规定的，使用谈判文件规定的计量单位；谈判文件没有规定的，应采用中华人民共和国法定计量单位，货币种类为人民币，否则视同未响应。</w:t>
      </w:r>
    </w:p>
    <w:p w14:paraId="2A37CD6B">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14.竞标的风险</w:t>
      </w:r>
    </w:p>
    <w:p w14:paraId="39D04C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供应商没有按照谈判文件要求提供全部资料，或者供应商没有对谈判文件在各方面作出实质性响应可能导致其响应无效，是供应商应当考虑的风险。</w:t>
      </w:r>
    </w:p>
    <w:p w14:paraId="07082190">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15.响应报价要求和构成</w:t>
      </w:r>
    </w:p>
    <w:p w14:paraId="5DFC4D67">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15.1响应报价应按“第五章 响应文件格式”中“响应报价表”格式填写。</w:t>
      </w:r>
    </w:p>
    <w:p w14:paraId="33325C2F">
      <w:pPr>
        <w:tabs>
          <w:tab w:val="left" w:pos="2492"/>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15.2响应报价的价格构成见“供应商须知前附表”。</w:t>
      </w:r>
    </w:p>
    <w:p w14:paraId="2E0742E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15.3响应报价要求</w:t>
      </w:r>
    </w:p>
    <w:p w14:paraId="679E6A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15.3.1供应商的响应报价应符合以下要求，否则响应文件按无效响应处理：</w:t>
      </w:r>
    </w:p>
    <w:p w14:paraId="43767D0C">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（1）供应商必须就“采购需求”中所竞标的每个分标的全部内容分别作完整唯一总价报价，不得存在漏项报价；</w:t>
      </w:r>
    </w:p>
    <w:p w14:paraId="33A80A4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（2）供应商必须就所竞标的分标的单项内容作唯一报价。</w:t>
      </w:r>
    </w:p>
    <w:p w14:paraId="509E31B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15.3.2响应报价（包含首次报价、最后报价）超过所竞标分标规定的采购预算金额或者最高限价的，其响应文件将作无效处理。</w:t>
      </w:r>
    </w:p>
    <w:p w14:paraId="5FE6D62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15.3.3</w:t>
      </w:r>
      <w:bookmarkStart w:id="39" w:name="_Hlk42592874"/>
      <w:r>
        <w:rPr>
          <w:rFonts w:hint="eastAsia" w:ascii="宋体" w:hAnsi="宋体" w:cs="宋体"/>
          <w:color w:val="auto"/>
          <w:szCs w:val="21"/>
          <w:highlight w:val="none"/>
        </w:rPr>
        <w:t>响应报价（包含首次报价、最后报价）超过分项采购预算金额或者最高限价的，其响应文件将作无效处理。</w:t>
      </w:r>
    </w:p>
    <w:bookmarkEnd w:id="39"/>
    <w:p w14:paraId="35B1B237">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16.竞标有效期</w:t>
      </w:r>
    </w:p>
    <w:p w14:paraId="7D0EB5F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16.1竞标有效期是指为保证采购人有足够的时间在提交响应文件后完成评审、确定成交供应商、合同签订等工作而要求供应商提交的响应文件在一定时间内保持有效的期限。</w:t>
      </w:r>
    </w:p>
    <w:p w14:paraId="38683B6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16.2 竞标有效期应由供应商按“供应商须知前附表”规定的期限作出响应。</w:t>
      </w:r>
    </w:p>
    <w:p w14:paraId="11BB6A0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16.3供应商的响应文件在竞标有效期内均保持有效。</w:t>
      </w:r>
    </w:p>
    <w:p w14:paraId="5DDF94AA">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17.竞标保证金</w:t>
      </w:r>
    </w:p>
    <w:p w14:paraId="65571CD7">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17.1供应商须按“供应商须知前附表”的规定提交竞标保证金。</w:t>
      </w:r>
    </w:p>
    <w:p w14:paraId="59FA5133">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17.2竞标保证金的退还</w:t>
      </w:r>
    </w:p>
    <w:p w14:paraId="7309FD5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未</w:t>
      </w:r>
      <w:r>
        <w:rPr>
          <w:rFonts w:hint="eastAsia" w:ascii="宋体" w:hAnsi="宋体" w:cs="宋体"/>
          <w:color w:val="auto"/>
          <w:spacing w:val="-6"/>
          <w:szCs w:val="21"/>
          <w:highlight w:val="none"/>
        </w:rPr>
        <w:t>成交供应商的竞标保证金自成交通知书发出之日起4个工作日内退还</w:t>
      </w:r>
      <w:r>
        <w:rPr>
          <w:rFonts w:hint="eastAsia" w:ascii="宋体" w:hAnsi="宋体"/>
          <w:color w:val="auto"/>
          <w:szCs w:val="21"/>
          <w:highlight w:val="none"/>
        </w:rPr>
        <w:t>；</w:t>
      </w:r>
      <w:r>
        <w:rPr>
          <w:rFonts w:hint="eastAsia" w:ascii="宋体" w:hAnsi="宋体" w:cs="宋体"/>
          <w:color w:val="auto"/>
          <w:szCs w:val="21"/>
          <w:highlight w:val="none"/>
        </w:rPr>
        <w:t xml:space="preserve">成交供应商的竞标保证金自签订合同之日起4个工作日内退还。 </w:t>
      </w:r>
    </w:p>
    <w:p w14:paraId="614927C8">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17.3竞标保证金不计息。</w:t>
      </w:r>
    </w:p>
    <w:p w14:paraId="4E880596">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 xml:space="preserve">17.4供应商有下列情形之一的，竞标保证金将不予退还： </w:t>
      </w:r>
    </w:p>
    <w:p w14:paraId="534B34D7">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（1）供应商在提交首次响应文件截止时间后撤回响应文件的；</w:t>
      </w:r>
    </w:p>
    <w:p w14:paraId="073704C9">
      <w:pPr>
        <w:spacing w:line="360" w:lineRule="auto"/>
        <w:ind w:left="420" w:leftChars="200"/>
        <w:rPr>
          <w:rFonts w:hint="eastAsia" w:ascii="宋体" w:hAnsi="宋体" w:cs="宋体"/>
          <w:color w:val="auto"/>
          <w:szCs w:val="21"/>
          <w:highlight w:val="none"/>
        </w:rPr>
      </w:pPr>
      <w:r>
        <w:rPr>
          <w:rFonts w:hint="eastAsia" w:ascii="宋体" w:hAnsi="宋体"/>
          <w:color w:val="auto"/>
          <w:szCs w:val="21"/>
          <w:highlight w:val="none"/>
        </w:rPr>
        <w:t>（2）未按规定提交履约保证金的；</w:t>
      </w:r>
    </w:p>
    <w:p w14:paraId="64BF3CFA">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（3）供应商在响应文件中提供虚假材料的；</w:t>
      </w:r>
    </w:p>
    <w:p w14:paraId="1793383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（4）除因不可抗力或者谈判文件认可的情形以外，成交供应商不与采购人签订合同的；</w:t>
      </w:r>
    </w:p>
    <w:p w14:paraId="05E1217A">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（5）供应商与采购人、其他供应商或者采购代理机构恶意串通的；</w:t>
      </w:r>
    </w:p>
    <w:p w14:paraId="28CE0A55">
      <w:pPr>
        <w:spacing w:line="360" w:lineRule="auto"/>
        <w:ind w:left="420" w:leftChars="200"/>
        <w:rPr>
          <w:rFonts w:hint="eastAsia" w:ascii="宋体" w:hAnsi="宋体" w:cs="宋体"/>
          <w:color w:val="auto"/>
          <w:szCs w:val="21"/>
          <w:highlight w:val="none"/>
        </w:rPr>
      </w:pPr>
      <w:r>
        <w:rPr>
          <w:rFonts w:hint="eastAsia" w:ascii="宋体" w:hAnsi="宋体" w:cs="宋体"/>
          <w:color w:val="auto"/>
          <w:szCs w:val="21"/>
          <w:highlight w:val="none"/>
        </w:rPr>
        <w:t>（6）法律法规规定的其他情形。</w:t>
      </w:r>
    </w:p>
    <w:p w14:paraId="036F1D86">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18.响应文件编制的要求</w:t>
      </w:r>
    </w:p>
    <w:p w14:paraId="58CC4B7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18.1各供应商在编制响应文件时请按照谈判文件“第五章 响应文件格式”规定的格式进行，混乱的编排导致响应文件被误读或谈判小组查找不到有效文件是供应商的风险。不完整、编排混乱导致响应文件被误读、漏读或者查找不到相关内容的，</w:t>
      </w:r>
      <w:r>
        <w:rPr>
          <w:rFonts w:hint="eastAsia" w:ascii="宋体" w:hAnsi="宋体" w:cs="宋体"/>
          <w:color w:val="auto"/>
          <w:highlight w:val="none"/>
        </w:rPr>
        <w:t>由此引发的</w:t>
      </w:r>
      <w:r>
        <w:rPr>
          <w:rFonts w:hint="eastAsia" w:ascii="宋体" w:hAnsi="宋体" w:cs="宋体"/>
          <w:color w:val="auto"/>
          <w:szCs w:val="21"/>
          <w:highlight w:val="none"/>
        </w:rPr>
        <w:t>后果由供应商承担。</w:t>
      </w:r>
    </w:p>
    <w:p w14:paraId="3077C70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18.2响应文件应按资格证明、报价分别编制，商务技术文件合并编制，本谈判只接收电子版响应文件，要求见本章“12.2响应文件电子版要求”。</w:t>
      </w:r>
    </w:p>
    <w:p w14:paraId="7E1B5D9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w:t>
      </w:r>
      <w:bookmarkStart w:id="40" w:name="_Hlk65832699"/>
      <w:r>
        <w:rPr>
          <w:rFonts w:hint="eastAsia" w:ascii="宋体" w:hAnsi="宋体" w:cs="宋体"/>
          <w:color w:val="auto"/>
          <w:szCs w:val="21"/>
          <w:highlight w:val="none"/>
        </w:rPr>
        <w:t>3响应文件须由供应商在</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第五章 响应文件格式</w:t>
      </w:r>
      <w:r>
        <w:rPr>
          <w:rFonts w:hint="eastAsia" w:ascii="宋体" w:hAnsi="宋体" w:cs="宋体"/>
          <w:color w:val="auto"/>
          <w:kern w:val="0"/>
          <w:szCs w:val="21"/>
          <w:highlight w:val="none"/>
          <w:lang w:val="zh-CN"/>
        </w:rPr>
        <w:t>”</w:t>
      </w:r>
      <w:r>
        <w:rPr>
          <w:rFonts w:hint="eastAsia" w:ascii="宋体" w:hAnsi="宋体" w:cs="宋体"/>
          <w:color w:val="auto"/>
          <w:szCs w:val="21"/>
          <w:highlight w:val="none"/>
        </w:rPr>
        <w:t>规定位置进行签署、盖章</w:t>
      </w:r>
      <w:bookmarkEnd w:id="40"/>
      <w:r>
        <w:rPr>
          <w:rFonts w:hint="eastAsia" w:ascii="宋体" w:hAnsi="宋体" w:cs="宋体"/>
          <w:color w:val="auto"/>
          <w:szCs w:val="21"/>
          <w:highlight w:val="none"/>
        </w:rPr>
        <w:t>，否则其响应文件按无效响应处理。骑缝盖公章不视为在规定位置盖章。</w:t>
      </w:r>
    </w:p>
    <w:p w14:paraId="7AE241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18.4响应文件中标注的供应商名称应与营业执照（事业单位法人证书、执业许可证、自然人身份证）及电子公章一致，否则其响应文件按无效响应处理。</w:t>
      </w:r>
    </w:p>
    <w:p w14:paraId="5509B84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18.5响应文件应避免涂改、行间插字或者删除，否则其响应文件按无效响应处理。</w:t>
      </w:r>
    </w:p>
    <w:p w14:paraId="70F09A38">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19.响应文件的密封和标记</w:t>
      </w:r>
    </w:p>
    <w:p w14:paraId="59594948">
      <w:pPr>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19.1供应商进行电子交易应安装客户端软件—“政采云电子交易客户端”，并按照谈判文件和电子交易平台的要求编制并加密响应文件。供应商未按规定加密的响应文件，电子交易平台将拒收并提示。</w:t>
      </w:r>
    </w:p>
    <w:p w14:paraId="515D4192">
      <w:pPr>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19.2使用“政采云电子交易客户端”需要提前申领CA数字证书，申领流程见该项目采购公告附件。</w:t>
      </w:r>
    </w:p>
    <w:p w14:paraId="01A965E5">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19.3为确保网上操作合法、有效和安全，供应商应当在响应文件提交截止时间前完成在“政府采购云平台”的身份认证，确保在电子交易过程中能够对相关数据电文进行加密和使用电子签名。</w:t>
      </w:r>
    </w:p>
    <w:p w14:paraId="5AB6AC3A">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20.响应文件的提交</w:t>
      </w:r>
    </w:p>
    <w:p w14:paraId="2CFA031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20.1供应商必须在“供应商须知前附表”规定的时间和地点提交响应文件。</w:t>
      </w:r>
    </w:p>
    <w:p w14:paraId="0E555C6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20.2 在响应文件提交截止时间以后，不能补充、修改响应文件。</w:t>
      </w:r>
    </w:p>
    <w:p w14:paraId="7BC5B29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20.3 在提交“最后报价”后，供应商不能退出谈判。</w:t>
      </w:r>
    </w:p>
    <w:p w14:paraId="6A61B51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20.4 电子交易平台收到响应文件，将妥善保存并即时向供应商发出确认回执通知。在响应文件提交截止时间前，除供应商补充、修改或者撤回响应文件外，任何单位和个人不得解密或提取响应文件。</w:t>
      </w:r>
    </w:p>
    <w:p w14:paraId="416CB94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20.5 采购机构不可视情况延长提交响应文件的截止时间。</w:t>
      </w:r>
    </w:p>
    <w:p w14:paraId="030C99AF">
      <w:pPr>
        <w:spacing w:line="360" w:lineRule="auto"/>
        <w:ind w:firstLine="420" w:firstLineChars="200"/>
        <w:rPr>
          <w:rFonts w:hint="eastAsia" w:ascii="宋体" w:hAnsi="宋体" w:cs="宋体"/>
          <w:color w:val="auto"/>
          <w:sz w:val="24"/>
          <w:highlight w:val="none"/>
        </w:rPr>
      </w:pPr>
      <w:r>
        <w:rPr>
          <w:rFonts w:hint="eastAsia" w:ascii="宋体" w:hAnsi="宋体" w:cs="宋体"/>
          <w:color w:val="auto"/>
          <w:szCs w:val="21"/>
          <w:highlight w:val="none"/>
        </w:rPr>
        <w:t>20.6备份响应文件。</w:t>
      </w:r>
      <w:r>
        <w:rPr>
          <w:rFonts w:hint="eastAsia" w:ascii="宋体" w:hAnsi="宋体" w:cs="宋体"/>
          <w:bCs/>
          <w:color w:val="auto"/>
          <w:szCs w:val="21"/>
          <w:highlight w:val="none"/>
        </w:rPr>
        <w:t>详见在“供应商须知前附表”。</w:t>
      </w:r>
    </w:p>
    <w:p w14:paraId="15708D98">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21.首次响应文件的补充、修改与撤回</w:t>
      </w:r>
    </w:p>
    <w:p w14:paraId="19F4AA7C">
      <w:pPr>
        <w:adjustRightInd w:val="0"/>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5A3D0C3F">
      <w:pPr>
        <w:spacing w:line="360" w:lineRule="auto"/>
        <w:ind w:firstLine="482" w:firstLineChars="200"/>
        <w:rPr>
          <w:rFonts w:hint="eastAsia" w:ascii="宋体" w:hAnsi="宋体" w:cs="宋体"/>
          <w:b/>
          <w:bCs/>
          <w:color w:val="auto"/>
          <w:sz w:val="24"/>
          <w:highlight w:val="none"/>
        </w:rPr>
      </w:pPr>
      <w:bookmarkStart w:id="41" w:name="_Hlk45702405"/>
      <w:r>
        <w:rPr>
          <w:rFonts w:hint="eastAsia" w:ascii="宋体" w:hAnsi="宋体" w:cs="宋体"/>
          <w:b/>
          <w:bCs/>
          <w:color w:val="auto"/>
          <w:sz w:val="24"/>
          <w:highlight w:val="none"/>
        </w:rPr>
        <w:t>22. 首次响应文件的退回</w:t>
      </w:r>
    </w:p>
    <w:p w14:paraId="730BA56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详见“供应商须知前附表”。</w:t>
      </w:r>
    </w:p>
    <w:p w14:paraId="20D44192">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23. 截止时间后的撤回</w:t>
      </w:r>
    </w:p>
    <w:p w14:paraId="09E454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本项目收取竞标保证金，供应商在首次响应文件提交截止时间后可向采购人、采购代理机构书面申请撤回响应文件。</w:t>
      </w:r>
      <w:bookmarkEnd w:id="41"/>
    </w:p>
    <w:p w14:paraId="17992996">
      <w:pPr>
        <w:keepNext/>
        <w:keepLines/>
        <w:spacing w:line="360" w:lineRule="auto"/>
        <w:ind w:firstLine="640" w:firstLineChars="200"/>
        <w:outlineLvl w:val="2"/>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bookmarkStart w:id="42" w:name="_Toc23455"/>
      <w:r>
        <w:rPr>
          <w:rFonts w:hint="eastAsia" w:ascii="宋体" w:hAnsi="宋体" w:cs="宋体"/>
          <w:color w:val="auto"/>
          <w:sz w:val="32"/>
          <w:szCs w:val="32"/>
          <w:highlight w:val="none"/>
        </w:rPr>
        <w:t>四、评审及谈判</w:t>
      </w:r>
      <w:bookmarkEnd w:id="42"/>
    </w:p>
    <w:p w14:paraId="69DD1DE8">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24.谈判小组成立</w:t>
      </w:r>
    </w:p>
    <w:p w14:paraId="62D132E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24.1谈判小组由采购人代表和评审专家共3人以上单数组成，其中评审专家人数不得少于谈判小组成员总数的2/3。采购人代表不得以评审专家身份参加本部门或者本单位采购项目的评审。采购代理机构人员不得参加本机构代理的采购项目的评审。达到公开招标数额标准的货物或者货物采购项目，或者达到公开招标规模标准的政府采购工程，经批准采用竞争性谈判方式采购的，谈判小组由5人以上单数组成。</w:t>
      </w:r>
    </w:p>
    <w:p w14:paraId="0E99EDA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24.2评审专家应当从政府采购评审专家库内相关专业的专家名单中随机抽取。技术复杂、专业性强的竞争性谈判采购项目，评审专家中应当包含1名法律专家。</w:t>
      </w:r>
    </w:p>
    <w:p w14:paraId="423E180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24.3 本项目谈判小组由评审专家 2 人和采购人代表 1 人，共 3 人组成。</w:t>
      </w:r>
    </w:p>
    <w:p w14:paraId="632D670A">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25.首次响应文件的开启</w:t>
      </w:r>
    </w:p>
    <w:p w14:paraId="5FD6CCF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25.1首次响应文件由谈判小组或者采购代理机构在“供应商须知前附表”规定的时间开启。</w:t>
      </w:r>
    </w:p>
    <w:p w14:paraId="4E80F904">
      <w:pPr>
        <w:spacing w:line="360" w:lineRule="auto"/>
        <w:ind w:firstLine="420" w:firstLineChars="200"/>
        <w:rPr>
          <w:rFonts w:hint="eastAsia" w:ascii="宋体" w:hAnsi="宋体" w:cs="宋体"/>
          <w:bCs/>
          <w:color w:val="auto"/>
          <w:kern w:val="0"/>
          <w:szCs w:val="21"/>
          <w:highlight w:val="none"/>
        </w:rPr>
      </w:pPr>
      <w:r>
        <w:rPr>
          <w:rFonts w:hint="eastAsia" w:ascii="宋体" w:hAnsi="宋体" w:cs="宋体"/>
          <w:color w:val="auto"/>
          <w:kern w:val="0"/>
          <w:szCs w:val="21"/>
          <w:highlight w:val="none"/>
        </w:rPr>
        <w:t xml:space="preserve">25.2 </w:t>
      </w:r>
      <w:r>
        <w:rPr>
          <w:rFonts w:hint="eastAsia" w:ascii="宋体" w:hAnsi="宋体" w:cs="宋体"/>
          <w:bCs/>
          <w:color w:val="auto"/>
          <w:kern w:val="0"/>
          <w:szCs w:val="21"/>
          <w:highlight w:val="none"/>
        </w:rPr>
        <w:t xml:space="preserve">响应文件解密         </w:t>
      </w:r>
    </w:p>
    <w:p w14:paraId="44DDE286">
      <w:pPr>
        <w:snapToGrid w:val="0"/>
        <w:spacing w:line="440" w:lineRule="exact"/>
        <w:ind w:firstLine="420" w:firstLineChars="200"/>
        <w:rPr>
          <w:rFonts w:hint="eastAsia" w:ascii="宋体" w:hAnsi="宋体" w:cs="宋体"/>
          <w:color w:val="auto"/>
          <w:kern w:val="0"/>
          <w:szCs w:val="21"/>
          <w:highlight w:val="none"/>
        </w:rPr>
      </w:pPr>
      <w:r>
        <w:rPr>
          <w:rFonts w:hint="eastAsia" w:ascii="宋体" w:hAnsi="宋体" w:cs="宋体"/>
          <w:bCs/>
          <w:color w:val="auto"/>
          <w:kern w:val="0"/>
          <w:szCs w:val="21"/>
          <w:highlight w:val="none"/>
        </w:rPr>
        <w:t>采购代理机构将在“供应商须知前附表”规定的时</w:t>
      </w:r>
      <w:r>
        <w:rPr>
          <w:rFonts w:hint="eastAsia" w:ascii="宋体" w:hAnsi="宋体" w:cs="宋体"/>
          <w:color w:val="auto"/>
          <w:kern w:val="0"/>
          <w:szCs w:val="21"/>
          <w:highlight w:val="none"/>
        </w:rPr>
        <w:t>间通过电子交易平台组织响应文件开启，采购机构依托电子交易平台发起开始解密指令，供应商的法定代表人或其委托代理人</w:t>
      </w:r>
      <w:r>
        <w:rPr>
          <w:rFonts w:hint="eastAsia" w:ascii="宋体" w:hAnsi="宋体" w:cs="宋体"/>
          <w:b/>
          <w:color w:val="auto"/>
          <w:kern w:val="0"/>
          <w:szCs w:val="21"/>
          <w:highlight w:val="none"/>
        </w:rPr>
        <w:t>须携带加密时所用的CA锁按平台提示和采购文件的规定登录到广西政府采购云平台电子开标大厅签到并在发起解密指令之时起30分钟内完成对电子响应文件在线解密</w:t>
      </w:r>
      <w:r>
        <w:rPr>
          <w:rFonts w:hint="eastAsia" w:ascii="宋体" w:hAnsi="宋体" w:cs="宋体"/>
          <w:color w:val="auto"/>
          <w:kern w:val="0"/>
          <w:szCs w:val="21"/>
          <w:highlight w:val="none"/>
        </w:rPr>
        <w:t>。发起解密指令之时起5分钟内供应商还未进行解密的，代理机构要通知供应商，供应商没预留联系方式或预留联系方式无效，导致代理机构无法联系到供应商进行解密的，</w:t>
      </w:r>
      <w:r>
        <w:rPr>
          <w:rFonts w:hint="eastAsia" w:ascii="宋体" w:hAnsi="宋体" w:cs="宋体"/>
          <w:b/>
          <w:color w:val="auto"/>
          <w:kern w:val="0"/>
          <w:szCs w:val="21"/>
          <w:highlight w:val="none"/>
        </w:rPr>
        <w:t>视为响应文件无效。</w:t>
      </w:r>
      <w:r>
        <w:rPr>
          <w:rFonts w:hint="eastAsia" w:ascii="宋体" w:hAnsi="宋体" w:cs="宋体"/>
          <w:color w:val="auto"/>
          <w:kern w:val="0"/>
          <w:szCs w:val="21"/>
          <w:highlight w:val="none"/>
        </w:rPr>
        <w:t>（解密</w:t>
      </w:r>
      <w:r>
        <w:rPr>
          <w:rFonts w:hint="eastAsia" w:ascii="宋体" w:hAnsi="宋体" w:cs="宋体"/>
          <w:bCs/>
          <w:color w:val="auto"/>
          <w:kern w:val="0"/>
          <w:szCs w:val="21"/>
          <w:highlight w:val="none"/>
        </w:rPr>
        <w:t>异常情况处理：详见本章</w:t>
      </w:r>
      <w:r>
        <w:rPr>
          <w:rFonts w:hint="eastAsia" w:ascii="宋体" w:hAnsi="宋体" w:cs="宋体"/>
          <w:color w:val="auto"/>
          <w:kern w:val="0"/>
          <w:szCs w:val="21"/>
          <w:highlight w:val="none"/>
        </w:rPr>
        <w:t>26.3 电子交易活动的中止。）</w:t>
      </w:r>
    </w:p>
    <w:p w14:paraId="0F4800E1">
      <w:pPr>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如</w:t>
      </w:r>
      <w:r>
        <w:rPr>
          <w:rFonts w:hint="eastAsia" w:ascii="宋体" w:hAnsi="宋体" w:cs="宋体"/>
          <w:bCs/>
          <w:color w:val="auto"/>
          <w:kern w:val="0"/>
          <w:szCs w:val="21"/>
          <w:highlight w:val="none"/>
        </w:rPr>
        <w:t>供应商成功解密响应文件，但未在“</w:t>
      </w:r>
      <w:r>
        <w:rPr>
          <w:rFonts w:hint="eastAsia" w:ascii="宋体" w:hAnsi="宋体" w:cs="宋体"/>
          <w:color w:val="auto"/>
          <w:szCs w:val="21"/>
          <w:highlight w:val="none"/>
        </w:rPr>
        <w:t>广西政府采购云平台</w:t>
      </w:r>
      <w:r>
        <w:rPr>
          <w:rFonts w:hint="eastAsia" w:ascii="宋体" w:hAnsi="宋体" w:cs="宋体"/>
          <w:bCs/>
          <w:color w:val="auto"/>
          <w:kern w:val="0"/>
          <w:szCs w:val="21"/>
          <w:highlight w:val="none"/>
        </w:rPr>
        <w:t>”电子开标大厅参加谈判的，视同认可谈判过程和结果，</w:t>
      </w:r>
      <w:r>
        <w:rPr>
          <w:rFonts w:hint="eastAsia" w:ascii="宋体" w:hAnsi="宋体" w:cs="宋体"/>
          <w:color w:val="auto"/>
          <w:kern w:val="0"/>
          <w:szCs w:val="21"/>
          <w:highlight w:val="none"/>
        </w:rPr>
        <w:t>由此产生的后果由供应商自行负责。 参与谈判的供应商不足3家的，不得谈判。</w:t>
      </w:r>
    </w:p>
    <w:p w14:paraId="5856752E">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26.评审程序、评审方法和成交准</w:t>
      </w:r>
    </w:p>
    <w:p w14:paraId="07DA3D7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26.1谈判小组按照“第四章 评审程序、评审方法和成交准”规定的方法、评审因素、标准和程序对响应文件进行评审。</w:t>
      </w:r>
    </w:p>
    <w:p w14:paraId="5A74598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26.2 采购需求负偏离要求及谈判顺序详见 “供应商须知前附表”。</w:t>
      </w:r>
    </w:p>
    <w:p w14:paraId="3C9AF6A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26.3电子交易活动的中止。采购过程中出现以下情形，导致电子交易平台无法正常运行，或者无法保证电子交易的公平、公正和安全时，采购机构可中止电子交易活动：</w:t>
      </w:r>
    </w:p>
    <w:p w14:paraId="1FF4DBA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（1）电子交易平台发生故障而无法登录访问的； </w:t>
      </w:r>
    </w:p>
    <w:p w14:paraId="0F9C5D7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（2）电子交易平台应用或数据库出现错误，不能进行正常操作的；</w:t>
      </w:r>
    </w:p>
    <w:p w14:paraId="7CBB052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（3）电子交易平台发现严重安全漏洞，有潜在泄密危险的；</w:t>
      </w:r>
    </w:p>
    <w:p w14:paraId="2DC1C8B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 xml:space="preserve">（4）病毒发作导致不能进行正常操作的； </w:t>
      </w:r>
    </w:p>
    <w:p w14:paraId="7E3CFD3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（4）其他无法保证电子交易的公平、公正和安全的情况。</w:t>
      </w:r>
    </w:p>
    <w:p w14:paraId="04CA71A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26.4出现以上情形，不影响采购公平、公正性的，采购组织机构可以待上述情形消除后继续组织电子交易活动；影响或可能影响采购公平、公正性的，经采购代理机构确认后，应当重新采购。采购代理机构必须对原有的资料及信息作出妥善保密处理，并报财政部门备案。</w:t>
      </w:r>
    </w:p>
    <w:p w14:paraId="6576211A">
      <w:pPr>
        <w:keepNext/>
        <w:keepLines/>
        <w:spacing w:line="360" w:lineRule="auto"/>
        <w:ind w:firstLine="640" w:firstLineChars="200"/>
        <w:outlineLvl w:val="2"/>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bookmarkStart w:id="43" w:name="_Toc17427"/>
      <w:r>
        <w:rPr>
          <w:rFonts w:hint="eastAsia" w:ascii="宋体" w:hAnsi="宋体" w:cs="宋体"/>
          <w:color w:val="auto"/>
          <w:sz w:val="32"/>
          <w:szCs w:val="32"/>
          <w:highlight w:val="none"/>
        </w:rPr>
        <w:t>五、成交及合同</w:t>
      </w:r>
      <w:bookmarkEnd w:id="43"/>
    </w:p>
    <w:p w14:paraId="7FE0C6B2">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27.确定成交供应商及结果公告</w:t>
      </w:r>
    </w:p>
    <w:p w14:paraId="6D339C3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27.1确定成交供应商。</w:t>
      </w:r>
      <w:r>
        <w:rPr>
          <w:rFonts w:hint="eastAsia" w:ascii="宋体" w:hAnsi="宋体" w:cs="宋体"/>
          <w:color w:val="auto"/>
          <w:kern w:val="0"/>
          <w:szCs w:val="21"/>
          <w:highlight w:val="none"/>
        </w:rPr>
        <w:t xml:space="preserve"> 由采购人直接委托评审专家确定</w:t>
      </w:r>
      <w:r>
        <w:rPr>
          <w:rFonts w:hint="eastAsia" w:ascii="宋体" w:hAnsi="宋体" w:cs="宋体"/>
          <w:color w:val="auto"/>
          <w:szCs w:val="21"/>
          <w:highlight w:val="none"/>
        </w:rPr>
        <w:t>，评审报告提出的排序第一的供应商为成交供应商。</w:t>
      </w:r>
    </w:p>
    <w:p w14:paraId="6FFCC61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27.2</w:t>
      </w:r>
      <w:r>
        <w:rPr>
          <w:rFonts w:ascii="Segoe UI" w:hAnsi="Segoe UI" w:eastAsia="Segoe UI" w:cs="Segoe UI"/>
          <w:i w:val="0"/>
          <w:iCs w:val="0"/>
          <w:caps w:val="0"/>
          <w:color w:val="auto"/>
          <w:spacing w:val="0"/>
          <w:sz w:val="22"/>
          <w:szCs w:val="22"/>
          <w:highlight w:val="none"/>
          <w:shd w:val="clear" w:fill="FFFFFF"/>
        </w:rPr>
        <w:t>成交通知及成交结果公告。采购人或者采购代理机构应当自成交供应商确定之日起 2 个工作日内，在省级以上人民政府财政部门指定的媒体上公告成交结果，同时向成交供应商发出成交通知书。竞争性谈判文件随成交结果同时公告；成交结果公告前谈判文件已公告的，不再重复公告。成交结果公告期限为 1 个工作日。成交结果公告内容包括采购人及其委托的采购代理机构的名称、地址和联系方式，项目名称和项目编号，成交供应商名称、地址和成交金额，</w:t>
      </w:r>
      <w:r>
        <w:rPr>
          <w:rStyle w:val="36"/>
          <w:rFonts w:hint="default" w:ascii="Segoe UI" w:hAnsi="Segoe UI" w:eastAsia="Segoe UI" w:cs="Segoe UI"/>
          <w:b/>
          <w:bCs/>
          <w:i w:val="0"/>
          <w:iCs w:val="0"/>
          <w:caps w:val="0"/>
          <w:color w:val="auto"/>
          <w:spacing w:val="0"/>
          <w:sz w:val="22"/>
          <w:szCs w:val="22"/>
          <w:highlight w:val="none"/>
          <w:shd w:val="clear" w:fill="FFFFFF"/>
        </w:rPr>
        <w:t>主要成交标的的名称、规格型号、数量、单价、服务要求</w:t>
      </w:r>
      <w:r>
        <w:rPr>
          <w:rFonts w:hint="default" w:ascii="Segoe UI" w:hAnsi="Segoe UI" w:eastAsia="Segoe UI" w:cs="Segoe UI"/>
          <w:i w:val="0"/>
          <w:iCs w:val="0"/>
          <w:caps w:val="0"/>
          <w:color w:val="auto"/>
          <w:spacing w:val="0"/>
          <w:sz w:val="22"/>
          <w:szCs w:val="22"/>
          <w:highlight w:val="none"/>
          <w:shd w:val="clear" w:fill="FFFFFF"/>
        </w:rPr>
        <w:t>，代理服务收费标准及金额。成交通知书规定的签订合同时间，自成交通知书发出之日起不得超过 25 日。</w:t>
      </w:r>
    </w:p>
    <w:p w14:paraId="4F475D2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27.3采购人或者采购代理机构发出成交通知书前，应当对成交供应商信用进行查询核实，对列入失信被执行人、重大税收违法案件当事人名单、政府采购严重违法失信行为记录名单及其他不符合《中华人民共和国政府采购法》第二十二条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谈判文件一并保存。</w:t>
      </w:r>
      <w:bookmarkStart w:id="44" w:name="_Hlk66782294"/>
      <w:r>
        <w:rPr>
          <w:rFonts w:hint="eastAsia" w:ascii="宋体" w:hAnsi="宋体" w:cs="宋体"/>
          <w:color w:val="auto"/>
          <w:szCs w:val="21"/>
          <w:highlight w:val="none"/>
        </w:rPr>
        <w:t>成交供应商享受《政府采购促进中小企业发展管理办法》（财库〔2020〕46号）规定的中小企业扶持政策的，采购人、采购代理机构应当随成交结果公开成交供应商的《中小企业声明函》。</w:t>
      </w:r>
      <w:bookmarkEnd w:id="44"/>
    </w:p>
    <w:p w14:paraId="7FCD9F6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27.4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0E69CE8D">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28.履约保证金</w:t>
      </w:r>
    </w:p>
    <w:p w14:paraId="0C25A24F">
      <w:pPr>
        <w:spacing w:line="360" w:lineRule="auto"/>
        <w:ind w:firstLine="420" w:firstLineChars="200"/>
        <w:rPr>
          <w:rFonts w:hint="eastAsia" w:ascii="宋体" w:hAnsi="宋体" w:cs="宋体"/>
          <w:b/>
          <w:bCs/>
          <w:color w:val="auto"/>
          <w:sz w:val="24"/>
          <w:highlight w:val="none"/>
        </w:rPr>
      </w:pPr>
      <w:r>
        <w:rPr>
          <w:rFonts w:hint="eastAsia" w:ascii="宋体" w:hAnsi="宋体" w:cs="宋体"/>
          <w:color w:val="auto"/>
          <w:szCs w:val="21"/>
          <w:highlight w:val="none"/>
        </w:rPr>
        <w:t>详见 “供应商须知前附表”</w:t>
      </w:r>
    </w:p>
    <w:p w14:paraId="1AD07530">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29.签订合同</w:t>
      </w:r>
    </w:p>
    <w:p w14:paraId="4A2C66AA">
      <w:pPr>
        <w:adjustRightInd w:val="0"/>
        <w:snapToGrid w:val="0"/>
        <w:spacing w:line="360" w:lineRule="auto"/>
        <w:ind w:firstLine="420" w:firstLineChars="2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rPr>
        <w:t>29.1采购人与成交供应商应当在成交通知书规定的时间内，按照谈判文件确定的合同文本以及采购标的、货物技术、采购金额、采购数量、技术和货物要求等事项签订政府采购合同。</w:t>
      </w:r>
      <w:r>
        <w:rPr>
          <w:rFonts w:hint="eastAsia" w:ascii="宋体" w:hAnsi="宋体" w:cs="宋体"/>
          <w:color w:val="auto"/>
          <w:kern w:val="0"/>
          <w:szCs w:val="21"/>
          <w:highlight w:val="none"/>
          <w:lang w:val="zh-CN"/>
        </w:rPr>
        <w:t>如成交供应商为联合体的，由联合体成员各方法定代表人或其授权代表与采购人代表签订合同。</w:t>
      </w:r>
    </w:p>
    <w:p w14:paraId="246B52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29.2采购人不得向成交供应商提出超出谈判文件以外的任何要求作为签订合同的条件，不得与成交供应商订立背离谈判文件确定的合同文本以及采购标的、货物技术、采购金额、采购数量、技术和货物要求等实质性内容的协议。</w:t>
      </w:r>
    </w:p>
    <w:p w14:paraId="444476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29.3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1832B3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29.4如签订合同并生效后，供应商无故拒绝或延期，除按照合同条款处理外，列入不良行为记录，并给予通报。</w:t>
      </w:r>
    </w:p>
    <w:p w14:paraId="701D126D">
      <w:pPr>
        <w:adjustRightInd w:val="0"/>
        <w:spacing w:line="360" w:lineRule="auto"/>
        <w:ind w:firstLine="420" w:firstLineChars="200"/>
        <w:rPr>
          <w:rFonts w:hint="eastAsia" w:ascii="宋体" w:hAnsi="宋体" w:cs="宋体"/>
          <w:color w:val="auto"/>
          <w:kern w:val="0"/>
          <w:sz w:val="24"/>
          <w:szCs w:val="21"/>
          <w:highlight w:val="none"/>
        </w:rPr>
      </w:pPr>
      <w:r>
        <w:rPr>
          <w:rFonts w:hint="eastAsia" w:ascii="宋体" w:hAnsi="宋体" w:cs="宋体"/>
          <w:color w:val="auto"/>
          <w:kern w:val="0"/>
          <w:szCs w:val="21"/>
          <w:highlight w:val="none"/>
        </w:rPr>
        <w:t>29.5采购合同由采购人与成交供应商根据谈判文件、响应文件等内容通过政府采购电子交易平台在线签订，自动备案，在线签订须携带的材料见“</w:t>
      </w:r>
      <w:r>
        <w:rPr>
          <w:rFonts w:hint="eastAsia" w:ascii="宋体" w:hAnsi="宋体" w:cs="宋体"/>
          <w:color w:val="auto"/>
          <w:kern w:val="0"/>
          <w:sz w:val="24"/>
          <w:szCs w:val="20"/>
          <w:highlight w:val="none"/>
        </w:rPr>
        <w:t xml:space="preserve"> </w:t>
      </w:r>
      <w:r>
        <w:rPr>
          <w:rFonts w:hint="eastAsia" w:ascii="宋体" w:hAnsi="宋体" w:cs="宋体"/>
          <w:color w:val="auto"/>
          <w:kern w:val="0"/>
          <w:szCs w:val="21"/>
          <w:highlight w:val="none"/>
        </w:rPr>
        <w:t>供应商须知前附表”。</w:t>
      </w:r>
    </w:p>
    <w:p w14:paraId="2658C3B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30.政府采购合同公告</w:t>
      </w:r>
    </w:p>
    <w:p w14:paraId="36589DA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00A480D6">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31. 询问、质疑和投诉</w:t>
      </w:r>
    </w:p>
    <w:p w14:paraId="41EF469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31.1供应商对政府采购活动事项有疑问的，可以向采购人、采购代理机构提出询问，采购人或者采购代理机构应当在3个工作日内对供应商依法提出的询问作出答复。</w:t>
      </w:r>
    </w:p>
    <w:p w14:paraId="137304B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31.2供应商认为谈判文件、采购过程或者成交结果使自己的合法权益受到损害的，应当在知道或者应知其权益受到损害之日起7个工作日内，以书面形式向采购人、采购代理机构提出质疑，</w:t>
      </w:r>
      <w:r>
        <w:rPr>
          <w:rFonts w:hint="eastAsia" w:ascii="宋体" w:hAnsi="宋体" w:cs="宋体"/>
          <w:color w:val="auto"/>
          <w:highlight w:val="none"/>
          <w:shd w:val="clear" w:color="auto" w:fill="FFFFFF"/>
        </w:rPr>
        <w:t>接收质疑函的方式、联系部门、联系电话和通讯地址等信息详见</w:t>
      </w:r>
      <w:r>
        <w:rPr>
          <w:rFonts w:hint="eastAsia" w:ascii="宋体" w:hAnsi="宋体" w:cs="宋体"/>
          <w:color w:val="auto"/>
          <w:szCs w:val="21"/>
          <w:highlight w:val="none"/>
        </w:rPr>
        <w:t>“供应商须知前附表”</w:t>
      </w:r>
      <w:r>
        <w:rPr>
          <w:rFonts w:hint="eastAsia" w:ascii="宋体" w:hAnsi="宋体" w:cs="宋体"/>
          <w:color w:val="auto"/>
          <w:highlight w:val="none"/>
        </w:rPr>
        <w:t>。具体质疑起算时间如下：</w:t>
      </w:r>
    </w:p>
    <w:p w14:paraId="3E87BB5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（1）对可以质疑的谈判文件提出质疑的，为收到谈判文件之日或者竞争性谈判公告期限届满之日；</w:t>
      </w:r>
    </w:p>
    <w:p w14:paraId="782AC58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（2）对采购过程提出质疑的，为各采购程序环节结束之日；</w:t>
      </w:r>
    </w:p>
    <w:p w14:paraId="1BE9C75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（3）对成交结果提出质疑的，为成交结果公告期限届满之日。</w:t>
      </w:r>
    </w:p>
    <w:p w14:paraId="7290CD5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31.3供应商提出的询问或者质疑超出采购人对采购代理机构委托授权范围的，采购代理机构应当告知供应商向采购人提出。政府采购评审专家应当配合采购人或者采购代理机构答复供应商的询问和质疑。</w:t>
      </w:r>
    </w:p>
    <w:p w14:paraId="382244B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31.4 供应商提出质疑应当提交质疑函和必要的证明材料，针对同一采购程序环节的质疑必须在法定质疑期内一次性提出。质疑函应当包括下列内容</w:t>
      </w:r>
      <w:r>
        <w:rPr>
          <w:rFonts w:hint="eastAsia" w:ascii="宋体" w:hAnsi="宋体" w:cs="宋体"/>
          <w:bCs/>
          <w:color w:val="auto"/>
          <w:highlight w:val="none"/>
        </w:rPr>
        <w:t>（质疑函格式后附）</w:t>
      </w:r>
      <w:r>
        <w:rPr>
          <w:rFonts w:hint="eastAsia" w:ascii="宋体" w:hAnsi="宋体" w:cs="宋体"/>
          <w:color w:val="auto"/>
          <w:highlight w:val="none"/>
        </w:rPr>
        <w:t>：</w:t>
      </w:r>
    </w:p>
    <w:p w14:paraId="15B21C3C">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（1）供应商的姓名或者名称、地址、邮编、联系人及联系电话；</w:t>
      </w:r>
    </w:p>
    <w:p w14:paraId="6CF1ECC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（2）质疑项目的名称、编号；</w:t>
      </w:r>
    </w:p>
    <w:p w14:paraId="18159D5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（3）具体、明确的质疑事项和与质疑事项相关的请求；</w:t>
      </w:r>
    </w:p>
    <w:p w14:paraId="10419648">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（4）事实依据；</w:t>
      </w:r>
    </w:p>
    <w:p w14:paraId="3F2EF7D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（5）必要的法律依据；</w:t>
      </w:r>
    </w:p>
    <w:p w14:paraId="07E5AE1F">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（6）提出质疑的日期。</w:t>
      </w:r>
    </w:p>
    <w:p w14:paraId="1155A0A6">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供应商为自然人的，应当由本人签字；供应商为法人或者其他组织的，应当由法定代表人、主要负责人，或者其委托代理人签字或者盖章，并加盖公章。</w:t>
      </w:r>
    </w:p>
    <w:p w14:paraId="1D00BB6D">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31.5采购人、采购代理机构认为供应商质疑不成立，或者成立但未对成交结果构成影响的，继续开展采购活动；认为供应商质疑成立且影响或者可能影响成交结果的，按照下列情况处理：</w:t>
      </w:r>
    </w:p>
    <w:p w14:paraId="4023042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（一）对采购文件提出的质疑，依法通过澄清或者修改可以继续开展采购活动的，澄清或者修改采购文件后继续开展采购活动；否则应当修改采购文件后重新开展采购活动。</w:t>
      </w:r>
    </w:p>
    <w:p w14:paraId="1A628DC1">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（二）对采购过程或者成交结果提出的质疑，合格供应商符合法定数量时，可以从合格的成交候选人中另行确定成交供应商的，应当依法另行确定成交供应商；否则应当重新开展采购活动。</w:t>
      </w:r>
    </w:p>
    <w:p w14:paraId="51E4F33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质疑答复导致成交结果改变的，采购人或者采购代理机构应当将有关情况书面报告本级财政部门。</w:t>
      </w:r>
    </w:p>
    <w:p w14:paraId="57525C9E">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31.6投诉的权利。质疑供应商对采购人、采购代理机构的答复不满意，或者采购人、采购代理机构未在规定时间内作出答复的，可以在答复期满后15个工作日内向《政府采购质疑和投诉办法》（财政部令第94号）第六条规定的财政部门提起投诉（投诉书格式后附）。</w:t>
      </w:r>
    </w:p>
    <w:p w14:paraId="0DB7ED9F">
      <w:pPr>
        <w:keepNext/>
        <w:keepLines/>
        <w:spacing w:line="360" w:lineRule="auto"/>
        <w:ind w:firstLine="643" w:firstLineChars="200"/>
        <w:outlineLvl w:val="2"/>
        <w:rPr>
          <w:rFonts w:hint="eastAsia" w:ascii="宋体" w:hAnsi="宋体" w:cs="宋体"/>
          <w:bCs/>
          <w:color w:val="auto"/>
          <w:sz w:val="32"/>
          <w:szCs w:val="32"/>
          <w:highlight w:val="none"/>
        </w:rPr>
      </w:pPr>
      <w:bookmarkStart w:id="45" w:name="_Toc5556"/>
      <w:r>
        <w:rPr>
          <w:rFonts w:hint="eastAsia" w:ascii="宋体" w:hAnsi="宋体" w:cs="宋体"/>
          <w:b/>
          <w:bCs/>
          <w:color w:val="auto"/>
          <w:sz w:val="32"/>
          <w:szCs w:val="32"/>
          <w:highlight w:val="none"/>
        </w:rPr>
        <w:t>六</w:t>
      </w:r>
      <w:r>
        <w:rPr>
          <w:rFonts w:hint="eastAsia" w:ascii="宋体" w:hAnsi="宋体" w:cs="宋体"/>
          <w:bCs/>
          <w:color w:val="auto"/>
          <w:sz w:val="32"/>
          <w:szCs w:val="32"/>
          <w:highlight w:val="none"/>
        </w:rPr>
        <w:t>、验收</w:t>
      </w:r>
      <w:bookmarkEnd w:id="45"/>
    </w:p>
    <w:p w14:paraId="6423A688">
      <w:pPr>
        <w:tabs>
          <w:tab w:val="left" w:pos="0"/>
        </w:tabs>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32.验收</w:t>
      </w:r>
    </w:p>
    <w:p w14:paraId="46B88AF8">
      <w:pPr>
        <w:tabs>
          <w:tab w:val="left" w:pos="0"/>
        </w:tabs>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32.1采购人会同实际使用人组织对供应商履约的验收。大型或者复杂的政府采购项目，应当邀请国家认可的质量检测机构参加验收工作。验收方成员应当在验收书上签字，并承担相应的法律责任。如果发现与合同中要求不符，供应商须承担由此发生的一切损失和费用，并接受相应的处理。</w:t>
      </w:r>
    </w:p>
    <w:p w14:paraId="30B82496">
      <w:pPr>
        <w:tabs>
          <w:tab w:val="left" w:pos="0"/>
        </w:tabs>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32.2采购人可以邀请参加本项目的其他供应商或者第三方机构参与验收。参与验收的供应商或者第三方机构的意见作为验收书的参考资料一并存档。</w:t>
      </w:r>
    </w:p>
    <w:p w14:paraId="236055D3">
      <w:pPr>
        <w:tabs>
          <w:tab w:val="left" w:pos="0"/>
        </w:tabs>
        <w:spacing w:line="360" w:lineRule="auto"/>
        <w:ind w:firstLine="420" w:firstLineChars="200"/>
        <w:rPr>
          <w:rFonts w:hint="eastAsia" w:ascii="宋体" w:hAnsi="宋体" w:cs="宋体"/>
          <w:color w:val="auto"/>
          <w:kern w:val="0"/>
          <w:szCs w:val="21"/>
          <w:highlight w:val="none"/>
        </w:rPr>
      </w:pPr>
      <w:r>
        <w:rPr>
          <w:rFonts w:hint="eastAsia" w:ascii="宋体" w:hAnsi="宋体" w:cs="宋体"/>
          <w:color w:val="auto"/>
          <w:kern w:val="0"/>
          <w:szCs w:val="21"/>
          <w:highlight w:val="none"/>
        </w:rPr>
        <w:t>32.3严格按照采购合同开展履约验收。采购人成立验收小组，按照采购合同的约定对供应商履约情况进行验收。验收时，按照采购合同的约定对每一项技术、货物、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1C9567F">
      <w:pPr>
        <w:tabs>
          <w:tab w:val="left" w:pos="0"/>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kern w:val="0"/>
          <w:szCs w:val="21"/>
          <w:highlight w:val="none"/>
        </w:rPr>
        <w:t>32.4验收合格的项目，实际使用人将根据采购合同的约定及时向供应商支付采购资金。验收不合格的项目，采购人将依法及时处理。采购合同的履行、违约责任和解决争议的方式等适用《中华人民共和国民法典》。供应商在履约过程中有政府采购法律法规规定的违法违规情形的，采购人应当及时报告本级财政部门。</w:t>
      </w:r>
    </w:p>
    <w:p w14:paraId="64080D9E">
      <w:pPr>
        <w:keepNext/>
        <w:keepLines/>
        <w:spacing w:line="360" w:lineRule="auto"/>
        <w:ind w:firstLine="640" w:firstLineChars="200"/>
        <w:outlineLvl w:val="2"/>
        <w:rPr>
          <w:rFonts w:hint="eastAsia" w:ascii="宋体" w:hAnsi="宋体" w:cs="宋体"/>
          <w:color w:val="auto"/>
          <w:sz w:val="32"/>
          <w:szCs w:val="32"/>
          <w:highlight w:val="none"/>
        </w:rPr>
      </w:pPr>
      <w:r>
        <w:rPr>
          <w:rFonts w:hint="eastAsia" w:ascii="宋体" w:hAnsi="宋体" w:cs="宋体"/>
          <w:color w:val="auto"/>
          <w:sz w:val="32"/>
          <w:szCs w:val="32"/>
          <w:highlight w:val="none"/>
        </w:rPr>
        <w:t xml:space="preserve">  </w:t>
      </w:r>
      <w:bookmarkStart w:id="46" w:name="_Toc19123"/>
      <w:r>
        <w:rPr>
          <w:rFonts w:hint="eastAsia" w:ascii="宋体" w:hAnsi="宋体" w:cs="宋体"/>
          <w:color w:val="auto"/>
          <w:sz w:val="32"/>
          <w:szCs w:val="32"/>
          <w:highlight w:val="none"/>
        </w:rPr>
        <w:t>七、其他事项</w:t>
      </w:r>
      <w:bookmarkEnd w:id="46"/>
    </w:p>
    <w:p w14:paraId="23FF4B2E">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33.代理货物费</w:t>
      </w:r>
    </w:p>
    <w:p w14:paraId="13F3E2F4">
      <w:pPr>
        <w:tabs>
          <w:tab w:val="left" w:pos="2835"/>
        </w:tabs>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代理货物收费标准及缴费账户详见“供应商须知前附表”，供应商为联合体的，可以由联合体中的一方或者多方共同交纳代理货物费。</w:t>
      </w:r>
    </w:p>
    <w:p w14:paraId="0E5669CF">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34.需要补充的其他内容</w:t>
      </w:r>
    </w:p>
    <w:p w14:paraId="2425E266">
      <w:pPr>
        <w:spacing w:line="360" w:lineRule="auto"/>
        <w:ind w:firstLine="420" w:firstLineChars="200"/>
        <w:contextualSpacing/>
        <w:rPr>
          <w:rFonts w:hint="eastAsia" w:ascii="宋体" w:hAnsi="宋体" w:cs="宋体"/>
          <w:color w:val="auto"/>
          <w:kern w:val="0"/>
          <w:szCs w:val="21"/>
          <w:highlight w:val="none"/>
        </w:rPr>
      </w:pPr>
      <w:r>
        <w:rPr>
          <w:rFonts w:hint="eastAsia" w:ascii="宋体" w:hAnsi="宋体" w:cs="宋体"/>
          <w:color w:val="auto"/>
          <w:kern w:val="0"/>
          <w:szCs w:val="21"/>
          <w:highlight w:val="none"/>
        </w:rPr>
        <w:t>34.1本谈判文件解释规则详见“供应商须知前附表”。</w:t>
      </w:r>
    </w:p>
    <w:p w14:paraId="5C6B1F5F">
      <w:pPr>
        <w:spacing w:line="360" w:lineRule="auto"/>
        <w:ind w:firstLine="420" w:firstLineChars="200"/>
        <w:contextualSpacing/>
        <w:rPr>
          <w:rFonts w:hint="eastAsia" w:ascii="宋体" w:hAnsi="宋体" w:cs="宋体"/>
          <w:color w:val="auto"/>
          <w:highlight w:val="none"/>
        </w:rPr>
      </w:pPr>
      <w:r>
        <w:rPr>
          <w:rFonts w:hint="eastAsia" w:ascii="宋体" w:hAnsi="宋体" w:cs="宋体"/>
          <w:color w:val="auto"/>
          <w:kern w:val="0"/>
          <w:szCs w:val="21"/>
          <w:highlight w:val="none"/>
        </w:rPr>
        <w:t>34.2 其他事</w:t>
      </w:r>
      <w:r>
        <w:rPr>
          <w:rFonts w:hint="eastAsia" w:ascii="宋体" w:hAnsi="宋体" w:cs="宋体"/>
          <w:color w:val="auto"/>
          <w:highlight w:val="none"/>
        </w:rPr>
        <w:t>项详见“供应商须知前附表”。</w:t>
      </w:r>
    </w:p>
    <w:p w14:paraId="149F61D2">
      <w:pPr>
        <w:spacing w:line="360" w:lineRule="auto"/>
        <w:ind w:firstLine="400" w:firstLineChars="200"/>
        <w:contextualSpacing/>
        <w:rPr>
          <w:rFonts w:hint="eastAsia" w:ascii="宋体" w:hAnsi="宋体" w:cs="宋体"/>
          <w:color w:val="auto"/>
          <w:kern w:val="0"/>
          <w:szCs w:val="21"/>
          <w:highlight w:val="none"/>
        </w:rPr>
      </w:pPr>
      <w:r>
        <w:rPr>
          <w:rFonts w:hint="eastAsia" w:ascii="宋体" w:hAnsi="宋体" w:cs="宋体"/>
          <w:color w:val="auto"/>
          <w:kern w:val="0"/>
          <w:sz w:val="20"/>
          <w:szCs w:val="21"/>
          <w:highlight w:val="none"/>
        </w:rPr>
        <w:t>34.3</w:t>
      </w:r>
      <w:bookmarkStart w:id="47" w:name="_Hlk65857140"/>
      <w:r>
        <w:rPr>
          <w:rFonts w:hint="eastAsia" w:ascii="宋体" w:hAnsi="宋体" w:cs="宋体"/>
          <w:color w:val="auto"/>
          <w:kern w:val="0"/>
          <w:szCs w:val="21"/>
          <w:highlight w:val="none"/>
        </w:rPr>
        <w:t>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货物符合下列情形的，享受本文件规定的中小企业扶持政策：</w:t>
      </w:r>
    </w:p>
    <w:p w14:paraId="417874C1">
      <w:pPr>
        <w:spacing w:line="360" w:lineRule="auto"/>
        <w:ind w:firstLine="420" w:firstLineChars="200"/>
        <w:contextualSpacing/>
        <w:rPr>
          <w:rFonts w:hint="eastAsia" w:ascii="宋体" w:hAnsi="宋体" w:cs="宋体"/>
          <w:color w:val="auto"/>
          <w:kern w:val="0"/>
          <w:szCs w:val="21"/>
          <w:highlight w:val="none"/>
        </w:rPr>
      </w:pPr>
      <w:r>
        <w:rPr>
          <w:rFonts w:hint="eastAsia" w:ascii="宋体" w:hAnsi="宋体" w:cs="宋体"/>
          <w:color w:val="auto"/>
          <w:kern w:val="0"/>
          <w:szCs w:val="21"/>
          <w:highlight w:val="none"/>
        </w:rPr>
        <w:t>（1）在货物采购项目中，货物由中小企业制造，即货物由中小企业生产且使用该中小企业商号或者注册商标，不对其中涉及的工程承建商和货物的承接商作出要求；</w:t>
      </w:r>
    </w:p>
    <w:p w14:paraId="4523E42F">
      <w:pPr>
        <w:spacing w:line="360" w:lineRule="auto"/>
        <w:ind w:firstLine="420" w:firstLineChars="200"/>
        <w:contextualSpacing/>
        <w:rPr>
          <w:rFonts w:hint="eastAsia" w:ascii="宋体" w:hAnsi="宋体" w:cs="宋体"/>
          <w:color w:val="auto"/>
          <w:kern w:val="0"/>
          <w:szCs w:val="21"/>
          <w:highlight w:val="none"/>
        </w:rPr>
      </w:pPr>
      <w:r>
        <w:rPr>
          <w:rFonts w:hint="eastAsia" w:ascii="宋体" w:hAnsi="宋体" w:cs="宋体"/>
          <w:color w:val="auto"/>
          <w:kern w:val="0"/>
          <w:szCs w:val="21"/>
          <w:highlight w:val="none"/>
        </w:rPr>
        <w:t>（2）在工程采购项目中，工程由中小企业承建，即工程施工单位为中小企业，不对其中涉及的货物的制造商和货物的承接商作出要求；</w:t>
      </w:r>
    </w:p>
    <w:p w14:paraId="0CF5B146">
      <w:pPr>
        <w:spacing w:line="360" w:lineRule="auto"/>
        <w:ind w:firstLine="420" w:firstLineChars="200"/>
        <w:contextualSpacing/>
        <w:rPr>
          <w:rFonts w:hint="eastAsia" w:ascii="宋体" w:hAnsi="宋体" w:cs="宋体"/>
          <w:color w:val="auto"/>
          <w:kern w:val="0"/>
          <w:szCs w:val="21"/>
          <w:highlight w:val="none"/>
        </w:rPr>
      </w:pPr>
      <w:r>
        <w:rPr>
          <w:rFonts w:hint="eastAsia" w:ascii="宋体" w:hAnsi="宋体" w:cs="宋体"/>
          <w:color w:val="auto"/>
          <w:kern w:val="0"/>
          <w:szCs w:val="21"/>
          <w:highlight w:val="none"/>
        </w:rPr>
        <w:t>（3）在货物采购项目中，货物由中小企业承接，即提供货物的人员为中小企业依照《中华人民共和国劳动合同法》订立劳动合同的从业人员，不对其中涉及的货物的制造商和工程承建商作出要求。</w:t>
      </w:r>
    </w:p>
    <w:p w14:paraId="489E87DF">
      <w:pPr>
        <w:spacing w:line="360" w:lineRule="auto"/>
        <w:ind w:firstLine="420" w:firstLineChars="200"/>
        <w:contextualSpacing/>
        <w:rPr>
          <w:rFonts w:hint="eastAsia" w:ascii="宋体" w:hAnsi="宋体" w:cs="宋体"/>
          <w:color w:val="auto"/>
          <w:kern w:val="0"/>
          <w:szCs w:val="21"/>
          <w:highlight w:val="none"/>
        </w:rPr>
      </w:pPr>
      <w:r>
        <w:rPr>
          <w:rFonts w:hint="eastAsia" w:ascii="宋体" w:hAnsi="宋体" w:cs="宋体"/>
          <w:color w:val="auto"/>
          <w:kern w:val="0"/>
          <w:szCs w:val="21"/>
          <w:highlight w:val="none"/>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04CF4DC2">
      <w:pPr>
        <w:spacing w:line="360" w:lineRule="auto"/>
        <w:ind w:firstLine="420" w:firstLineChars="200"/>
        <w:textAlignment w:val="center"/>
        <w:rPr>
          <w:rFonts w:hint="eastAsia" w:ascii="宋体" w:hAnsi="宋体" w:cs="宋体"/>
          <w:color w:val="auto"/>
          <w:kern w:val="0"/>
          <w:szCs w:val="21"/>
          <w:highlight w:val="none"/>
        </w:rPr>
      </w:pPr>
      <w:r>
        <w:rPr>
          <w:rFonts w:hint="eastAsia" w:ascii="宋体" w:hAnsi="宋体" w:cs="宋体"/>
          <w:color w:val="auto"/>
          <w:kern w:val="0"/>
          <w:szCs w:val="21"/>
          <w:highlight w:val="none"/>
        </w:rPr>
        <w:t>依据本文件规定享受扶持政策获得政府采购合同的，小微企业不得将合同分包给大中型企业，中型企业不得将合同分包给大型企业。</w:t>
      </w:r>
      <w:bookmarkEnd w:id="47"/>
      <w:r>
        <w:rPr>
          <w:rFonts w:hint="eastAsia" w:ascii="宋体" w:hAnsi="宋体" w:cs="宋体"/>
          <w:color w:val="auto"/>
          <w:kern w:val="0"/>
          <w:szCs w:val="21"/>
          <w:highlight w:val="none"/>
        </w:rPr>
        <w:t xml:space="preserve">   </w:t>
      </w:r>
    </w:p>
    <w:p w14:paraId="1FE6B37E">
      <w:pPr>
        <w:spacing w:line="360" w:lineRule="auto"/>
        <w:ind w:firstLine="422" w:firstLineChars="200"/>
        <w:rPr>
          <w:rFonts w:hint="eastAsia" w:ascii="宋体" w:hAnsi="宋体" w:cs="宋体"/>
          <w:color w:val="auto"/>
          <w:highlight w:val="none"/>
        </w:rPr>
      </w:pPr>
      <w:r>
        <w:rPr>
          <w:rFonts w:hint="eastAsia" w:ascii="宋体" w:hAnsi="宋体" w:cs="宋体"/>
          <w:b/>
          <w:color w:val="auto"/>
          <w:highlight w:val="none"/>
        </w:rPr>
        <w:br w:type="page"/>
      </w:r>
    </w:p>
    <w:p w14:paraId="70809C19">
      <w:pPr>
        <w:keepNext/>
        <w:keepLines/>
        <w:spacing w:before="340" w:after="330" w:line="578" w:lineRule="auto"/>
        <w:jc w:val="center"/>
        <w:outlineLvl w:val="0"/>
        <w:rPr>
          <w:rFonts w:hint="eastAsia" w:ascii="宋体" w:hAnsi="宋体" w:cs="宋体"/>
          <w:b/>
          <w:bCs/>
          <w:color w:val="auto"/>
          <w:kern w:val="44"/>
          <w:sz w:val="44"/>
          <w:szCs w:val="44"/>
          <w:highlight w:val="none"/>
        </w:rPr>
      </w:pPr>
      <w:bookmarkStart w:id="48" w:name="_Toc4564"/>
      <w:r>
        <w:rPr>
          <w:rFonts w:hint="eastAsia" w:ascii="宋体" w:hAnsi="宋体" w:cs="宋体"/>
          <w:b/>
          <w:bCs/>
          <w:color w:val="auto"/>
          <w:kern w:val="44"/>
          <w:sz w:val="44"/>
          <w:szCs w:val="44"/>
          <w:highlight w:val="none"/>
        </w:rPr>
        <w:t>第四章  评审程序、评审方法和成交准</w:t>
      </w:r>
      <w:bookmarkEnd w:id="48"/>
    </w:p>
    <w:p w14:paraId="10F1552F">
      <w:pPr>
        <w:keepNext/>
        <w:keepLines/>
        <w:spacing w:line="360" w:lineRule="auto"/>
        <w:ind w:firstLine="640" w:firstLineChars="200"/>
        <w:jc w:val="center"/>
        <w:outlineLvl w:val="1"/>
        <w:rPr>
          <w:rFonts w:hint="eastAsia" w:ascii="宋体" w:hAnsi="宋体" w:cs="宋体"/>
          <w:bCs/>
          <w:color w:val="auto"/>
          <w:sz w:val="32"/>
          <w:szCs w:val="32"/>
          <w:highlight w:val="none"/>
        </w:rPr>
      </w:pPr>
      <w:bookmarkStart w:id="49" w:name="_Toc23300"/>
      <w:r>
        <w:rPr>
          <w:rFonts w:hint="eastAsia" w:ascii="宋体" w:hAnsi="宋体" w:cs="宋体"/>
          <w:bCs/>
          <w:color w:val="auto"/>
          <w:sz w:val="32"/>
          <w:szCs w:val="32"/>
          <w:highlight w:val="none"/>
        </w:rPr>
        <w:t>第一节 评审程序和评审方法</w:t>
      </w:r>
      <w:bookmarkEnd w:id="49"/>
    </w:p>
    <w:p w14:paraId="155DA758">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1.确认谈判文件</w:t>
      </w:r>
    </w:p>
    <w:p w14:paraId="44E9A87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由谈判小组确认谈判文件。</w:t>
      </w:r>
    </w:p>
    <w:p w14:paraId="52EFF036">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2.资格审查</w:t>
      </w:r>
    </w:p>
    <w:p w14:paraId="59DF1671">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2.1响应文件开启后，谈判小组依法对供应商的资格证明文件进行审查。</w:t>
      </w:r>
    </w:p>
    <w:p w14:paraId="5E6CCA2F">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注：采购人代表或者采购代理机构在资格审查结束前，对供应商进行信用查询。</w:t>
      </w:r>
    </w:p>
    <w:p w14:paraId="0E9564D0">
      <w:pPr>
        <w:snapToGrid w:val="0"/>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（1）查询渠道：广西政府采购云平台“信用中国”网站(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rFonts w:hint="eastAsia" w:ascii="宋体" w:hAnsi="宋体" w:cs="宋体"/>
          <w:color w:val="auto"/>
          <w:highlight w:val="none"/>
        </w:rPr>
        <w:t>www.creditchina.gov.cn</w:t>
      </w:r>
      <w:r>
        <w:rPr>
          <w:rFonts w:hint="eastAsia" w:ascii="宋体" w:hAnsi="宋体" w:cs="宋体"/>
          <w:color w:val="auto"/>
          <w:highlight w:val="none"/>
        </w:rPr>
        <w:fldChar w:fldCharType="end"/>
      </w:r>
      <w:r>
        <w:rPr>
          <w:rFonts w:hint="eastAsia" w:ascii="宋体" w:hAnsi="宋体" w:cs="宋体"/>
          <w:color w:val="auto"/>
          <w:szCs w:val="21"/>
          <w:highlight w:val="none"/>
        </w:rPr>
        <w:t>)、中国政府采购网(</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rFonts w:hint="eastAsia" w:ascii="宋体" w:hAnsi="宋体" w:cs="宋体"/>
          <w:color w:val="auto"/>
          <w:highlight w:val="none"/>
        </w:rPr>
        <w:t>www.ccgp.gov.cn</w:t>
      </w:r>
      <w:r>
        <w:rPr>
          <w:rFonts w:hint="eastAsia" w:ascii="宋体" w:hAnsi="宋体" w:cs="宋体"/>
          <w:color w:val="auto"/>
          <w:highlight w:val="none"/>
        </w:rPr>
        <w:fldChar w:fldCharType="end"/>
      </w:r>
      <w:r>
        <w:rPr>
          <w:rFonts w:hint="eastAsia" w:ascii="宋体" w:hAnsi="宋体" w:cs="宋体"/>
          <w:color w:val="auto"/>
          <w:szCs w:val="21"/>
          <w:highlight w:val="none"/>
        </w:rPr>
        <w:t>)链接入口。</w:t>
      </w:r>
    </w:p>
    <w:p w14:paraId="14493D15">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（2）信用查询截止时点：资格审查结束前。</w:t>
      </w:r>
    </w:p>
    <w:p w14:paraId="58B906F9">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查询记录和证据留存方式：在查询网站中直接打印查询记录，截图另存为电子文档作为评审资料保存。</w:t>
      </w:r>
    </w:p>
    <w:p w14:paraId="4D4D6F1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（3）信用信息使用规则：对在“信用中国”网站(www.creditchina.gov.cn) 、中国政府采购网(www.ccgp.gov.cn)被列入失信被执行人、重大税收违法案件当事人名单、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2EAB05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2.2资格审查标准为本谈判文件中载明对供应商资格要求的条件。资格审查采用合格制，凡符合谈判文件规定的供应商资格要求的响应文件均通过资格审查。</w:t>
      </w:r>
    </w:p>
    <w:p w14:paraId="7210BB4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2.3供应商有下列情形之一的，资格审查不通过，其响应文件按无效响应处理：</w:t>
      </w:r>
    </w:p>
    <w:p w14:paraId="06EE92BB">
      <w:pPr>
        <w:snapToGrid w:val="0"/>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（1）不具备谈判文件中规定的资格要求的；</w:t>
      </w:r>
    </w:p>
    <w:p w14:paraId="097FB8E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（2）响应文件未提供任一项“供应商须知前附表”资格证明文件规定的“必须提供”的文件资料的；</w:t>
      </w:r>
    </w:p>
    <w:p w14:paraId="03E5F6E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（3）响应文件提供的资格证明文件出现任一项不符合“供应商须知前附表”资格证明文件规定的“必须提供”的文件资料要求或者无效的。</w:t>
      </w:r>
    </w:p>
    <w:p w14:paraId="283E96A0">
      <w:pPr>
        <w:spacing w:line="360" w:lineRule="auto"/>
        <w:ind w:firstLine="420" w:firstLineChars="200"/>
        <w:rPr>
          <w:rFonts w:hint="eastAsia" w:ascii="宋体" w:hAnsi="宋体" w:cs="宋体"/>
          <w:color w:val="auto"/>
          <w:szCs w:val="21"/>
          <w:highlight w:val="none"/>
        </w:rPr>
      </w:pPr>
      <w:bookmarkStart w:id="50" w:name="_Hlk68601553"/>
      <w:r>
        <w:rPr>
          <w:rFonts w:hint="eastAsia" w:ascii="宋体" w:hAnsi="宋体" w:cs="宋体"/>
          <w:color w:val="auto"/>
          <w:szCs w:val="21"/>
          <w:highlight w:val="none"/>
        </w:rPr>
        <w:t>（4）同一合同项下的不同供应商，单位负责人为同一人或者存在直接控股、管理关系的；为本项目提供过整体设计、规范编制或者项目管理、监理、检测等货物的。</w:t>
      </w:r>
      <w:bookmarkEnd w:id="50"/>
    </w:p>
    <w:p w14:paraId="04253845">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2.4通过资格审查的合格供应商不足3家的，不得进入符合性审查环节，采购人或者采购代理机构应当重新开展采购活动。</w:t>
      </w:r>
    </w:p>
    <w:p w14:paraId="22EC4EC3">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3.符合性审查</w:t>
      </w:r>
    </w:p>
    <w:p w14:paraId="5E96624F">
      <w:pPr>
        <w:spacing w:line="360" w:lineRule="auto"/>
        <w:ind w:firstLine="420" w:firstLineChars="200"/>
        <w:rPr>
          <w:rFonts w:hint="eastAsia" w:ascii="宋体" w:hAnsi="宋体" w:cs="宋体"/>
          <w:color w:val="auto"/>
          <w:szCs w:val="21"/>
          <w:highlight w:val="none"/>
        </w:rPr>
      </w:pPr>
      <w:bookmarkStart w:id="51" w:name="_Hlk42528882"/>
      <w:r>
        <w:rPr>
          <w:rFonts w:hint="eastAsia" w:ascii="宋体" w:hAnsi="宋体" w:cs="宋体"/>
          <w:color w:val="auto"/>
          <w:szCs w:val="21"/>
          <w:highlight w:val="none"/>
        </w:rPr>
        <w:t>3.1由谈判小组对通过资格审查的合格供应商的响应文件的响应报价、商务、技术等实质性要求进行符合性审查，以确定其是否满足谈判文件的实质性要求。</w:t>
      </w:r>
    </w:p>
    <w:bookmarkEnd w:id="51"/>
    <w:p w14:paraId="4A4657E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3.2谈判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07A60ACA">
      <w:pPr>
        <w:spacing w:line="360" w:lineRule="auto"/>
        <w:ind w:firstLine="420" w:firstLineChars="200"/>
        <w:rPr>
          <w:rFonts w:hint="eastAsia" w:ascii="宋体" w:hAnsi="宋体" w:cs="宋体"/>
          <w:color w:val="auto"/>
          <w:spacing w:val="-6"/>
          <w:szCs w:val="21"/>
          <w:highlight w:val="none"/>
        </w:rPr>
      </w:pPr>
      <w:r>
        <w:rPr>
          <w:rFonts w:hint="eastAsia" w:ascii="宋体" w:hAnsi="宋体" w:cs="宋体"/>
          <w:color w:val="auto"/>
          <w:szCs w:val="21"/>
          <w:highlight w:val="none"/>
        </w:rPr>
        <w:t>3.3谈判小组要求供应商澄清、说明或者更正响应文件应当以电子澄清函形式作出。供应商的澄清、说明或者更正应当已电子回函形式按照谈判小组的要求作出明确的澄清、说明或者更正，未按谈判小组的要求作出明确澄清、说明或者更正的供应商的响应文件将按照有利于采购人的原则由谈判小组进行判定。供应商的澄清、说明或者更正必须加盖电子公章</w:t>
      </w:r>
      <w:r>
        <w:rPr>
          <w:rFonts w:hint="eastAsia" w:ascii="宋体" w:hAnsi="宋体" w:cs="宋体"/>
          <w:color w:val="auto"/>
          <w:spacing w:val="-6"/>
          <w:szCs w:val="21"/>
          <w:highlight w:val="none"/>
        </w:rPr>
        <w:t>。供应商为自然人的，必须由本人签字并附身份证明。</w:t>
      </w:r>
    </w:p>
    <w:p w14:paraId="07F895C4">
      <w:pPr>
        <w:spacing w:line="360" w:lineRule="auto"/>
        <w:ind w:firstLine="396" w:firstLineChars="200"/>
        <w:rPr>
          <w:rFonts w:hint="eastAsia" w:ascii="宋体" w:hAnsi="宋体" w:cs="宋体"/>
          <w:color w:val="auto"/>
          <w:szCs w:val="21"/>
          <w:highlight w:val="none"/>
        </w:rPr>
      </w:pPr>
      <w:r>
        <w:rPr>
          <w:rFonts w:hint="eastAsia" w:ascii="宋体" w:hAnsi="宋体" w:cs="宋体"/>
          <w:color w:val="auto"/>
          <w:spacing w:val="-6"/>
          <w:szCs w:val="21"/>
          <w:highlight w:val="none"/>
        </w:rPr>
        <w:t>3.4</w:t>
      </w:r>
      <w:r>
        <w:rPr>
          <w:rFonts w:hint="eastAsia" w:ascii="宋体" w:hAnsi="宋体" w:cs="宋体"/>
          <w:color w:val="auto"/>
          <w:szCs w:val="21"/>
          <w:highlight w:val="none"/>
        </w:rPr>
        <w:t xml:space="preserve">首次响应文件报价出现前后不一致的，按照下列规定修正： </w:t>
      </w:r>
    </w:p>
    <w:p w14:paraId="6696446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（1）响应文件中报价表内容与响应文件中相应内容不一致的，以报价表为准；</w:t>
      </w:r>
    </w:p>
    <w:p w14:paraId="2DCA6F0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（2）大写金额和小写金额不一致的，以大写金额为准；</w:t>
      </w:r>
    </w:p>
    <w:p w14:paraId="4A12D41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（3）单价金额小数点或者百分比有明显错位的，以报价表的总价为准，并修改单价；</w:t>
      </w:r>
    </w:p>
    <w:p w14:paraId="4F600B3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（4）总价金额与按单价汇总金额不一致的，以单价金额计算结果为准。</w:t>
      </w:r>
    </w:p>
    <w:p w14:paraId="329B1D0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同时出现两种以上不一致的，按照以上（1）-（4）规定的顺序逐条进行修正。修正后的报价经供应商确认后产生约束力，供应商不确认的，其响应文件按无效响应处理。</w:t>
      </w:r>
    </w:p>
    <w:p w14:paraId="03B5DD3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3.5商务技术、报价评审</w:t>
      </w:r>
    </w:p>
    <w:p w14:paraId="72F4D6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在评审时，如发现下列情形之一的，将被视为响应文件无效处理：</w:t>
      </w:r>
    </w:p>
    <w:p w14:paraId="35DCBE8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（1）商务技术评审</w:t>
      </w:r>
    </w:p>
    <w:p w14:paraId="708641D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1）响应文件未按谈判文件要求签署、盖章；</w:t>
      </w:r>
    </w:p>
    <w:p w14:paraId="6998DE8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2）委托代理人未能出具有效身份证明或者出具的身份证明与授权委托书中的信息不符； </w:t>
      </w:r>
    </w:p>
    <w:p w14:paraId="289D999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3）响应文件未提供任一项“供应商须知前附表” 商务技术文件中 “必须提供”或者“委托时必须提供”的文件资料；响应文件提供的商务技术文件出现任一项不符合“供应商须知前附表”商务技术文件中 “必须提供”或者“委托时必须提供”文件资料要求的规定或者提供的商务技术文件无效。</w:t>
      </w:r>
    </w:p>
    <w:p w14:paraId="411AFB3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4）商务条款中标“</w:t>
      </w:r>
      <w:r>
        <w:rPr>
          <w:rFonts w:hint="eastAsia" w:ascii="宋体" w:hAnsi="宋体"/>
          <w:color w:val="auto"/>
          <w:szCs w:val="21"/>
          <w:highlight w:val="none"/>
        </w:rPr>
        <w:t>▲</w:t>
      </w:r>
      <w:r>
        <w:rPr>
          <w:rFonts w:hint="eastAsia" w:ascii="宋体" w:hAnsi="宋体" w:cs="宋体"/>
          <w:color w:val="auto"/>
          <w:szCs w:val="21"/>
          <w:highlight w:val="none"/>
        </w:rPr>
        <w:t>”的条款发生负偏离的或者允许负偏离的条款数超过“供应商须知前附表”规定项数的或者标明实质性的要求发生负偏离；</w:t>
      </w:r>
    </w:p>
    <w:p w14:paraId="43237AD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5）未对竞标有效期作出响应或者响应文件承诺的竞标有效期不满足谈判文件要求；</w:t>
      </w:r>
    </w:p>
    <w:p w14:paraId="432D57F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6）响应文件的实质性内容未使用中文表述、使用计量单位不符合谈判文件要求；</w:t>
      </w:r>
    </w:p>
    <w:p w14:paraId="3D9547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7）响应文件中的文件资料因填写不齐全或者内容虚假或者出现其他情形而导致被谈判小组认定无效；</w:t>
      </w:r>
    </w:p>
    <w:p w14:paraId="22DFE5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8）响应文件含有采购人不能接受的附加条件；</w:t>
      </w:r>
    </w:p>
    <w:p w14:paraId="027EA3B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9）属于“供应商须知正文”第7.5条情形；</w:t>
      </w:r>
    </w:p>
    <w:p w14:paraId="4F5C561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10）技术需求允许负偏离的条款数超过“供应商须知前附表”规定项数；</w:t>
      </w:r>
    </w:p>
    <w:p w14:paraId="245F6E5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11）虚假竞标，或者出现其他情形而导致被谈判小组认定无效；</w:t>
      </w:r>
    </w:p>
    <w:p w14:paraId="7C1838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12）竞标技术方案不明确，谈判文件未允许但响应文件中存在一个或者一个以上备选（替代）竞标方案；</w:t>
      </w:r>
    </w:p>
    <w:p w14:paraId="484D911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13）响应文件标注的项目名称或者项目编号与竞争性谈判文件标注的项目名称或者项目编号不一致的；</w:t>
      </w:r>
    </w:p>
    <w:p w14:paraId="62C46F9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14）未响应谈判文件实质性要求；</w:t>
      </w:r>
    </w:p>
    <w:p w14:paraId="24F9788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15）法律、法规和谈判文件规定的其他无效情形。</w:t>
      </w:r>
    </w:p>
    <w:p w14:paraId="1190AA6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（2）报价评审</w:t>
      </w:r>
    </w:p>
    <w:p w14:paraId="75E529F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响应文件未提供“供应商须知前附表” 报价文件中规定的“响应报价表”；</w:t>
      </w:r>
    </w:p>
    <w:p w14:paraId="7387198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2）未采用人民币报价或者未按照谈判文件标明的币种报价；</w:t>
      </w:r>
    </w:p>
    <w:p w14:paraId="20EB508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供应商未就所竞标分标进行报价或者存在漏项报价；供应商未就所竞标分标的单项内容作唯一报价；供应商未就所竞标分标的全部内容作唯一总价报价；供应商响应文件中存在有选择、有条件报价的（谈判文件允许有备选方案或者其他约定的除外）；</w:t>
      </w:r>
    </w:p>
    <w:p w14:paraId="7E7DD21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4）响应报价（包含首次报价、最后报价）超过所竞标分标规定的采购预算金额或者最高限价的（如本项目公布了最高限价）；</w:t>
      </w:r>
      <w:bookmarkStart w:id="52" w:name="_Hlk42596405"/>
      <w:r>
        <w:rPr>
          <w:rFonts w:hint="eastAsia" w:ascii="宋体" w:hAnsi="宋体" w:cs="宋体"/>
          <w:color w:val="auto"/>
          <w:szCs w:val="21"/>
          <w:highlight w:val="none"/>
        </w:rPr>
        <w:t>响应报价（包含首次报价、最后报价）</w:t>
      </w:r>
      <w:bookmarkEnd w:id="52"/>
      <w:bookmarkStart w:id="53" w:name="_Hlk42596276"/>
      <w:r>
        <w:rPr>
          <w:rFonts w:hint="eastAsia" w:ascii="宋体" w:hAnsi="宋体" w:cs="宋体"/>
          <w:color w:val="auto"/>
          <w:szCs w:val="21"/>
          <w:highlight w:val="none"/>
        </w:rPr>
        <w:t>超过谈判文件分项采购预算金额或者最高限价的</w:t>
      </w:r>
      <w:bookmarkEnd w:id="53"/>
      <w:r>
        <w:rPr>
          <w:rFonts w:hint="eastAsia" w:ascii="宋体" w:hAnsi="宋体" w:cs="宋体"/>
          <w:color w:val="auto"/>
          <w:szCs w:val="21"/>
          <w:highlight w:val="none"/>
        </w:rPr>
        <w:t>（如本项目公布了最高限价）；</w:t>
      </w:r>
    </w:p>
    <w:p w14:paraId="3BF298C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修正后的报价，供应商不确认的；或者经供应商确认修正后的响应报价（包含首次报价、最后报价）超过所竞标分标规定的采购预算金额或者最高限价（如本项目公布了最高限价）；或者经供应商确认修正后响应报价（包含首次报价、最后报价）超过谈判文件分项采购预算金额或者最高限价的（如本项目公布了最高限价）。</w:t>
      </w:r>
    </w:p>
    <w:p w14:paraId="64DBAFA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6）响应文件响应的标的数量及单位与竞争性谈判采购文件要求实质性不一致的。</w:t>
      </w:r>
    </w:p>
    <w:p w14:paraId="5AEF988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3.6谈判小组对响应文件进行评审，未实质性响应谈判文件的响应文件按无效处理。谈判小组应当将资格和符合性不通过的情况告知有关供应商。谈判小组从符合谈判文件规定的相应资格条件的供应商名单中确定不少于3家的供应商参加谈判。</w:t>
      </w:r>
    </w:p>
    <w:p w14:paraId="34BC3A1B">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3.7通过符合性审查的合格供应商不足3家的，不得进入谈判环节，应当重新开展采购活动。</w:t>
      </w:r>
    </w:p>
    <w:p w14:paraId="340DF254">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4.谈判程序</w:t>
      </w:r>
    </w:p>
    <w:p w14:paraId="16165629">
      <w:pPr>
        <w:spacing w:line="360" w:lineRule="auto"/>
        <w:ind w:firstLine="420" w:firstLineChars="200"/>
        <w:rPr>
          <w:rFonts w:hint="eastAsia" w:ascii="宋体" w:hAnsi="宋体" w:cs="宋体"/>
          <w:b/>
          <w:color w:val="auto"/>
          <w:kern w:val="0"/>
          <w:szCs w:val="21"/>
          <w:highlight w:val="none"/>
        </w:rPr>
      </w:pPr>
      <w:r>
        <w:rPr>
          <w:rFonts w:hint="eastAsia" w:ascii="宋体" w:hAnsi="宋体" w:cs="宋体"/>
          <w:color w:val="auto"/>
          <w:kern w:val="0"/>
          <w:szCs w:val="21"/>
          <w:highlight w:val="none"/>
        </w:rPr>
        <w:t>4.1谈判小组按照“供应商须知前附表”</w:t>
      </w:r>
      <w:r>
        <w:rPr>
          <w:rFonts w:hint="eastAsia" w:ascii="宋体" w:hAnsi="宋体" w:cs="宋体"/>
          <w:color w:val="auto"/>
          <w:szCs w:val="21"/>
          <w:highlight w:val="none"/>
        </w:rPr>
        <w:t xml:space="preserve"> </w:t>
      </w:r>
      <w:r>
        <w:rPr>
          <w:rFonts w:hint="eastAsia" w:ascii="宋体" w:hAnsi="宋体" w:cs="宋体"/>
          <w:color w:val="auto"/>
          <w:kern w:val="0"/>
          <w:szCs w:val="21"/>
          <w:highlight w:val="none"/>
        </w:rPr>
        <w:t>确定的</w:t>
      </w:r>
      <w:r>
        <w:rPr>
          <w:rFonts w:hint="eastAsia" w:ascii="宋体" w:hAnsi="宋体" w:cs="宋体"/>
          <w:color w:val="auto"/>
          <w:szCs w:val="21"/>
          <w:highlight w:val="none"/>
        </w:rPr>
        <w:t>顺序，集中与单一供应商分别进行谈判，并给予所有参加谈判的供应商平等的谈判机会。符合谈判资格的供应商必须在接到谈判通知后规定时间内参加谈判，未在规定时间内参加谈判的视同放弃参加谈判权利，</w:t>
      </w:r>
      <w:r>
        <w:rPr>
          <w:rFonts w:hint="eastAsia" w:ascii="宋体" w:hAnsi="宋体" w:cs="宋体"/>
          <w:b/>
          <w:color w:val="auto"/>
          <w:szCs w:val="21"/>
          <w:highlight w:val="none"/>
        </w:rPr>
        <w:t>其响应文件按无效响应处理。</w:t>
      </w:r>
    </w:p>
    <w:p w14:paraId="71F42DF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4.2在谈判过程中，谈判小组可以根据谈判文件和谈判情况实质性变动采购需求中的技术、货物要求以及合同草案条款，但不得变动谈判文件中的其他内容。实质性变动的内容，须经采购人代表确认。可能实质性变动的内容为采购需求中的技术、货物要求以及合同草案条款。</w:t>
      </w:r>
    </w:p>
    <w:p w14:paraId="3F94837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4.3对谈判文件作出的实质性变动是谈判文件的有效组成部分，由谈判小组及时以电子澄清函形式同时通知所有参加谈判的供应商。</w:t>
      </w:r>
    </w:p>
    <w:p w14:paraId="3F838C1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4.4供应商必须按照谈判文件的变动情况和谈判小组的要求以回函的形式重新提交响应文件，并加盖电子公章。供应商为自然人的，必须由本人签字并附身份证明。参加谈判的供应商未在规定时间内重新提交响应文件的，视同退出谈判。</w:t>
      </w:r>
    </w:p>
    <w:p w14:paraId="34A273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4.5谈判中，</w:t>
      </w:r>
      <w:r>
        <w:rPr>
          <w:rFonts w:hint="eastAsia" w:ascii="宋体" w:hAnsi="宋体" w:cs="宋体"/>
          <w:color w:val="auto"/>
          <w:spacing w:val="-6"/>
          <w:szCs w:val="21"/>
          <w:highlight w:val="none"/>
        </w:rPr>
        <w:t>谈判的任何一方不得透露与谈判有关的其他供应商的技术资料、价格和其他信息。</w:t>
      </w:r>
    </w:p>
    <w:p w14:paraId="572A3661">
      <w:pPr>
        <w:widowControl/>
        <w:tabs>
          <w:tab w:val="left" w:pos="54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4.6谈判小组应对谈判过程和重要谈判内容进行记录，作为评标报告一部分，谈判小组在记录上签字确认。</w:t>
      </w:r>
      <w:r>
        <w:rPr>
          <w:rFonts w:hint="eastAsia" w:ascii="宋体" w:hAnsi="宋体" w:cs="宋体"/>
          <w:b/>
          <w:color w:val="auto"/>
          <w:highlight w:val="none"/>
        </w:rPr>
        <w:t>主要内容包括：</w:t>
      </w:r>
    </w:p>
    <w:p w14:paraId="097512B0">
      <w:pPr>
        <w:adjustRightInd w:val="0"/>
        <w:spacing w:line="360" w:lineRule="auto"/>
        <w:ind w:firstLine="396"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（1）按照相关规定进行公示的，公示情况说明；</w:t>
      </w:r>
    </w:p>
    <w:p w14:paraId="6B5AAF8B">
      <w:pPr>
        <w:adjustRightInd w:val="0"/>
        <w:spacing w:line="360" w:lineRule="auto"/>
        <w:ind w:firstLine="396"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（2）谈判日期和地点，谈判人员名单；</w:t>
      </w:r>
    </w:p>
    <w:p w14:paraId="110D5DE3">
      <w:pPr>
        <w:adjustRightInd w:val="0"/>
        <w:spacing w:line="360" w:lineRule="auto"/>
        <w:ind w:firstLine="396"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（3）合同主要条款及价格商定情况。</w:t>
      </w:r>
    </w:p>
    <w:p w14:paraId="48D780A4">
      <w:pPr>
        <w:widowControl/>
        <w:tabs>
          <w:tab w:val="left" w:pos="540"/>
        </w:tabs>
        <w:spacing w:line="360" w:lineRule="auto"/>
        <w:ind w:firstLine="420" w:firstLineChars="200"/>
        <w:jc w:val="left"/>
        <w:rPr>
          <w:rFonts w:hint="eastAsia" w:ascii="宋体" w:hAnsi="宋体" w:cs="宋体"/>
          <w:color w:val="auto"/>
          <w:szCs w:val="21"/>
          <w:highlight w:val="none"/>
        </w:rPr>
      </w:pPr>
      <w:r>
        <w:rPr>
          <w:rFonts w:hint="eastAsia" w:ascii="宋体" w:hAnsi="宋体" w:cs="宋体"/>
          <w:color w:val="auto"/>
          <w:szCs w:val="21"/>
          <w:highlight w:val="none"/>
        </w:rPr>
        <w:t>4.7谈判过程中重新提交的响应文件，供应商可以在开启前补充、修改。</w:t>
      </w:r>
    </w:p>
    <w:p w14:paraId="0E6EEFB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4.8对谈判过程提交的响应文件进行有效性、完整性和响应程度审查，通过审查的合格供应商不足3家的，采购人或者采购代理机构应当重新开展采购活动。</w:t>
      </w:r>
    </w:p>
    <w:p w14:paraId="50F00F88">
      <w:pPr>
        <w:spacing w:line="360" w:lineRule="auto"/>
        <w:ind w:firstLine="482" w:firstLineChars="200"/>
        <w:rPr>
          <w:rFonts w:hint="eastAsia" w:ascii="宋体" w:hAnsi="宋体" w:cs="宋体"/>
          <w:color w:val="auto"/>
          <w:szCs w:val="21"/>
          <w:highlight w:val="none"/>
        </w:rPr>
      </w:pPr>
      <w:r>
        <w:rPr>
          <w:rFonts w:hint="eastAsia" w:ascii="宋体" w:hAnsi="宋体" w:cs="宋体"/>
          <w:b/>
          <w:bCs/>
          <w:color w:val="auto"/>
          <w:sz w:val="24"/>
          <w:highlight w:val="none"/>
        </w:rPr>
        <w:t>5. 最后报价</w:t>
      </w:r>
    </w:p>
    <w:p w14:paraId="2490C78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5.1谈判文件能够详细列明采购标的的技术、货物要求的，谈判结束后，由谈判小组要求所有继续参加谈判的供应商在规定时间内密封提交最后报价，提交最后报价的供应商不得少于3家，否则必须重新采购。</w:t>
      </w:r>
    </w:p>
    <w:p w14:paraId="61422CF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5.2谈判文件不能详细列明采购标的的技术、货物要求，需经谈判由供应商提供最后设计方案或者解决方案的，谈判结束后，由谈判小组按照少数服从多数的原则投票推荐3家以上供应商的设计方案或者解决方案，并要求其在规定时间内在广西政府采购云平台远程不见面开标大厅响应最后报价。</w:t>
      </w:r>
    </w:p>
    <w:p w14:paraId="42C4447E">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5.3 最后报价是供应商响应文件的有效组成部分。</w:t>
      </w:r>
    </w:p>
    <w:p w14:paraId="7E846F29">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5.4已经提交响应文件的供应商，在提交最后报价之前，可以根据谈判情况退出谈判，退出谈判的供应商的响应文件按无效响应处理。</w:t>
      </w:r>
    </w:p>
    <w:p w14:paraId="39A96C7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5.5供应商未在规定时间内提交最后报价的</w:t>
      </w:r>
      <w:r>
        <w:rPr>
          <w:rFonts w:hint="eastAsia" w:ascii="宋体" w:hAnsi="宋体" w:cs="宋体"/>
          <w:b/>
          <w:color w:val="auto"/>
          <w:szCs w:val="21"/>
          <w:highlight w:val="none"/>
        </w:rPr>
        <w:t>，视同放弃报价权利退出谈判。</w:t>
      </w:r>
    </w:p>
    <w:p w14:paraId="33B39CCD">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5.6最终响应文件的报价出现前后不一致的，按照本章第3.4条的规定修正。 </w:t>
      </w:r>
    </w:p>
    <w:p w14:paraId="0C933074">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5.7修正后的最终报价出现下列情形的，按无效响应处理：</w:t>
      </w:r>
    </w:p>
    <w:p w14:paraId="05B68CA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（1）供应商不确认的（全流程电子化评标采取在线确认）；</w:t>
      </w:r>
    </w:p>
    <w:p w14:paraId="473F03E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2）经供应商确认修正后的响应报价（包含首次报价、最后报价）超过所竞标分标规定的采购预算金额或者最高限价的（如本项目公布了最高限价）（全流程电子化评标多轮报价设置了上线控制价，即预算价）；</w:t>
      </w:r>
    </w:p>
    <w:p w14:paraId="5785FDA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（3）经供应商确认修正后的响应报价（包含首次报价、最后报价）超过分项采购预算金额或者最高限价的（如本项目公布了最高限价）。</w:t>
      </w:r>
    </w:p>
    <w:p w14:paraId="4A60BAB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5.8经供应商确认修正后的最后报价作为评审及签订合同的依据。</w:t>
      </w:r>
    </w:p>
    <w:p w14:paraId="7BE90B5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5.9供应商出现最后报价按无效响应处理或者响应文件按无效处理时，谈判小组应当告知有关供应商。</w:t>
      </w:r>
    </w:p>
    <w:p w14:paraId="3666417C">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5.10最后报价结束后，谈判小组不得再与供应商进行任何形式的商谈。</w:t>
      </w:r>
    </w:p>
    <w:p w14:paraId="0BEB033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5.11政府采购异常低价审查 </w:t>
      </w:r>
    </w:p>
    <w:p w14:paraId="51E66423">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（1）政府采购评审中出现下列情形之一的，评审委员会应当启动异常低价投标（响应）审查程序： </w:t>
      </w:r>
    </w:p>
    <w:p w14:paraId="0E9C7DC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1）投标（响应）报价低于全部通过符合性审查供应商投标（响应）报价平均值</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%的，即投标（响应）报价&lt;全部通过符合性审查供应商投标（响应）报价平均值×</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%；（50%≤取值范围≤65%）</w:t>
      </w:r>
    </w:p>
    <w:p w14:paraId="24927784">
      <w:pPr>
        <w:spacing w:line="360" w:lineRule="auto"/>
        <w:ind w:firstLine="420" w:firstLineChars="200"/>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rPr>
        <w:t>2）投标（响应）报价低于通过符合性审查的次低报价供应商投标（响应）报价</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%的，即投标（响应）报价&lt;通过符合性审查的次低报价供应商投标（响应）报价×</w:t>
      </w:r>
      <w:r>
        <w:rPr>
          <w:rFonts w:hint="eastAsia" w:ascii="宋体" w:hAnsi="宋体" w:cs="宋体"/>
          <w:color w:val="auto"/>
          <w:szCs w:val="21"/>
          <w:highlight w:val="none"/>
          <w:lang w:val="en-US" w:eastAsia="zh-CN"/>
        </w:rPr>
        <w:t>65</w:t>
      </w:r>
      <w:r>
        <w:rPr>
          <w:rFonts w:hint="eastAsia" w:ascii="宋体" w:hAnsi="宋体" w:cs="宋体"/>
          <w:color w:val="auto"/>
          <w:szCs w:val="21"/>
          <w:highlight w:val="none"/>
        </w:rPr>
        <w:t>%； （50%≤取值范围≤65%）</w:t>
      </w:r>
    </w:p>
    <w:p w14:paraId="21FFC138">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3）投标（响应）报价低于采购项目最高限价</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5%的，即投标（响应）报价&lt;采购项目最高限价×</w:t>
      </w:r>
      <w:r>
        <w:rPr>
          <w:rFonts w:hint="eastAsia" w:ascii="宋体" w:hAnsi="宋体" w:cs="宋体"/>
          <w:color w:val="auto"/>
          <w:szCs w:val="21"/>
          <w:highlight w:val="none"/>
          <w:lang w:val="en-US" w:eastAsia="zh-CN"/>
        </w:rPr>
        <w:t>6</w:t>
      </w:r>
      <w:r>
        <w:rPr>
          <w:rFonts w:hint="eastAsia" w:ascii="宋体" w:hAnsi="宋体" w:cs="宋体"/>
          <w:color w:val="auto"/>
          <w:szCs w:val="21"/>
          <w:highlight w:val="none"/>
        </w:rPr>
        <w:t xml:space="preserve">5%；（45%≤取值范围≤65%） </w:t>
      </w:r>
    </w:p>
    <w:p w14:paraId="6BA4590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4）评审委员会基于专业判断，认为供应商报价过低，有可能影响产品质量或者不能诚信履约的其他情形。 </w:t>
      </w:r>
    </w:p>
    <w:p w14:paraId="1AF78F80">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2）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 </w:t>
      </w:r>
    </w:p>
    <w:p w14:paraId="2648D906">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 </w:t>
      </w:r>
    </w:p>
    <w:p w14:paraId="53BA858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 xml:space="preserve">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 </w:t>
      </w:r>
    </w:p>
    <w:p w14:paraId="35A0AD42">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异常低价投标（响应）审查的启动原因、审查意见和审查结果应当在评审报告中记录，并随供应商提供的相关书面说明及证明材料，以及评审委员会有关互联网浏览、查询历史一并归档。</w:t>
      </w:r>
    </w:p>
    <w:p w14:paraId="70239F6E">
      <w:pPr>
        <w:spacing w:line="360" w:lineRule="auto"/>
        <w:ind w:firstLine="482" w:firstLineChars="200"/>
        <w:rPr>
          <w:rFonts w:hint="eastAsia" w:ascii="宋体" w:hAnsi="宋体" w:cs="宋体"/>
          <w:b/>
          <w:bCs/>
          <w:color w:val="auto"/>
          <w:sz w:val="24"/>
          <w:highlight w:val="none"/>
        </w:rPr>
      </w:pPr>
      <w:r>
        <w:rPr>
          <w:rFonts w:hint="eastAsia" w:ascii="宋体" w:hAnsi="宋体" w:cs="宋体"/>
          <w:b/>
          <w:bCs/>
          <w:color w:val="auto"/>
          <w:sz w:val="24"/>
          <w:highlight w:val="none"/>
        </w:rPr>
        <w:t>6. 最后报价政府采购政策性扣除</w:t>
      </w:r>
    </w:p>
    <w:p w14:paraId="21A832BA">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6.1评审价为供应商的最后报价进行政策性扣除后的价格，评审价只是作为评审时使用。最终成交供应商的成交金额等于最后报价（如有修正，以确认修正后的最后报价为准）。</w:t>
      </w:r>
    </w:p>
    <w:p w14:paraId="4CAED579">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6.2</w:t>
      </w:r>
      <w:r>
        <w:rPr>
          <w:rFonts w:hint="eastAsia" w:ascii="宋体" w:hAnsi="宋体" w:cs="宋体"/>
          <w:color w:val="auto"/>
          <w:highlight w:val="none"/>
        </w:rPr>
        <w:t>政策性扣除计算方法。</w:t>
      </w:r>
    </w:p>
    <w:p w14:paraId="6A405CDE">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根据《政府采购促进中小企业发展管理办法》（财库〔2020〕46号）的规定</w:t>
      </w:r>
      <w:r>
        <w:rPr>
          <w:rFonts w:hint="eastAsia" w:ascii="宋体" w:hAnsi="宋体" w:cs="宋体"/>
          <w:bCs/>
          <w:color w:val="auto"/>
          <w:szCs w:val="21"/>
          <w:highlight w:val="none"/>
        </w:rPr>
        <w:t>、《广西壮族自治区财政厅关于持续优化政府采购营商环境推动高质量发展的通知》（桂财采〔2024〕55号）规定</w:t>
      </w:r>
      <w:r>
        <w:rPr>
          <w:rFonts w:hint="eastAsia" w:ascii="宋体" w:hAnsi="宋体" w:cs="宋体"/>
          <w:color w:val="auto"/>
          <w:szCs w:val="21"/>
          <w:highlight w:val="none"/>
        </w:rPr>
        <w:t>，对于经主管预算单位统筹后未预留份额专门面向中小企业采购的采购项目，以及预留份额项目中的非预留部分采购包，供应商在其响应文件中提供《中小企业声明函》，</w:t>
      </w:r>
      <w:r>
        <w:rPr>
          <w:rFonts w:hint="eastAsia" w:ascii="宋体" w:hAnsi="宋体" w:cs="宋体"/>
          <w:bCs/>
          <w:color w:val="auto"/>
          <w:szCs w:val="21"/>
          <w:highlight w:val="none"/>
        </w:rPr>
        <w:t>且其竞标全部货物均由小微企业提供的</w:t>
      </w:r>
      <w:r>
        <w:rPr>
          <w:rFonts w:hint="eastAsia" w:ascii="宋体" w:hAnsi="宋体" w:cs="宋体"/>
          <w:color w:val="auto"/>
          <w:szCs w:val="21"/>
          <w:highlight w:val="none"/>
        </w:rPr>
        <w:t>，</w:t>
      </w:r>
      <w:r>
        <w:rPr>
          <w:rFonts w:hint="eastAsia" w:ascii="宋体" w:hAnsi="宋体" w:cs="宋体"/>
          <w:bCs/>
          <w:color w:val="auto"/>
          <w:szCs w:val="21"/>
          <w:highlight w:val="none"/>
        </w:rPr>
        <w:t>对供应商的竞标报价</w:t>
      </w:r>
      <w:r>
        <w:rPr>
          <w:rFonts w:hint="eastAsia" w:ascii="宋体" w:hAnsi="宋体" w:cs="宋体"/>
          <w:b/>
          <w:color w:val="auto"/>
          <w:szCs w:val="21"/>
          <w:highlight w:val="none"/>
        </w:rPr>
        <w:t>给予10%的扣除</w:t>
      </w:r>
      <w:r>
        <w:rPr>
          <w:rFonts w:hint="eastAsia" w:ascii="宋体" w:hAnsi="宋体" w:cs="宋体"/>
          <w:bCs/>
          <w:color w:val="auto"/>
          <w:szCs w:val="21"/>
          <w:highlight w:val="none"/>
        </w:rPr>
        <w:t>，扣除后的价格为评审价，</w:t>
      </w:r>
      <w:r>
        <w:rPr>
          <w:rFonts w:hint="eastAsia" w:ascii="宋体" w:hAnsi="宋体" w:cs="宋体"/>
          <w:b/>
          <w:color w:val="auto"/>
          <w:szCs w:val="21"/>
          <w:highlight w:val="none"/>
        </w:rPr>
        <w:t>即评审价=竞标报价×（1-10%）</w:t>
      </w:r>
      <w:r>
        <w:rPr>
          <w:rFonts w:hint="eastAsia" w:ascii="宋体" w:hAnsi="宋体" w:cs="宋体"/>
          <w:bCs/>
          <w:color w:val="auto"/>
          <w:szCs w:val="21"/>
          <w:highlight w:val="none"/>
        </w:rPr>
        <w:t>。接受大中型企业与小微企业组成联合体或者允许大中型企业向一家或者多家小微企业分包的采购项目，联合协议或者分包意向协议约定小微企业的合同份额占到合同总金额30%以上的，采购人、采购代理机构应当对联合体或者大中型企业的报价</w:t>
      </w:r>
      <w:r>
        <w:rPr>
          <w:rFonts w:hint="eastAsia" w:ascii="宋体" w:hAnsi="宋体" w:cs="宋体"/>
          <w:b/>
          <w:color w:val="auto"/>
          <w:szCs w:val="21"/>
          <w:highlight w:val="none"/>
        </w:rPr>
        <w:t>给予 4% 的扣除</w:t>
      </w:r>
      <w:r>
        <w:rPr>
          <w:rFonts w:hint="eastAsia" w:ascii="宋体" w:hAnsi="宋体" w:cs="宋体"/>
          <w:bCs/>
          <w:color w:val="auto"/>
          <w:szCs w:val="21"/>
          <w:highlight w:val="none"/>
        </w:rPr>
        <w:t>，用扣除后的价格参加评审，扣除后的价格为评审价，</w:t>
      </w:r>
      <w:r>
        <w:rPr>
          <w:rFonts w:hint="eastAsia" w:ascii="宋体" w:hAnsi="宋体" w:cs="宋体"/>
          <w:b/>
          <w:color w:val="auto"/>
          <w:szCs w:val="21"/>
          <w:highlight w:val="none"/>
        </w:rPr>
        <w:t>即评审价=竞标报价×（1-4%）</w:t>
      </w:r>
      <w:r>
        <w:rPr>
          <w:rFonts w:hint="eastAsia" w:ascii="宋体" w:hAnsi="宋体" w:cs="宋体"/>
          <w:bCs/>
          <w:color w:val="auto"/>
          <w:szCs w:val="21"/>
          <w:highlight w:val="none"/>
        </w:rPr>
        <w:t>。</w:t>
      </w:r>
    </w:p>
    <w:p w14:paraId="4237AFA7">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6.3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6D5A6EEF">
      <w:pPr>
        <w:spacing w:line="360" w:lineRule="auto"/>
        <w:ind w:firstLine="420" w:firstLineChars="200"/>
        <w:rPr>
          <w:rFonts w:hint="eastAsia" w:ascii="宋体" w:hAnsi="宋体" w:cs="宋体"/>
          <w:color w:val="auto"/>
          <w:highlight w:val="none"/>
        </w:rPr>
      </w:pPr>
      <w:r>
        <w:rPr>
          <w:rFonts w:hint="eastAsia" w:ascii="宋体" w:hAnsi="宋体" w:cs="宋体"/>
          <w:color w:val="auto"/>
          <w:szCs w:val="21"/>
          <w:highlight w:val="none"/>
        </w:rPr>
        <w:t>6.4按照《关于促进残疾人就业政府采购政策的通知》（财库〔2017〕141号）的规定，残疾人福利性单位视同小型、微型企业，享受预留份额、评审中价格扣除等</w:t>
      </w:r>
      <w:r>
        <w:rPr>
          <w:rFonts w:hint="eastAsia" w:ascii="宋体" w:hAnsi="宋体" w:cs="宋体"/>
          <w:color w:val="auto"/>
          <w:highlight w:val="none"/>
        </w:rPr>
        <w:t>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415EBBCA">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6.5本国产品政策性扣除计算方法。</w:t>
      </w:r>
    </w:p>
    <w:p w14:paraId="6A56FCB0">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2628D0A5">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未达到80%，不享受价格评审优惠。</w:t>
      </w:r>
    </w:p>
    <w:p w14:paraId="06D90237">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如果所有参与竞争的供应商均可享受本国产品价格评审优惠，则统一不进行价格扣除。</w:t>
      </w:r>
    </w:p>
    <w:p w14:paraId="4E36BB4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供应商在其响应文件中提供《关于符合本国产品标准的声明函》或财政部会同有关部门规定的有关证明文件，出具符合要求的《声明函》或有关证明文件的，该产品视为本国产品。</w:t>
      </w:r>
    </w:p>
    <w:p w14:paraId="24BAFDE4">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6.6中小企业政策性折扣与本国产品政策性折扣进行叠加计算，用扣除后的价格参加评审。即评审价=竞标报价-中小企业政策性折扣-本国产品政策性折扣，除上述情况外，评审价=竞标报价。</w:t>
      </w:r>
    </w:p>
    <w:p w14:paraId="34AAD3AB">
      <w:pPr>
        <w:keepNext/>
        <w:keepLines/>
        <w:spacing w:line="360" w:lineRule="auto"/>
        <w:ind w:firstLine="640" w:firstLineChars="200"/>
        <w:jc w:val="center"/>
        <w:outlineLvl w:val="1"/>
        <w:rPr>
          <w:rFonts w:hint="eastAsia" w:ascii="宋体" w:hAnsi="宋体" w:cs="宋体"/>
          <w:bCs/>
          <w:color w:val="auto"/>
          <w:sz w:val="32"/>
          <w:szCs w:val="32"/>
          <w:highlight w:val="none"/>
        </w:rPr>
      </w:pPr>
      <w:bookmarkStart w:id="54" w:name="_Toc28911"/>
      <w:r>
        <w:rPr>
          <w:rFonts w:hint="eastAsia" w:ascii="宋体" w:hAnsi="宋体" w:cs="宋体"/>
          <w:bCs/>
          <w:color w:val="auto"/>
          <w:sz w:val="32"/>
          <w:szCs w:val="32"/>
          <w:highlight w:val="none"/>
        </w:rPr>
        <w:t>第二节 评审原则</w:t>
      </w:r>
      <w:bookmarkEnd w:id="54"/>
    </w:p>
    <w:p w14:paraId="188717AC">
      <w:pPr>
        <w:spacing w:line="360" w:lineRule="auto"/>
        <w:ind w:firstLine="480" w:firstLineChars="200"/>
        <w:jc w:val="left"/>
        <w:rPr>
          <w:rFonts w:hint="eastAsia" w:ascii="宋体" w:hAnsi="宋体" w:cs="宋体"/>
          <w:color w:val="auto"/>
          <w:sz w:val="24"/>
          <w:szCs w:val="32"/>
          <w:highlight w:val="none"/>
        </w:rPr>
      </w:pPr>
      <w:r>
        <w:rPr>
          <w:rFonts w:hint="eastAsia" w:ascii="宋体" w:hAnsi="宋体" w:cs="宋体"/>
          <w:color w:val="auto"/>
          <w:sz w:val="24"/>
          <w:szCs w:val="32"/>
          <w:highlight w:val="none"/>
        </w:rPr>
        <w:t>1.评审原则</w:t>
      </w:r>
    </w:p>
    <w:p w14:paraId="11A3DF14">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1.1谈判小组成员要依法独立评审，并对评审意见承担个人责任。谈判小组成员对需要共同认定的事项存在争议的，按照少数服从多数的原则做出结论。持不同意见的谈判小组成员应当在评审报告上签署不同意见并说明理由，否则视为同意。</w:t>
      </w:r>
    </w:p>
    <w:p w14:paraId="56B1C194">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1.2根据《政府采购非招标采购方式管理办法》（财政部令第74号）第二十一条规定，评审结果汇总完成后，采购人、采购代理机构和谈判小组均不得修改评审结果或者要求重新评审，但资格性检查认定错误、分值汇总计算错误、分项评分超出评分标准范围、客观分评分不一致、经评审委员会一致认定评分畸高、畸低的情形除外。出现上述除外情形的，谈判小组应当现场修改评审结果，并在评审报告中明确记载。</w:t>
      </w:r>
      <w:bookmarkStart w:id="55" w:name="_Toc321836413"/>
      <w:bookmarkStart w:id="56" w:name="_Toc432194885"/>
      <w:bookmarkStart w:id="57" w:name="_Toc432106535"/>
    </w:p>
    <w:bookmarkEnd w:id="55"/>
    <w:bookmarkEnd w:id="56"/>
    <w:bookmarkEnd w:id="57"/>
    <w:p w14:paraId="7C5C374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1.3谈判小组发现竞争性谈判文件存在歧义、重大缺陷导致评审工作无法进行，或者竞争性谈判文件内容违反国家有关规定的，要停止评审工作并向采购人或采购代理机构书面说明情况，采购人或采购代理机构应当修改竞争性谈判文件后重新组织采购活动；发现供应商提供虚假材料、串通等违法违规行为的，要及时向采购人或采购代理机构报告。</w:t>
      </w:r>
    </w:p>
    <w:p w14:paraId="78C0DFC6">
      <w:pPr>
        <w:spacing w:line="360" w:lineRule="auto"/>
        <w:ind w:firstLine="480" w:firstLineChars="200"/>
        <w:jc w:val="left"/>
        <w:rPr>
          <w:rFonts w:hint="eastAsia" w:ascii="宋体" w:hAnsi="宋体" w:cs="宋体"/>
          <w:color w:val="auto"/>
          <w:sz w:val="24"/>
          <w:szCs w:val="32"/>
          <w:highlight w:val="none"/>
        </w:rPr>
      </w:pPr>
      <w:r>
        <w:rPr>
          <w:rFonts w:hint="eastAsia" w:ascii="宋体" w:hAnsi="宋体" w:cs="宋体"/>
          <w:color w:val="auto"/>
          <w:sz w:val="24"/>
          <w:szCs w:val="32"/>
          <w:highlight w:val="none"/>
        </w:rPr>
        <w:t>2.终止竞争性谈判采购活动</w:t>
      </w:r>
    </w:p>
    <w:p w14:paraId="1A55B86D">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出现下列情形之一的，采购人或者采购代理机构应当终止竞争性谈判采购活动，发布项目终止公告并说明原因，重新开展采购活动：</w:t>
      </w:r>
    </w:p>
    <w:p w14:paraId="6590ED0F">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 xml:space="preserve">（1）因情况变化，不再符合规定的竞争性谈判采购方式适用情形的； </w:t>
      </w:r>
    </w:p>
    <w:p w14:paraId="03E352E3">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（2）出现影响采购公正的违法、违规行为的；</w:t>
      </w:r>
    </w:p>
    <w:p w14:paraId="42EF7A4C">
      <w:pPr>
        <w:spacing w:line="360" w:lineRule="auto"/>
        <w:ind w:firstLine="420" w:firstLineChars="200"/>
        <w:jc w:val="left"/>
        <w:rPr>
          <w:rFonts w:hint="eastAsia" w:ascii="宋体" w:hAnsi="宋体" w:cs="宋体"/>
          <w:color w:val="auto"/>
          <w:highlight w:val="none"/>
        </w:rPr>
      </w:pPr>
      <w:r>
        <w:rPr>
          <w:rFonts w:hint="eastAsia" w:ascii="宋体" w:hAnsi="宋体" w:cs="宋体"/>
          <w:color w:val="auto"/>
          <w:highlight w:val="none"/>
        </w:rPr>
        <w:t>（3）在采购过程中符合竞争要求的供应商或者报价未超过采购预算的供应商不足3家的，但《政府采购非招标采购方式管理办法》第二十七条第二款规定的情形除外。</w:t>
      </w:r>
    </w:p>
    <w:p w14:paraId="78339969">
      <w:pPr>
        <w:keepNext/>
        <w:keepLines/>
        <w:spacing w:line="360" w:lineRule="auto"/>
        <w:ind w:firstLine="640" w:firstLineChars="200"/>
        <w:jc w:val="center"/>
        <w:outlineLvl w:val="1"/>
        <w:rPr>
          <w:rFonts w:hint="eastAsia" w:ascii="宋体" w:hAnsi="宋体" w:cs="宋体"/>
          <w:bCs/>
          <w:color w:val="auto"/>
          <w:sz w:val="32"/>
          <w:szCs w:val="32"/>
          <w:highlight w:val="none"/>
        </w:rPr>
      </w:pPr>
      <w:bookmarkStart w:id="58" w:name="_Toc13099"/>
      <w:r>
        <w:rPr>
          <w:rFonts w:hint="eastAsia" w:ascii="宋体" w:hAnsi="宋体" w:cs="宋体"/>
          <w:bCs/>
          <w:color w:val="auto"/>
          <w:sz w:val="32"/>
          <w:szCs w:val="32"/>
          <w:highlight w:val="none"/>
        </w:rPr>
        <w:t>第三节 评标报告</w:t>
      </w:r>
      <w:bookmarkEnd w:id="58"/>
    </w:p>
    <w:p w14:paraId="6E914F3F">
      <w:pPr>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1.成交准</w:t>
      </w:r>
    </w:p>
    <w:p w14:paraId="579A18B3">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谈判小组应当从质量和货物均能满足谈判文件实质性响应要求的供应商中，按照评审价由低到高的顺序提出3名以上成交候选人（评审价相同时，按照最后报价由低到高顺序依次推荐；最后报价相同时，由谈判小组按“供应商须知前附表”第26.2条规定的顺序推荐），并在线编写电子评审报告。</w:t>
      </w:r>
    </w:p>
    <w:p w14:paraId="4DB26BC2">
      <w:pPr>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2.评标争议事项处理</w:t>
      </w:r>
    </w:p>
    <w:p w14:paraId="50DCDE6C">
      <w:pPr>
        <w:adjustRightInd w:val="0"/>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谈判小组成员对需要共同认定的事项存在争议的，应当按照少数服从多数的原则作出结论。持不同意见的谈判小组成员应当在评标报告上签署不同意见及理由，否则视为同意评标报告。</w:t>
      </w:r>
    </w:p>
    <w:p w14:paraId="444DB31F">
      <w:pPr>
        <w:keepNext/>
        <w:keepLines/>
        <w:spacing w:line="360" w:lineRule="auto"/>
        <w:ind w:firstLine="640" w:firstLineChars="200"/>
        <w:jc w:val="center"/>
        <w:outlineLvl w:val="1"/>
        <w:rPr>
          <w:rFonts w:hint="eastAsia" w:ascii="宋体" w:hAnsi="宋体" w:cs="宋体"/>
          <w:bCs/>
          <w:color w:val="auto"/>
          <w:sz w:val="32"/>
          <w:szCs w:val="32"/>
          <w:highlight w:val="none"/>
        </w:rPr>
      </w:pPr>
      <w:bookmarkStart w:id="59" w:name="_Toc5932"/>
      <w:r>
        <w:rPr>
          <w:rFonts w:hint="eastAsia" w:ascii="宋体" w:hAnsi="宋体" w:cs="宋体"/>
          <w:bCs/>
          <w:color w:val="auto"/>
          <w:sz w:val="32"/>
          <w:szCs w:val="32"/>
          <w:highlight w:val="none"/>
        </w:rPr>
        <w:t>第四节 评审过程的保密与录像</w:t>
      </w:r>
      <w:bookmarkEnd w:id="59"/>
    </w:p>
    <w:p w14:paraId="73DD7696">
      <w:pPr>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1.保密。</w:t>
      </w:r>
    </w:p>
    <w:p w14:paraId="121B5FE4">
      <w:pPr>
        <w:widowControl/>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评审活动在严格保密的情况下进行。评审过程中凡是与采购响应文件评审和比较、中标成交供应商推荐等评审有关的情况，以及涉及国家秘密和商业秘密等信息，评审委员会成员、采购人和采购机构工作人员、相关监督人员等与评审有关的人员应当予以保密。</w:t>
      </w:r>
    </w:p>
    <w:p w14:paraId="3F3A69FF">
      <w:pPr>
        <w:widowControl/>
        <w:spacing w:line="360" w:lineRule="auto"/>
        <w:ind w:firstLine="480" w:firstLineChars="200"/>
        <w:rPr>
          <w:rFonts w:hint="eastAsia" w:ascii="宋体" w:hAnsi="宋体" w:cs="宋体"/>
          <w:color w:val="auto"/>
          <w:sz w:val="24"/>
          <w:szCs w:val="32"/>
          <w:highlight w:val="none"/>
        </w:rPr>
      </w:pPr>
      <w:r>
        <w:rPr>
          <w:rFonts w:hint="eastAsia" w:ascii="宋体" w:hAnsi="宋体" w:cs="宋体"/>
          <w:color w:val="auto"/>
          <w:sz w:val="24"/>
          <w:szCs w:val="32"/>
          <w:highlight w:val="none"/>
        </w:rPr>
        <w:t>2.录音录像。</w:t>
      </w:r>
    </w:p>
    <w:p w14:paraId="3F013002">
      <w:pPr>
        <w:spacing w:line="360" w:lineRule="auto"/>
        <w:ind w:firstLine="420" w:firstLineChars="200"/>
        <w:rPr>
          <w:rFonts w:hint="eastAsia" w:ascii="宋体" w:hAnsi="宋体" w:cs="宋体"/>
          <w:color w:val="auto"/>
          <w:highlight w:val="none"/>
        </w:rPr>
      </w:pPr>
      <w:r>
        <w:rPr>
          <w:rFonts w:hint="eastAsia" w:ascii="宋体" w:hAnsi="宋体" w:cs="宋体"/>
          <w:color w:val="auto"/>
          <w:highlight w:val="none"/>
        </w:rPr>
        <w:t>采购代理机构对评审工作现场及操作屏幕进行全过程录音录像，录音录像资料作为采购项目文件随其他文件一并存档。</w:t>
      </w:r>
      <w:r>
        <w:rPr>
          <w:rFonts w:hint="eastAsia" w:ascii="宋体" w:hAnsi="宋体" w:cs="宋体"/>
          <w:color w:val="auto"/>
          <w:highlight w:val="none"/>
        </w:rPr>
        <w:br w:type="page"/>
      </w:r>
    </w:p>
    <w:p w14:paraId="2B9B846F">
      <w:pPr>
        <w:keepNext/>
        <w:keepLines/>
        <w:spacing w:before="260" w:after="260" w:line="416" w:lineRule="auto"/>
        <w:jc w:val="center"/>
        <w:outlineLvl w:val="1"/>
        <w:rPr>
          <w:rFonts w:hint="eastAsia" w:ascii="宋体" w:hAnsi="宋体" w:cs="宋体"/>
          <w:b/>
          <w:bCs/>
          <w:color w:val="auto"/>
          <w:sz w:val="32"/>
          <w:szCs w:val="32"/>
          <w:highlight w:val="none"/>
        </w:rPr>
      </w:pPr>
    </w:p>
    <w:p w14:paraId="083469A6">
      <w:pPr>
        <w:keepNext/>
        <w:keepLines/>
        <w:spacing w:before="260" w:after="260" w:line="416" w:lineRule="auto"/>
        <w:jc w:val="center"/>
        <w:outlineLvl w:val="1"/>
        <w:rPr>
          <w:rFonts w:hint="eastAsia" w:ascii="宋体" w:hAnsi="宋体" w:cs="宋体"/>
          <w:b/>
          <w:bCs/>
          <w:color w:val="auto"/>
          <w:sz w:val="32"/>
          <w:szCs w:val="32"/>
          <w:highlight w:val="none"/>
        </w:rPr>
      </w:pPr>
    </w:p>
    <w:p w14:paraId="5DC5B82E">
      <w:pPr>
        <w:keepNext/>
        <w:keepLines/>
        <w:spacing w:before="260" w:after="260" w:line="416" w:lineRule="auto"/>
        <w:jc w:val="center"/>
        <w:outlineLvl w:val="1"/>
        <w:rPr>
          <w:rFonts w:hint="eastAsia" w:ascii="宋体" w:hAnsi="宋体" w:cs="宋体"/>
          <w:b/>
          <w:bCs/>
          <w:color w:val="auto"/>
          <w:sz w:val="32"/>
          <w:szCs w:val="32"/>
          <w:highlight w:val="none"/>
        </w:rPr>
      </w:pPr>
    </w:p>
    <w:p w14:paraId="0537A35E">
      <w:pPr>
        <w:keepNext/>
        <w:keepLines/>
        <w:spacing w:before="260" w:after="260" w:line="416" w:lineRule="auto"/>
        <w:jc w:val="center"/>
        <w:outlineLvl w:val="1"/>
        <w:rPr>
          <w:rFonts w:hint="eastAsia" w:ascii="宋体" w:hAnsi="宋体" w:cs="宋体"/>
          <w:b/>
          <w:bCs/>
          <w:color w:val="auto"/>
          <w:sz w:val="32"/>
          <w:szCs w:val="32"/>
          <w:highlight w:val="none"/>
        </w:rPr>
      </w:pPr>
    </w:p>
    <w:p w14:paraId="4282FAC8">
      <w:pPr>
        <w:keepNext/>
        <w:keepLines/>
        <w:spacing w:before="260" w:after="260" w:line="416" w:lineRule="auto"/>
        <w:jc w:val="center"/>
        <w:outlineLvl w:val="1"/>
        <w:rPr>
          <w:rFonts w:hint="eastAsia" w:ascii="宋体" w:hAnsi="宋体" w:cs="宋体"/>
          <w:b/>
          <w:bCs/>
          <w:color w:val="auto"/>
          <w:sz w:val="32"/>
          <w:szCs w:val="32"/>
          <w:highlight w:val="none"/>
        </w:rPr>
      </w:pPr>
    </w:p>
    <w:p w14:paraId="35DB95E3">
      <w:pPr>
        <w:keepNext/>
        <w:keepLines/>
        <w:spacing w:before="340" w:after="330" w:line="578" w:lineRule="auto"/>
        <w:jc w:val="center"/>
        <w:outlineLvl w:val="0"/>
        <w:rPr>
          <w:rFonts w:hint="eastAsia" w:ascii="宋体" w:hAnsi="宋体" w:cs="宋体"/>
          <w:b/>
          <w:bCs/>
          <w:color w:val="auto"/>
          <w:kern w:val="44"/>
          <w:sz w:val="44"/>
          <w:szCs w:val="44"/>
          <w:highlight w:val="none"/>
        </w:rPr>
      </w:pPr>
      <w:bookmarkStart w:id="60" w:name="_Toc1782"/>
      <w:r>
        <w:rPr>
          <w:rFonts w:hint="eastAsia" w:ascii="宋体" w:hAnsi="宋体" w:cs="宋体"/>
          <w:b/>
          <w:bCs/>
          <w:color w:val="auto"/>
          <w:kern w:val="44"/>
          <w:sz w:val="44"/>
          <w:szCs w:val="44"/>
          <w:highlight w:val="none"/>
        </w:rPr>
        <w:t>第五章 响应文件格式</w:t>
      </w:r>
      <w:r>
        <w:rPr>
          <w:rFonts w:hint="eastAsia" w:ascii="宋体" w:hAnsi="宋体" w:cs="宋体"/>
          <w:b/>
          <w:bCs/>
          <w:color w:val="auto"/>
          <w:kern w:val="44"/>
          <w:sz w:val="44"/>
          <w:szCs w:val="44"/>
          <w:highlight w:val="none"/>
        </w:rPr>
        <w:br w:type="page"/>
      </w:r>
      <w:bookmarkEnd w:id="60"/>
    </w:p>
    <w:p w14:paraId="4411E707">
      <w:pPr>
        <w:keepNext/>
        <w:keepLines/>
        <w:spacing w:before="260" w:after="260" w:line="416" w:lineRule="auto"/>
        <w:jc w:val="center"/>
        <w:outlineLvl w:val="1"/>
        <w:rPr>
          <w:rFonts w:hint="eastAsia" w:ascii="宋体" w:hAnsi="宋体" w:cs="宋体"/>
          <w:bCs/>
          <w:color w:val="auto"/>
          <w:sz w:val="32"/>
          <w:szCs w:val="32"/>
          <w:highlight w:val="none"/>
        </w:rPr>
      </w:pPr>
      <w:bookmarkStart w:id="61" w:name="_Toc20577"/>
      <w:r>
        <w:rPr>
          <w:rFonts w:hint="eastAsia" w:ascii="宋体" w:hAnsi="宋体" w:cs="宋体"/>
          <w:bCs/>
          <w:color w:val="auto"/>
          <w:sz w:val="32"/>
          <w:szCs w:val="32"/>
          <w:highlight w:val="none"/>
        </w:rPr>
        <w:t>第一节 封面格式</w:t>
      </w:r>
      <w:bookmarkEnd w:id="61"/>
    </w:p>
    <w:p w14:paraId="7DD8CEE8">
      <w:pPr>
        <w:rPr>
          <w:rFonts w:hint="eastAsia" w:ascii="宋体" w:hAnsi="宋体" w:cs="宋体"/>
          <w:b/>
          <w:bCs/>
          <w:color w:val="auto"/>
          <w:sz w:val="32"/>
          <w:szCs w:val="32"/>
          <w:highlight w:val="none"/>
        </w:rPr>
      </w:pPr>
      <w:bookmarkStart w:id="62" w:name="_Toc44229898"/>
      <w:r>
        <w:rPr>
          <w:rFonts w:hint="eastAsia" w:ascii="宋体" w:hAnsi="宋体" w:cs="宋体"/>
          <w:b/>
          <w:color w:val="auto"/>
          <w:sz w:val="32"/>
          <w:szCs w:val="32"/>
          <w:highlight w:val="none"/>
        </w:rPr>
        <w:t>（</w:t>
      </w:r>
      <w:bookmarkStart w:id="63" w:name="_Toc35611515"/>
      <w:bookmarkStart w:id="64" w:name="_Toc35611437"/>
      <w:r>
        <w:rPr>
          <w:rFonts w:hint="eastAsia" w:ascii="宋体" w:hAnsi="宋体" w:cs="宋体"/>
          <w:b/>
          <w:bCs/>
          <w:color w:val="auto"/>
          <w:sz w:val="32"/>
          <w:szCs w:val="32"/>
          <w:highlight w:val="none"/>
        </w:rPr>
        <w:t>响应文件外层包装封面格式</w:t>
      </w:r>
      <w:bookmarkEnd w:id="63"/>
      <w:bookmarkEnd w:id="64"/>
      <w:r>
        <w:rPr>
          <w:rFonts w:hint="eastAsia" w:ascii="宋体" w:hAnsi="宋体" w:cs="宋体"/>
          <w:b/>
          <w:color w:val="auto"/>
          <w:sz w:val="32"/>
          <w:szCs w:val="32"/>
          <w:highlight w:val="none"/>
        </w:rPr>
        <w:t xml:space="preserve"> ）</w:t>
      </w:r>
      <w:bookmarkEnd w:id="62"/>
    </w:p>
    <w:p w14:paraId="0186928C">
      <w:pPr>
        <w:snapToGrid w:val="0"/>
        <w:spacing w:before="120" w:beforeLines="50" w:after="50"/>
        <w:rPr>
          <w:rFonts w:hint="eastAsia" w:ascii="宋体" w:hAnsi="宋体" w:cs="宋体"/>
          <w:color w:val="auto"/>
          <w:sz w:val="24"/>
          <w:szCs w:val="20"/>
          <w:highlight w:val="none"/>
        </w:rPr>
      </w:pPr>
    </w:p>
    <w:p w14:paraId="22B0A681">
      <w:pPr>
        <w:snapToGrid w:val="0"/>
        <w:spacing w:before="120" w:beforeLines="50" w:after="50"/>
        <w:jc w:val="center"/>
        <w:rPr>
          <w:rFonts w:hint="eastAsia" w:ascii="宋体" w:hAnsi="宋体" w:cs="宋体"/>
          <w:bCs/>
          <w:color w:val="auto"/>
          <w:sz w:val="24"/>
          <w:szCs w:val="20"/>
          <w:highlight w:val="none"/>
        </w:rPr>
      </w:pPr>
    </w:p>
    <w:p w14:paraId="6DF06BB1">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响  应  文  件</w:t>
      </w:r>
    </w:p>
    <w:p w14:paraId="3B605FEC">
      <w:pPr>
        <w:snapToGrid w:val="0"/>
        <w:spacing w:before="120" w:beforeLines="50" w:after="50"/>
        <w:rPr>
          <w:rFonts w:hint="eastAsia" w:ascii="宋体" w:hAnsi="宋体" w:cs="宋体"/>
          <w:bCs/>
          <w:color w:val="auto"/>
          <w:sz w:val="24"/>
          <w:szCs w:val="20"/>
          <w:highlight w:val="none"/>
        </w:rPr>
      </w:pPr>
    </w:p>
    <w:p w14:paraId="7B4CB147">
      <w:pPr>
        <w:snapToGrid w:val="0"/>
        <w:spacing w:before="120" w:beforeLines="50" w:after="50"/>
        <w:rPr>
          <w:rFonts w:hint="eastAsia" w:ascii="宋体" w:hAnsi="宋体" w:cs="宋体"/>
          <w:bCs/>
          <w:color w:val="auto"/>
          <w:sz w:val="24"/>
          <w:szCs w:val="20"/>
          <w:highlight w:val="none"/>
        </w:rPr>
      </w:pPr>
    </w:p>
    <w:p w14:paraId="4839FB1C">
      <w:pPr>
        <w:snapToGrid w:val="0"/>
        <w:spacing w:before="120" w:beforeLines="50" w:after="50"/>
        <w:rPr>
          <w:rFonts w:hint="eastAsia" w:ascii="宋体" w:hAnsi="宋体" w:cs="宋体"/>
          <w:bCs/>
          <w:color w:val="auto"/>
          <w:sz w:val="32"/>
          <w:szCs w:val="32"/>
          <w:highlight w:val="none"/>
        </w:rPr>
      </w:pPr>
    </w:p>
    <w:p w14:paraId="736346FF">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42A79F12">
      <w:pPr>
        <w:snapToGrid w:val="0"/>
        <w:spacing w:before="120" w:beforeLines="50" w:after="50"/>
        <w:ind w:firstLine="480" w:firstLineChars="150"/>
        <w:rPr>
          <w:rFonts w:hint="eastAsia" w:ascii="宋体" w:hAnsi="宋体" w:cs="宋体"/>
          <w:bCs/>
          <w:color w:val="auto"/>
          <w:sz w:val="32"/>
          <w:szCs w:val="32"/>
          <w:highlight w:val="none"/>
        </w:rPr>
      </w:pPr>
    </w:p>
    <w:p w14:paraId="338E47E3">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74689AD7">
      <w:pPr>
        <w:snapToGrid w:val="0"/>
        <w:spacing w:before="120" w:beforeLines="50" w:after="50"/>
        <w:ind w:firstLine="480" w:firstLineChars="150"/>
        <w:rPr>
          <w:rFonts w:hint="eastAsia" w:ascii="宋体" w:hAnsi="宋体" w:cs="宋体"/>
          <w:bCs/>
          <w:color w:val="auto"/>
          <w:sz w:val="32"/>
          <w:szCs w:val="32"/>
          <w:highlight w:val="none"/>
        </w:rPr>
      </w:pPr>
    </w:p>
    <w:p w14:paraId="6C091FF7">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351C3C4B">
      <w:pPr>
        <w:snapToGrid w:val="0"/>
        <w:spacing w:before="120" w:beforeLines="50" w:after="50"/>
        <w:rPr>
          <w:rFonts w:hint="eastAsia" w:ascii="宋体" w:hAnsi="宋体" w:cs="宋体"/>
          <w:bCs/>
          <w:color w:val="auto"/>
          <w:sz w:val="32"/>
          <w:szCs w:val="32"/>
          <w:highlight w:val="none"/>
        </w:rPr>
      </w:pPr>
    </w:p>
    <w:p w14:paraId="1741E2F0">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55ABD4EC">
      <w:pPr>
        <w:snapToGrid w:val="0"/>
        <w:spacing w:before="120" w:beforeLines="50" w:after="50"/>
        <w:rPr>
          <w:rFonts w:hint="eastAsia" w:ascii="宋体" w:hAnsi="宋体" w:cs="宋体"/>
          <w:bCs/>
          <w:color w:val="auto"/>
          <w:sz w:val="32"/>
          <w:szCs w:val="32"/>
          <w:highlight w:val="none"/>
        </w:rPr>
      </w:pPr>
    </w:p>
    <w:p w14:paraId="3C14435E">
      <w:pPr>
        <w:snapToGrid w:val="0"/>
        <w:spacing w:before="120" w:beforeLines="50" w:after="50"/>
        <w:ind w:firstLine="480" w:firstLineChars="150"/>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首次响应文件提交截止时间前不得解密</w:t>
      </w:r>
    </w:p>
    <w:p w14:paraId="70693A9F">
      <w:pPr>
        <w:snapToGrid w:val="0"/>
        <w:spacing w:before="120" w:beforeLines="50" w:after="50"/>
        <w:ind w:firstLine="5440" w:firstLineChars="1700"/>
        <w:jc w:val="center"/>
        <w:rPr>
          <w:rFonts w:hint="eastAsia" w:ascii="宋体" w:hAnsi="宋体" w:cs="宋体"/>
          <w:bCs/>
          <w:color w:val="auto"/>
          <w:sz w:val="32"/>
          <w:szCs w:val="32"/>
          <w:highlight w:val="none"/>
        </w:rPr>
      </w:pPr>
    </w:p>
    <w:p w14:paraId="0FFADEED">
      <w:pPr>
        <w:snapToGrid w:val="0"/>
        <w:spacing w:before="120" w:beforeLines="50" w:after="50"/>
        <w:ind w:firstLine="645"/>
        <w:jc w:val="center"/>
        <w:rPr>
          <w:rFonts w:hint="eastAsia" w:ascii="宋体" w:hAnsi="宋体" w:cs="宋体"/>
          <w:bCs/>
          <w:color w:val="auto"/>
          <w:sz w:val="32"/>
          <w:szCs w:val="32"/>
          <w:highlight w:val="none"/>
        </w:rPr>
      </w:pPr>
      <w:r>
        <w:rPr>
          <w:rFonts w:hint="eastAsia" w:ascii="宋体" w:hAnsi="宋体" w:cs="宋体"/>
          <w:bCs/>
          <w:color w:val="auto"/>
          <w:sz w:val="32"/>
          <w:szCs w:val="32"/>
          <w:highlight w:val="none"/>
        </w:rPr>
        <w:t>年    月    日</w:t>
      </w:r>
    </w:p>
    <w:p w14:paraId="2646D2A3">
      <w:pPr>
        <w:spacing w:line="240" w:lineRule="atLeast"/>
        <w:rPr>
          <w:rFonts w:hint="eastAsia" w:ascii="宋体" w:hAnsi="宋体" w:cs="宋体"/>
          <w:b/>
          <w:bCs/>
          <w:color w:val="auto"/>
          <w:highlight w:val="none"/>
        </w:rPr>
      </w:pPr>
      <w:r>
        <w:rPr>
          <w:rFonts w:hint="eastAsia" w:ascii="宋体" w:hAnsi="宋体" w:cs="宋体"/>
          <w:bCs/>
          <w:color w:val="auto"/>
          <w:sz w:val="24"/>
          <w:highlight w:val="none"/>
        </w:rPr>
        <w:br w:type="page"/>
      </w:r>
    </w:p>
    <w:p w14:paraId="060B74F6">
      <w:pPr>
        <w:snapToGrid w:val="0"/>
        <w:spacing w:before="120" w:beforeLines="50" w:after="50" w:line="360" w:lineRule="auto"/>
        <w:jc w:val="center"/>
        <w:outlineLvl w:val="1"/>
        <w:rPr>
          <w:rFonts w:hint="eastAsia" w:ascii="宋体" w:hAnsi="宋体" w:cs="宋体"/>
          <w:bCs/>
          <w:color w:val="auto"/>
          <w:sz w:val="32"/>
          <w:szCs w:val="32"/>
          <w:highlight w:val="none"/>
        </w:rPr>
      </w:pPr>
      <w:bookmarkStart w:id="65" w:name="_Toc9530"/>
      <w:r>
        <w:rPr>
          <w:rFonts w:hint="eastAsia" w:ascii="宋体" w:hAnsi="宋体" w:cs="宋体"/>
          <w:bCs/>
          <w:color w:val="auto"/>
          <w:sz w:val="32"/>
          <w:szCs w:val="32"/>
          <w:highlight w:val="none"/>
        </w:rPr>
        <w:t>第二节 资格证明文件格式</w:t>
      </w:r>
      <w:bookmarkEnd w:id="65"/>
    </w:p>
    <w:p w14:paraId="0092A842">
      <w:pPr>
        <w:snapToGrid w:val="0"/>
        <w:spacing w:before="120" w:beforeLines="50" w:after="5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全流程电子文件</w:t>
      </w:r>
    </w:p>
    <w:p w14:paraId="154DA9DF">
      <w:pPr>
        <w:snapToGrid w:val="0"/>
        <w:spacing w:before="120" w:beforeLines="50" w:after="50"/>
        <w:rPr>
          <w:rFonts w:hint="eastAsia" w:ascii="宋体" w:hAnsi="宋体" w:cs="宋体"/>
          <w:color w:val="auto"/>
          <w:sz w:val="24"/>
          <w:szCs w:val="20"/>
          <w:highlight w:val="none"/>
        </w:rPr>
      </w:pPr>
    </w:p>
    <w:p w14:paraId="5F7A84D6">
      <w:pPr>
        <w:snapToGrid w:val="0"/>
        <w:spacing w:before="120" w:beforeLines="50" w:after="50"/>
        <w:rPr>
          <w:rFonts w:hint="eastAsia" w:ascii="宋体" w:hAnsi="宋体" w:cs="宋体"/>
          <w:color w:val="auto"/>
          <w:sz w:val="24"/>
          <w:szCs w:val="20"/>
          <w:highlight w:val="none"/>
        </w:rPr>
      </w:pPr>
    </w:p>
    <w:p w14:paraId="7A46ED41">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资  格  证  明  文  件（封面）</w:t>
      </w:r>
    </w:p>
    <w:p w14:paraId="0E08C12A">
      <w:pPr>
        <w:snapToGrid w:val="0"/>
        <w:spacing w:before="120" w:beforeLines="50" w:after="50"/>
        <w:rPr>
          <w:rFonts w:hint="eastAsia" w:ascii="宋体" w:hAnsi="宋体" w:cs="宋体"/>
          <w:bCs/>
          <w:color w:val="auto"/>
          <w:sz w:val="24"/>
          <w:szCs w:val="20"/>
          <w:highlight w:val="none"/>
        </w:rPr>
      </w:pPr>
    </w:p>
    <w:p w14:paraId="00E72720">
      <w:pPr>
        <w:snapToGrid w:val="0"/>
        <w:spacing w:before="120" w:beforeLines="50" w:after="50"/>
        <w:rPr>
          <w:rFonts w:hint="eastAsia" w:ascii="宋体" w:hAnsi="宋体" w:cs="宋体"/>
          <w:bCs/>
          <w:color w:val="auto"/>
          <w:sz w:val="24"/>
          <w:szCs w:val="20"/>
          <w:highlight w:val="none"/>
        </w:rPr>
      </w:pPr>
    </w:p>
    <w:p w14:paraId="3ED4B950">
      <w:pPr>
        <w:snapToGrid w:val="0"/>
        <w:spacing w:before="120" w:beforeLines="50" w:after="50"/>
        <w:rPr>
          <w:rFonts w:hint="eastAsia" w:ascii="宋体" w:hAnsi="宋体" w:cs="宋体"/>
          <w:bCs/>
          <w:color w:val="auto"/>
          <w:sz w:val="24"/>
          <w:szCs w:val="20"/>
          <w:highlight w:val="none"/>
        </w:rPr>
      </w:pPr>
    </w:p>
    <w:p w14:paraId="01D5FEDF">
      <w:pPr>
        <w:snapToGrid w:val="0"/>
        <w:spacing w:before="120" w:beforeLines="50" w:after="50"/>
        <w:rPr>
          <w:rFonts w:hint="eastAsia" w:ascii="宋体" w:hAnsi="宋体" w:cs="宋体"/>
          <w:bCs/>
          <w:color w:val="auto"/>
          <w:sz w:val="24"/>
          <w:szCs w:val="20"/>
          <w:highlight w:val="none"/>
        </w:rPr>
      </w:pPr>
    </w:p>
    <w:p w14:paraId="099F508F">
      <w:pPr>
        <w:snapToGrid w:val="0"/>
        <w:spacing w:before="120" w:beforeLines="50" w:after="50"/>
        <w:rPr>
          <w:rFonts w:hint="eastAsia" w:ascii="宋体" w:hAnsi="宋体" w:cs="宋体"/>
          <w:bCs/>
          <w:color w:val="auto"/>
          <w:sz w:val="24"/>
          <w:szCs w:val="20"/>
          <w:highlight w:val="none"/>
        </w:rPr>
      </w:pPr>
    </w:p>
    <w:p w14:paraId="3FE2437C">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6643CC18">
      <w:pPr>
        <w:snapToGrid w:val="0"/>
        <w:spacing w:before="120" w:beforeLines="50" w:after="50"/>
        <w:ind w:firstLine="720" w:firstLineChars="225"/>
        <w:rPr>
          <w:rFonts w:hint="eastAsia" w:ascii="宋体" w:hAnsi="宋体" w:cs="宋体"/>
          <w:bCs/>
          <w:color w:val="auto"/>
          <w:sz w:val="32"/>
          <w:szCs w:val="32"/>
          <w:highlight w:val="none"/>
        </w:rPr>
      </w:pPr>
    </w:p>
    <w:p w14:paraId="51F9A064">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708AF6D7">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1E2C8022">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2C3C4CBA">
      <w:pPr>
        <w:snapToGrid w:val="0"/>
        <w:spacing w:before="120" w:beforeLines="50" w:after="50"/>
        <w:ind w:firstLine="720" w:firstLineChars="225"/>
        <w:rPr>
          <w:rFonts w:hint="eastAsia" w:ascii="宋体" w:hAnsi="宋体" w:cs="宋体"/>
          <w:bCs/>
          <w:color w:val="auto"/>
          <w:sz w:val="32"/>
          <w:szCs w:val="32"/>
          <w:highlight w:val="none"/>
        </w:rPr>
      </w:pPr>
    </w:p>
    <w:p w14:paraId="20585423">
      <w:pPr>
        <w:snapToGrid w:val="0"/>
        <w:spacing w:before="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77A09103">
      <w:pPr>
        <w:snapToGrid w:val="0"/>
        <w:spacing w:before="50" w:after="50"/>
        <w:ind w:firstLine="720" w:firstLineChars="225"/>
        <w:rPr>
          <w:rFonts w:hint="eastAsia" w:ascii="宋体" w:hAnsi="宋体" w:cs="宋体"/>
          <w:bCs/>
          <w:color w:val="auto"/>
          <w:sz w:val="32"/>
          <w:szCs w:val="32"/>
          <w:highlight w:val="none"/>
        </w:rPr>
      </w:pPr>
    </w:p>
    <w:p w14:paraId="65E8192C">
      <w:pPr>
        <w:snapToGrid w:val="0"/>
        <w:spacing w:before="50" w:after="50"/>
        <w:ind w:firstLine="720" w:firstLineChars="225"/>
        <w:rPr>
          <w:rFonts w:hint="eastAsia" w:ascii="宋体" w:hAnsi="宋体" w:cs="宋体"/>
          <w:bCs/>
          <w:color w:val="auto"/>
          <w:sz w:val="32"/>
          <w:szCs w:val="32"/>
          <w:highlight w:val="none"/>
        </w:rPr>
      </w:pPr>
    </w:p>
    <w:p w14:paraId="141A9B35">
      <w:pPr>
        <w:snapToGrid w:val="0"/>
        <w:spacing w:before="50" w:after="50"/>
        <w:ind w:firstLine="720" w:firstLineChars="225"/>
        <w:rPr>
          <w:rFonts w:hint="eastAsia" w:ascii="宋体" w:hAnsi="宋体" w:cs="宋体"/>
          <w:bCs/>
          <w:color w:val="auto"/>
          <w:sz w:val="32"/>
          <w:szCs w:val="32"/>
          <w:highlight w:val="none"/>
        </w:rPr>
      </w:pPr>
    </w:p>
    <w:p w14:paraId="5BC0FB25">
      <w:pPr>
        <w:snapToGrid w:val="0"/>
        <w:spacing w:before="50" w:after="50"/>
        <w:ind w:firstLine="1280" w:firstLineChars="400"/>
        <w:rPr>
          <w:rFonts w:hint="eastAsia" w:ascii="宋体" w:hAnsi="宋体" w:cs="宋体"/>
          <w:bCs/>
          <w:color w:val="auto"/>
          <w:sz w:val="32"/>
          <w:szCs w:val="32"/>
          <w:highlight w:val="none"/>
        </w:rPr>
      </w:pPr>
    </w:p>
    <w:p w14:paraId="156FB1CE">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7904ECDF">
      <w:pPr>
        <w:snapToGrid w:val="0"/>
        <w:spacing w:before="120" w:beforeLines="50" w:after="50" w:line="360" w:lineRule="auto"/>
        <w:ind w:left="142" w:firstLine="480" w:firstLineChars="200"/>
        <w:jc w:val="left"/>
        <w:rPr>
          <w:rFonts w:hint="eastAsia" w:ascii="宋体" w:hAnsi="宋体" w:cs="宋体"/>
          <w:b/>
          <w:bCs/>
          <w:color w:val="auto"/>
          <w:sz w:val="32"/>
          <w:szCs w:val="32"/>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二、资格证明文件目录</w:t>
      </w:r>
    </w:p>
    <w:p w14:paraId="4D001A53">
      <w:pPr>
        <w:jc w:val="center"/>
        <w:rPr>
          <w:rFonts w:hint="eastAsia" w:ascii="宋体" w:hAnsi="宋体" w:cs="宋体"/>
          <w:b/>
          <w:color w:val="auto"/>
          <w:kern w:val="0"/>
          <w:sz w:val="36"/>
          <w:szCs w:val="36"/>
          <w:highlight w:val="none"/>
        </w:rPr>
      </w:pPr>
      <w:r>
        <w:rPr>
          <w:rFonts w:hint="eastAsia" w:ascii="宋体" w:hAnsi="宋体" w:cs="宋体"/>
          <w:b/>
          <w:color w:val="auto"/>
          <w:kern w:val="0"/>
          <w:sz w:val="36"/>
          <w:szCs w:val="36"/>
          <w:highlight w:val="none"/>
        </w:rPr>
        <w:t>资格证明文件目录</w:t>
      </w:r>
    </w:p>
    <w:p w14:paraId="17FED0F9">
      <w:pPr>
        <w:snapToGrid w:val="0"/>
        <w:spacing w:line="360" w:lineRule="auto"/>
        <w:rPr>
          <w:rFonts w:hint="eastAsia" w:ascii="宋体" w:hAnsi="宋体" w:cs="宋体"/>
          <w:color w:val="auto"/>
          <w:kern w:val="0"/>
          <w:sz w:val="24"/>
          <w:highlight w:val="none"/>
        </w:rPr>
      </w:pPr>
    </w:p>
    <w:p w14:paraId="25A3ACBC">
      <w:pPr>
        <w:snapToGrid w:val="0"/>
        <w:spacing w:line="360" w:lineRule="auto"/>
        <w:rPr>
          <w:rFonts w:hint="eastAsia" w:ascii="宋体" w:hAnsi="宋体" w:cs="宋体"/>
          <w:color w:val="auto"/>
          <w:kern w:val="0"/>
          <w:sz w:val="24"/>
          <w:highlight w:val="none"/>
        </w:rPr>
      </w:pPr>
    </w:p>
    <w:p w14:paraId="13267EB1">
      <w:pPr>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注：根据谈判文件规定及供应商提供的材料自行编写目录（部分格式后附）。</w:t>
      </w:r>
    </w:p>
    <w:p w14:paraId="46D71056">
      <w:pPr>
        <w:snapToGrid w:val="0"/>
        <w:spacing w:before="120" w:beforeLines="50" w:after="50"/>
        <w:rPr>
          <w:rFonts w:hint="eastAsia" w:ascii="宋体" w:hAnsi="宋体" w:cs="宋体"/>
          <w:color w:val="auto"/>
          <w:sz w:val="24"/>
          <w:szCs w:val="20"/>
          <w:highlight w:val="none"/>
        </w:rPr>
        <w:sectPr>
          <w:footerReference r:id="rId8" w:type="first"/>
          <w:footerReference r:id="rId7" w:type="default"/>
          <w:pgSz w:w="11910" w:h="16840"/>
          <w:pgMar w:top="1440" w:right="1080" w:bottom="1440" w:left="1080" w:header="720" w:footer="720" w:gutter="0"/>
          <w:cols w:space="720" w:num="1"/>
        </w:sectPr>
      </w:pPr>
    </w:p>
    <w:p w14:paraId="439A8A62">
      <w:pPr>
        <w:spacing w:line="360" w:lineRule="auto"/>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一、营业执照(或事业法人登记证或其他工商等登记证明材料)复印件（供应商为自然人的，提供自然人的身份证明）</w:t>
      </w:r>
    </w:p>
    <w:p w14:paraId="1ABBB4F6">
      <w:pPr>
        <w:spacing w:line="360" w:lineRule="auto"/>
        <w:ind w:firstLine="602" w:firstLineChars="200"/>
        <w:rPr>
          <w:rFonts w:hint="eastAsia" w:ascii="宋体" w:hAnsi="宋体" w:cs="宋体"/>
          <w:b/>
          <w:color w:val="auto"/>
          <w:kern w:val="0"/>
          <w:sz w:val="30"/>
          <w:szCs w:val="30"/>
          <w:highlight w:val="none"/>
        </w:rPr>
      </w:pPr>
    </w:p>
    <w:p w14:paraId="2E19EF4D">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33FE1DB6">
      <w:pPr>
        <w:autoSpaceDE w:val="0"/>
        <w:autoSpaceDN w:val="0"/>
        <w:spacing w:line="360" w:lineRule="auto"/>
        <w:ind w:firstLine="6120" w:firstLineChars="255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36C6A68F">
      <w:pPr>
        <w:snapToGrid w:val="0"/>
        <w:spacing w:before="120" w:beforeLines="50" w:after="50"/>
        <w:rPr>
          <w:rFonts w:hint="eastAsia" w:ascii="宋体" w:hAnsi="宋体" w:cs="宋体"/>
          <w:color w:val="auto"/>
          <w:sz w:val="24"/>
          <w:szCs w:val="20"/>
          <w:highlight w:val="none"/>
        </w:rPr>
      </w:pPr>
    </w:p>
    <w:p w14:paraId="7DF094D0">
      <w:pPr>
        <w:spacing w:line="360" w:lineRule="auto"/>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二、符合参与政府采购活动的资格条件依法缴纳税收、社会保障资金等方面的材料</w:t>
      </w:r>
    </w:p>
    <w:p w14:paraId="1189D9BD">
      <w:pPr>
        <w:spacing w:line="300" w:lineRule="auto"/>
        <w:rPr>
          <w:rFonts w:hint="eastAsia" w:ascii="宋体" w:hAnsi="宋体" w:cs="宋体"/>
          <w:color w:val="auto"/>
          <w:szCs w:val="21"/>
          <w:highlight w:val="none"/>
        </w:rPr>
      </w:pPr>
    </w:p>
    <w:p w14:paraId="7072E9F8">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386C5C9">
      <w:pPr>
        <w:autoSpaceDE w:val="0"/>
        <w:autoSpaceDN w:val="0"/>
        <w:spacing w:line="360" w:lineRule="auto"/>
        <w:ind w:firstLine="6120" w:firstLineChars="255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645E58B4">
      <w:pPr>
        <w:spacing w:line="300" w:lineRule="auto"/>
        <w:rPr>
          <w:rFonts w:hint="eastAsia" w:ascii="宋体" w:hAnsi="宋体" w:cs="宋体"/>
          <w:color w:val="auto"/>
          <w:szCs w:val="21"/>
          <w:highlight w:val="none"/>
        </w:rPr>
      </w:pPr>
    </w:p>
    <w:p w14:paraId="127DE36F">
      <w:pPr>
        <w:spacing w:line="300" w:lineRule="auto"/>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三、财务状况报告方面的材料</w:t>
      </w:r>
    </w:p>
    <w:p w14:paraId="028ADE56">
      <w:pPr>
        <w:spacing w:line="300" w:lineRule="auto"/>
        <w:rPr>
          <w:rFonts w:hint="eastAsia" w:ascii="宋体" w:hAnsi="宋体" w:cs="宋体"/>
          <w:color w:val="auto"/>
          <w:szCs w:val="21"/>
          <w:highlight w:val="none"/>
        </w:rPr>
      </w:pPr>
    </w:p>
    <w:p w14:paraId="248047E2">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8527D3F">
      <w:pPr>
        <w:autoSpaceDE w:val="0"/>
        <w:autoSpaceDN w:val="0"/>
        <w:spacing w:line="360" w:lineRule="auto"/>
        <w:ind w:firstLine="6120" w:firstLineChars="255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3F9BCA0E">
      <w:pPr>
        <w:spacing w:line="320" w:lineRule="exact"/>
        <w:jc w:val="left"/>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56A351B4">
      <w:pPr>
        <w:snapToGrid w:val="0"/>
        <w:spacing w:before="120" w:beforeLines="50" w:after="50" w:line="360" w:lineRule="auto"/>
        <w:jc w:val="center"/>
        <w:rPr>
          <w:rFonts w:hint="eastAsia" w:ascii="宋体" w:hAnsi="宋体" w:cs="宋体"/>
          <w:b/>
          <w:color w:val="auto"/>
          <w:sz w:val="24"/>
          <w:highlight w:val="none"/>
        </w:rPr>
      </w:pPr>
    </w:p>
    <w:p w14:paraId="52823F54">
      <w:pPr>
        <w:spacing w:line="360" w:lineRule="auto"/>
        <w:contextualSpacing/>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四、供应商直接控股股东信息</w:t>
      </w:r>
    </w:p>
    <w:p w14:paraId="69C46AA8">
      <w:pPr>
        <w:spacing w:line="360" w:lineRule="auto"/>
        <w:contextualSpacing/>
        <w:jc w:val="center"/>
        <w:rPr>
          <w:rFonts w:hint="eastAsia" w:ascii="宋体" w:hAnsi="宋体" w:cs="宋体"/>
          <w:b/>
          <w:color w:val="auto"/>
          <w:sz w:val="24"/>
          <w:highlight w:val="none"/>
        </w:rPr>
      </w:pPr>
    </w:p>
    <w:tbl>
      <w:tblPr>
        <w:tblStyle w:val="33"/>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5C358C2B">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F3C9383">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1F3D252">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1D86370">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56B9CC0">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C693C28">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10C9D3A3">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4F2BF6">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15623C8">
            <w:pPr>
              <w:widowControl/>
              <w:spacing w:line="360" w:lineRule="auto"/>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0A777F6">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B1FD12">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E467A2D">
            <w:pPr>
              <w:widowControl/>
              <w:spacing w:line="360" w:lineRule="auto"/>
              <w:contextualSpacing/>
              <w:jc w:val="center"/>
              <w:rPr>
                <w:rFonts w:hint="eastAsia" w:ascii="宋体" w:hAnsi="宋体" w:cs="宋体"/>
                <w:color w:val="auto"/>
                <w:kern w:val="0"/>
                <w:sz w:val="24"/>
                <w:highlight w:val="none"/>
              </w:rPr>
            </w:pPr>
          </w:p>
        </w:tc>
      </w:tr>
      <w:tr w14:paraId="115BF872">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C8CC0A">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7485B79">
            <w:pPr>
              <w:widowControl/>
              <w:spacing w:line="360" w:lineRule="auto"/>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DEA0181">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54895D2">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CA8589A">
            <w:pPr>
              <w:widowControl/>
              <w:spacing w:line="360" w:lineRule="auto"/>
              <w:contextualSpacing/>
              <w:jc w:val="center"/>
              <w:rPr>
                <w:rFonts w:hint="eastAsia" w:ascii="宋体" w:hAnsi="宋体" w:cs="宋体"/>
                <w:color w:val="auto"/>
                <w:kern w:val="0"/>
                <w:sz w:val="24"/>
                <w:highlight w:val="none"/>
              </w:rPr>
            </w:pPr>
          </w:p>
        </w:tc>
      </w:tr>
      <w:tr w14:paraId="3B64F919">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056E17E">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0155B76">
            <w:pPr>
              <w:widowControl/>
              <w:spacing w:line="360" w:lineRule="auto"/>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E62C303">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DE041C0">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F473FBD">
            <w:pPr>
              <w:widowControl/>
              <w:spacing w:line="360" w:lineRule="auto"/>
              <w:contextualSpacing/>
              <w:jc w:val="center"/>
              <w:rPr>
                <w:rFonts w:hint="eastAsia" w:ascii="宋体" w:hAnsi="宋体" w:cs="宋体"/>
                <w:color w:val="auto"/>
                <w:kern w:val="0"/>
                <w:sz w:val="24"/>
                <w:highlight w:val="none"/>
              </w:rPr>
            </w:pPr>
          </w:p>
        </w:tc>
      </w:tr>
      <w:tr w14:paraId="618D1D90">
        <w:tblPrEx>
          <w:shd w:val="clear" w:color="auto" w:fill="FBFBFB"/>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BB4F9D8">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8E18B10">
            <w:pPr>
              <w:widowControl/>
              <w:spacing w:line="360" w:lineRule="auto"/>
              <w:contextualSpacing/>
              <w:jc w:val="center"/>
              <w:rPr>
                <w:rFonts w:hint="eastAsia" w:ascii="宋体" w:hAnsi="宋体" w:cs="宋体"/>
                <w:color w:val="auto"/>
                <w:kern w:val="0"/>
                <w:sz w:val="24"/>
                <w:highlight w:val="none"/>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FA0DC79">
            <w:pPr>
              <w:widowControl/>
              <w:spacing w:line="360" w:lineRule="auto"/>
              <w:contextualSpacing/>
              <w:jc w:val="center"/>
              <w:rPr>
                <w:rFonts w:hint="eastAsia" w:ascii="宋体" w:hAnsi="宋体" w:cs="宋体"/>
                <w:color w:val="auto"/>
                <w:kern w:val="0"/>
                <w:sz w:val="24"/>
                <w:highlight w:val="none"/>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936EADE">
            <w:pPr>
              <w:widowControl/>
              <w:spacing w:line="360" w:lineRule="auto"/>
              <w:contextualSpacing/>
              <w:jc w:val="center"/>
              <w:rPr>
                <w:rFonts w:hint="eastAsia" w:ascii="宋体" w:hAnsi="宋体" w:cs="宋体"/>
                <w:color w:val="auto"/>
                <w:kern w:val="0"/>
                <w:sz w:val="24"/>
                <w:highlight w:val="none"/>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ADD297C">
            <w:pPr>
              <w:widowControl/>
              <w:spacing w:line="360" w:lineRule="auto"/>
              <w:contextualSpacing/>
              <w:jc w:val="center"/>
              <w:rPr>
                <w:rFonts w:hint="eastAsia" w:ascii="宋体" w:hAnsi="宋体" w:cs="宋体"/>
                <w:color w:val="auto"/>
                <w:kern w:val="0"/>
                <w:sz w:val="24"/>
                <w:highlight w:val="none"/>
              </w:rPr>
            </w:pPr>
          </w:p>
        </w:tc>
      </w:tr>
    </w:tbl>
    <w:p w14:paraId="7DB3FAE5">
      <w:pPr>
        <w:spacing w:line="360" w:lineRule="auto"/>
        <w:contextualSpacing/>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注：</w:t>
      </w:r>
    </w:p>
    <w:p w14:paraId="7CAD1E5F">
      <w:pPr>
        <w:spacing w:line="360" w:lineRule="auto"/>
        <w:ind w:firstLine="480" w:firstLineChars="200"/>
        <w:contextualSpacing/>
        <w:jc w:val="left"/>
        <w:rPr>
          <w:rFonts w:hint="eastAsia" w:ascii="宋体" w:hAnsi="宋体" w:cs="宋体"/>
          <w:color w:val="auto"/>
          <w:kern w:val="0"/>
          <w:sz w:val="24"/>
          <w:highlight w:val="none"/>
        </w:rPr>
      </w:pPr>
      <w:r>
        <w:rPr>
          <w:rFonts w:hint="eastAsia" w:ascii="宋体" w:hAnsi="宋体" w:cs="宋体"/>
          <w:color w:val="auto"/>
          <w:kern w:val="0"/>
          <w:sz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8731408">
      <w:pPr>
        <w:spacing w:line="360" w:lineRule="auto"/>
        <w:ind w:firstLine="480" w:firstLineChars="200"/>
        <w:contextualSpacing/>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2.本表所指的控股关系仅限于直接控股关系，不包括间接的控股关系。公司实际控制人与公司之间的关系不属于本表所指的直接控股关系。</w:t>
      </w:r>
    </w:p>
    <w:p w14:paraId="11D43194">
      <w:pPr>
        <w:spacing w:line="360" w:lineRule="auto"/>
        <w:ind w:firstLine="480" w:firstLineChars="200"/>
        <w:contextualSpacing/>
        <w:jc w:val="left"/>
        <w:rPr>
          <w:rFonts w:hint="eastAsia" w:ascii="宋体" w:hAnsi="宋体" w:cs="宋体"/>
          <w:color w:val="auto"/>
          <w:kern w:val="0"/>
          <w:sz w:val="24"/>
          <w:highlight w:val="none"/>
        </w:rPr>
      </w:pPr>
      <w:r>
        <w:rPr>
          <w:rFonts w:hint="eastAsia" w:ascii="宋体" w:hAnsi="宋体" w:cs="宋体"/>
          <w:color w:val="auto"/>
          <w:kern w:val="0"/>
          <w:sz w:val="24"/>
          <w:highlight w:val="none"/>
        </w:rPr>
        <w:t>3.供应商不存在直接控股股东的，则填“无”。</w:t>
      </w:r>
    </w:p>
    <w:p w14:paraId="147EB6DC">
      <w:pPr>
        <w:snapToGrid w:val="0"/>
        <w:spacing w:line="360" w:lineRule="auto"/>
        <w:jc w:val="left"/>
        <w:rPr>
          <w:rFonts w:hint="eastAsia" w:ascii="宋体" w:hAnsi="宋体" w:cs="宋体"/>
          <w:color w:val="auto"/>
          <w:sz w:val="24"/>
          <w:highlight w:val="none"/>
        </w:rPr>
      </w:pPr>
    </w:p>
    <w:p w14:paraId="5C39E352">
      <w:pPr>
        <w:snapToGrid w:val="0"/>
        <w:spacing w:line="360" w:lineRule="auto"/>
        <w:jc w:val="left"/>
        <w:rPr>
          <w:rFonts w:hint="eastAsia" w:ascii="宋体" w:hAnsi="宋体" w:cs="宋体"/>
          <w:color w:val="auto"/>
          <w:sz w:val="24"/>
          <w:highlight w:val="none"/>
        </w:rPr>
      </w:pPr>
    </w:p>
    <w:p w14:paraId="33D2B2FB">
      <w:pPr>
        <w:snapToGrid w:val="0"/>
        <w:spacing w:line="360" w:lineRule="auto"/>
        <w:jc w:val="left"/>
        <w:rPr>
          <w:rFonts w:hint="eastAsia" w:ascii="宋体" w:hAnsi="宋体" w:cs="宋体"/>
          <w:color w:val="auto"/>
          <w:sz w:val="24"/>
          <w:highlight w:val="none"/>
        </w:rPr>
      </w:pPr>
    </w:p>
    <w:p w14:paraId="35291A21">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04DC40C1">
      <w:pPr>
        <w:autoSpaceDE w:val="0"/>
        <w:autoSpaceDN w:val="0"/>
        <w:spacing w:line="360" w:lineRule="auto"/>
        <w:ind w:firstLine="6120" w:firstLineChars="255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10ACDAA6">
      <w:pPr>
        <w:snapToGrid w:val="0"/>
        <w:rPr>
          <w:rFonts w:hint="eastAsia" w:ascii="宋体" w:hAnsi="宋体" w:cs="宋体"/>
          <w:b/>
          <w:color w:val="auto"/>
          <w:kern w:val="0"/>
          <w:sz w:val="30"/>
          <w:szCs w:val="30"/>
          <w:highlight w:val="none"/>
        </w:rPr>
      </w:pPr>
    </w:p>
    <w:p w14:paraId="524CBE10">
      <w:pPr>
        <w:snapToGrid w:val="0"/>
        <w:rPr>
          <w:rFonts w:hint="eastAsia" w:ascii="宋体" w:hAnsi="宋体" w:cs="宋体"/>
          <w:b/>
          <w:color w:val="auto"/>
          <w:kern w:val="0"/>
          <w:sz w:val="30"/>
          <w:szCs w:val="30"/>
          <w:highlight w:val="none"/>
        </w:rPr>
      </w:pPr>
      <w:r>
        <w:rPr>
          <w:rFonts w:hint="eastAsia" w:ascii="宋体" w:hAnsi="宋体" w:cs="宋体"/>
          <w:b/>
          <w:color w:val="auto"/>
          <w:kern w:val="0"/>
          <w:sz w:val="30"/>
          <w:szCs w:val="30"/>
          <w:highlight w:val="none"/>
        </w:rPr>
        <w:t>五、供应商直接管理关系信息表</w:t>
      </w:r>
    </w:p>
    <w:p w14:paraId="652448A6">
      <w:pPr>
        <w:snapToGrid w:val="0"/>
        <w:spacing w:line="360" w:lineRule="auto"/>
        <w:jc w:val="center"/>
        <w:rPr>
          <w:rFonts w:hint="eastAsia" w:ascii="宋体" w:hAnsi="宋体" w:cs="宋体"/>
          <w:b/>
          <w:color w:val="auto"/>
          <w:sz w:val="24"/>
          <w:highlight w:val="none"/>
        </w:rPr>
      </w:pPr>
    </w:p>
    <w:tbl>
      <w:tblPr>
        <w:tblStyle w:val="33"/>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319388DE">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C03E42B">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C55139E">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6DE97F8">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7903CD">
            <w:pPr>
              <w:widowControl/>
              <w:spacing w:line="360" w:lineRule="auto"/>
              <w:contextualSpacing/>
              <w:jc w:val="center"/>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备注</w:t>
            </w:r>
          </w:p>
        </w:tc>
      </w:tr>
      <w:tr w14:paraId="22CF4995">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F68BBD">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5B7208">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32625D">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EF4723D">
            <w:pPr>
              <w:widowControl/>
              <w:spacing w:line="360" w:lineRule="auto"/>
              <w:contextualSpacing/>
              <w:jc w:val="center"/>
              <w:rPr>
                <w:rFonts w:hint="eastAsia" w:ascii="宋体" w:hAnsi="宋体" w:cs="宋体"/>
                <w:color w:val="auto"/>
                <w:kern w:val="0"/>
                <w:sz w:val="24"/>
                <w:highlight w:val="none"/>
              </w:rPr>
            </w:pPr>
          </w:p>
        </w:tc>
      </w:tr>
      <w:tr w14:paraId="4596E0B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5468E2F">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EC94543">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A731148">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B6AA708">
            <w:pPr>
              <w:widowControl/>
              <w:spacing w:line="360" w:lineRule="auto"/>
              <w:contextualSpacing/>
              <w:jc w:val="center"/>
              <w:rPr>
                <w:rFonts w:hint="eastAsia" w:ascii="宋体" w:hAnsi="宋体" w:cs="宋体"/>
                <w:color w:val="auto"/>
                <w:kern w:val="0"/>
                <w:sz w:val="24"/>
                <w:highlight w:val="none"/>
              </w:rPr>
            </w:pPr>
          </w:p>
        </w:tc>
      </w:tr>
      <w:tr w14:paraId="1B68F964">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8384578">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1CDD6C6">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B53D07">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F2F9E2">
            <w:pPr>
              <w:widowControl/>
              <w:spacing w:line="360" w:lineRule="auto"/>
              <w:contextualSpacing/>
              <w:jc w:val="center"/>
              <w:rPr>
                <w:rFonts w:hint="eastAsia" w:ascii="宋体" w:hAnsi="宋体" w:cs="宋体"/>
                <w:color w:val="auto"/>
                <w:kern w:val="0"/>
                <w:sz w:val="24"/>
                <w:highlight w:val="none"/>
              </w:rPr>
            </w:pPr>
          </w:p>
        </w:tc>
      </w:tr>
      <w:tr w14:paraId="24B5BC7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5344433">
            <w:pPr>
              <w:widowControl/>
              <w:spacing w:line="360" w:lineRule="auto"/>
              <w:contextualSpacing/>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1292E52">
            <w:pPr>
              <w:widowControl/>
              <w:spacing w:line="360" w:lineRule="auto"/>
              <w:contextualSpacing/>
              <w:jc w:val="center"/>
              <w:rPr>
                <w:rFonts w:hint="eastAsia" w:ascii="宋体" w:hAnsi="宋体" w:cs="宋体"/>
                <w:color w:val="auto"/>
                <w:kern w:val="0"/>
                <w:sz w:val="24"/>
                <w:highlight w:val="none"/>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E2D8CF">
            <w:pPr>
              <w:widowControl/>
              <w:spacing w:line="360" w:lineRule="auto"/>
              <w:contextualSpacing/>
              <w:jc w:val="center"/>
              <w:rPr>
                <w:rFonts w:hint="eastAsia" w:ascii="宋体" w:hAnsi="宋体" w:cs="宋体"/>
                <w:color w:val="auto"/>
                <w:kern w:val="0"/>
                <w:sz w:val="24"/>
                <w:highlight w:val="none"/>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0A42895">
            <w:pPr>
              <w:widowControl/>
              <w:spacing w:line="360" w:lineRule="auto"/>
              <w:contextualSpacing/>
              <w:jc w:val="center"/>
              <w:rPr>
                <w:rFonts w:hint="eastAsia" w:ascii="宋体" w:hAnsi="宋体" w:cs="宋体"/>
                <w:color w:val="auto"/>
                <w:kern w:val="0"/>
                <w:sz w:val="24"/>
                <w:highlight w:val="none"/>
              </w:rPr>
            </w:pPr>
          </w:p>
        </w:tc>
      </w:tr>
    </w:tbl>
    <w:p w14:paraId="6B0CD183">
      <w:pPr>
        <w:spacing w:line="360" w:lineRule="auto"/>
        <w:ind w:firstLine="480" w:firstLineChars="200"/>
        <w:contextualSpacing/>
        <w:jc w:val="left"/>
        <w:rPr>
          <w:rFonts w:hint="eastAsia" w:ascii="宋体" w:hAnsi="宋体" w:cs="宋体"/>
          <w:color w:val="auto"/>
          <w:kern w:val="0"/>
          <w:sz w:val="24"/>
          <w:highlight w:val="none"/>
        </w:rPr>
      </w:pPr>
      <w:r>
        <w:rPr>
          <w:rFonts w:hint="eastAsia" w:ascii="宋体" w:hAnsi="宋体" w:cs="宋体"/>
          <w:color w:val="auto"/>
          <w:kern w:val="0"/>
          <w:sz w:val="24"/>
          <w:highlight w:val="none"/>
        </w:rPr>
        <w:t>注：</w:t>
      </w:r>
    </w:p>
    <w:p w14:paraId="65CE8114">
      <w:pPr>
        <w:spacing w:line="360" w:lineRule="auto"/>
        <w:ind w:firstLine="480" w:firstLineChars="200"/>
        <w:contextualSpacing/>
        <w:jc w:val="left"/>
        <w:rPr>
          <w:rFonts w:hint="eastAsia" w:ascii="宋体" w:hAnsi="宋体" w:cs="宋体"/>
          <w:color w:val="auto"/>
          <w:kern w:val="0"/>
          <w:sz w:val="24"/>
          <w:highlight w:val="none"/>
        </w:rPr>
      </w:pPr>
      <w:r>
        <w:rPr>
          <w:rFonts w:hint="eastAsia" w:ascii="宋体" w:hAnsi="宋体" w:cs="宋体"/>
          <w:color w:val="auto"/>
          <w:kern w:val="0"/>
          <w:sz w:val="24"/>
          <w:highlight w:val="none"/>
        </w:rPr>
        <w:t>1.管理关系：是指不具有出资持股关系的其他单位之间存在的管理与被管理关系，如一些上下级关系的事业单位和团体组织。</w:t>
      </w:r>
    </w:p>
    <w:p w14:paraId="3E3ACB16">
      <w:pPr>
        <w:spacing w:line="360" w:lineRule="auto"/>
        <w:ind w:firstLine="480" w:firstLineChars="200"/>
        <w:contextualSpacing/>
        <w:jc w:val="left"/>
        <w:rPr>
          <w:rFonts w:hint="eastAsia" w:ascii="宋体" w:hAnsi="宋体" w:cs="宋体"/>
          <w:color w:val="auto"/>
          <w:kern w:val="0"/>
          <w:sz w:val="24"/>
          <w:highlight w:val="none"/>
        </w:rPr>
      </w:pPr>
      <w:r>
        <w:rPr>
          <w:rFonts w:hint="eastAsia" w:ascii="宋体" w:hAnsi="宋体" w:cs="宋体"/>
          <w:color w:val="auto"/>
          <w:kern w:val="0"/>
          <w:sz w:val="24"/>
          <w:highlight w:val="none"/>
        </w:rPr>
        <w:t>2.本表所指的管理关系仅限于直接管理关系，不包括间接的管理关系。</w:t>
      </w:r>
    </w:p>
    <w:p w14:paraId="708DD744">
      <w:pPr>
        <w:spacing w:line="360" w:lineRule="auto"/>
        <w:ind w:firstLine="480" w:firstLineChars="200"/>
        <w:contextualSpacing/>
        <w:jc w:val="left"/>
        <w:rPr>
          <w:rFonts w:hint="eastAsia" w:ascii="宋体" w:hAnsi="宋体" w:cs="宋体"/>
          <w:color w:val="auto"/>
          <w:kern w:val="0"/>
          <w:sz w:val="24"/>
          <w:highlight w:val="none"/>
        </w:rPr>
      </w:pPr>
      <w:r>
        <w:rPr>
          <w:rFonts w:hint="eastAsia" w:ascii="宋体" w:hAnsi="宋体" w:cs="宋体"/>
          <w:color w:val="auto"/>
          <w:kern w:val="0"/>
          <w:sz w:val="24"/>
          <w:highlight w:val="none"/>
        </w:rPr>
        <w:t>3.供应商不存在直接管理关系的，则填“无”。</w:t>
      </w:r>
    </w:p>
    <w:p w14:paraId="0C884876">
      <w:pPr>
        <w:spacing w:line="360" w:lineRule="auto"/>
        <w:contextualSpacing/>
        <w:jc w:val="left"/>
        <w:rPr>
          <w:rFonts w:hint="eastAsia" w:ascii="宋体" w:hAnsi="宋体" w:cs="宋体"/>
          <w:color w:val="auto"/>
          <w:sz w:val="24"/>
          <w:highlight w:val="none"/>
        </w:rPr>
      </w:pPr>
    </w:p>
    <w:p w14:paraId="63509AFA">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65646EF">
      <w:pPr>
        <w:autoSpaceDE w:val="0"/>
        <w:autoSpaceDN w:val="0"/>
        <w:spacing w:line="360" w:lineRule="auto"/>
        <w:ind w:firstLine="6120" w:firstLineChars="255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56EBF7B2">
      <w:pPr>
        <w:spacing w:line="360" w:lineRule="auto"/>
        <w:ind w:right="480" w:firstLine="240" w:firstLineChars="100"/>
        <w:contextualSpacing/>
        <w:jc w:val="center"/>
        <w:rPr>
          <w:rFonts w:hint="eastAsia" w:ascii="宋体" w:hAnsi="宋体" w:cs="宋体"/>
          <w:color w:val="auto"/>
          <w:sz w:val="28"/>
          <w:szCs w:val="28"/>
          <w:highlight w:val="none"/>
        </w:rPr>
      </w:pPr>
      <w:r>
        <w:rPr>
          <w:rFonts w:hint="eastAsia" w:ascii="宋体" w:hAnsi="宋体" w:cs="宋体"/>
          <w:color w:val="auto"/>
          <w:sz w:val="24"/>
          <w:highlight w:val="none"/>
        </w:rPr>
        <w:t xml:space="preserve">                                  </w:t>
      </w:r>
    </w:p>
    <w:p w14:paraId="358A3C56">
      <w:pPr>
        <w:spacing w:line="320" w:lineRule="exact"/>
        <w:jc w:val="left"/>
        <w:rPr>
          <w:rFonts w:hint="eastAsia" w:ascii="宋体" w:hAnsi="宋体" w:cs="宋体"/>
          <w:color w:val="auto"/>
          <w:sz w:val="28"/>
          <w:szCs w:val="28"/>
          <w:highlight w:val="none"/>
        </w:rPr>
      </w:pPr>
      <w:r>
        <w:rPr>
          <w:rFonts w:hint="eastAsia" w:ascii="宋体" w:hAnsi="宋体" w:cs="宋体"/>
          <w:color w:val="auto"/>
          <w:sz w:val="28"/>
          <w:szCs w:val="28"/>
          <w:highlight w:val="none"/>
        </w:rPr>
        <w:br w:type="page"/>
      </w:r>
      <w:r>
        <w:rPr>
          <w:rFonts w:hint="eastAsia" w:ascii="宋体" w:hAnsi="宋体" w:cs="宋体"/>
          <w:b/>
          <w:color w:val="auto"/>
          <w:kern w:val="0"/>
          <w:sz w:val="30"/>
          <w:szCs w:val="30"/>
          <w:highlight w:val="none"/>
        </w:rPr>
        <w:t>六、竞标声明函</w:t>
      </w:r>
    </w:p>
    <w:p w14:paraId="13396C76">
      <w:pPr>
        <w:spacing w:line="320" w:lineRule="exact"/>
        <w:jc w:val="center"/>
        <w:rPr>
          <w:rFonts w:hint="eastAsia" w:ascii="宋体" w:hAnsi="宋体" w:cs="宋体"/>
          <w:b/>
          <w:color w:val="auto"/>
          <w:sz w:val="32"/>
          <w:szCs w:val="32"/>
          <w:highlight w:val="none"/>
        </w:rPr>
      </w:pPr>
    </w:p>
    <w:p w14:paraId="1D02ADB5">
      <w:pPr>
        <w:spacing w:line="32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竞标声明函</w:t>
      </w:r>
    </w:p>
    <w:p w14:paraId="0ACEAD22">
      <w:pPr>
        <w:spacing w:line="320" w:lineRule="exact"/>
        <w:jc w:val="center"/>
        <w:rPr>
          <w:rFonts w:hint="eastAsia" w:ascii="宋体" w:hAnsi="宋体" w:cs="宋体"/>
          <w:color w:val="auto"/>
          <w:sz w:val="24"/>
          <w:szCs w:val="20"/>
          <w:highlight w:val="none"/>
        </w:rPr>
      </w:pPr>
    </w:p>
    <w:p w14:paraId="35D4A38E">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致：</w:t>
      </w:r>
      <w:r>
        <w:rPr>
          <w:rFonts w:hint="eastAsia" w:ascii="宋体" w:hAnsi="宋体" w:cs="宋体"/>
          <w:color w:val="auto"/>
          <w:sz w:val="24"/>
          <w:highlight w:val="none"/>
          <w:u w:val="single"/>
        </w:rPr>
        <w:t>（采购人名称）</w:t>
      </w:r>
      <w:r>
        <w:rPr>
          <w:rFonts w:hint="eastAsia" w:ascii="宋体" w:hAnsi="宋体" w:cs="宋体"/>
          <w:color w:val="auto"/>
          <w:sz w:val="24"/>
          <w:highlight w:val="none"/>
        </w:rPr>
        <w:t>：</w:t>
      </w:r>
    </w:p>
    <w:p w14:paraId="39934CE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w:t>
      </w:r>
      <w:r>
        <w:rPr>
          <w:rFonts w:hint="eastAsia" w:ascii="宋体" w:hAnsi="宋体" w:cs="宋体"/>
          <w:color w:val="auto"/>
          <w:sz w:val="24"/>
          <w:highlight w:val="none"/>
          <w:u w:val="single"/>
        </w:rPr>
        <w:t>（供应商名称）</w:t>
      </w:r>
      <w:r>
        <w:rPr>
          <w:rFonts w:hint="eastAsia" w:ascii="宋体" w:hAnsi="宋体" w:cs="宋体"/>
          <w:color w:val="auto"/>
          <w:sz w:val="24"/>
          <w:highlight w:val="none"/>
        </w:rPr>
        <w:t>系中华人民共和国合法供应商，经营地址</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w:t>
      </w:r>
    </w:p>
    <w:p w14:paraId="62F9732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我方愿意参加贵方组织的</w:t>
      </w:r>
      <w:r>
        <w:rPr>
          <w:rFonts w:hint="eastAsia" w:ascii="宋体" w:hAnsi="宋体" w:cs="宋体"/>
          <w:color w:val="auto"/>
          <w:sz w:val="24"/>
          <w:highlight w:val="none"/>
          <w:u w:val="single"/>
        </w:rPr>
        <w:t>（项目名称）</w:t>
      </w:r>
      <w:r>
        <w:rPr>
          <w:rFonts w:hint="eastAsia" w:ascii="宋体" w:hAnsi="宋体" w:cs="宋体"/>
          <w:color w:val="auto"/>
          <w:sz w:val="24"/>
          <w:highlight w:val="none"/>
        </w:rPr>
        <w:t>项目的竞标，为便于贵方公正、择优地确定成交供应商及其竞标产品和服务，我方就本次竞标有关事项郑重声明如下：</w:t>
      </w:r>
    </w:p>
    <w:p w14:paraId="16C4C04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1.我方向贵方提交的所有响应文件、资料都是准确的和真实的。</w:t>
      </w:r>
    </w:p>
    <w:p w14:paraId="1511DE8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6991CBD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3.在此，我方宣布同意如下：</w:t>
      </w:r>
    </w:p>
    <w:p w14:paraId="19469E53">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(1)将按竞争性谈判文件的约定履行合同责任和义务；</w:t>
      </w:r>
    </w:p>
    <w:p w14:paraId="4534A31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(2)已详细审查全部竞争性谈判文件，包括补遗文件（如有）；</w:t>
      </w:r>
    </w:p>
    <w:p w14:paraId="0F620B3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(3)同意提供按照贵方可能要求的与谈判有关的一切数据或者资料；</w:t>
      </w:r>
    </w:p>
    <w:p w14:paraId="3F541C1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(4)响应竞争性谈判文件规定的竞标有效期。</w:t>
      </w:r>
    </w:p>
    <w:p w14:paraId="18C738B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4.我方承诺符合《中华人民共和国政府采购法》第二十二条规定：</w:t>
      </w:r>
    </w:p>
    <w:p w14:paraId="2DD67B9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（1）具有独立承担民事责任的能力；</w:t>
      </w:r>
    </w:p>
    <w:p w14:paraId="1850773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（2）具有良好的商业信誉和健全的财务会计制度；</w:t>
      </w:r>
    </w:p>
    <w:p w14:paraId="61FB7D7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（3）具有履行合同所必需的设备和专业技术能力；</w:t>
      </w:r>
    </w:p>
    <w:p w14:paraId="0809D07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（4）有依法缴纳税收和社会保障资金的良好记录；</w:t>
      </w:r>
    </w:p>
    <w:p w14:paraId="7B8F5DF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（5）参加政府采购活动前三年内，在经营活动中没有重大违法记录；</w:t>
      </w:r>
    </w:p>
    <w:p w14:paraId="4613B1E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（6）法律、行政法规规定的其他条件。</w:t>
      </w:r>
    </w:p>
    <w:p w14:paraId="7C9DC71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案件当事人名单、政府采购严重违法失信行为记录名单，完全符合《中华人民共和国政府采购法》第二十二条规定的供应商资格条件，我方对此声明负全部法律责任。</w:t>
      </w:r>
    </w:p>
    <w:p w14:paraId="4BEC5A3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454E7A5A">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内容中</w:t>
      </w:r>
      <w:r>
        <w:rPr>
          <w:rFonts w:hint="eastAsia" w:ascii="宋体" w:hAnsi="宋体" w:cs="宋体"/>
          <w:color w:val="auto"/>
          <w:sz w:val="24"/>
          <w:highlight w:val="none"/>
        </w:rPr>
        <w:t>未</w:t>
      </w:r>
      <w:r>
        <w:rPr>
          <w:rFonts w:hint="eastAsia" w:ascii="宋体" w:hAnsi="宋体" w:cs="宋体"/>
          <w:color w:val="auto"/>
          <w:kern w:val="0"/>
          <w:sz w:val="24"/>
          <w:highlight w:val="none"/>
        </w:rPr>
        <w:t>涉及商业秘密；</w:t>
      </w:r>
    </w:p>
    <w:p w14:paraId="6EB89E4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□我方本次响应文件</w:t>
      </w:r>
      <w:r>
        <w:rPr>
          <w:rFonts w:hint="eastAsia" w:ascii="宋体" w:hAnsi="宋体" w:cs="宋体"/>
          <w:color w:val="auto"/>
          <w:kern w:val="0"/>
          <w:sz w:val="24"/>
          <w:highlight w:val="none"/>
        </w:rPr>
        <w:t>涉及商业秘密的内容有：</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w:t>
      </w:r>
    </w:p>
    <w:p w14:paraId="3B9C9329">
      <w:pPr>
        <w:pStyle w:val="2"/>
        <w:spacing w:line="360" w:lineRule="auto"/>
        <w:ind w:firstLine="480" w:firstLineChars="200"/>
        <w:contextualSpacing/>
        <w:rPr>
          <w:rFonts w:hint="eastAsia" w:hAnsi="宋体" w:cs="宋体"/>
          <w:color w:val="auto"/>
          <w:sz w:val="24"/>
          <w:szCs w:val="24"/>
          <w:highlight w:val="none"/>
          <w:u w:val="single"/>
        </w:rPr>
      </w:pPr>
      <w:r>
        <w:rPr>
          <w:rFonts w:hint="eastAsia" w:hAnsi="宋体" w:cs="宋体"/>
          <w:color w:val="auto"/>
          <w:sz w:val="24"/>
          <w:szCs w:val="24"/>
          <w:highlight w:val="none"/>
        </w:rPr>
        <w:t>7.与本谈判有关的一切正式往来信函请寄：</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邮政编号：</w:t>
      </w:r>
      <w:r>
        <w:rPr>
          <w:rFonts w:hint="eastAsia" w:hAnsi="宋体" w:cs="宋体"/>
          <w:color w:val="auto"/>
          <w:sz w:val="24"/>
          <w:szCs w:val="24"/>
          <w:highlight w:val="none"/>
          <w:u w:val="single"/>
        </w:rPr>
        <w:t xml:space="preserve">    </w:t>
      </w:r>
    </w:p>
    <w:p w14:paraId="00C65A80">
      <w:pPr>
        <w:pStyle w:val="2"/>
        <w:spacing w:line="360" w:lineRule="auto"/>
        <w:ind w:firstLine="480" w:firstLineChars="200"/>
        <w:contextualSpacing/>
        <w:rPr>
          <w:rFonts w:hint="eastAsia" w:hAnsi="宋体" w:cs="宋体"/>
          <w:color w:val="auto"/>
          <w:sz w:val="24"/>
          <w:szCs w:val="24"/>
          <w:highlight w:val="none"/>
        </w:rPr>
      </w:pPr>
      <w:r>
        <w:rPr>
          <w:rFonts w:hint="eastAsia" w:hAnsi="宋体" w:cs="宋体"/>
          <w:color w:val="auto"/>
          <w:sz w:val="24"/>
          <w:szCs w:val="24"/>
          <w:highlight w:val="none"/>
        </w:rPr>
        <w:t>电话/传真：</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电子函件：</w:t>
      </w:r>
      <w:r>
        <w:rPr>
          <w:rFonts w:hint="eastAsia" w:hAnsi="宋体" w:cs="宋体"/>
          <w:color w:val="auto"/>
          <w:sz w:val="24"/>
          <w:szCs w:val="24"/>
          <w:highlight w:val="none"/>
          <w:u w:val="single"/>
        </w:rPr>
        <w:t xml:space="preserve">             </w:t>
      </w:r>
      <w:r>
        <w:rPr>
          <w:rFonts w:hint="eastAsia" w:hAnsi="宋体" w:cs="宋体"/>
          <w:color w:val="auto"/>
          <w:sz w:val="24"/>
          <w:szCs w:val="24"/>
          <w:highlight w:val="none"/>
        </w:rPr>
        <w:t xml:space="preserve">    </w:t>
      </w:r>
    </w:p>
    <w:p w14:paraId="548A825E">
      <w:pPr>
        <w:pStyle w:val="17"/>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开户银行：</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 xml:space="preserve">  帐号/行号：</w:t>
      </w:r>
      <w:r>
        <w:rPr>
          <w:rFonts w:hint="eastAsia" w:ascii="宋体" w:hAnsi="宋体" w:cs="宋体"/>
          <w:color w:val="auto"/>
          <w:sz w:val="24"/>
          <w:highlight w:val="none"/>
          <w:u w:val="single"/>
        </w:rPr>
        <w:t xml:space="preserve">           </w:t>
      </w:r>
    </w:p>
    <w:p w14:paraId="60B82DE2">
      <w:pPr>
        <w:pStyle w:val="17"/>
        <w:tabs>
          <w:tab w:val="left" w:pos="939"/>
        </w:tabs>
        <w:spacing w:line="360" w:lineRule="auto"/>
        <w:ind w:left="141" w:leftChars="67" w:firstLine="360" w:firstLineChars="150"/>
        <w:rPr>
          <w:rFonts w:hint="eastAsia" w:ascii="宋体" w:hAnsi="宋体" w:cs="宋体"/>
          <w:color w:val="auto"/>
          <w:sz w:val="24"/>
          <w:highlight w:val="none"/>
        </w:rPr>
      </w:pPr>
      <w:r>
        <w:rPr>
          <w:rFonts w:hint="eastAsia" w:ascii="宋体" w:hAnsi="宋体" w:cs="宋体"/>
          <w:color w:val="auto"/>
          <w:sz w:val="24"/>
          <w:highlight w:val="none"/>
        </w:rPr>
        <w:t>8.以上事项如有虚假或者隐瞒，我方愿意承担一切后果，并不再寻求任何旨在减轻或者免除法律责任的辩解。</w:t>
      </w:r>
    </w:p>
    <w:p w14:paraId="14C52553">
      <w:pPr>
        <w:tabs>
          <w:tab w:val="left" w:pos="939"/>
        </w:tabs>
        <w:spacing w:line="360" w:lineRule="auto"/>
        <w:ind w:left="141" w:leftChars="67" w:firstLine="360" w:firstLineChars="150"/>
        <w:contextualSpacing/>
        <w:rPr>
          <w:rFonts w:hint="eastAsia" w:ascii="宋体" w:hAnsi="宋体" w:cs="宋体"/>
          <w:color w:val="auto"/>
          <w:sz w:val="24"/>
          <w:highlight w:val="none"/>
        </w:rPr>
      </w:pPr>
      <w:r>
        <w:rPr>
          <w:rFonts w:hint="eastAsia" w:ascii="宋体" w:hAnsi="宋体" w:cs="宋体"/>
          <w:color w:val="auto"/>
          <w:sz w:val="24"/>
          <w:highlight w:val="none"/>
        </w:rPr>
        <w:t>特此承诺。</w:t>
      </w:r>
    </w:p>
    <w:p w14:paraId="6A359C0B">
      <w:pPr>
        <w:tabs>
          <w:tab w:val="left" w:pos="939"/>
        </w:tabs>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注：如为联合体竞标，盖章处须加盖联合体各方公章并由联合体各方法定代表人签署，否则其响应文件按无效响应处理。</w:t>
      </w:r>
    </w:p>
    <w:p w14:paraId="25B0495C">
      <w:pPr>
        <w:tabs>
          <w:tab w:val="left" w:pos="939"/>
        </w:tabs>
        <w:spacing w:line="360" w:lineRule="auto"/>
        <w:ind w:firstLine="480" w:firstLineChars="200"/>
        <w:contextualSpacing/>
        <w:rPr>
          <w:rFonts w:hint="eastAsia" w:ascii="宋体" w:hAnsi="宋体" w:cs="宋体"/>
          <w:color w:val="auto"/>
          <w:sz w:val="24"/>
          <w:highlight w:val="none"/>
        </w:rPr>
      </w:pPr>
    </w:p>
    <w:p w14:paraId="76FB0F75">
      <w:pPr>
        <w:autoSpaceDE w:val="0"/>
        <w:autoSpaceDN w:val="0"/>
        <w:spacing w:line="360" w:lineRule="auto"/>
        <w:ind w:left="4365" w:leftChars="1850" w:hanging="480" w:hangingChars="2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88CEED2">
      <w:pPr>
        <w:autoSpaceDE w:val="0"/>
        <w:autoSpaceDN w:val="0"/>
        <w:spacing w:line="360" w:lineRule="auto"/>
        <w:ind w:firstLine="6120" w:firstLineChars="2550"/>
        <w:rPr>
          <w:rFonts w:hint="eastAsia" w:ascii="宋体" w:hAnsi="宋体" w:cs="宋体"/>
          <w:color w:val="auto"/>
          <w:kern w:val="0"/>
          <w:sz w:val="24"/>
          <w:highlight w:val="none"/>
          <w:lang w:val="zh-CN"/>
        </w:rPr>
        <w:sectPr>
          <w:pgSz w:w="11910" w:h="16840"/>
          <w:pgMar w:top="1440" w:right="1080" w:bottom="1440" w:left="1080" w:header="720" w:footer="720" w:gutter="0"/>
          <w:cols w:space="720" w:num="1"/>
        </w:sectPr>
      </w:pPr>
      <w:r>
        <w:rPr>
          <w:rFonts w:hint="eastAsia" w:ascii="宋体" w:hAnsi="宋体" w:cs="宋体"/>
          <w:color w:val="auto"/>
          <w:kern w:val="0"/>
          <w:sz w:val="24"/>
          <w:highlight w:val="none"/>
          <w:lang w:val="zh-CN"/>
        </w:rPr>
        <w:t>日期：  年  月   日</w:t>
      </w:r>
    </w:p>
    <w:p w14:paraId="71B2B6BE">
      <w:pPr>
        <w:snapToGrid w:val="0"/>
        <w:spacing w:line="360" w:lineRule="auto"/>
        <w:rPr>
          <w:rFonts w:hint="eastAsia" w:ascii="宋体" w:hAnsi="宋体" w:cs="宋体"/>
          <w:b/>
          <w:color w:val="auto"/>
          <w:sz w:val="30"/>
          <w:szCs w:val="30"/>
          <w:highlight w:val="none"/>
        </w:rPr>
      </w:pPr>
      <w:r>
        <w:rPr>
          <w:rFonts w:hint="eastAsia" w:ascii="宋体" w:hAnsi="宋体" w:cs="宋体"/>
          <w:b/>
          <w:color w:val="auto"/>
          <w:kern w:val="0"/>
          <w:sz w:val="30"/>
          <w:szCs w:val="30"/>
          <w:highlight w:val="none"/>
        </w:rPr>
        <w:t>七、</w:t>
      </w:r>
      <w:r>
        <w:rPr>
          <w:rFonts w:hint="eastAsia" w:ascii="宋体" w:hAnsi="宋体" w:cs="宋体"/>
          <w:b/>
          <w:color w:val="auto"/>
          <w:sz w:val="30"/>
          <w:szCs w:val="30"/>
          <w:highlight w:val="none"/>
        </w:rPr>
        <w:t>符合特定资格条件（如果项目要求）的有关证明材料（复印件）</w:t>
      </w:r>
    </w:p>
    <w:p w14:paraId="701989A9">
      <w:pPr>
        <w:snapToGrid w:val="0"/>
        <w:spacing w:line="360" w:lineRule="auto"/>
        <w:ind w:firstLine="602" w:firstLineChars="200"/>
        <w:rPr>
          <w:rFonts w:hint="eastAsia" w:ascii="宋体" w:hAnsi="宋体" w:cs="宋体"/>
          <w:b/>
          <w:color w:val="auto"/>
          <w:sz w:val="30"/>
          <w:szCs w:val="30"/>
          <w:highlight w:val="none"/>
        </w:rPr>
      </w:pPr>
    </w:p>
    <w:p w14:paraId="1EC3154D">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3D14FD05">
      <w:pPr>
        <w:autoSpaceDE w:val="0"/>
        <w:autoSpaceDN w:val="0"/>
        <w:spacing w:line="360" w:lineRule="auto"/>
        <w:ind w:firstLine="6480" w:firstLineChars="270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693B7EAF">
      <w:pPr>
        <w:autoSpaceDE w:val="0"/>
        <w:autoSpaceDN w:val="0"/>
        <w:spacing w:line="360" w:lineRule="auto"/>
        <w:ind w:firstLine="5355" w:firstLineChars="2550"/>
        <w:rPr>
          <w:rFonts w:hint="eastAsia" w:ascii="宋体" w:hAnsi="宋体" w:cs="宋体"/>
          <w:color w:val="auto"/>
          <w:highlight w:val="none"/>
        </w:rPr>
      </w:pPr>
    </w:p>
    <w:p w14:paraId="2A77DF8F">
      <w:pPr>
        <w:autoSpaceDE w:val="0"/>
        <w:autoSpaceDN w:val="0"/>
        <w:spacing w:line="360" w:lineRule="auto"/>
        <w:ind w:firstLine="5355" w:firstLineChars="2550"/>
        <w:rPr>
          <w:rFonts w:hint="eastAsia" w:ascii="宋体" w:hAnsi="宋体" w:cs="宋体"/>
          <w:color w:val="auto"/>
          <w:highlight w:val="none"/>
        </w:rPr>
      </w:pPr>
    </w:p>
    <w:p w14:paraId="53C83E93">
      <w:pPr>
        <w:autoSpaceDE w:val="0"/>
        <w:autoSpaceDN w:val="0"/>
        <w:spacing w:line="360" w:lineRule="auto"/>
        <w:ind w:firstLine="5355" w:firstLineChars="2550"/>
        <w:rPr>
          <w:rFonts w:hint="eastAsia" w:ascii="宋体" w:hAnsi="宋体" w:cs="宋体"/>
          <w:color w:val="auto"/>
          <w:highlight w:val="none"/>
        </w:rPr>
      </w:pPr>
    </w:p>
    <w:p w14:paraId="44156E23">
      <w:pPr>
        <w:autoSpaceDE w:val="0"/>
        <w:autoSpaceDN w:val="0"/>
        <w:spacing w:line="360" w:lineRule="auto"/>
        <w:ind w:firstLine="5355" w:firstLineChars="2550"/>
        <w:rPr>
          <w:rFonts w:hint="eastAsia" w:ascii="宋体" w:hAnsi="宋体" w:cs="宋体"/>
          <w:color w:val="auto"/>
          <w:highlight w:val="none"/>
        </w:rPr>
      </w:pPr>
    </w:p>
    <w:p w14:paraId="052EFB4D">
      <w:pPr>
        <w:autoSpaceDE w:val="0"/>
        <w:autoSpaceDN w:val="0"/>
        <w:spacing w:line="360" w:lineRule="auto"/>
        <w:jc w:val="left"/>
        <w:rPr>
          <w:rFonts w:hint="eastAsia" w:ascii="宋体" w:hAnsi="宋体" w:cs="宋体"/>
          <w:color w:val="auto"/>
          <w:highlight w:val="none"/>
        </w:rPr>
        <w:sectPr>
          <w:pgSz w:w="11910" w:h="16840"/>
          <w:pgMar w:top="1440" w:right="1080" w:bottom="1440" w:left="1080" w:header="720" w:footer="720" w:gutter="0"/>
          <w:cols w:space="720" w:num="1"/>
        </w:sectPr>
      </w:pPr>
    </w:p>
    <w:p w14:paraId="766B707E">
      <w:pPr>
        <w:keepNext/>
        <w:keepLines/>
        <w:spacing w:before="260" w:after="260" w:line="416" w:lineRule="auto"/>
        <w:jc w:val="center"/>
        <w:outlineLvl w:val="1"/>
        <w:rPr>
          <w:rFonts w:hint="eastAsia" w:ascii="宋体" w:hAnsi="宋体" w:cs="宋体"/>
          <w:bCs/>
          <w:color w:val="auto"/>
          <w:sz w:val="32"/>
          <w:szCs w:val="32"/>
          <w:highlight w:val="none"/>
        </w:rPr>
      </w:pPr>
      <w:bookmarkStart w:id="66" w:name="_Toc24855"/>
      <w:r>
        <w:rPr>
          <w:rFonts w:hint="eastAsia" w:ascii="宋体" w:hAnsi="宋体" w:cs="宋体"/>
          <w:color w:val="auto"/>
          <w:sz w:val="32"/>
          <w:szCs w:val="32"/>
          <w:highlight w:val="none"/>
        </w:rPr>
        <w:t xml:space="preserve">第二节 </w:t>
      </w:r>
      <w:r>
        <w:rPr>
          <w:rFonts w:hint="eastAsia" w:ascii="宋体" w:hAnsi="宋体" w:cs="宋体"/>
          <w:bCs/>
          <w:color w:val="auto"/>
          <w:sz w:val="32"/>
          <w:szCs w:val="32"/>
          <w:highlight w:val="none"/>
        </w:rPr>
        <w:t>商务技术文件格式</w:t>
      </w:r>
      <w:bookmarkEnd w:id="66"/>
    </w:p>
    <w:p w14:paraId="12C78278">
      <w:pPr>
        <w:snapToGrid w:val="0"/>
        <w:spacing w:before="120" w:beforeLines="50" w:after="5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全流程电子文件</w:t>
      </w:r>
    </w:p>
    <w:p w14:paraId="0AE4F044">
      <w:pPr>
        <w:snapToGrid w:val="0"/>
        <w:spacing w:before="120" w:beforeLines="50" w:after="50"/>
        <w:rPr>
          <w:rFonts w:hint="eastAsia" w:ascii="宋体" w:hAnsi="宋体" w:cs="宋体"/>
          <w:color w:val="auto"/>
          <w:sz w:val="24"/>
          <w:szCs w:val="20"/>
          <w:highlight w:val="none"/>
        </w:rPr>
      </w:pPr>
    </w:p>
    <w:p w14:paraId="0BE21CCD">
      <w:pPr>
        <w:snapToGrid w:val="0"/>
        <w:spacing w:before="120" w:beforeLines="50" w:after="50"/>
        <w:rPr>
          <w:rFonts w:hint="eastAsia" w:ascii="宋体" w:hAnsi="宋体" w:cs="宋体"/>
          <w:color w:val="auto"/>
          <w:sz w:val="24"/>
          <w:szCs w:val="20"/>
          <w:highlight w:val="none"/>
        </w:rPr>
      </w:pPr>
    </w:p>
    <w:p w14:paraId="7C778B82">
      <w:pPr>
        <w:snapToGrid w:val="0"/>
        <w:spacing w:before="120" w:beforeLines="50" w:after="50"/>
        <w:rPr>
          <w:rFonts w:hint="eastAsia" w:ascii="宋体" w:hAnsi="宋体" w:cs="宋体"/>
          <w:color w:val="auto"/>
          <w:sz w:val="24"/>
          <w:szCs w:val="20"/>
          <w:highlight w:val="none"/>
        </w:rPr>
      </w:pPr>
    </w:p>
    <w:p w14:paraId="112FEC6C">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商  务  技  术  文  件（封面）</w:t>
      </w:r>
    </w:p>
    <w:p w14:paraId="768D97D0">
      <w:pPr>
        <w:snapToGrid w:val="0"/>
        <w:spacing w:before="120" w:beforeLines="50" w:after="50"/>
        <w:rPr>
          <w:rFonts w:hint="eastAsia" w:ascii="宋体" w:hAnsi="宋体" w:cs="宋体"/>
          <w:bCs/>
          <w:color w:val="auto"/>
          <w:sz w:val="24"/>
          <w:szCs w:val="20"/>
          <w:highlight w:val="none"/>
        </w:rPr>
      </w:pPr>
    </w:p>
    <w:p w14:paraId="310609B0">
      <w:pPr>
        <w:snapToGrid w:val="0"/>
        <w:spacing w:before="120" w:beforeLines="50" w:after="50"/>
        <w:rPr>
          <w:rFonts w:hint="eastAsia" w:ascii="宋体" w:hAnsi="宋体" w:cs="宋体"/>
          <w:bCs/>
          <w:color w:val="auto"/>
          <w:sz w:val="24"/>
          <w:szCs w:val="20"/>
          <w:highlight w:val="none"/>
        </w:rPr>
      </w:pPr>
    </w:p>
    <w:p w14:paraId="4FAE79FB">
      <w:pPr>
        <w:snapToGrid w:val="0"/>
        <w:spacing w:before="120" w:beforeLines="50" w:after="50"/>
        <w:rPr>
          <w:rFonts w:hint="eastAsia" w:ascii="宋体" w:hAnsi="宋体" w:cs="宋体"/>
          <w:bCs/>
          <w:color w:val="auto"/>
          <w:sz w:val="24"/>
          <w:szCs w:val="20"/>
          <w:highlight w:val="none"/>
        </w:rPr>
      </w:pPr>
    </w:p>
    <w:p w14:paraId="738A723D">
      <w:pPr>
        <w:snapToGrid w:val="0"/>
        <w:spacing w:before="120" w:beforeLines="50" w:after="50"/>
        <w:rPr>
          <w:rFonts w:hint="eastAsia" w:ascii="宋体" w:hAnsi="宋体" w:cs="宋体"/>
          <w:bCs/>
          <w:color w:val="auto"/>
          <w:sz w:val="24"/>
          <w:szCs w:val="20"/>
          <w:highlight w:val="none"/>
        </w:rPr>
      </w:pPr>
    </w:p>
    <w:p w14:paraId="214D891F">
      <w:pPr>
        <w:snapToGrid w:val="0"/>
        <w:spacing w:before="120" w:beforeLines="50" w:after="50"/>
        <w:rPr>
          <w:rFonts w:hint="eastAsia" w:ascii="宋体" w:hAnsi="宋体" w:cs="宋体"/>
          <w:bCs/>
          <w:color w:val="auto"/>
          <w:sz w:val="24"/>
          <w:szCs w:val="20"/>
          <w:highlight w:val="none"/>
        </w:rPr>
      </w:pPr>
    </w:p>
    <w:p w14:paraId="36922096">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1EF8E86C">
      <w:pPr>
        <w:snapToGrid w:val="0"/>
        <w:spacing w:before="120" w:beforeLines="50" w:after="50"/>
        <w:ind w:firstLine="720" w:firstLineChars="225"/>
        <w:rPr>
          <w:rFonts w:hint="eastAsia" w:ascii="宋体" w:hAnsi="宋体" w:cs="宋体"/>
          <w:bCs/>
          <w:color w:val="auto"/>
          <w:sz w:val="32"/>
          <w:szCs w:val="32"/>
          <w:highlight w:val="none"/>
        </w:rPr>
      </w:pPr>
    </w:p>
    <w:p w14:paraId="4DF9271D">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6A5E5FFF">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41959905">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231C376D">
      <w:pPr>
        <w:snapToGrid w:val="0"/>
        <w:spacing w:before="120" w:beforeLines="50" w:after="50"/>
        <w:ind w:firstLine="720" w:firstLineChars="225"/>
        <w:rPr>
          <w:rFonts w:hint="eastAsia" w:ascii="宋体" w:hAnsi="宋体" w:cs="宋体"/>
          <w:bCs/>
          <w:color w:val="auto"/>
          <w:sz w:val="32"/>
          <w:szCs w:val="32"/>
          <w:highlight w:val="none"/>
        </w:rPr>
      </w:pPr>
    </w:p>
    <w:p w14:paraId="0C870593">
      <w:pPr>
        <w:snapToGrid w:val="0"/>
        <w:spacing w:before="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32ED9BFD">
      <w:pPr>
        <w:snapToGrid w:val="0"/>
        <w:spacing w:before="50" w:after="50"/>
        <w:ind w:firstLine="720" w:firstLineChars="225"/>
        <w:rPr>
          <w:rFonts w:hint="eastAsia" w:ascii="宋体" w:hAnsi="宋体" w:cs="宋体"/>
          <w:bCs/>
          <w:color w:val="auto"/>
          <w:sz w:val="32"/>
          <w:szCs w:val="32"/>
          <w:highlight w:val="none"/>
        </w:rPr>
      </w:pPr>
    </w:p>
    <w:p w14:paraId="60860C9A">
      <w:pPr>
        <w:snapToGrid w:val="0"/>
        <w:spacing w:before="50" w:after="50"/>
        <w:ind w:firstLine="720" w:firstLineChars="225"/>
        <w:rPr>
          <w:rFonts w:hint="eastAsia" w:ascii="宋体" w:hAnsi="宋体" w:cs="宋体"/>
          <w:bCs/>
          <w:color w:val="auto"/>
          <w:sz w:val="32"/>
          <w:szCs w:val="32"/>
          <w:highlight w:val="none"/>
        </w:rPr>
      </w:pPr>
    </w:p>
    <w:p w14:paraId="119E6C08">
      <w:pPr>
        <w:snapToGrid w:val="0"/>
        <w:spacing w:before="50" w:after="50"/>
        <w:ind w:firstLine="1280" w:firstLineChars="400"/>
        <w:rPr>
          <w:rFonts w:hint="eastAsia" w:ascii="宋体" w:hAnsi="宋体" w:cs="宋体"/>
          <w:bCs/>
          <w:color w:val="auto"/>
          <w:sz w:val="32"/>
          <w:szCs w:val="32"/>
          <w:highlight w:val="none"/>
        </w:rPr>
      </w:pPr>
    </w:p>
    <w:p w14:paraId="05A31A98">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5D3FE8B9">
      <w:pPr>
        <w:jc w:val="center"/>
        <w:rPr>
          <w:rFonts w:hint="eastAsia" w:ascii="宋体" w:hAnsi="宋体" w:cs="宋体"/>
          <w:b/>
          <w:color w:val="auto"/>
          <w:kern w:val="0"/>
          <w:sz w:val="28"/>
          <w:szCs w:val="28"/>
          <w:highlight w:val="none"/>
        </w:rPr>
      </w:pPr>
      <w:r>
        <w:rPr>
          <w:rFonts w:hint="eastAsia" w:ascii="宋体" w:hAnsi="宋体" w:cs="宋体"/>
          <w:color w:val="auto"/>
          <w:sz w:val="24"/>
          <w:highlight w:val="none"/>
        </w:rPr>
        <w:br w:type="page"/>
      </w:r>
      <w:r>
        <w:rPr>
          <w:rFonts w:hint="eastAsia" w:ascii="宋体" w:hAnsi="宋体" w:cs="宋体"/>
          <w:b/>
          <w:color w:val="auto"/>
          <w:kern w:val="0"/>
          <w:sz w:val="28"/>
          <w:szCs w:val="28"/>
          <w:highlight w:val="none"/>
        </w:rPr>
        <w:t>商务技术文件目录</w:t>
      </w:r>
    </w:p>
    <w:p w14:paraId="77CFE130">
      <w:pPr>
        <w:spacing w:line="360" w:lineRule="auto"/>
        <w:rPr>
          <w:rFonts w:hint="eastAsia" w:ascii="宋体" w:hAnsi="宋体" w:cs="宋体"/>
          <w:b/>
          <w:bCs/>
          <w:color w:val="auto"/>
          <w:sz w:val="24"/>
          <w:highlight w:val="none"/>
        </w:rPr>
      </w:pPr>
    </w:p>
    <w:p w14:paraId="7CFEE26C">
      <w:pPr>
        <w:spacing w:line="360" w:lineRule="auto"/>
        <w:rPr>
          <w:rFonts w:hint="eastAsia" w:ascii="宋体" w:hAnsi="宋体" w:cs="宋体"/>
          <w:b/>
          <w:bCs/>
          <w:color w:val="auto"/>
          <w:sz w:val="24"/>
          <w:highlight w:val="none"/>
        </w:rPr>
      </w:pPr>
      <w:r>
        <w:rPr>
          <w:rFonts w:hint="eastAsia" w:ascii="宋体" w:hAnsi="宋体" w:cs="宋体"/>
          <w:b/>
          <w:bCs/>
          <w:color w:val="auto"/>
          <w:sz w:val="24"/>
          <w:highlight w:val="none"/>
        </w:rPr>
        <w:t>注：根据谈判文件规定及供应商提供的材料自行编写目录（部分格式后附）。</w:t>
      </w:r>
    </w:p>
    <w:p w14:paraId="59415054">
      <w:pPr>
        <w:snapToGrid w:val="0"/>
        <w:spacing w:before="120" w:beforeLines="50" w:after="50" w:line="360" w:lineRule="auto"/>
        <w:ind w:left="142" w:firstLine="640" w:firstLineChars="200"/>
        <w:jc w:val="left"/>
        <w:rPr>
          <w:rFonts w:hint="eastAsia" w:ascii="宋体" w:hAnsi="宋体" w:cs="宋体"/>
          <w:color w:val="auto"/>
          <w:sz w:val="32"/>
          <w:szCs w:val="32"/>
          <w:highlight w:val="none"/>
        </w:rPr>
      </w:pPr>
    </w:p>
    <w:p w14:paraId="39B39389">
      <w:pPr>
        <w:spacing w:line="520" w:lineRule="exact"/>
        <w:rPr>
          <w:rFonts w:hint="eastAsia" w:ascii="宋体" w:hAnsi="宋体" w:cs="宋体"/>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b/>
          <w:color w:val="auto"/>
          <w:sz w:val="30"/>
          <w:szCs w:val="30"/>
          <w:highlight w:val="none"/>
        </w:rPr>
        <w:t>一、无串标行为承诺函</w:t>
      </w:r>
    </w:p>
    <w:p w14:paraId="392FD3A0">
      <w:pPr>
        <w:spacing w:line="520" w:lineRule="exact"/>
        <w:jc w:val="center"/>
        <w:rPr>
          <w:rFonts w:hint="eastAsia" w:ascii="宋体" w:hAnsi="宋体" w:cs="宋体"/>
          <w:color w:val="auto"/>
          <w:sz w:val="44"/>
          <w:szCs w:val="44"/>
          <w:highlight w:val="none"/>
        </w:rPr>
      </w:pPr>
    </w:p>
    <w:p w14:paraId="7AD66754">
      <w:pPr>
        <w:spacing w:line="520" w:lineRule="exact"/>
        <w:jc w:val="center"/>
        <w:rPr>
          <w:rFonts w:hint="eastAsia" w:ascii="宋体" w:hAnsi="宋体" w:cs="宋体"/>
          <w:color w:val="auto"/>
          <w:sz w:val="32"/>
          <w:szCs w:val="32"/>
          <w:highlight w:val="none"/>
        </w:rPr>
      </w:pPr>
      <w:r>
        <w:rPr>
          <w:rFonts w:hint="eastAsia" w:ascii="宋体" w:hAnsi="宋体" w:cs="宋体"/>
          <w:color w:val="auto"/>
          <w:sz w:val="44"/>
          <w:szCs w:val="44"/>
          <w:highlight w:val="none"/>
        </w:rPr>
        <w:t>无串通竞标行为的承诺函</w:t>
      </w:r>
    </w:p>
    <w:p w14:paraId="0E47094A">
      <w:pPr>
        <w:spacing w:line="360" w:lineRule="auto"/>
        <w:contextualSpacing/>
        <w:rPr>
          <w:rFonts w:hint="eastAsia" w:ascii="宋体" w:hAnsi="宋体" w:cs="宋体"/>
          <w:color w:val="auto"/>
          <w:sz w:val="32"/>
          <w:szCs w:val="32"/>
          <w:highlight w:val="none"/>
        </w:rPr>
      </w:pPr>
    </w:p>
    <w:p w14:paraId="563C1474">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一、我方承诺无下列相互串通竞标的情形：</w:t>
      </w:r>
    </w:p>
    <w:p w14:paraId="59E9854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1.不同供应商的响应文件由同一单位或者个人编制；</w:t>
      </w:r>
    </w:p>
    <w:p w14:paraId="6EABA8AC">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2.不同供应商委托同一单位或者个人办理竞标事宜；</w:t>
      </w:r>
    </w:p>
    <w:p w14:paraId="4A72B62F">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3.不同的供应商的响应文件载明的项目管理员为同一个人；</w:t>
      </w:r>
    </w:p>
    <w:p w14:paraId="2DC411E6">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4.不</w:t>
      </w:r>
      <w:r>
        <w:rPr>
          <w:rFonts w:hint="eastAsia" w:ascii="宋体" w:hAnsi="宋体" w:cs="宋体"/>
          <w:color w:val="auto"/>
          <w:spacing w:val="-6"/>
          <w:sz w:val="24"/>
          <w:highlight w:val="none"/>
        </w:rPr>
        <w:t>同供应商的响应文件异常一致或者竞标报价呈规律性差异；</w:t>
      </w:r>
    </w:p>
    <w:p w14:paraId="55EF82D0">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5.不同供应商的响应文件相互混装；</w:t>
      </w:r>
    </w:p>
    <w:p w14:paraId="607A52BB">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6.不同供应商的竞标保证金从同一单位或者个人账户转出。</w:t>
      </w:r>
    </w:p>
    <w:p w14:paraId="4FC4C2B9">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二、我方承诺无下列恶意串通的情形：</w:t>
      </w:r>
    </w:p>
    <w:p w14:paraId="4A6F178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1.供应商直接或者间接从采购人或者采购代理机构处获得其他供应商的相关信息并修改其响应文件；</w:t>
      </w:r>
    </w:p>
    <w:p w14:paraId="22E6C4E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2.供应商按照采购人或者采购代理机构的授意撤换、修改响应文件；</w:t>
      </w:r>
    </w:p>
    <w:p w14:paraId="0A1D8FFE">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3.供</w:t>
      </w:r>
      <w:r>
        <w:rPr>
          <w:rFonts w:hint="eastAsia" w:ascii="宋体" w:hAnsi="宋体" w:cs="宋体"/>
          <w:color w:val="auto"/>
          <w:spacing w:val="-6"/>
          <w:sz w:val="24"/>
          <w:highlight w:val="none"/>
        </w:rPr>
        <w:t>应商之间协商报价、技术方案等响应文件的实质性内容；</w:t>
      </w:r>
    </w:p>
    <w:p w14:paraId="2B29B939">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4.属于同一集团、协会、商会等组织成员的供应商按照该组织要求协同参加政府采购活动；</w:t>
      </w:r>
    </w:p>
    <w:p w14:paraId="7AB39127">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5.供应商之间事先约定一致抬高或者压低竞标报价，或者在竞争性谈判项目中事先约定轮流以高价位或者低价位成交，或者事先约定由某一特定供应商成交，然后再参加竞标；</w:t>
      </w:r>
    </w:p>
    <w:p w14:paraId="55D47004">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6.供应商之间商定部分供应商放弃参加政府采购活动或者放弃成交；</w:t>
      </w:r>
    </w:p>
    <w:p w14:paraId="51DA2431">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7.供应商与采购人或者采购代理机构之间、供应商相互之间，为</w:t>
      </w:r>
      <w:r>
        <w:rPr>
          <w:rFonts w:hint="eastAsia" w:ascii="宋体" w:hAnsi="宋体" w:cs="宋体"/>
          <w:color w:val="auto"/>
          <w:spacing w:val="-6"/>
          <w:sz w:val="24"/>
          <w:highlight w:val="none"/>
        </w:rPr>
        <w:t>谋求特定供应商成交或者排斥其他供应商的其他串通行为。</w:t>
      </w:r>
    </w:p>
    <w:p w14:paraId="38AB445E">
      <w:pPr>
        <w:spacing w:line="360" w:lineRule="auto"/>
        <w:ind w:firstLine="480" w:firstLineChars="200"/>
        <w:contextualSpacing/>
        <w:rPr>
          <w:rFonts w:hint="eastAsia" w:ascii="宋体" w:hAnsi="宋体" w:cs="宋体"/>
          <w:color w:val="auto"/>
          <w:sz w:val="24"/>
          <w:highlight w:val="none"/>
        </w:rPr>
      </w:pPr>
    </w:p>
    <w:p w14:paraId="1D6A9873">
      <w:pPr>
        <w:spacing w:line="360" w:lineRule="auto"/>
        <w:ind w:firstLine="482" w:firstLineChars="200"/>
        <w:contextualSpacing/>
        <w:rPr>
          <w:rFonts w:hint="eastAsia" w:ascii="宋体" w:hAnsi="宋体" w:cs="宋体"/>
          <w:b/>
          <w:bCs/>
          <w:color w:val="auto"/>
          <w:sz w:val="24"/>
          <w:highlight w:val="none"/>
        </w:rPr>
      </w:pPr>
      <w:r>
        <w:rPr>
          <w:rFonts w:hint="eastAsia" w:ascii="宋体" w:hAnsi="宋体" w:cs="宋体"/>
          <w:b/>
          <w:bCs/>
          <w:color w:val="auto"/>
          <w:sz w:val="24"/>
          <w:highlight w:val="none"/>
        </w:rPr>
        <w:t>以上情形一经核查属实，我方愿意承担一切后果，并不再寻求任何旨在减轻或者免除法律责任的辩解。</w:t>
      </w:r>
    </w:p>
    <w:p w14:paraId="1D674680">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1E08645C">
      <w:pPr>
        <w:spacing w:line="520" w:lineRule="exact"/>
        <w:ind w:firstLine="6360" w:firstLineChars="2650"/>
        <w:jc w:val="left"/>
        <w:rPr>
          <w:rFonts w:hint="eastAsia" w:ascii="宋体" w:hAnsi="宋体" w:cs="宋体"/>
          <w:bCs/>
          <w:color w:val="auto"/>
          <w:sz w:val="44"/>
          <w:szCs w:val="44"/>
          <w:highlight w:val="none"/>
        </w:rPr>
      </w:pPr>
      <w:r>
        <w:rPr>
          <w:rFonts w:hint="eastAsia" w:ascii="宋体" w:hAnsi="宋体" w:cs="宋体"/>
          <w:color w:val="auto"/>
          <w:kern w:val="0"/>
          <w:sz w:val="24"/>
          <w:highlight w:val="none"/>
          <w:lang w:val="zh-CN"/>
        </w:rPr>
        <w:t xml:space="preserve">日期：  年  月   日        </w:t>
      </w:r>
      <w:r>
        <w:rPr>
          <w:rFonts w:hint="eastAsia" w:ascii="宋体" w:hAnsi="宋体" w:cs="宋体"/>
          <w:b/>
          <w:bCs/>
          <w:color w:val="auto"/>
          <w:sz w:val="32"/>
          <w:szCs w:val="32"/>
          <w:highlight w:val="none"/>
        </w:rPr>
        <w:br w:type="page"/>
      </w:r>
      <w:r>
        <w:rPr>
          <w:rFonts w:hint="eastAsia" w:ascii="宋体" w:hAnsi="宋体" w:cs="宋体"/>
          <w:b/>
          <w:color w:val="auto"/>
          <w:sz w:val="30"/>
          <w:szCs w:val="30"/>
          <w:highlight w:val="none"/>
        </w:rPr>
        <w:t>二、法定代表人身份证明及法定代表人有效身份证正反面复印件</w:t>
      </w:r>
    </w:p>
    <w:p w14:paraId="42FED851">
      <w:pPr>
        <w:spacing w:line="520" w:lineRule="exact"/>
        <w:jc w:val="center"/>
        <w:rPr>
          <w:rFonts w:hint="eastAsia" w:ascii="宋体" w:hAnsi="宋体" w:cs="宋体"/>
          <w:color w:val="auto"/>
          <w:sz w:val="32"/>
          <w:szCs w:val="32"/>
          <w:highlight w:val="none"/>
        </w:rPr>
      </w:pPr>
      <w:r>
        <w:rPr>
          <w:rFonts w:hint="eastAsia" w:ascii="宋体" w:hAnsi="宋体" w:cs="宋体"/>
          <w:bCs/>
          <w:color w:val="auto"/>
          <w:sz w:val="44"/>
          <w:szCs w:val="44"/>
          <w:highlight w:val="none"/>
        </w:rPr>
        <w:t>法定代表人证明书</w:t>
      </w:r>
    </w:p>
    <w:p w14:paraId="45BD6C6C">
      <w:pPr>
        <w:spacing w:line="360" w:lineRule="auto"/>
        <w:ind w:left="540"/>
        <w:contextualSpacing/>
        <w:rPr>
          <w:rFonts w:hint="eastAsia" w:ascii="宋体" w:hAnsi="宋体" w:cs="宋体"/>
          <w:color w:val="auto"/>
          <w:sz w:val="32"/>
          <w:szCs w:val="32"/>
          <w:highlight w:val="none"/>
        </w:rPr>
      </w:pPr>
    </w:p>
    <w:p w14:paraId="0EF552A4">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 xml:space="preserve">供应商名称：                                                        </w:t>
      </w:r>
    </w:p>
    <w:p w14:paraId="7470042A">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 xml:space="preserve">地    址：                                                        </w:t>
      </w:r>
    </w:p>
    <w:p w14:paraId="085CAE01">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 xml:space="preserve">姓    名：                性     别：                </w:t>
      </w:r>
    </w:p>
    <w:p w14:paraId="668C21D2">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 xml:space="preserve">年    龄：                职     务：                </w:t>
      </w:r>
    </w:p>
    <w:p w14:paraId="28FA5DBE">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 xml:space="preserve">身份证号码：                                        </w:t>
      </w:r>
    </w:p>
    <w:p w14:paraId="27EAFD7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系（供应商名称）的法定代表人。</w:t>
      </w:r>
    </w:p>
    <w:p w14:paraId="7D09B376">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特此证明。</w:t>
      </w:r>
    </w:p>
    <w:p w14:paraId="7836A6C8">
      <w:pPr>
        <w:spacing w:line="360" w:lineRule="auto"/>
        <w:ind w:left="540"/>
        <w:contextualSpacing/>
        <w:rPr>
          <w:rFonts w:hint="eastAsia" w:ascii="宋体" w:hAnsi="宋体" w:cs="宋体"/>
          <w:color w:val="auto"/>
          <w:sz w:val="24"/>
          <w:highlight w:val="none"/>
        </w:rPr>
      </w:pPr>
    </w:p>
    <w:p w14:paraId="63A93CAB">
      <w:pPr>
        <w:spacing w:line="360" w:lineRule="auto"/>
        <w:ind w:left="540"/>
        <w:contextualSpacing/>
        <w:rPr>
          <w:rFonts w:hint="eastAsia" w:ascii="宋体" w:hAnsi="宋体" w:cs="宋体"/>
          <w:color w:val="auto"/>
          <w:sz w:val="24"/>
          <w:highlight w:val="none"/>
        </w:rPr>
      </w:pPr>
    </w:p>
    <w:p w14:paraId="6E894941">
      <w:pPr>
        <w:spacing w:line="360" w:lineRule="auto"/>
        <w:ind w:left="540"/>
        <w:contextualSpacing/>
        <w:rPr>
          <w:rFonts w:hint="eastAsia" w:ascii="宋体" w:hAnsi="宋体" w:cs="宋体"/>
          <w:color w:val="auto"/>
          <w:sz w:val="24"/>
          <w:highlight w:val="none"/>
        </w:rPr>
      </w:pPr>
    </w:p>
    <w:p w14:paraId="23CC3A5A">
      <w:pPr>
        <w:spacing w:line="360" w:lineRule="auto"/>
        <w:ind w:left="540"/>
        <w:contextualSpacing/>
        <w:rPr>
          <w:rFonts w:hint="eastAsia" w:ascii="宋体" w:hAnsi="宋体" w:cs="宋体"/>
          <w:color w:val="auto"/>
          <w:sz w:val="24"/>
          <w:highlight w:val="none"/>
        </w:rPr>
      </w:pPr>
      <w:r>
        <w:rPr>
          <w:rFonts w:hint="eastAsia" w:ascii="宋体" w:hAnsi="宋体" w:cs="宋体"/>
          <w:color w:val="auto"/>
          <w:sz w:val="24"/>
          <w:highlight w:val="none"/>
        </w:rPr>
        <w:t>附件：法定代表人有效身份证正反面复印件</w:t>
      </w:r>
    </w:p>
    <w:p w14:paraId="6CE74C5C">
      <w:pPr>
        <w:spacing w:line="360" w:lineRule="auto"/>
        <w:ind w:left="540"/>
        <w:contextualSpacing/>
        <w:rPr>
          <w:rFonts w:hint="eastAsia" w:ascii="宋体" w:hAnsi="宋体" w:cs="宋体"/>
          <w:color w:val="auto"/>
          <w:sz w:val="24"/>
          <w:highlight w:val="none"/>
        </w:rPr>
      </w:pPr>
    </w:p>
    <w:p w14:paraId="00695212">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37E3EB3">
      <w:pP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7D3841C6">
      <w:pPr>
        <w:spacing w:line="360" w:lineRule="auto"/>
        <w:contextualSpacing/>
        <w:jc w:val="left"/>
        <w:rPr>
          <w:rFonts w:hint="eastAsia" w:ascii="宋体" w:hAnsi="宋体" w:cs="宋体"/>
          <w:color w:val="auto"/>
          <w:sz w:val="24"/>
          <w:highlight w:val="none"/>
        </w:rPr>
      </w:pPr>
    </w:p>
    <w:p w14:paraId="724054F8">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注：1.自然人竞标的无需提供，联合体竞标的只需牵头人出具。</w:t>
      </w:r>
    </w:p>
    <w:p w14:paraId="29089AAB">
      <w:pPr>
        <w:spacing w:line="360" w:lineRule="auto"/>
        <w:ind w:firstLine="480" w:firstLineChars="200"/>
        <w:contextualSpacing/>
        <w:jc w:val="left"/>
        <w:rPr>
          <w:rFonts w:hint="eastAsia" w:ascii="宋体" w:hAnsi="宋体" w:cs="宋体"/>
          <w:color w:val="auto"/>
          <w:sz w:val="24"/>
          <w:highlight w:val="none"/>
        </w:rPr>
        <w:sectPr>
          <w:pgSz w:w="11910" w:h="16840"/>
          <w:pgMar w:top="1440" w:right="1080" w:bottom="1440" w:left="1080" w:header="720" w:footer="720" w:gutter="0"/>
          <w:cols w:space="720" w:num="1"/>
        </w:sectPr>
      </w:pPr>
      <w:r>
        <w:rPr>
          <w:rFonts w:hint="eastAsia" w:ascii="宋体" w:hAnsi="宋体" w:cs="宋体"/>
          <w:color w:val="auto"/>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tbl>
      <w:tblPr>
        <w:tblStyle w:val="33"/>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32545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Pr>
          <w:p w14:paraId="4A224D3D">
            <w:pPr>
              <w:spacing w:line="360" w:lineRule="auto"/>
              <w:rPr>
                <w:rFonts w:hint="eastAsia" w:ascii="宋体" w:hAnsi="宋体" w:cs="宋体"/>
                <w:b/>
                <w:color w:val="auto"/>
                <w:sz w:val="24"/>
                <w:highlight w:val="none"/>
              </w:rPr>
            </w:pPr>
          </w:p>
          <w:p w14:paraId="20FA0311">
            <w:pPr>
              <w:spacing w:line="360" w:lineRule="auto"/>
              <w:rPr>
                <w:rFonts w:hint="eastAsia" w:ascii="宋体" w:hAnsi="宋体" w:cs="宋体"/>
                <w:b/>
                <w:color w:val="auto"/>
                <w:sz w:val="24"/>
                <w:highlight w:val="none"/>
              </w:rPr>
            </w:pPr>
            <w:r>
              <w:rPr>
                <w:rFonts w:hint="eastAsia" w:ascii="宋体" w:hAnsi="宋体" w:cs="宋体"/>
                <w:b/>
                <w:color w:val="auto"/>
                <w:sz w:val="24"/>
                <w:highlight w:val="none"/>
              </w:rPr>
              <w:t>法定代表身份证复印件粘帖处（正、反面）</w:t>
            </w:r>
          </w:p>
        </w:tc>
      </w:tr>
    </w:tbl>
    <w:p w14:paraId="68BB1445">
      <w:pPr>
        <w:spacing w:line="360" w:lineRule="auto"/>
        <w:ind w:firstLine="482" w:firstLineChars="200"/>
        <w:contextualSpacing/>
        <w:jc w:val="left"/>
        <w:rPr>
          <w:rFonts w:hint="eastAsia" w:ascii="宋体" w:hAnsi="宋体" w:cs="宋体"/>
          <w:b/>
          <w:color w:val="auto"/>
          <w:sz w:val="32"/>
          <w:szCs w:val="32"/>
          <w:highlight w:val="none"/>
        </w:rPr>
      </w:pPr>
      <w:r>
        <w:rPr>
          <w:rFonts w:hint="eastAsia" w:ascii="宋体" w:hAnsi="宋体" w:cs="宋体"/>
          <w:b/>
          <w:color w:val="auto"/>
          <w:sz w:val="24"/>
          <w:highlight w:val="none"/>
        </w:rPr>
        <w:t>附件：</w:t>
      </w:r>
    </w:p>
    <w:p w14:paraId="6C057F3E">
      <w:pPr>
        <w:adjustRightInd w:val="0"/>
        <w:snapToGrid w:val="0"/>
        <w:spacing w:line="300" w:lineRule="auto"/>
        <w:jc w:val="left"/>
        <w:rPr>
          <w:rFonts w:hint="eastAsia" w:ascii="宋体" w:hAnsi="宋体" w:cs="宋体"/>
          <w:b/>
          <w:color w:val="auto"/>
          <w:szCs w:val="21"/>
          <w:highlight w:val="none"/>
        </w:rPr>
      </w:pPr>
    </w:p>
    <w:p w14:paraId="29EF681C">
      <w:pPr>
        <w:snapToGrid w:val="0"/>
        <w:spacing w:line="360" w:lineRule="auto"/>
        <w:rPr>
          <w:rFonts w:hint="eastAsia" w:ascii="宋体" w:hAnsi="宋体" w:cs="宋体"/>
          <w:bCs/>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b/>
          <w:color w:val="auto"/>
          <w:sz w:val="30"/>
          <w:szCs w:val="30"/>
          <w:highlight w:val="none"/>
        </w:rPr>
        <w:t>三、法定代表人授权委托书</w:t>
      </w:r>
    </w:p>
    <w:p w14:paraId="6079B3F1">
      <w:pPr>
        <w:spacing w:line="500" w:lineRule="exact"/>
        <w:jc w:val="center"/>
        <w:rPr>
          <w:rFonts w:hint="eastAsia" w:ascii="宋体" w:hAnsi="宋体" w:cs="宋体"/>
          <w:color w:val="auto"/>
          <w:sz w:val="44"/>
          <w:szCs w:val="44"/>
          <w:highlight w:val="none"/>
        </w:rPr>
      </w:pPr>
    </w:p>
    <w:p w14:paraId="37F9001D">
      <w:pPr>
        <w:spacing w:line="52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授权委托书</w:t>
      </w:r>
    </w:p>
    <w:p w14:paraId="66863106">
      <w:pPr>
        <w:spacing w:line="520" w:lineRule="exact"/>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t>（如有委托时）</w:t>
      </w:r>
    </w:p>
    <w:p w14:paraId="4513A0E0">
      <w:pPr>
        <w:spacing w:line="520" w:lineRule="exact"/>
        <w:rPr>
          <w:rFonts w:hint="eastAsia" w:ascii="宋体" w:hAnsi="宋体" w:cs="宋体"/>
          <w:color w:val="auto"/>
          <w:sz w:val="32"/>
          <w:szCs w:val="32"/>
          <w:highlight w:val="none"/>
        </w:rPr>
      </w:pPr>
    </w:p>
    <w:p w14:paraId="1D0F8838">
      <w:pPr>
        <w:spacing w:line="360" w:lineRule="auto"/>
        <w:rPr>
          <w:rFonts w:hint="eastAsia" w:ascii="宋体" w:hAnsi="宋体" w:cs="宋体"/>
          <w:color w:val="auto"/>
          <w:sz w:val="24"/>
          <w:highlight w:val="none"/>
        </w:rPr>
      </w:pPr>
      <w:r>
        <w:rPr>
          <w:rFonts w:hint="eastAsia" w:ascii="宋体" w:hAnsi="宋体" w:cs="宋体"/>
          <w:color w:val="auto"/>
          <w:sz w:val="24"/>
          <w:highlight w:val="none"/>
        </w:rPr>
        <w:t>致：（采购人名称）：</w:t>
      </w:r>
    </w:p>
    <w:p w14:paraId="77E993D2">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我</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系</w:t>
      </w:r>
      <w:r>
        <w:rPr>
          <w:rFonts w:hint="eastAsia" w:ascii="宋体" w:hAnsi="宋体" w:cs="宋体"/>
          <w:color w:val="auto"/>
          <w:sz w:val="24"/>
          <w:highlight w:val="none"/>
          <w:u w:val="single"/>
        </w:rPr>
        <w:t xml:space="preserve">  （供应商名称）  </w:t>
      </w:r>
      <w:r>
        <w:rPr>
          <w:rFonts w:hint="eastAsia" w:ascii="宋体" w:hAnsi="宋体" w:cs="宋体"/>
          <w:color w:val="auto"/>
          <w:sz w:val="24"/>
          <w:highlight w:val="none"/>
        </w:rPr>
        <w:t>的（□法定代表人/□负责人/□自然人本人），现授权</w:t>
      </w:r>
      <w:r>
        <w:rPr>
          <w:rFonts w:hint="eastAsia" w:ascii="宋体" w:hAnsi="宋体" w:cs="宋体"/>
          <w:color w:val="auto"/>
          <w:sz w:val="24"/>
          <w:highlight w:val="none"/>
          <w:u w:val="single"/>
        </w:rPr>
        <w:t xml:space="preserve"> （姓名） </w:t>
      </w:r>
      <w:r>
        <w:rPr>
          <w:rFonts w:hint="eastAsia" w:ascii="宋体" w:hAnsi="宋体" w:cs="宋体"/>
          <w:color w:val="auto"/>
          <w:sz w:val="24"/>
          <w:highlight w:val="none"/>
        </w:rPr>
        <w:t>以我方的名义参加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项目的竞标活动，并代表我方全权办理针对上述项目的所有采购程序和环节的具体事务和签署相关文件。</w:t>
      </w:r>
    </w:p>
    <w:p w14:paraId="56D8EA6E">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我方对委托代理人的签字事项负全部责任。</w:t>
      </w:r>
    </w:p>
    <w:p w14:paraId="5AA663A3">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本授权书自签署之日起生效，在撤销授权的书面通知以前，本授权书一直有效。委托代理人在授权书有效期内签署的所有文件不因授权的撤销而失效。</w:t>
      </w:r>
    </w:p>
    <w:p w14:paraId="3C4950B6">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委托代理人无转委托权，特此委托。</w:t>
      </w:r>
    </w:p>
    <w:p w14:paraId="63AA308E">
      <w:pPr>
        <w:spacing w:line="360" w:lineRule="auto"/>
        <w:ind w:firstLine="480" w:firstLineChars="200"/>
        <w:rPr>
          <w:rFonts w:hint="eastAsia" w:ascii="宋体" w:hAnsi="宋体" w:cs="宋体"/>
          <w:color w:val="auto"/>
          <w:sz w:val="24"/>
          <w:highlight w:val="none"/>
        </w:rPr>
      </w:pPr>
      <w:r>
        <w:rPr>
          <w:rFonts w:hint="eastAsia" w:ascii="宋体" w:hAnsi="宋体" w:cs="宋体"/>
          <w:color w:val="auto"/>
          <w:sz w:val="24"/>
          <w:highlight w:val="none"/>
        </w:rPr>
        <w:t>附：法定代表人身份证明书及委托代理人有效身份证正反面复印件</w:t>
      </w:r>
    </w:p>
    <w:p w14:paraId="13159AA5">
      <w:pPr>
        <w:spacing w:line="360" w:lineRule="auto"/>
        <w:rPr>
          <w:rFonts w:hint="eastAsia" w:ascii="宋体" w:hAnsi="宋体" w:cs="宋体"/>
          <w:color w:val="auto"/>
          <w:sz w:val="24"/>
          <w:highlight w:val="none"/>
        </w:rPr>
      </w:pPr>
    </w:p>
    <w:p w14:paraId="3EDA645D">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委托代理人（签字）：                 法定代表人（签字或盖章）：                    </w:t>
      </w:r>
    </w:p>
    <w:p w14:paraId="5B491502">
      <w:pPr>
        <w:spacing w:line="360" w:lineRule="auto"/>
        <w:rPr>
          <w:rFonts w:hint="eastAsia" w:ascii="宋体" w:hAnsi="宋体" w:cs="宋体"/>
          <w:color w:val="auto"/>
          <w:sz w:val="24"/>
          <w:highlight w:val="none"/>
        </w:rPr>
      </w:pPr>
      <w:r>
        <w:rPr>
          <w:rFonts w:hint="eastAsia" w:ascii="宋体" w:hAnsi="宋体" w:cs="宋体"/>
          <w:color w:val="auto"/>
          <w:sz w:val="24"/>
          <w:highlight w:val="none"/>
        </w:rPr>
        <w:t>委托代理人联系方式：</w:t>
      </w:r>
    </w:p>
    <w:p w14:paraId="1DB7C3AC">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委托代理人身份证号码：                              </w:t>
      </w:r>
    </w:p>
    <w:p w14:paraId="2DDA5E13">
      <w:pPr>
        <w:spacing w:line="360" w:lineRule="auto"/>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2D57C869">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sz w:val="24"/>
          <w:highlight w:val="none"/>
        </w:rPr>
        <w:t xml:space="preserve">  </w:t>
      </w:r>
      <w:r>
        <w:rPr>
          <w:rFonts w:hint="eastAsia" w:ascii="宋体" w:hAnsi="宋体" w:cs="宋体"/>
          <w:color w:val="auto"/>
          <w:kern w:val="0"/>
          <w:sz w:val="24"/>
          <w:highlight w:val="none"/>
        </w:rPr>
        <w:t>供应商名称（电子签章）：</w:t>
      </w:r>
    </w:p>
    <w:p w14:paraId="1BB01EE4">
      <w:pP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4E9DD3E3">
      <w:pPr>
        <w:spacing w:line="360" w:lineRule="auto"/>
        <w:rPr>
          <w:rFonts w:hint="eastAsia" w:ascii="宋体" w:hAnsi="宋体" w:cs="宋体"/>
          <w:color w:val="auto"/>
          <w:sz w:val="24"/>
          <w:highlight w:val="none"/>
        </w:rPr>
      </w:pPr>
    </w:p>
    <w:p w14:paraId="17D69B1C">
      <w:pPr>
        <w:spacing w:line="360" w:lineRule="auto"/>
        <w:rPr>
          <w:rFonts w:hint="eastAsia" w:ascii="宋体" w:hAnsi="宋体" w:cs="宋体"/>
          <w:color w:val="auto"/>
          <w:sz w:val="24"/>
          <w:highlight w:val="none"/>
        </w:rPr>
      </w:pPr>
      <w:r>
        <w:rPr>
          <w:rFonts w:hint="eastAsia" w:ascii="宋体" w:hAnsi="宋体" w:cs="宋体"/>
          <w:color w:val="auto"/>
          <w:sz w:val="24"/>
          <w:highlight w:val="none"/>
        </w:rPr>
        <w:t>注：1. 法定代表人必须在授权委托书上亲笔签字或盖章，委托代理人必须在授权委托书上亲笔签字，</w:t>
      </w:r>
      <w:r>
        <w:rPr>
          <w:rFonts w:hint="eastAsia" w:ascii="宋体" w:hAnsi="宋体" w:cs="宋体"/>
          <w:b/>
          <w:color w:val="auto"/>
          <w:sz w:val="24"/>
          <w:highlight w:val="none"/>
        </w:rPr>
        <w:t>否则其响应文件按无效响应处理。</w:t>
      </w:r>
    </w:p>
    <w:p w14:paraId="1F094D60">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2EA2B4D">
      <w:pPr>
        <w:spacing w:line="360" w:lineRule="auto"/>
        <w:ind w:firstLine="480" w:firstLineChars="200"/>
        <w:jc w:val="left"/>
        <w:rPr>
          <w:rFonts w:hint="eastAsia" w:ascii="宋体" w:hAnsi="宋体" w:cs="宋体"/>
          <w:color w:val="auto"/>
          <w:sz w:val="24"/>
          <w:highlight w:val="none"/>
        </w:rPr>
      </w:pPr>
      <w:r>
        <w:rPr>
          <w:rFonts w:hint="eastAsia" w:ascii="宋体" w:hAnsi="宋体" w:cs="宋体"/>
          <w:color w:val="auto"/>
          <w:sz w:val="24"/>
          <w:highlight w:val="none"/>
        </w:rPr>
        <w:t>3. 法人、其他组织竞标时“我方”是指“我单位”，自然人竞标时“我方”是指“本人”。</w:t>
      </w:r>
    </w:p>
    <w:p w14:paraId="2C8BF121">
      <w:pPr>
        <w:spacing w:line="360" w:lineRule="auto"/>
        <w:ind w:firstLine="420" w:firstLineChars="200"/>
        <w:jc w:val="left"/>
        <w:rPr>
          <w:rFonts w:hint="eastAsia" w:ascii="宋体" w:hAnsi="宋体" w:cs="宋体"/>
          <w:color w:val="auto"/>
          <w:szCs w:val="21"/>
          <w:highlight w:val="none"/>
        </w:rPr>
      </w:pPr>
    </w:p>
    <w:p w14:paraId="0FAE55C2">
      <w:pPr>
        <w:snapToGrid w:val="0"/>
        <w:spacing w:line="360" w:lineRule="auto"/>
        <w:rPr>
          <w:rFonts w:hint="eastAsia" w:ascii="宋体" w:hAnsi="宋体" w:cs="宋体"/>
          <w:b/>
          <w:bCs/>
          <w:color w:val="auto"/>
          <w:sz w:val="32"/>
          <w:szCs w:val="32"/>
          <w:highlight w:val="none"/>
        </w:rPr>
      </w:pPr>
      <w:r>
        <w:rPr>
          <w:rFonts w:hint="eastAsia" w:ascii="宋体" w:hAnsi="宋体" w:cs="宋体"/>
          <w:color w:val="auto"/>
          <w:szCs w:val="21"/>
          <w:highlight w:val="none"/>
        </w:rPr>
        <w:br w:type="page"/>
      </w:r>
      <w:r>
        <w:rPr>
          <w:rFonts w:hint="eastAsia" w:ascii="宋体" w:hAnsi="宋体" w:cs="宋体"/>
          <w:b/>
          <w:color w:val="auto"/>
          <w:sz w:val="30"/>
          <w:szCs w:val="30"/>
          <w:highlight w:val="none"/>
        </w:rPr>
        <w:t>四、商务条款偏离表</w:t>
      </w:r>
    </w:p>
    <w:p w14:paraId="2E1CB3FE">
      <w:pPr>
        <w:spacing w:line="500" w:lineRule="exact"/>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商务条款偏离表（格式）</w:t>
      </w:r>
    </w:p>
    <w:p w14:paraId="1E31D9D0">
      <w:pPr>
        <w:spacing w:line="360" w:lineRule="auto"/>
        <w:contextualSpacing/>
        <w:rPr>
          <w:rFonts w:hint="eastAsia" w:ascii="宋体" w:hAnsi="宋体" w:cs="宋体"/>
          <w:color w:val="auto"/>
          <w:sz w:val="24"/>
          <w:highlight w:val="none"/>
        </w:rPr>
      </w:pPr>
      <w:r>
        <w:rPr>
          <w:rFonts w:hint="eastAsia" w:ascii="宋体" w:hAnsi="宋体" w:cs="宋体"/>
          <w:color w:val="auto"/>
          <w:sz w:val="24"/>
          <w:highlight w:val="none"/>
        </w:rPr>
        <w:t>分标号</w:t>
      </w:r>
      <w:r>
        <w:rPr>
          <w:rFonts w:hint="eastAsia" w:ascii="宋体" w:hAnsi="宋体" w:cs="宋体"/>
          <w:color w:val="auto"/>
          <w:szCs w:val="21"/>
          <w:highlight w:val="none"/>
        </w:rPr>
        <w:t>（此处有分标时填写具体分标号，无分标时填写“无”）</w:t>
      </w:r>
      <w:r>
        <w:rPr>
          <w:rFonts w:hint="eastAsia" w:ascii="宋体" w:hAnsi="宋体" w:cs="宋体"/>
          <w:color w:val="auto"/>
          <w:sz w:val="24"/>
          <w:highlight w:val="none"/>
        </w:rPr>
        <w:t xml:space="preserve">：                       </w:t>
      </w:r>
    </w:p>
    <w:tbl>
      <w:tblPr>
        <w:tblStyle w:val="33"/>
        <w:tblpPr w:leftFromText="180" w:rightFromText="180" w:vertAnchor="text" w:horzAnchor="margin" w:tblpXSpec="center" w:tblpY="9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926"/>
        <w:gridCol w:w="3589"/>
        <w:gridCol w:w="1274"/>
      </w:tblGrid>
      <w:tr w14:paraId="25B10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691" w:type="dxa"/>
            <w:tcBorders>
              <w:top w:val="single" w:color="auto" w:sz="4" w:space="0"/>
              <w:left w:val="single" w:color="auto" w:sz="4" w:space="0"/>
              <w:bottom w:val="single" w:color="auto" w:sz="4" w:space="0"/>
              <w:right w:val="single" w:color="auto" w:sz="4" w:space="0"/>
            </w:tcBorders>
            <w:vAlign w:val="center"/>
          </w:tcPr>
          <w:p w14:paraId="797DBF6D">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3926" w:type="dxa"/>
            <w:tcBorders>
              <w:top w:val="single" w:color="auto" w:sz="4" w:space="0"/>
              <w:left w:val="single" w:color="auto" w:sz="4" w:space="0"/>
              <w:bottom w:val="single" w:color="auto" w:sz="4" w:space="0"/>
              <w:right w:val="single" w:color="auto" w:sz="4" w:space="0"/>
            </w:tcBorders>
            <w:vAlign w:val="center"/>
          </w:tcPr>
          <w:p w14:paraId="6825A1A5">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竞争性谈判采购文件的商务需求</w:t>
            </w:r>
          </w:p>
        </w:tc>
        <w:tc>
          <w:tcPr>
            <w:tcW w:w="3589" w:type="dxa"/>
            <w:tcBorders>
              <w:top w:val="single" w:color="auto" w:sz="4" w:space="0"/>
              <w:left w:val="single" w:color="auto" w:sz="4" w:space="0"/>
              <w:bottom w:val="single" w:color="auto" w:sz="4" w:space="0"/>
              <w:right w:val="single" w:color="auto" w:sz="4" w:space="0"/>
            </w:tcBorders>
            <w:vAlign w:val="center"/>
          </w:tcPr>
          <w:p w14:paraId="06B72A43">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响应文件承诺的商务条款</w:t>
            </w:r>
          </w:p>
        </w:tc>
        <w:tc>
          <w:tcPr>
            <w:tcW w:w="1274" w:type="dxa"/>
            <w:tcBorders>
              <w:top w:val="single" w:color="auto" w:sz="4" w:space="0"/>
              <w:left w:val="single" w:color="auto" w:sz="4" w:space="0"/>
              <w:bottom w:val="single" w:color="auto" w:sz="4" w:space="0"/>
              <w:right w:val="single" w:color="auto" w:sz="4" w:space="0"/>
            </w:tcBorders>
            <w:vAlign w:val="center"/>
          </w:tcPr>
          <w:p w14:paraId="3BDCEE5C">
            <w:pPr>
              <w:spacing w:line="340" w:lineRule="exact"/>
              <w:jc w:val="cente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14B1B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130F547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一</w:t>
            </w:r>
          </w:p>
        </w:tc>
        <w:tc>
          <w:tcPr>
            <w:tcW w:w="3926" w:type="dxa"/>
            <w:tcBorders>
              <w:top w:val="single" w:color="auto" w:sz="4" w:space="0"/>
              <w:left w:val="single" w:color="auto" w:sz="4" w:space="0"/>
              <w:bottom w:val="single" w:color="auto" w:sz="4" w:space="0"/>
              <w:right w:val="single" w:color="auto" w:sz="4" w:space="0"/>
            </w:tcBorders>
          </w:tcPr>
          <w:p w14:paraId="4E278370">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5CEA3A59">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20CD604B">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01F3EFAC">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063E4579">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1DFBD7FA">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619951F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51E9B47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0DBC87C8">
            <w:pPr>
              <w:spacing w:line="300" w:lineRule="exact"/>
              <w:rPr>
                <w:rFonts w:hint="eastAsia" w:ascii="宋体" w:hAnsi="宋体" w:cs="宋体"/>
                <w:color w:val="auto"/>
                <w:szCs w:val="21"/>
                <w:highlight w:val="none"/>
              </w:rPr>
            </w:pPr>
          </w:p>
        </w:tc>
      </w:tr>
      <w:tr w14:paraId="1DC0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trPr>
        <w:tc>
          <w:tcPr>
            <w:tcW w:w="691" w:type="dxa"/>
            <w:tcBorders>
              <w:top w:val="single" w:color="auto" w:sz="4" w:space="0"/>
              <w:left w:val="single" w:color="auto" w:sz="4" w:space="0"/>
              <w:bottom w:val="single" w:color="auto" w:sz="4" w:space="0"/>
              <w:right w:val="single" w:color="auto" w:sz="4" w:space="0"/>
            </w:tcBorders>
          </w:tcPr>
          <w:p w14:paraId="0177DD45">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二</w:t>
            </w:r>
          </w:p>
        </w:tc>
        <w:tc>
          <w:tcPr>
            <w:tcW w:w="3926" w:type="dxa"/>
            <w:tcBorders>
              <w:top w:val="single" w:color="auto" w:sz="4" w:space="0"/>
              <w:left w:val="single" w:color="auto" w:sz="4" w:space="0"/>
              <w:bottom w:val="single" w:color="auto" w:sz="4" w:space="0"/>
              <w:right w:val="single" w:color="auto" w:sz="4" w:space="0"/>
            </w:tcBorders>
          </w:tcPr>
          <w:p w14:paraId="6E704202">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63A12B6E">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390C052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1D2DD1F4">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01DC4700">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7A9C77CE">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5FAD0B81">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0C9F3366">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52839A3C">
            <w:pPr>
              <w:spacing w:line="300" w:lineRule="exact"/>
              <w:rPr>
                <w:rFonts w:hint="eastAsia" w:ascii="宋体" w:hAnsi="宋体" w:cs="宋体"/>
                <w:color w:val="auto"/>
                <w:szCs w:val="21"/>
                <w:highlight w:val="none"/>
              </w:rPr>
            </w:pPr>
          </w:p>
        </w:tc>
      </w:tr>
      <w:tr w14:paraId="14C6A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9" w:hRule="atLeast"/>
        </w:trPr>
        <w:tc>
          <w:tcPr>
            <w:tcW w:w="691" w:type="dxa"/>
            <w:tcBorders>
              <w:top w:val="single" w:color="auto" w:sz="4" w:space="0"/>
              <w:left w:val="single" w:color="auto" w:sz="4" w:space="0"/>
              <w:bottom w:val="single" w:color="auto" w:sz="4" w:space="0"/>
              <w:right w:val="single" w:color="auto" w:sz="4" w:space="0"/>
            </w:tcBorders>
          </w:tcPr>
          <w:p w14:paraId="07018F88">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926" w:type="dxa"/>
            <w:tcBorders>
              <w:top w:val="single" w:color="auto" w:sz="4" w:space="0"/>
              <w:left w:val="single" w:color="auto" w:sz="4" w:space="0"/>
              <w:bottom w:val="single" w:color="auto" w:sz="4" w:space="0"/>
              <w:right w:val="single" w:color="auto" w:sz="4" w:space="0"/>
            </w:tcBorders>
          </w:tcPr>
          <w:p w14:paraId="61EBFAB1">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34FD5189">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752DCA8F">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78C0CF53">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3589" w:type="dxa"/>
            <w:tcBorders>
              <w:top w:val="single" w:color="auto" w:sz="4" w:space="0"/>
              <w:left w:val="single" w:color="auto" w:sz="4" w:space="0"/>
              <w:bottom w:val="single" w:color="auto" w:sz="4" w:space="0"/>
              <w:right w:val="single" w:color="auto" w:sz="4" w:space="0"/>
            </w:tcBorders>
          </w:tcPr>
          <w:p w14:paraId="17DE9B44">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1  ……</w:t>
            </w:r>
          </w:p>
          <w:p w14:paraId="51F739C6">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2  ……</w:t>
            </w:r>
          </w:p>
          <w:p w14:paraId="14703201">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3  ……</w:t>
            </w:r>
          </w:p>
          <w:p w14:paraId="2F3B185F">
            <w:pPr>
              <w:spacing w:line="340" w:lineRule="exact"/>
              <w:rPr>
                <w:rFonts w:hint="eastAsia" w:ascii="宋体" w:hAnsi="宋体" w:cs="宋体"/>
                <w:color w:val="auto"/>
                <w:szCs w:val="21"/>
                <w:highlight w:val="none"/>
              </w:rPr>
            </w:pPr>
            <w:r>
              <w:rPr>
                <w:rFonts w:hint="eastAsia" w:ascii="宋体" w:hAnsi="宋体" w:cs="宋体"/>
                <w:color w:val="auto"/>
                <w:szCs w:val="21"/>
                <w:highlight w:val="none"/>
              </w:rPr>
              <w:t>……</w:t>
            </w:r>
          </w:p>
        </w:tc>
        <w:tc>
          <w:tcPr>
            <w:tcW w:w="1274" w:type="dxa"/>
            <w:tcBorders>
              <w:top w:val="single" w:color="auto" w:sz="4" w:space="0"/>
              <w:left w:val="single" w:color="auto" w:sz="4" w:space="0"/>
              <w:bottom w:val="single" w:color="auto" w:sz="4" w:space="0"/>
              <w:right w:val="single" w:color="auto" w:sz="4" w:space="0"/>
            </w:tcBorders>
          </w:tcPr>
          <w:p w14:paraId="0922BD58">
            <w:pPr>
              <w:spacing w:line="300" w:lineRule="exact"/>
              <w:rPr>
                <w:rFonts w:hint="eastAsia" w:ascii="宋体" w:hAnsi="宋体" w:cs="宋体"/>
                <w:color w:val="auto"/>
                <w:szCs w:val="21"/>
                <w:highlight w:val="none"/>
              </w:rPr>
            </w:pPr>
          </w:p>
        </w:tc>
      </w:tr>
    </w:tbl>
    <w:p w14:paraId="23371E5C">
      <w:pPr>
        <w:spacing w:after="120" w:line="400" w:lineRule="exact"/>
        <w:ind w:left="420" w:leftChars="200"/>
        <w:contextualSpacing/>
        <w:rPr>
          <w:rFonts w:hint="eastAsia" w:ascii="宋体" w:hAnsi="宋体" w:cs="宋体"/>
          <w:color w:val="auto"/>
          <w:sz w:val="24"/>
          <w:highlight w:val="none"/>
        </w:rPr>
      </w:pPr>
      <w:r>
        <w:rPr>
          <w:rFonts w:hint="eastAsia" w:ascii="宋体" w:hAnsi="宋体" w:cs="宋体"/>
          <w:color w:val="auto"/>
          <w:sz w:val="24"/>
          <w:highlight w:val="none"/>
        </w:rPr>
        <w:t>注：</w:t>
      </w:r>
    </w:p>
    <w:p w14:paraId="14947555">
      <w:pPr>
        <w:spacing w:after="120" w:line="400" w:lineRule="exact"/>
        <w:ind w:left="420" w:leftChars="200"/>
        <w:contextualSpacing/>
        <w:rPr>
          <w:rFonts w:hint="eastAsia" w:ascii="宋体" w:hAnsi="宋体" w:cs="宋体"/>
          <w:color w:val="auto"/>
          <w:sz w:val="24"/>
          <w:highlight w:val="none"/>
        </w:rPr>
      </w:pPr>
      <w:r>
        <w:rPr>
          <w:rFonts w:hint="eastAsia" w:ascii="宋体" w:hAnsi="宋体" w:cs="宋体"/>
          <w:color w:val="auto"/>
          <w:sz w:val="24"/>
          <w:highlight w:val="none"/>
        </w:rPr>
        <w:t>1.说明：应对照谈判文件“第二章 采购需求”中的“二、商务条款”逐条作出明确响应，并作出偏离说明。</w:t>
      </w:r>
    </w:p>
    <w:p w14:paraId="1E66036A">
      <w:pPr>
        <w:spacing w:after="120" w:line="400" w:lineRule="exact"/>
        <w:ind w:left="420" w:leftChars="200"/>
        <w:contextualSpacing/>
        <w:rPr>
          <w:rFonts w:hint="eastAsia" w:ascii="宋体" w:hAnsi="宋体" w:cs="宋体"/>
          <w:color w:val="auto"/>
          <w:sz w:val="24"/>
          <w:highlight w:val="none"/>
        </w:rPr>
      </w:pPr>
      <w:r>
        <w:rPr>
          <w:rFonts w:hint="eastAsia" w:ascii="宋体" w:hAnsi="宋体" w:cs="宋体"/>
          <w:color w:val="auto"/>
          <w:sz w:val="24"/>
          <w:highlight w:val="none"/>
        </w:rPr>
        <w:t>2.供应商应根据自身的承诺，对照谈判文件要求，</w:t>
      </w:r>
      <w:r>
        <w:rPr>
          <w:rFonts w:hint="eastAsia" w:ascii="宋体" w:hAnsi="宋体" w:cs="宋体"/>
          <w:b/>
          <w:bCs/>
          <w:color w:val="auto"/>
          <w:sz w:val="24"/>
          <w:highlight w:val="none"/>
        </w:rPr>
        <w:t>在“偏离说明”中注明“正偏离”、“负偏离”或者“无偏离”</w:t>
      </w:r>
      <w:r>
        <w:rPr>
          <w:rFonts w:hint="eastAsia" w:ascii="宋体" w:hAnsi="宋体" w:cs="宋体"/>
          <w:color w:val="auto"/>
          <w:sz w:val="24"/>
          <w:highlight w:val="none"/>
        </w:rPr>
        <w:t>。既不属于“正偏离”也不属于“负偏离”即为“无偏离”。 当响应文件的商务内容低于竞争性谈判采购文件要求时，竞标人应当如实写明“负偏离”，否则视为虚假应标</w:t>
      </w:r>
    </w:p>
    <w:p w14:paraId="4A9DC290">
      <w:pPr>
        <w:spacing w:line="400" w:lineRule="exact"/>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3.表格内容均需按要求填写并盖章，不得留空，否则按竞标无效处理。</w:t>
      </w:r>
    </w:p>
    <w:p w14:paraId="213DEBFA">
      <w:pPr>
        <w:spacing w:line="360" w:lineRule="auto"/>
        <w:ind w:right="-817" w:rightChars="-389"/>
        <w:contextualSpacing/>
        <w:rPr>
          <w:rFonts w:hint="eastAsia" w:ascii="宋体" w:hAnsi="宋体" w:cs="宋体"/>
          <w:color w:val="auto"/>
          <w:sz w:val="24"/>
          <w:highlight w:val="none"/>
        </w:rPr>
      </w:pPr>
    </w:p>
    <w:p w14:paraId="5F928B3E">
      <w:pPr>
        <w:spacing w:line="360" w:lineRule="auto"/>
        <w:ind w:firstLine="3840" w:firstLineChars="1600"/>
        <w:rPr>
          <w:rFonts w:hint="eastAsia" w:ascii="宋体" w:hAnsi="宋体" w:cs="宋体"/>
          <w:color w:val="auto"/>
          <w:sz w:val="24"/>
          <w:highlight w:val="none"/>
        </w:rPr>
      </w:pPr>
      <w:r>
        <w:rPr>
          <w:rFonts w:hint="eastAsia" w:ascii="宋体" w:hAnsi="宋体" w:cs="宋体"/>
          <w:color w:val="auto"/>
          <w:kern w:val="0"/>
          <w:sz w:val="24"/>
          <w:highlight w:val="none"/>
        </w:rPr>
        <w:t>供应商名称（电子签章）：</w:t>
      </w:r>
    </w:p>
    <w:p w14:paraId="13F4B6EC">
      <w:pPr>
        <w:spacing w:line="360" w:lineRule="auto"/>
        <w:contextualSpacing/>
        <w:jc w:val="center"/>
        <w:rPr>
          <w:rFonts w:hint="eastAsia" w:ascii="宋体" w:hAnsi="宋体" w:cs="宋体"/>
          <w:b/>
          <w:color w:val="auto"/>
          <w:sz w:val="24"/>
          <w:highlight w:val="none"/>
        </w:rPr>
      </w:pPr>
      <w:r>
        <w:rPr>
          <w:rFonts w:hint="eastAsia" w:ascii="宋体" w:hAnsi="宋体" w:cs="宋体"/>
          <w:color w:val="auto"/>
          <w:kern w:val="0"/>
          <w:sz w:val="24"/>
          <w:highlight w:val="none"/>
          <w:lang w:val="zh-CN"/>
        </w:rPr>
        <w:t xml:space="preserve">                                                   日期：  年  月   日</w:t>
      </w:r>
    </w:p>
    <w:p w14:paraId="2E1A36B4">
      <w:pPr>
        <w:snapToGrid w:val="0"/>
        <w:spacing w:line="360" w:lineRule="auto"/>
        <w:ind w:firstLine="602" w:firstLineChars="200"/>
        <w:rPr>
          <w:rFonts w:hint="eastAsia" w:ascii="宋体" w:hAnsi="宋体" w:cs="宋体"/>
          <w:b/>
          <w:color w:val="auto"/>
          <w:sz w:val="30"/>
          <w:szCs w:val="30"/>
          <w:highlight w:val="none"/>
        </w:rPr>
      </w:pPr>
    </w:p>
    <w:p w14:paraId="3EB16F5B">
      <w:pPr>
        <w:pStyle w:val="15"/>
        <w:ind w:firstLine="602"/>
        <w:rPr>
          <w:rFonts w:hint="eastAsia" w:ascii="宋体" w:hAnsi="宋体" w:cs="宋体"/>
          <w:b/>
          <w:color w:val="auto"/>
          <w:sz w:val="30"/>
          <w:szCs w:val="30"/>
          <w:highlight w:val="none"/>
        </w:rPr>
      </w:pPr>
    </w:p>
    <w:p w14:paraId="3809D957">
      <w:pPr>
        <w:pStyle w:val="15"/>
        <w:ind w:firstLine="602"/>
        <w:rPr>
          <w:rFonts w:hint="eastAsia" w:ascii="宋体" w:hAnsi="宋体" w:cs="宋体"/>
          <w:b/>
          <w:color w:val="auto"/>
          <w:sz w:val="30"/>
          <w:szCs w:val="30"/>
          <w:highlight w:val="none"/>
        </w:rPr>
      </w:pPr>
    </w:p>
    <w:p w14:paraId="6CE3ABEE">
      <w:pPr>
        <w:pStyle w:val="15"/>
        <w:ind w:firstLine="602"/>
        <w:rPr>
          <w:rFonts w:hint="eastAsia" w:ascii="宋体" w:hAnsi="宋体" w:cs="宋体"/>
          <w:b/>
          <w:color w:val="auto"/>
          <w:sz w:val="30"/>
          <w:szCs w:val="30"/>
          <w:highlight w:val="none"/>
        </w:rPr>
      </w:pPr>
    </w:p>
    <w:p w14:paraId="5AEB74B7">
      <w:pPr>
        <w:snapToGrid w:val="0"/>
        <w:spacing w:line="360" w:lineRule="auto"/>
        <w:rPr>
          <w:rFonts w:hint="eastAsia" w:ascii="宋体" w:hAnsi="宋体" w:cs="宋体"/>
          <w:b/>
          <w:color w:val="auto"/>
          <w:sz w:val="30"/>
          <w:szCs w:val="30"/>
          <w:highlight w:val="none"/>
        </w:rPr>
      </w:pPr>
    </w:p>
    <w:p w14:paraId="15E973EA">
      <w:pPr>
        <w:snapToGrid w:val="0"/>
        <w:spacing w:line="360" w:lineRule="auto"/>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五、竞标人情况介绍</w:t>
      </w:r>
      <w:r>
        <w:rPr>
          <w:rFonts w:hint="eastAsia" w:ascii="宋体" w:hAnsi="宋体" w:cs="宋体"/>
          <w:b/>
          <w:color w:val="auto"/>
          <w:sz w:val="30"/>
          <w:szCs w:val="30"/>
          <w:highlight w:val="none"/>
          <w:lang w:eastAsia="zh-CN"/>
        </w:rPr>
        <w:t>（</w:t>
      </w:r>
      <w:r>
        <w:rPr>
          <w:rFonts w:hint="eastAsia" w:ascii="宋体" w:hAnsi="宋体" w:cs="宋体"/>
          <w:b/>
          <w:color w:val="auto"/>
          <w:sz w:val="30"/>
          <w:szCs w:val="30"/>
          <w:highlight w:val="none"/>
          <w:lang w:val="en-US" w:eastAsia="zh-CN"/>
        </w:rPr>
        <w:t>格式自拟，如有请提供）</w:t>
      </w:r>
    </w:p>
    <w:p w14:paraId="38108CE8">
      <w:pPr>
        <w:snapToGrid w:val="0"/>
        <w:spacing w:line="360" w:lineRule="auto"/>
        <w:ind w:firstLine="602" w:firstLineChars="200"/>
        <w:rPr>
          <w:rFonts w:hint="eastAsia" w:ascii="宋体" w:hAnsi="宋体" w:cs="宋体"/>
          <w:b/>
          <w:color w:val="auto"/>
          <w:sz w:val="30"/>
          <w:szCs w:val="30"/>
          <w:highlight w:val="none"/>
        </w:rPr>
      </w:pPr>
    </w:p>
    <w:p w14:paraId="6DFA8342">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3E8A7928">
      <w:pPr>
        <w:autoSpaceDE w:val="0"/>
        <w:autoSpaceDN w:val="0"/>
        <w:spacing w:line="360" w:lineRule="auto"/>
        <w:ind w:firstLine="6480" w:firstLineChars="2700"/>
        <w:rPr>
          <w:rFonts w:hint="eastAsia" w:ascii="宋体" w:hAnsi="宋体" w:cs="宋体"/>
          <w:b/>
          <w:bCs/>
          <w:color w:val="auto"/>
          <w:sz w:val="24"/>
          <w:highlight w:val="none"/>
        </w:rPr>
      </w:pPr>
      <w:r>
        <w:rPr>
          <w:rFonts w:hint="eastAsia" w:ascii="宋体" w:hAnsi="宋体" w:cs="宋体"/>
          <w:color w:val="auto"/>
          <w:kern w:val="0"/>
          <w:sz w:val="24"/>
          <w:highlight w:val="none"/>
          <w:lang w:val="zh-CN"/>
        </w:rPr>
        <w:t>日期：  年  月   日</w:t>
      </w:r>
    </w:p>
    <w:p w14:paraId="6156C8DF">
      <w:pPr>
        <w:snapToGrid w:val="0"/>
        <w:spacing w:before="120" w:beforeLines="50" w:after="50"/>
        <w:rPr>
          <w:rFonts w:hint="eastAsia" w:ascii="宋体" w:hAnsi="宋体" w:cs="宋体"/>
          <w:b/>
          <w:color w:val="auto"/>
          <w:sz w:val="30"/>
          <w:szCs w:val="30"/>
          <w:highlight w:val="none"/>
        </w:rPr>
      </w:pPr>
      <w:r>
        <w:rPr>
          <w:rFonts w:hint="eastAsia" w:ascii="宋体" w:hAnsi="宋体" w:cs="宋体"/>
          <w:b/>
          <w:color w:val="auto"/>
          <w:sz w:val="30"/>
          <w:szCs w:val="30"/>
          <w:highlight w:val="none"/>
        </w:rPr>
        <w:br w:type="page"/>
      </w:r>
      <w:r>
        <w:rPr>
          <w:rFonts w:hint="eastAsia" w:ascii="宋体" w:hAnsi="宋体" w:cs="宋体"/>
          <w:b/>
          <w:color w:val="auto"/>
          <w:sz w:val="30"/>
          <w:szCs w:val="30"/>
          <w:highlight w:val="none"/>
        </w:rPr>
        <w:t>六、供应商类似的业绩证明文件</w:t>
      </w:r>
      <w:r>
        <w:rPr>
          <w:rFonts w:hint="eastAsia" w:ascii="宋体" w:hAnsi="宋体" w:cs="宋体"/>
          <w:b/>
          <w:color w:val="auto"/>
          <w:sz w:val="30"/>
          <w:szCs w:val="30"/>
          <w:highlight w:val="none"/>
          <w:lang w:eastAsia="zh-CN"/>
        </w:rPr>
        <w:t>（</w:t>
      </w:r>
      <w:r>
        <w:rPr>
          <w:rFonts w:hint="eastAsia" w:ascii="宋体" w:hAnsi="宋体" w:cs="宋体"/>
          <w:b/>
          <w:color w:val="auto"/>
          <w:sz w:val="30"/>
          <w:szCs w:val="30"/>
          <w:highlight w:val="none"/>
          <w:lang w:val="en-US" w:eastAsia="zh-CN"/>
        </w:rPr>
        <w:t>如有请提供）</w:t>
      </w:r>
    </w:p>
    <w:p w14:paraId="59650EF1">
      <w:pPr>
        <w:snapToGrid w:val="0"/>
        <w:ind w:left="480" w:hanging="480" w:hangingChars="200"/>
        <w:contextualSpacing/>
        <w:rPr>
          <w:rFonts w:hint="eastAsia" w:ascii="宋体" w:hAnsi="宋体" w:cs="宋体"/>
          <w:color w:val="auto"/>
          <w:sz w:val="24"/>
          <w:highlight w:val="none"/>
        </w:rPr>
      </w:pPr>
    </w:p>
    <w:tbl>
      <w:tblPr>
        <w:tblStyle w:val="33"/>
        <w:tblpPr w:leftFromText="180" w:rightFromText="180" w:vertAnchor="page" w:horzAnchor="margin" w:tblpXSpec="center" w:tblpY="4783"/>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84"/>
        <w:gridCol w:w="1843"/>
        <w:gridCol w:w="1134"/>
        <w:gridCol w:w="1134"/>
        <w:gridCol w:w="1701"/>
        <w:gridCol w:w="1276"/>
        <w:gridCol w:w="1842"/>
      </w:tblGrid>
      <w:tr w14:paraId="2E6ADA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87" w:hRule="atLeast"/>
        </w:trPr>
        <w:tc>
          <w:tcPr>
            <w:tcW w:w="1384" w:type="dxa"/>
            <w:vMerge w:val="restart"/>
            <w:tcBorders>
              <w:top w:val="single" w:color="auto" w:sz="4" w:space="0"/>
              <w:left w:val="single" w:color="auto" w:sz="4" w:space="0"/>
              <w:bottom w:val="single" w:color="auto" w:sz="4" w:space="0"/>
              <w:right w:val="single" w:color="auto" w:sz="4" w:space="0"/>
            </w:tcBorders>
            <w:vAlign w:val="center"/>
          </w:tcPr>
          <w:p w14:paraId="14FB1E07">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采购人名称</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14:paraId="00BBAA4B">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项目名称</w:t>
            </w:r>
          </w:p>
        </w:tc>
        <w:tc>
          <w:tcPr>
            <w:tcW w:w="1134" w:type="dxa"/>
            <w:vMerge w:val="restart"/>
            <w:tcBorders>
              <w:top w:val="single" w:color="auto" w:sz="4" w:space="0"/>
              <w:left w:val="single" w:color="auto" w:sz="4" w:space="0"/>
              <w:bottom w:val="single" w:color="auto" w:sz="4" w:space="0"/>
              <w:right w:val="single" w:color="auto" w:sz="4" w:space="0"/>
            </w:tcBorders>
            <w:vAlign w:val="center"/>
          </w:tcPr>
          <w:p w14:paraId="3A80B81E">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合同</w:t>
            </w:r>
          </w:p>
          <w:p w14:paraId="77242B91">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金额</w:t>
            </w:r>
          </w:p>
          <w:p w14:paraId="41A848B8">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（万元）</w:t>
            </w:r>
          </w:p>
        </w:tc>
        <w:tc>
          <w:tcPr>
            <w:tcW w:w="4111" w:type="dxa"/>
            <w:gridSpan w:val="3"/>
            <w:tcBorders>
              <w:top w:val="single" w:color="auto" w:sz="4" w:space="0"/>
              <w:left w:val="single" w:color="auto" w:sz="4" w:space="0"/>
              <w:bottom w:val="single" w:color="auto" w:sz="4" w:space="0"/>
              <w:right w:val="single" w:color="auto" w:sz="4" w:space="0"/>
            </w:tcBorders>
            <w:vAlign w:val="center"/>
          </w:tcPr>
          <w:p w14:paraId="6FFA9C2C">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附件在响应文件中页码</w:t>
            </w:r>
          </w:p>
        </w:tc>
        <w:tc>
          <w:tcPr>
            <w:tcW w:w="1842" w:type="dxa"/>
            <w:vMerge w:val="restart"/>
            <w:tcBorders>
              <w:top w:val="single" w:color="auto" w:sz="4" w:space="0"/>
              <w:left w:val="single" w:color="auto" w:sz="4" w:space="0"/>
              <w:bottom w:val="single" w:color="auto" w:sz="4" w:space="0"/>
              <w:right w:val="single" w:color="auto" w:sz="4" w:space="0"/>
            </w:tcBorders>
            <w:vAlign w:val="center"/>
          </w:tcPr>
          <w:p w14:paraId="7C46424F">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采购人联系人及联系电话</w:t>
            </w:r>
          </w:p>
        </w:tc>
      </w:tr>
      <w:tr w14:paraId="524CA0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836" w:hRule="atLeast"/>
        </w:trPr>
        <w:tc>
          <w:tcPr>
            <w:tcW w:w="1384" w:type="dxa"/>
            <w:vMerge w:val="continue"/>
            <w:tcBorders>
              <w:top w:val="single" w:color="auto" w:sz="4" w:space="0"/>
              <w:left w:val="single" w:color="auto" w:sz="4" w:space="0"/>
              <w:bottom w:val="single" w:color="auto" w:sz="4" w:space="0"/>
              <w:right w:val="single" w:color="auto" w:sz="4" w:space="0"/>
            </w:tcBorders>
            <w:vAlign w:val="center"/>
          </w:tcPr>
          <w:p w14:paraId="544CEF1C">
            <w:pPr>
              <w:jc w:val="left"/>
              <w:rPr>
                <w:rFonts w:hint="eastAsia" w:ascii="宋体" w:hAnsi="宋体" w:cs="宋体"/>
                <w:color w:val="auto"/>
                <w:sz w:val="24"/>
                <w:highlight w:val="none"/>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267DEF1F">
            <w:pPr>
              <w:jc w:val="left"/>
              <w:rPr>
                <w:rFonts w:hint="eastAsia" w:ascii="宋体" w:hAnsi="宋体" w:cs="宋体"/>
                <w:color w:val="auto"/>
                <w:sz w:val="24"/>
                <w:highlight w:val="none"/>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14:paraId="484B4BF5">
            <w:pPr>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vAlign w:val="center"/>
          </w:tcPr>
          <w:p w14:paraId="0BADCBBA">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合同</w:t>
            </w:r>
          </w:p>
        </w:tc>
        <w:tc>
          <w:tcPr>
            <w:tcW w:w="1701" w:type="dxa"/>
            <w:tcBorders>
              <w:top w:val="single" w:color="auto" w:sz="4" w:space="0"/>
              <w:left w:val="single" w:color="auto" w:sz="4" w:space="0"/>
              <w:bottom w:val="single" w:color="auto" w:sz="4" w:space="0"/>
              <w:right w:val="single" w:color="auto" w:sz="4" w:space="0"/>
            </w:tcBorders>
            <w:vAlign w:val="center"/>
          </w:tcPr>
          <w:p w14:paraId="256D4A41">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验收报告</w:t>
            </w:r>
          </w:p>
        </w:tc>
        <w:tc>
          <w:tcPr>
            <w:tcW w:w="1276" w:type="dxa"/>
            <w:tcBorders>
              <w:top w:val="single" w:color="auto" w:sz="4" w:space="0"/>
              <w:left w:val="single" w:color="auto" w:sz="4" w:space="0"/>
              <w:bottom w:val="single" w:color="auto" w:sz="4" w:space="0"/>
              <w:right w:val="single" w:color="auto" w:sz="4" w:space="0"/>
            </w:tcBorders>
            <w:vAlign w:val="center"/>
          </w:tcPr>
          <w:p w14:paraId="6CC6757B">
            <w:pPr>
              <w:snapToGrid w:val="0"/>
              <w:spacing w:line="240" w:lineRule="exact"/>
              <w:jc w:val="center"/>
              <w:rPr>
                <w:rFonts w:hint="eastAsia" w:ascii="宋体" w:hAnsi="宋体" w:cs="宋体"/>
                <w:color w:val="auto"/>
                <w:sz w:val="24"/>
                <w:highlight w:val="none"/>
              </w:rPr>
            </w:pPr>
            <w:r>
              <w:rPr>
                <w:rFonts w:hint="eastAsia" w:ascii="宋体" w:hAnsi="宋体" w:cs="宋体"/>
                <w:color w:val="auto"/>
                <w:sz w:val="24"/>
                <w:highlight w:val="none"/>
              </w:rPr>
              <w:t>用户评价</w:t>
            </w:r>
          </w:p>
        </w:tc>
        <w:tc>
          <w:tcPr>
            <w:tcW w:w="1842" w:type="dxa"/>
            <w:vMerge w:val="continue"/>
            <w:tcBorders>
              <w:top w:val="single" w:color="auto" w:sz="4" w:space="0"/>
              <w:left w:val="single" w:color="auto" w:sz="4" w:space="0"/>
              <w:bottom w:val="single" w:color="auto" w:sz="4" w:space="0"/>
              <w:right w:val="single" w:color="auto" w:sz="4" w:space="0"/>
            </w:tcBorders>
            <w:vAlign w:val="center"/>
          </w:tcPr>
          <w:p w14:paraId="1495CFAB">
            <w:pPr>
              <w:jc w:val="left"/>
              <w:rPr>
                <w:rFonts w:hint="eastAsia" w:ascii="宋体" w:hAnsi="宋体" w:cs="宋体"/>
                <w:color w:val="auto"/>
                <w:sz w:val="24"/>
                <w:highlight w:val="none"/>
              </w:rPr>
            </w:pPr>
          </w:p>
        </w:tc>
      </w:tr>
      <w:tr w14:paraId="62EFAF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trPr>
        <w:tc>
          <w:tcPr>
            <w:tcW w:w="1384" w:type="dxa"/>
            <w:tcBorders>
              <w:top w:val="single" w:color="auto" w:sz="4" w:space="0"/>
              <w:left w:val="single" w:color="auto" w:sz="4" w:space="0"/>
              <w:bottom w:val="single" w:color="auto" w:sz="4" w:space="0"/>
              <w:right w:val="single" w:color="auto" w:sz="4" w:space="0"/>
            </w:tcBorders>
          </w:tcPr>
          <w:p w14:paraId="60C27FFD">
            <w:pPr>
              <w:snapToGrid w:val="0"/>
              <w:spacing w:line="24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20B4F5BD">
            <w:pPr>
              <w:snapToGrid w:val="0"/>
              <w:spacing w:line="24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9440B8E">
            <w:pPr>
              <w:snapToGrid w:val="0"/>
              <w:spacing w:line="24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227C33C2">
            <w:pPr>
              <w:snapToGrid w:val="0"/>
              <w:spacing w:line="24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11DA65E8">
            <w:pPr>
              <w:snapToGrid w:val="0"/>
              <w:spacing w:line="24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02843340">
            <w:pPr>
              <w:snapToGrid w:val="0"/>
              <w:spacing w:line="24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24AEDA0B">
            <w:pPr>
              <w:snapToGrid w:val="0"/>
              <w:spacing w:line="240" w:lineRule="exact"/>
              <w:jc w:val="left"/>
              <w:rPr>
                <w:rFonts w:hint="eastAsia" w:ascii="宋体" w:hAnsi="宋体" w:cs="宋体"/>
                <w:color w:val="auto"/>
                <w:sz w:val="24"/>
                <w:highlight w:val="none"/>
              </w:rPr>
            </w:pPr>
          </w:p>
        </w:tc>
      </w:tr>
      <w:tr w14:paraId="2C9934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203B8AC8">
            <w:pPr>
              <w:snapToGrid w:val="0"/>
              <w:spacing w:before="50" w:after="120" w:afterLines="50" w:line="40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2747E30A">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0BDDBBF2">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547FE710">
            <w:pPr>
              <w:snapToGrid w:val="0"/>
              <w:spacing w:before="50" w:after="120" w:afterLines="50" w:line="40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49D03AD6">
            <w:pPr>
              <w:snapToGrid w:val="0"/>
              <w:spacing w:before="50" w:after="120" w:afterLines="50" w:line="40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546DFE68">
            <w:pPr>
              <w:snapToGrid w:val="0"/>
              <w:spacing w:before="50" w:after="120" w:afterLines="50" w:line="40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1AC5AD61">
            <w:pPr>
              <w:snapToGrid w:val="0"/>
              <w:spacing w:before="50" w:after="120" w:afterLines="50" w:line="400" w:lineRule="exact"/>
              <w:jc w:val="left"/>
              <w:rPr>
                <w:rFonts w:hint="eastAsia" w:ascii="宋体" w:hAnsi="宋体" w:cs="宋体"/>
                <w:color w:val="auto"/>
                <w:sz w:val="24"/>
                <w:highlight w:val="none"/>
              </w:rPr>
            </w:pPr>
          </w:p>
        </w:tc>
      </w:tr>
      <w:tr w14:paraId="28218F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384" w:type="dxa"/>
            <w:tcBorders>
              <w:top w:val="single" w:color="auto" w:sz="4" w:space="0"/>
              <w:left w:val="single" w:color="auto" w:sz="4" w:space="0"/>
              <w:bottom w:val="single" w:color="auto" w:sz="4" w:space="0"/>
              <w:right w:val="single" w:color="auto" w:sz="4" w:space="0"/>
            </w:tcBorders>
          </w:tcPr>
          <w:p w14:paraId="0C8609BF">
            <w:pPr>
              <w:snapToGrid w:val="0"/>
              <w:spacing w:before="50" w:after="120" w:afterLines="50" w:line="40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0D308968">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1A1403EB">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0CE71D80">
            <w:pPr>
              <w:snapToGrid w:val="0"/>
              <w:spacing w:before="50" w:after="120" w:afterLines="50" w:line="40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196363C9">
            <w:pPr>
              <w:snapToGrid w:val="0"/>
              <w:spacing w:before="50" w:after="120" w:afterLines="50" w:line="40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14F7D6E9">
            <w:pPr>
              <w:snapToGrid w:val="0"/>
              <w:spacing w:before="50" w:after="120" w:afterLines="50" w:line="40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02FC67AA">
            <w:pPr>
              <w:snapToGrid w:val="0"/>
              <w:spacing w:before="50" w:after="120" w:afterLines="50" w:line="400" w:lineRule="exact"/>
              <w:jc w:val="left"/>
              <w:rPr>
                <w:rFonts w:hint="eastAsia" w:ascii="宋体" w:hAnsi="宋体" w:cs="宋体"/>
                <w:color w:val="auto"/>
                <w:sz w:val="24"/>
                <w:highlight w:val="none"/>
              </w:rPr>
            </w:pPr>
          </w:p>
        </w:tc>
      </w:tr>
      <w:tr w14:paraId="19BA28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2A787761">
            <w:pPr>
              <w:snapToGrid w:val="0"/>
              <w:spacing w:before="50" w:after="120" w:afterLines="50" w:line="40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6A88966F">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15000422">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3CAB3DBB">
            <w:pPr>
              <w:snapToGrid w:val="0"/>
              <w:spacing w:before="50" w:after="120" w:afterLines="50" w:line="40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106BFD50">
            <w:pPr>
              <w:snapToGrid w:val="0"/>
              <w:spacing w:before="50" w:after="120" w:afterLines="50" w:line="40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19E19964">
            <w:pPr>
              <w:snapToGrid w:val="0"/>
              <w:spacing w:before="50" w:after="120" w:afterLines="50" w:line="40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7EC6550F">
            <w:pPr>
              <w:snapToGrid w:val="0"/>
              <w:spacing w:before="50" w:after="120" w:afterLines="50" w:line="400" w:lineRule="exact"/>
              <w:jc w:val="left"/>
              <w:rPr>
                <w:rFonts w:hint="eastAsia" w:ascii="宋体" w:hAnsi="宋体" w:cs="宋体"/>
                <w:color w:val="auto"/>
                <w:sz w:val="24"/>
                <w:highlight w:val="none"/>
              </w:rPr>
            </w:pPr>
          </w:p>
        </w:tc>
      </w:tr>
      <w:tr w14:paraId="6B823D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384" w:type="dxa"/>
            <w:tcBorders>
              <w:top w:val="single" w:color="auto" w:sz="4" w:space="0"/>
              <w:left w:val="single" w:color="auto" w:sz="4" w:space="0"/>
              <w:bottom w:val="single" w:color="auto" w:sz="4" w:space="0"/>
              <w:right w:val="single" w:color="auto" w:sz="4" w:space="0"/>
            </w:tcBorders>
          </w:tcPr>
          <w:p w14:paraId="15AE6AF8">
            <w:pPr>
              <w:snapToGrid w:val="0"/>
              <w:spacing w:before="50" w:after="120" w:afterLines="50" w:line="400" w:lineRule="exact"/>
              <w:jc w:val="left"/>
              <w:rPr>
                <w:rFonts w:hint="eastAsia" w:ascii="宋体" w:hAnsi="宋体" w:cs="宋体"/>
                <w:color w:val="auto"/>
                <w:sz w:val="24"/>
                <w:highlight w:val="none"/>
              </w:rPr>
            </w:pPr>
          </w:p>
        </w:tc>
        <w:tc>
          <w:tcPr>
            <w:tcW w:w="1843" w:type="dxa"/>
            <w:tcBorders>
              <w:top w:val="single" w:color="auto" w:sz="4" w:space="0"/>
              <w:left w:val="single" w:color="auto" w:sz="4" w:space="0"/>
              <w:bottom w:val="single" w:color="auto" w:sz="4" w:space="0"/>
              <w:right w:val="single" w:color="auto" w:sz="4" w:space="0"/>
            </w:tcBorders>
          </w:tcPr>
          <w:p w14:paraId="5F4A5F7E">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433E55D7">
            <w:pPr>
              <w:snapToGrid w:val="0"/>
              <w:spacing w:before="50" w:after="120" w:afterLines="50" w:line="400" w:lineRule="exact"/>
              <w:jc w:val="left"/>
              <w:rPr>
                <w:rFonts w:hint="eastAsia" w:ascii="宋体" w:hAnsi="宋体" w:cs="宋体"/>
                <w:color w:val="auto"/>
                <w:sz w:val="24"/>
                <w:highlight w:val="none"/>
              </w:rPr>
            </w:pPr>
          </w:p>
        </w:tc>
        <w:tc>
          <w:tcPr>
            <w:tcW w:w="1134" w:type="dxa"/>
            <w:tcBorders>
              <w:top w:val="single" w:color="auto" w:sz="4" w:space="0"/>
              <w:left w:val="single" w:color="auto" w:sz="4" w:space="0"/>
              <w:bottom w:val="single" w:color="auto" w:sz="4" w:space="0"/>
              <w:right w:val="single" w:color="auto" w:sz="4" w:space="0"/>
            </w:tcBorders>
          </w:tcPr>
          <w:p w14:paraId="496FF69E">
            <w:pPr>
              <w:snapToGrid w:val="0"/>
              <w:spacing w:before="50" w:after="120" w:afterLines="50" w:line="400" w:lineRule="exact"/>
              <w:jc w:val="left"/>
              <w:rPr>
                <w:rFonts w:hint="eastAsia" w:ascii="宋体" w:hAnsi="宋体" w:cs="宋体"/>
                <w:color w:val="auto"/>
                <w:sz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6754D93F">
            <w:pPr>
              <w:snapToGrid w:val="0"/>
              <w:spacing w:before="50" w:after="120" w:afterLines="50" w:line="400" w:lineRule="exact"/>
              <w:jc w:val="left"/>
              <w:rPr>
                <w:rFonts w:hint="eastAsia" w:ascii="宋体" w:hAnsi="宋体" w:cs="宋体"/>
                <w:color w:val="auto"/>
                <w:sz w:val="24"/>
                <w:highlight w:val="none"/>
              </w:rPr>
            </w:pPr>
          </w:p>
        </w:tc>
        <w:tc>
          <w:tcPr>
            <w:tcW w:w="1276" w:type="dxa"/>
            <w:tcBorders>
              <w:top w:val="single" w:color="auto" w:sz="4" w:space="0"/>
              <w:left w:val="single" w:color="auto" w:sz="4" w:space="0"/>
              <w:bottom w:val="single" w:color="auto" w:sz="4" w:space="0"/>
              <w:right w:val="single" w:color="auto" w:sz="4" w:space="0"/>
            </w:tcBorders>
          </w:tcPr>
          <w:p w14:paraId="3D1F3B86">
            <w:pPr>
              <w:snapToGrid w:val="0"/>
              <w:spacing w:before="50" w:after="120" w:afterLines="50" w:line="400" w:lineRule="exact"/>
              <w:jc w:val="left"/>
              <w:rPr>
                <w:rFonts w:hint="eastAsia" w:ascii="宋体" w:hAnsi="宋体" w:cs="宋体"/>
                <w:color w:val="auto"/>
                <w:sz w:val="24"/>
                <w:highlight w:val="none"/>
              </w:rPr>
            </w:pPr>
          </w:p>
        </w:tc>
        <w:tc>
          <w:tcPr>
            <w:tcW w:w="1842" w:type="dxa"/>
            <w:tcBorders>
              <w:top w:val="single" w:color="auto" w:sz="4" w:space="0"/>
              <w:left w:val="single" w:color="auto" w:sz="4" w:space="0"/>
              <w:bottom w:val="single" w:color="auto" w:sz="4" w:space="0"/>
              <w:right w:val="single" w:color="auto" w:sz="4" w:space="0"/>
            </w:tcBorders>
          </w:tcPr>
          <w:p w14:paraId="723B6442">
            <w:pPr>
              <w:snapToGrid w:val="0"/>
              <w:spacing w:before="50" w:after="120" w:afterLines="50" w:line="400" w:lineRule="exact"/>
              <w:jc w:val="left"/>
              <w:rPr>
                <w:rFonts w:hint="eastAsia" w:ascii="宋体" w:hAnsi="宋体" w:cs="宋体"/>
                <w:color w:val="auto"/>
                <w:sz w:val="24"/>
                <w:highlight w:val="none"/>
              </w:rPr>
            </w:pPr>
          </w:p>
        </w:tc>
      </w:tr>
    </w:tbl>
    <w:p w14:paraId="7E786575">
      <w:pPr>
        <w:snapToGrid w:val="0"/>
        <w:ind w:left="480" w:hanging="480" w:hangingChars="200"/>
        <w:contextualSpacing/>
        <w:rPr>
          <w:rFonts w:hint="eastAsia" w:ascii="宋体" w:hAnsi="宋体" w:cs="宋体"/>
          <w:color w:val="auto"/>
          <w:sz w:val="24"/>
          <w:highlight w:val="none"/>
        </w:rPr>
      </w:pPr>
    </w:p>
    <w:p w14:paraId="6BD92985">
      <w:pPr>
        <w:snapToGrid w:val="0"/>
        <w:ind w:left="480" w:hanging="480" w:hangingChars="200"/>
        <w:contextualSpacing/>
        <w:rPr>
          <w:rFonts w:hint="eastAsia" w:ascii="宋体" w:hAnsi="宋体" w:cs="宋体"/>
          <w:color w:val="auto"/>
          <w:sz w:val="24"/>
          <w:highlight w:val="none"/>
        </w:rPr>
      </w:pPr>
    </w:p>
    <w:p w14:paraId="051AC270">
      <w:pPr>
        <w:autoSpaceDE w:val="0"/>
        <w:autoSpaceDN w:val="0"/>
        <w:spacing w:line="360" w:lineRule="auto"/>
        <w:ind w:firstLine="120"/>
        <w:rPr>
          <w:rFonts w:hint="eastAsia" w:ascii="宋体" w:hAnsi="宋体" w:cs="宋体"/>
          <w:color w:val="auto"/>
          <w:sz w:val="24"/>
          <w:highlight w:val="none"/>
        </w:rPr>
      </w:pPr>
      <w:r>
        <w:rPr>
          <w:rFonts w:hint="eastAsia" w:ascii="宋体" w:hAnsi="宋体" w:cs="宋体"/>
          <w:b/>
          <w:color w:val="auto"/>
          <w:sz w:val="24"/>
          <w:highlight w:val="none"/>
        </w:rPr>
        <w:t>附表 ：相关项目业绩一览表（供应商同类项目合同复印件格式自拟）</w:t>
      </w:r>
    </w:p>
    <w:p w14:paraId="6EA2048C">
      <w:pPr>
        <w:spacing w:line="360" w:lineRule="auto"/>
        <w:ind w:left="72"/>
        <w:rPr>
          <w:rFonts w:hint="eastAsia" w:ascii="宋体" w:hAnsi="宋体" w:cs="宋体"/>
          <w:color w:val="auto"/>
          <w:kern w:val="0"/>
          <w:sz w:val="20"/>
          <w:szCs w:val="21"/>
          <w:highlight w:val="none"/>
        </w:rPr>
      </w:pPr>
      <w:r>
        <w:rPr>
          <w:rFonts w:hint="eastAsia" w:ascii="宋体" w:hAnsi="宋体" w:cs="宋体"/>
          <w:color w:val="auto"/>
          <w:kern w:val="0"/>
          <w:sz w:val="20"/>
          <w:szCs w:val="21"/>
          <w:highlight w:val="none"/>
        </w:rPr>
        <w:t>注：供应商可按上述的格式自行编制，须随表提交相应的合同复印件并注明所在供应商商务技术文件页码。</w:t>
      </w:r>
    </w:p>
    <w:p w14:paraId="58956219">
      <w:pPr>
        <w:snapToGrid w:val="0"/>
        <w:spacing w:line="360" w:lineRule="auto"/>
        <w:ind w:firstLine="4935" w:firstLineChars="2350"/>
        <w:rPr>
          <w:rFonts w:hint="eastAsia" w:ascii="宋体" w:hAnsi="宋体" w:cs="宋体"/>
          <w:color w:val="auto"/>
          <w:szCs w:val="21"/>
          <w:highlight w:val="none"/>
        </w:rPr>
      </w:pPr>
      <w:r>
        <w:rPr>
          <w:rFonts w:hint="eastAsia" w:ascii="宋体" w:hAnsi="宋体" w:cs="宋体"/>
          <w:color w:val="auto"/>
          <w:szCs w:val="21"/>
          <w:highlight w:val="none"/>
        </w:rPr>
        <w:t xml:space="preserve"> </w:t>
      </w:r>
    </w:p>
    <w:p w14:paraId="75E14101">
      <w:pPr>
        <w:snapToGrid w:val="0"/>
        <w:spacing w:line="360" w:lineRule="auto"/>
        <w:ind w:firstLine="4935" w:firstLineChars="2350"/>
        <w:rPr>
          <w:rFonts w:hint="eastAsia" w:ascii="宋体" w:hAnsi="宋体" w:cs="宋体"/>
          <w:color w:val="auto"/>
          <w:szCs w:val="21"/>
          <w:highlight w:val="none"/>
        </w:rPr>
      </w:pPr>
    </w:p>
    <w:p w14:paraId="5D87C117">
      <w:pPr>
        <w:snapToGrid w:val="0"/>
        <w:spacing w:line="360" w:lineRule="auto"/>
        <w:ind w:left="4410" w:leftChars="2100" w:firstLine="5670" w:firstLineChars="2700"/>
        <w:rPr>
          <w:rFonts w:hint="eastAsia" w:ascii="宋体" w:hAnsi="宋体" w:cs="宋体"/>
          <w:color w:val="auto"/>
          <w:kern w:val="0"/>
          <w:sz w:val="24"/>
          <w:highlight w:val="none"/>
        </w:rPr>
      </w:pPr>
      <w:r>
        <w:rPr>
          <w:rFonts w:hint="eastAsia" w:ascii="宋体" w:hAnsi="宋体" w:cs="宋体"/>
          <w:color w:val="auto"/>
          <w:szCs w:val="21"/>
          <w:highlight w:val="none"/>
        </w:rPr>
        <w:t xml:space="preserve"> </w:t>
      </w:r>
      <w:r>
        <w:rPr>
          <w:rFonts w:hint="eastAsia" w:ascii="宋体" w:hAnsi="宋体" w:cs="宋体"/>
          <w:color w:val="auto"/>
          <w:kern w:val="0"/>
          <w:sz w:val="24"/>
          <w:highlight w:val="none"/>
          <w:lang w:val="zh-CN"/>
        </w:rPr>
        <w:t>供应商名称(电子签章)：</w:t>
      </w:r>
    </w:p>
    <w:p w14:paraId="3C0787C4">
      <w:pPr>
        <w:spacing w:line="500" w:lineRule="exact"/>
        <w:jc w:val="center"/>
        <w:rPr>
          <w:rFonts w:hint="eastAsia" w:ascii="宋体" w:hAnsi="宋体" w:cs="宋体"/>
          <w:color w:val="auto"/>
          <w:sz w:val="32"/>
          <w:szCs w:val="32"/>
          <w:highlight w:val="none"/>
        </w:rPr>
        <w:sectPr>
          <w:pgSz w:w="11910" w:h="16840"/>
          <w:pgMar w:top="1440" w:right="1080" w:bottom="1440" w:left="1080" w:header="720" w:footer="720" w:gutter="0"/>
          <w:cols w:space="720" w:num="1"/>
        </w:sectPr>
      </w:pPr>
      <w:r>
        <w:rPr>
          <w:rFonts w:hint="eastAsia" w:ascii="宋体" w:hAnsi="宋体" w:cs="宋体"/>
          <w:color w:val="auto"/>
          <w:kern w:val="0"/>
          <w:sz w:val="24"/>
          <w:highlight w:val="none"/>
          <w:lang w:val="zh-CN"/>
        </w:rPr>
        <w:t xml:space="preserve">                                                     日期</w:t>
      </w:r>
      <w:r>
        <w:rPr>
          <w:rFonts w:hint="eastAsia" w:ascii="宋体" w:hAnsi="宋体" w:cs="宋体"/>
          <w:color w:val="auto"/>
          <w:kern w:val="0"/>
          <w:sz w:val="24"/>
          <w:highlight w:val="none"/>
        </w:rPr>
        <w:t xml:space="preserve">：  年  </w:t>
      </w:r>
      <w:r>
        <w:rPr>
          <w:rFonts w:hint="eastAsia" w:ascii="宋体" w:hAnsi="宋体" w:cs="宋体"/>
          <w:color w:val="auto"/>
          <w:kern w:val="0"/>
          <w:sz w:val="24"/>
          <w:highlight w:val="none"/>
          <w:lang w:val="zh-CN"/>
        </w:rPr>
        <w:t>月</w:t>
      </w:r>
      <w:r>
        <w:rPr>
          <w:rFonts w:hint="eastAsia" w:ascii="宋体" w:hAnsi="宋体" w:cs="宋体"/>
          <w:color w:val="auto"/>
          <w:kern w:val="0"/>
          <w:sz w:val="24"/>
          <w:highlight w:val="none"/>
        </w:rPr>
        <w:t xml:space="preserve">   </w:t>
      </w:r>
      <w:r>
        <w:rPr>
          <w:rFonts w:hint="eastAsia" w:ascii="宋体" w:hAnsi="宋体" w:cs="宋体"/>
          <w:color w:val="auto"/>
          <w:kern w:val="0"/>
          <w:sz w:val="24"/>
          <w:highlight w:val="none"/>
          <w:lang w:val="zh-CN"/>
        </w:rPr>
        <w:t>日</w:t>
      </w:r>
    </w:p>
    <w:p w14:paraId="07F04013">
      <w:pPr>
        <w:snapToGrid w:val="0"/>
        <w:spacing w:line="360" w:lineRule="auto"/>
        <w:rPr>
          <w:rFonts w:hint="eastAsia" w:ascii="宋体" w:hAnsi="宋体" w:cs="宋体"/>
          <w:b/>
          <w:color w:val="auto"/>
          <w:sz w:val="30"/>
          <w:szCs w:val="30"/>
          <w:highlight w:val="none"/>
        </w:rPr>
      </w:pPr>
      <w:r>
        <w:rPr>
          <w:rFonts w:hint="eastAsia" w:ascii="宋体" w:hAnsi="宋体" w:cs="宋体"/>
          <w:b/>
          <w:color w:val="auto"/>
          <w:sz w:val="30"/>
          <w:szCs w:val="30"/>
          <w:highlight w:val="none"/>
        </w:rPr>
        <w:t>七、技术要求偏离表</w:t>
      </w:r>
    </w:p>
    <w:p w14:paraId="26D6D286">
      <w:pPr>
        <w:spacing w:line="500" w:lineRule="exact"/>
        <w:jc w:val="center"/>
        <w:rPr>
          <w:rFonts w:hint="eastAsia" w:ascii="宋体" w:hAnsi="宋体" w:cs="宋体"/>
          <w:color w:val="auto"/>
          <w:sz w:val="32"/>
          <w:szCs w:val="32"/>
          <w:highlight w:val="none"/>
        </w:rPr>
      </w:pPr>
    </w:p>
    <w:p w14:paraId="1A572C4F">
      <w:pPr>
        <w:spacing w:line="500" w:lineRule="exact"/>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技术要求偏离表</w:t>
      </w:r>
    </w:p>
    <w:p w14:paraId="1D4B8D12">
      <w:pPr>
        <w:spacing w:line="500" w:lineRule="exact"/>
        <w:jc w:val="center"/>
        <w:rPr>
          <w:rFonts w:hint="eastAsia" w:ascii="宋体" w:hAnsi="宋体" w:cs="宋体"/>
          <w:b/>
          <w:color w:val="auto"/>
          <w:sz w:val="32"/>
          <w:szCs w:val="32"/>
          <w:highlight w:val="none"/>
        </w:rPr>
      </w:pPr>
      <w:r>
        <w:rPr>
          <w:rFonts w:hint="eastAsia" w:ascii="宋体" w:hAnsi="宋体" w:cs="宋体"/>
          <w:bCs/>
          <w:color w:val="auto"/>
          <w:sz w:val="44"/>
          <w:szCs w:val="44"/>
          <w:highlight w:val="none"/>
        </w:rPr>
        <w:t>(注：按采购需求具体条款修改)</w:t>
      </w:r>
    </w:p>
    <w:p w14:paraId="766FB21E">
      <w:pPr>
        <w:spacing w:line="360" w:lineRule="auto"/>
        <w:contextualSpacing/>
        <w:jc w:val="left"/>
        <w:rPr>
          <w:rFonts w:hint="eastAsia" w:ascii="宋体" w:hAnsi="宋体" w:cs="宋体"/>
          <w:color w:val="auto"/>
          <w:sz w:val="24"/>
          <w:highlight w:val="none"/>
        </w:rPr>
      </w:pPr>
    </w:p>
    <w:p w14:paraId="36112D26">
      <w:pPr>
        <w:spacing w:line="360" w:lineRule="auto"/>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所竞分标：              </w:t>
      </w:r>
    </w:p>
    <w:tbl>
      <w:tblPr>
        <w:tblStyle w:val="33"/>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1406"/>
        <w:gridCol w:w="2850"/>
        <w:gridCol w:w="1404"/>
        <w:gridCol w:w="2223"/>
        <w:gridCol w:w="1346"/>
      </w:tblGrid>
      <w:tr w14:paraId="5B4D0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jc w:val="center"/>
        </w:trPr>
        <w:tc>
          <w:tcPr>
            <w:tcW w:w="364" w:type="pct"/>
            <w:vMerge w:val="restart"/>
            <w:tcBorders>
              <w:top w:val="single" w:color="auto" w:sz="4" w:space="0"/>
              <w:left w:val="single" w:color="auto" w:sz="4" w:space="0"/>
              <w:bottom w:val="single" w:color="auto" w:sz="4" w:space="0"/>
              <w:right w:val="single" w:color="auto" w:sz="4" w:space="0"/>
            </w:tcBorders>
            <w:vAlign w:val="center"/>
          </w:tcPr>
          <w:p w14:paraId="4BFDD535">
            <w:pPr>
              <w:rPr>
                <w:rFonts w:hint="eastAsia" w:ascii="宋体" w:hAnsi="宋体" w:cs="宋体"/>
                <w:color w:val="auto"/>
                <w:szCs w:val="21"/>
                <w:highlight w:val="none"/>
              </w:rPr>
            </w:pPr>
            <w:r>
              <w:rPr>
                <w:rFonts w:hint="eastAsia" w:ascii="宋体" w:hAnsi="宋体" w:cs="宋体"/>
                <w:color w:val="auto"/>
                <w:szCs w:val="21"/>
                <w:highlight w:val="none"/>
              </w:rPr>
              <w:t>项号</w:t>
            </w:r>
          </w:p>
        </w:tc>
        <w:tc>
          <w:tcPr>
            <w:tcW w:w="2137" w:type="pct"/>
            <w:gridSpan w:val="2"/>
            <w:tcBorders>
              <w:top w:val="single" w:color="auto" w:sz="4" w:space="0"/>
              <w:left w:val="single" w:color="auto" w:sz="4" w:space="0"/>
              <w:bottom w:val="single" w:color="auto" w:sz="4" w:space="0"/>
              <w:right w:val="single" w:color="auto" w:sz="4" w:space="0"/>
            </w:tcBorders>
            <w:vAlign w:val="center"/>
          </w:tcPr>
          <w:p w14:paraId="63E93A41">
            <w:pPr>
              <w:jc w:val="center"/>
              <w:rPr>
                <w:rFonts w:hint="eastAsia" w:ascii="宋体" w:hAnsi="宋体" w:cs="宋体"/>
                <w:color w:val="auto"/>
                <w:szCs w:val="21"/>
                <w:highlight w:val="none"/>
              </w:rPr>
            </w:pPr>
            <w:r>
              <w:rPr>
                <w:rFonts w:hint="eastAsia" w:ascii="宋体" w:hAnsi="宋体" w:cs="宋体"/>
                <w:color w:val="auto"/>
                <w:szCs w:val="21"/>
                <w:highlight w:val="none"/>
              </w:rPr>
              <w:t>竞争性谈判采购文件需求</w:t>
            </w:r>
          </w:p>
        </w:tc>
        <w:tc>
          <w:tcPr>
            <w:tcW w:w="1821" w:type="pct"/>
            <w:gridSpan w:val="2"/>
            <w:tcBorders>
              <w:top w:val="single" w:color="auto" w:sz="4" w:space="0"/>
              <w:left w:val="single" w:color="auto" w:sz="4" w:space="0"/>
              <w:bottom w:val="single" w:color="auto" w:sz="4" w:space="0"/>
              <w:right w:val="single" w:color="auto" w:sz="4" w:space="0"/>
            </w:tcBorders>
            <w:vAlign w:val="center"/>
          </w:tcPr>
          <w:p w14:paraId="056CADF4">
            <w:pPr>
              <w:jc w:val="center"/>
              <w:rPr>
                <w:rFonts w:hint="eastAsia" w:ascii="宋体" w:hAnsi="宋体" w:cs="宋体"/>
                <w:color w:val="auto"/>
                <w:szCs w:val="21"/>
                <w:highlight w:val="none"/>
              </w:rPr>
            </w:pPr>
            <w:r>
              <w:rPr>
                <w:rFonts w:hint="eastAsia" w:ascii="宋体" w:hAnsi="宋体" w:cs="宋体"/>
                <w:color w:val="auto"/>
                <w:szCs w:val="21"/>
                <w:highlight w:val="none"/>
              </w:rPr>
              <w:t>响应文件承诺</w:t>
            </w:r>
          </w:p>
        </w:tc>
        <w:tc>
          <w:tcPr>
            <w:tcW w:w="676" w:type="pct"/>
            <w:vMerge w:val="restart"/>
            <w:tcBorders>
              <w:top w:val="single" w:color="auto" w:sz="4" w:space="0"/>
              <w:left w:val="single" w:color="auto" w:sz="4" w:space="0"/>
              <w:bottom w:val="single" w:color="auto" w:sz="4" w:space="0"/>
              <w:right w:val="single" w:color="auto" w:sz="4" w:space="0"/>
            </w:tcBorders>
            <w:vAlign w:val="center"/>
          </w:tcPr>
          <w:p w14:paraId="355A110E">
            <w:pPr>
              <w:rPr>
                <w:rFonts w:hint="eastAsia" w:ascii="宋体" w:hAnsi="宋体" w:cs="宋体"/>
                <w:color w:val="auto"/>
                <w:szCs w:val="21"/>
                <w:highlight w:val="none"/>
              </w:rPr>
            </w:pPr>
            <w:r>
              <w:rPr>
                <w:rFonts w:hint="eastAsia" w:ascii="宋体" w:hAnsi="宋体" w:cs="宋体"/>
                <w:color w:val="auto"/>
                <w:szCs w:val="21"/>
                <w:highlight w:val="none"/>
              </w:rPr>
              <w:t>偏离说明</w:t>
            </w:r>
          </w:p>
        </w:tc>
      </w:tr>
      <w:tr w14:paraId="7349D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1" w:hRule="atLeast"/>
          <w:jc w:val="center"/>
        </w:trPr>
        <w:tc>
          <w:tcPr>
            <w:tcW w:w="364" w:type="pct"/>
            <w:vMerge w:val="continue"/>
            <w:tcBorders>
              <w:top w:val="single" w:color="auto" w:sz="4" w:space="0"/>
              <w:left w:val="single" w:color="auto" w:sz="4" w:space="0"/>
              <w:bottom w:val="single" w:color="auto" w:sz="4" w:space="0"/>
              <w:right w:val="single" w:color="auto" w:sz="4" w:space="0"/>
            </w:tcBorders>
            <w:vAlign w:val="center"/>
          </w:tcPr>
          <w:p w14:paraId="362DF708">
            <w:pPr>
              <w:widowControl/>
              <w:jc w:val="left"/>
              <w:rPr>
                <w:rFonts w:hint="eastAsia" w:ascii="宋体" w:hAnsi="宋体" w:cs="宋体"/>
                <w:color w:val="auto"/>
                <w:szCs w:val="21"/>
                <w:highlight w:val="none"/>
              </w:rPr>
            </w:pPr>
          </w:p>
        </w:tc>
        <w:tc>
          <w:tcPr>
            <w:tcW w:w="706" w:type="pct"/>
            <w:tcBorders>
              <w:top w:val="single" w:color="auto" w:sz="4" w:space="0"/>
              <w:left w:val="single" w:color="auto" w:sz="4" w:space="0"/>
              <w:bottom w:val="single" w:color="auto" w:sz="4" w:space="0"/>
              <w:right w:val="single" w:color="auto" w:sz="4" w:space="0"/>
            </w:tcBorders>
            <w:vAlign w:val="center"/>
          </w:tcPr>
          <w:p w14:paraId="1C6ACC8B">
            <w:pPr>
              <w:rPr>
                <w:rFonts w:hint="eastAsia" w:ascii="宋体" w:hAnsi="宋体" w:cs="宋体"/>
                <w:color w:val="auto"/>
                <w:szCs w:val="21"/>
                <w:highlight w:val="none"/>
              </w:rPr>
            </w:pPr>
            <w:r>
              <w:rPr>
                <w:rFonts w:hint="eastAsia" w:ascii="宋体" w:hAnsi="宋体" w:cs="宋体"/>
                <w:color w:val="auto"/>
                <w:szCs w:val="21"/>
                <w:highlight w:val="none"/>
                <w:lang w:val="en-US" w:eastAsia="zh-CN"/>
              </w:rPr>
              <w:t>标的</w:t>
            </w:r>
            <w:r>
              <w:rPr>
                <w:rFonts w:hint="eastAsia" w:ascii="宋体" w:hAnsi="宋体" w:cs="宋体"/>
                <w:color w:val="auto"/>
                <w:szCs w:val="21"/>
                <w:highlight w:val="none"/>
              </w:rPr>
              <w:t>名称</w:t>
            </w:r>
          </w:p>
        </w:tc>
        <w:tc>
          <w:tcPr>
            <w:tcW w:w="1431" w:type="pct"/>
            <w:tcBorders>
              <w:top w:val="single" w:color="auto" w:sz="4" w:space="0"/>
              <w:left w:val="single" w:color="auto" w:sz="4" w:space="0"/>
              <w:bottom w:val="single" w:color="auto" w:sz="4" w:space="0"/>
              <w:right w:val="single" w:color="auto" w:sz="4" w:space="0"/>
            </w:tcBorders>
            <w:vAlign w:val="center"/>
          </w:tcPr>
          <w:p w14:paraId="4835B3C8">
            <w:pPr>
              <w:rPr>
                <w:rFonts w:hint="eastAsia" w:ascii="宋体" w:hAnsi="宋体" w:cs="宋体"/>
                <w:color w:val="auto"/>
                <w:szCs w:val="21"/>
                <w:highlight w:val="none"/>
              </w:rPr>
            </w:pPr>
            <w:r>
              <w:rPr>
                <w:rFonts w:hint="eastAsia" w:ascii="宋体" w:hAnsi="宋体" w:cs="宋体"/>
                <w:color w:val="auto"/>
                <w:szCs w:val="21"/>
                <w:highlight w:val="none"/>
              </w:rPr>
              <w:t>规格、技术参数、性能及要求</w:t>
            </w:r>
          </w:p>
        </w:tc>
        <w:tc>
          <w:tcPr>
            <w:tcW w:w="705" w:type="pct"/>
            <w:tcBorders>
              <w:top w:val="single" w:color="auto" w:sz="4" w:space="0"/>
              <w:left w:val="single" w:color="auto" w:sz="4" w:space="0"/>
              <w:bottom w:val="single" w:color="auto" w:sz="4" w:space="0"/>
              <w:right w:val="single" w:color="auto" w:sz="4" w:space="0"/>
            </w:tcBorders>
            <w:vAlign w:val="center"/>
          </w:tcPr>
          <w:p w14:paraId="4F3EDDD7">
            <w:pPr>
              <w:rPr>
                <w:rFonts w:hint="eastAsia" w:ascii="宋体" w:hAnsi="宋体" w:cs="宋体"/>
                <w:color w:val="auto"/>
                <w:szCs w:val="21"/>
                <w:highlight w:val="none"/>
              </w:rPr>
            </w:pPr>
            <w:r>
              <w:rPr>
                <w:rFonts w:hint="eastAsia" w:ascii="宋体" w:hAnsi="宋体" w:cs="宋体"/>
                <w:color w:val="auto"/>
                <w:szCs w:val="21"/>
                <w:highlight w:val="none"/>
                <w:lang w:val="en-US" w:eastAsia="zh-CN"/>
              </w:rPr>
              <w:t>竞标产品</w:t>
            </w:r>
            <w:r>
              <w:rPr>
                <w:rFonts w:hint="eastAsia" w:ascii="宋体" w:hAnsi="宋体" w:cs="宋体"/>
                <w:color w:val="auto"/>
                <w:szCs w:val="21"/>
                <w:highlight w:val="none"/>
              </w:rPr>
              <w:t>名称</w:t>
            </w:r>
          </w:p>
        </w:tc>
        <w:tc>
          <w:tcPr>
            <w:tcW w:w="1116" w:type="pct"/>
            <w:tcBorders>
              <w:top w:val="single" w:color="auto" w:sz="4" w:space="0"/>
              <w:left w:val="single" w:color="auto" w:sz="4" w:space="0"/>
              <w:bottom w:val="single" w:color="auto" w:sz="4" w:space="0"/>
              <w:right w:val="single" w:color="auto" w:sz="4" w:space="0"/>
            </w:tcBorders>
            <w:vAlign w:val="center"/>
          </w:tcPr>
          <w:p w14:paraId="39D1674F">
            <w:pPr>
              <w:rPr>
                <w:rFonts w:hint="eastAsia" w:ascii="宋体" w:hAnsi="宋体" w:cs="宋体"/>
                <w:color w:val="auto"/>
                <w:szCs w:val="21"/>
                <w:highlight w:val="none"/>
              </w:rPr>
            </w:pPr>
            <w:r>
              <w:rPr>
                <w:rFonts w:hint="eastAsia" w:ascii="宋体" w:hAnsi="宋体" w:cs="宋体"/>
                <w:color w:val="auto"/>
                <w:szCs w:val="21"/>
                <w:highlight w:val="none"/>
              </w:rPr>
              <w:t>竞标产品的规格、技术参数、性能及要求</w:t>
            </w:r>
          </w:p>
        </w:tc>
        <w:tc>
          <w:tcPr>
            <w:tcW w:w="676" w:type="pct"/>
            <w:vMerge w:val="continue"/>
            <w:tcBorders>
              <w:top w:val="single" w:color="auto" w:sz="4" w:space="0"/>
              <w:left w:val="single" w:color="auto" w:sz="4" w:space="0"/>
              <w:bottom w:val="single" w:color="auto" w:sz="4" w:space="0"/>
              <w:right w:val="single" w:color="auto" w:sz="4" w:space="0"/>
            </w:tcBorders>
            <w:vAlign w:val="center"/>
          </w:tcPr>
          <w:p w14:paraId="31751240">
            <w:pPr>
              <w:widowControl/>
              <w:jc w:val="left"/>
              <w:rPr>
                <w:rFonts w:hint="eastAsia" w:ascii="宋体" w:hAnsi="宋体" w:cs="宋体"/>
                <w:color w:val="auto"/>
                <w:szCs w:val="21"/>
                <w:highlight w:val="none"/>
              </w:rPr>
            </w:pPr>
          </w:p>
        </w:tc>
      </w:tr>
      <w:tr w14:paraId="78561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364" w:type="pct"/>
            <w:tcBorders>
              <w:top w:val="single" w:color="auto" w:sz="4" w:space="0"/>
              <w:left w:val="single" w:color="auto" w:sz="4" w:space="0"/>
              <w:bottom w:val="single" w:color="auto" w:sz="4" w:space="0"/>
              <w:right w:val="single" w:color="auto" w:sz="4" w:space="0"/>
            </w:tcBorders>
            <w:vAlign w:val="center"/>
          </w:tcPr>
          <w:p w14:paraId="73F6C3C8">
            <w:pPr>
              <w:rPr>
                <w:rFonts w:hint="eastAsia" w:ascii="宋体" w:hAnsi="宋体" w:cs="宋体"/>
                <w:color w:val="auto"/>
                <w:szCs w:val="21"/>
                <w:highlight w:val="none"/>
              </w:rPr>
            </w:pPr>
            <w:r>
              <w:rPr>
                <w:rFonts w:hint="eastAsia" w:ascii="宋体" w:hAnsi="宋体" w:cs="宋体"/>
                <w:color w:val="auto"/>
                <w:szCs w:val="21"/>
                <w:highlight w:val="none"/>
              </w:rPr>
              <w:t>1</w:t>
            </w:r>
          </w:p>
        </w:tc>
        <w:tc>
          <w:tcPr>
            <w:tcW w:w="706" w:type="pct"/>
            <w:tcBorders>
              <w:top w:val="single" w:color="auto" w:sz="4" w:space="0"/>
              <w:left w:val="single" w:color="auto" w:sz="4" w:space="0"/>
              <w:bottom w:val="single" w:color="auto" w:sz="4" w:space="0"/>
              <w:right w:val="single" w:color="auto" w:sz="4" w:space="0"/>
            </w:tcBorders>
            <w:vAlign w:val="center"/>
          </w:tcPr>
          <w:p w14:paraId="5CC1BC3A">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431" w:type="pct"/>
            <w:tcBorders>
              <w:top w:val="single" w:color="auto" w:sz="4" w:space="0"/>
              <w:left w:val="single" w:color="auto" w:sz="4" w:space="0"/>
              <w:bottom w:val="single" w:color="auto" w:sz="4" w:space="0"/>
              <w:right w:val="single" w:color="auto" w:sz="4" w:space="0"/>
            </w:tcBorders>
            <w:vAlign w:val="center"/>
          </w:tcPr>
          <w:p w14:paraId="0F5EDE8E">
            <w:pPr>
              <w:rPr>
                <w:rFonts w:hint="eastAsia" w:ascii="宋体" w:hAnsi="宋体" w:cs="宋体"/>
                <w:color w:val="auto"/>
                <w:szCs w:val="21"/>
                <w:highlight w:val="none"/>
              </w:rPr>
            </w:pPr>
            <w:r>
              <w:rPr>
                <w:rFonts w:hint="eastAsia" w:ascii="宋体" w:hAnsi="宋体" w:cs="宋体"/>
                <w:color w:val="auto"/>
                <w:szCs w:val="21"/>
                <w:highlight w:val="none"/>
              </w:rPr>
              <w:t>1  ……</w:t>
            </w:r>
          </w:p>
          <w:p w14:paraId="458CAD20">
            <w:pPr>
              <w:rPr>
                <w:rFonts w:hint="eastAsia" w:ascii="宋体" w:hAnsi="宋体" w:cs="宋体"/>
                <w:color w:val="auto"/>
                <w:szCs w:val="21"/>
                <w:highlight w:val="none"/>
              </w:rPr>
            </w:pPr>
            <w:r>
              <w:rPr>
                <w:rFonts w:hint="eastAsia" w:ascii="宋体" w:hAnsi="宋体" w:cs="宋体"/>
                <w:color w:val="auto"/>
                <w:szCs w:val="21"/>
                <w:highlight w:val="none"/>
              </w:rPr>
              <w:t>2  ……</w:t>
            </w:r>
          </w:p>
          <w:p w14:paraId="40DA7FAA">
            <w:pPr>
              <w:rPr>
                <w:rFonts w:hint="eastAsia" w:ascii="宋体" w:hAnsi="宋体" w:cs="宋体"/>
                <w:color w:val="auto"/>
                <w:szCs w:val="21"/>
                <w:highlight w:val="none"/>
              </w:rPr>
            </w:pPr>
            <w:r>
              <w:rPr>
                <w:rFonts w:hint="eastAsia" w:ascii="宋体" w:hAnsi="宋体" w:cs="宋体"/>
                <w:color w:val="auto"/>
                <w:szCs w:val="21"/>
                <w:highlight w:val="none"/>
              </w:rPr>
              <w:t>3  ……</w:t>
            </w:r>
          </w:p>
          <w:p w14:paraId="19606AD6">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705" w:type="pct"/>
            <w:tcBorders>
              <w:top w:val="single" w:color="auto" w:sz="4" w:space="0"/>
              <w:left w:val="single" w:color="auto" w:sz="4" w:space="0"/>
              <w:bottom w:val="single" w:color="auto" w:sz="4" w:space="0"/>
              <w:right w:val="single" w:color="auto" w:sz="4" w:space="0"/>
            </w:tcBorders>
            <w:vAlign w:val="center"/>
          </w:tcPr>
          <w:p w14:paraId="22EF518F">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116" w:type="pct"/>
            <w:tcBorders>
              <w:top w:val="single" w:color="auto" w:sz="4" w:space="0"/>
              <w:left w:val="single" w:color="auto" w:sz="4" w:space="0"/>
              <w:bottom w:val="single" w:color="auto" w:sz="4" w:space="0"/>
              <w:right w:val="single" w:color="auto" w:sz="4" w:space="0"/>
            </w:tcBorders>
            <w:vAlign w:val="center"/>
          </w:tcPr>
          <w:p w14:paraId="5218AF2B">
            <w:pPr>
              <w:rPr>
                <w:rFonts w:hint="eastAsia" w:ascii="宋体" w:hAnsi="宋体" w:cs="宋体"/>
                <w:color w:val="auto"/>
                <w:szCs w:val="21"/>
                <w:highlight w:val="none"/>
              </w:rPr>
            </w:pPr>
            <w:r>
              <w:rPr>
                <w:rFonts w:hint="eastAsia" w:ascii="宋体" w:hAnsi="宋体" w:cs="宋体"/>
                <w:color w:val="auto"/>
                <w:szCs w:val="21"/>
                <w:highlight w:val="none"/>
              </w:rPr>
              <w:t>1  ……</w:t>
            </w:r>
          </w:p>
          <w:p w14:paraId="1804E4C2">
            <w:pPr>
              <w:rPr>
                <w:rFonts w:hint="eastAsia" w:ascii="宋体" w:hAnsi="宋体" w:cs="宋体"/>
                <w:color w:val="auto"/>
                <w:szCs w:val="21"/>
                <w:highlight w:val="none"/>
              </w:rPr>
            </w:pPr>
            <w:r>
              <w:rPr>
                <w:rFonts w:hint="eastAsia" w:ascii="宋体" w:hAnsi="宋体" w:cs="宋体"/>
                <w:color w:val="auto"/>
                <w:szCs w:val="21"/>
                <w:highlight w:val="none"/>
              </w:rPr>
              <w:t>2  ……</w:t>
            </w:r>
          </w:p>
          <w:p w14:paraId="0EC89BAE">
            <w:pPr>
              <w:rPr>
                <w:rFonts w:hint="eastAsia" w:ascii="宋体" w:hAnsi="宋体" w:cs="宋体"/>
                <w:color w:val="auto"/>
                <w:szCs w:val="21"/>
                <w:highlight w:val="none"/>
              </w:rPr>
            </w:pPr>
            <w:r>
              <w:rPr>
                <w:rFonts w:hint="eastAsia" w:ascii="宋体" w:hAnsi="宋体" w:cs="宋体"/>
                <w:color w:val="auto"/>
                <w:szCs w:val="21"/>
                <w:highlight w:val="none"/>
              </w:rPr>
              <w:t>3  ……</w:t>
            </w:r>
          </w:p>
          <w:p w14:paraId="41091457">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676" w:type="pct"/>
            <w:tcBorders>
              <w:top w:val="single" w:color="auto" w:sz="4" w:space="0"/>
              <w:left w:val="single" w:color="auto" w:sz="4" w:space="0"/>
              <w:bottom w:val="single" w:color="auto" w:sz="4" w:space="0"/>
              <w:right w:val="single" w:color="auto" w:sz="4" w:space="0"/>
            </w:tcBorders>
            <w:vAlign w:val="center"/>
          </w:tcPr>
          <w:p w14:paraId="145E14F1">
            <w:pPr>
              <w:rPr>
                <w:rFonts w:hint="eastAsia" w:ascii="宋体" w:hAnsi="宋体" w:cs="宋体"/>
                <w:b/>
                <w:bCs/>
                <w:color w:val="auto"/>
                <w:szCs w:val="21"/>
                <w:highlight w:val="none"/>
              </w:rPr>
            </w:pPr>
          </w:p>
        </w:tc>
      </w:tr>
      <w:tr w14:paraId="26768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 w:hRule="atLeast"/>
          <w:jc w:val="center"/>
        </w:trPr>
        <w:tc>
          <w:tcPr>
            <w:tcW w:w="364" w:type="pct"/>
            <w:tcBorders>
              <w:top w:val="single" w:color="auto" w:sz="4" w:space="0"/>
              <w:left w:val="single" w:color="auto" w:sz="4" w:space="0"/>
              <w:bottom w:val="single" w:color="auto" w:sz="4" w:space="0"/>
              <w:right w:val="single" w:color="auto" w:sz="4" w:space="0"/>
            </w:tcBorders>
            <w:vAlign w:val="center"/>
          </w:tcPr>
          <w:p w14:paraId="18FE8464">
            <w:pPr>
              <w:rPr>
                <w:rFonts w:hint="eastAsia" w:ascii="宋体" w:hAnsi="宋体" w:cs="宋体"/>
                <w:color w:val="auto"/>
                <w:szCs w:val="21"/>
                <w:highlight w:val="none"/>
              </w:rPr>
            </w:pPr>
            <w:r>
              <w:rPr>
                <w:rFonts w:hint="eastAsia" w:ascii="宋体" w:hAnsi="宋体" w:cs="宋体"/>
                <w:color w:val="auto"/>
                <w:szCs w:val="21"/>
                <w:highlight w:val="none"/>
              </w:rPr>
              <w:t>2</w:t>
            </w:r>
          </w:p>
        </w:tc>
        <w:tc>
          <w:tcPr>
            <w:tcW w:w="706" w:type="pct"/>
            <w:tcBorders>
              <w:top w:val="single" w:color="auto" w:sz="4" w:space="0"/>
              <w:left w:val="single" w:color="auto" w:sz="4" w:space="0"/>
              <w:bottom w:val="single" w:color="auto" w:sz="4" w:space="0"/>
              <w:right w:val="single" w:color="auto" w:sz="4" w:space="0"/>
            </w:tcBorders>
            <w:vAlign w:val="center"/>
          </w:tcPr>
          <w:p w14:paraId="7729AEE4">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431" w:type="pct"/>
            <w:tcBorders>
              <w:top w:val="single" w:color="auto" w:sz="4" w:space="0"/>
              <w:left w:val="single" w:color="auto" w:sz="4" w:space="0"/>
              <w:bottom w:val="single" w:color="auto" w:sz="4" w:space="0"/>
              <w:right w:val="single" w:color="auto" w:sz="4" w:space="0"/>
            </w:tcBorders>
            <w:vAlign w:val="center"/>
          </w:tcPr>
          <w:p w14:paraId="1527545F">
            <w:pPr>
              <w:rPr>
                <w:rFonts w:hint="eastAsia" w:ascii="宋体" w:hAnsi="宋体" w:cs="宋体"/>
                <w:color w:val="auto"/>
                <w:szCs w:val="21"/>
                <w:highlight w:val="none"/>
              </w:rPr>
            </w:pPr>
            <w:r>
              <w:rPr>
                <w:rFonts w:hint="eastAsia" w:ascii="宋体" w:hAnsi="宋体" w:cs="宋体"/>
                <w:color w:val="auto"/>
                <w:szCs w:val="21"/>
                <w:highlight w:val="none"/>
              </w:rPr>
              <w:t>1  ……</w:t>
            </w:r>
          </w:p>
          <w:p w14:paraId="20DC7796">
            <w:pPr>
              <w:rPr>
                <w:rFonts w:hint="eastAsia" w:ascii="宋体" w:hAnsi="宋体" w:cs="宋体"/>
                <w:color w:val="auto"/>
                <w:szCs w:val="21"/>
                <w:highlight w:val="none"/>
              </w:rPr>
            </w:pPr>
            <w:r>
              <w:rPr>
                <w:rFonts w:hint="eastAsia" w:ascii="宋体" w:hAnsi="宋体" w:cs="宋体"/>
                <w:color w:val="auto"/>
                <w:szCs w:val="21"/>
                <w:highlight w:val="none"/>
              </w:rPr>
              <w:t>2  ……</w:t>
            </w:r>
          </w:p>
          <w:p w14:paraId="44E47C60">
            <w:pPr>
              <w:rPr>
                <w:rFonts w:hint="eastAsia" w:ascii="宋体" w:hAnsi="宋体" w:cs="宋体"/>
                <w:color w:val="auto"/>
                <w:szCs w:val="21"/>
                <w:highlight w:val="none"/>
              </w:rPr>
            </w:pPr>
            <w:r>
              <w:rPr>
                <w:rFonts w:hint="eastAsia" w:ascii="宋体" w:hAnsi="宋体" w:cs="宋体"/>
                <w:color w:val="auto"/>
                <w:szCs w:val="21"/>
                <w:highlight w:val="none"/>
              </w:rPr>
              <w:t>3  ……</w:t>
            </w:r>
          </w:p>
          <w:p w14:paraId="0C844246">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705" w:type="pct"/>
            <w:tcBorders>
              <w:top w:val="single" w:color="auto" w:sz="4" w:space="0"/>
              <w:left w:val="single" w:color="auto" w:sz="4" w:space="0"/>
              <w:bottom w:val="single" w:color="auto" w:sz="4" w:space="0"/>
              <w:right w:val="single" w:color="auto" w:sz="4" w:space="0"/>
            </w:tcBorders>
            <w:vAlign w:val="center"/>
          </w:tcPr>
          <w:p w14:paraId="48EF3146">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1116" w:type="pct"/>
            <w:tcBorders>
              <w:top w:val="single" w:color="auto" w:sz="4" w:space="0"/>
              <w:left w:val="single" w:color="auto" w:sz="4" w:space="0"/>
              <w:bottom w:val="single" w:color="auto" w:sz="4" w:space="0"/>
              <w:right w:val="single" w:color="auto" w:sz="4" w:space="0"/>
            </w:tcBorders>
            <w:vAlign w:val="center"/>
          </w:tcPr>
          <w:p w14:paraId="1B422CF7">
            <w:pPr>
              <w:rPr>
                <w:rFonts w:hint="eastAsia" w:ascii="宋体" w:hAnsi="宋体" w:cs="宋体"/>
                <w:color w:val="auto"/>
                <w:szCs w:val="21"/>
                <w:highlight w:val="none"/>
              </w:rPr>
            </w:pPr>
            <w:r>
              <w:rPr>
                <w:rFonts w:hint="eastAsia" w:ascii="宋体" w:hAnsi="宋体" w:cs="宋体"/>
                <w:color w:val="auto"/>
                <w:szCs w:val="21"/>
                <w:highlight w:val="none"/>
              </w:rPr>
              <w:t>1  ……</w:t>
            </w:r>
          </w:p>
          <w:p w14:paraId="54C3ADBC">
            <w:pPr>
              <w:rPr>
                <w:rFonts w:hint="eastAsia" w:ascii="宋体" w:hAnsi="宋体" w:cs="宋体"/>
                <w:color w:val="auto"/>
                <w:szCs w:val="21"/>
                <w:highlight w:val="none"/>
              </w:rPr>
            </w:pPr>
            <w:r>
              <w:rPr>
                <w:rFonts w:hint="eastAsia" w:ascii="宋体" w:hAnsi="宋体" w:cs="宋体"/>
                <w:color w:val="auto"/>
                <w:szCs w:val="21"/>
                <w:highlight w:val="none"/>
              </w:rPr>
              <w:t>2  ……</w:t>
            </w:r>
          </w:p>
          <w:p w14:paraId="71ECF35D">
            <w:pPr>
              <w:rPr>
                <w:rFonts w:hint="eastAsia" w:ascii="宋体" w:hAnsi="宋体" w:cs="宋体"/>
                <w:color w:val="auto"/>
                <w:szCs w:val="21"/>
                <w:highlight w:val="none"/>
              </w:rPr>
            </w:pPr>
            <w:r>
              <w:rPr>
                <w:rFonts w:hint="eastAsia" w:ascii="宋体" w:hAnsi="宋体" w:cs="宋体"/>
                <w:color w:val="auto"/>
                <w:szCs w:val="21"/>
                <w:highlight w:val="none"/>
              </w:rPr>
              <w:t>3  ……</w:t>
            </w:r>
          </w:p>
          <w:p w14:paraId="2A413078">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676" w:type="pct"/>
            <w:tcBorders>
              <w:top w:val="single" w:color="auto" w:sz="4" w:space="0"/>
              <w:left w:val="single" w:color="auto" w:sz="4" w:space="0"/>
              <w:bottom w:val="single" w:color="auto" w:sz="4" w:space="0"/>
              <w:right w:val="single" w:color="auto" w:sz="4" w:space="0"/>
            </w:tcBorders>
            <w:vAlign w:val="center"/>
          </w:tcPr>
          <w:p w14:paraId="21ED44D6">
            <w:pPr>
              <w:rPr>
                <w:rFonts w:hint="eastAsia" w:ascii="宋体" w:hAnsi="宋体" w:cs="宋体"/>
                <w:b/>
                <w:bCs/>
                <w:color w:val="auto"/>
                <w:szCs w:val="21"/>
                <w:highlight w:val="none"/>
              </w:rPr>
            </w:pPr>
          </w:p>
        </w:tc>
      </w:tr>
      <w:tr w14:paraId="4888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364" w:type="pct"/>
            <w:tcBorders>
              <w:top w:val="single" w:color="auto" w:sz="4" w:space="0"/>
              <w:left w:val="single" w:color="auto" w:sz="4" w:space="0"/>
              <w:bottom w:val="single" w:color="auto" w:sz="4" w:space="0"/>
              <w:right w:val="single" w:color="auto" w:sz="4" w:space="0"/>
            </w:tcBorders>
            <w:vAlign w:val="center"/>
          </w:tcPr>
          <w:p w14:paraId="2C00B4E7">
            <w:pPr>
              <w:rPr>
                <w:rFonts w:hint="eastAsia" w:ascii="宋体" w:hAnsi="宋体" w:cs="宋体"/>
                <w:color w:val="auto"/>
                <w:szCs w:val="21"/>
                <w:highlight w:val="none"/>
              </w:rPr>
            </w:pPr>
            <w:r>
              <w:rPr>
                <w:rFonts w:hint="eastAsia" w:ascii="宋体" w:hAnsi="宋体" w:cs="宋体"/>
                <w:color w:val="auto"/>
                <w:szCs w:val="21"/>
                <w:highlight w:val="none"/>
              </w:rPr>
              <w:t>...</w:t>
            </w:r>
          </w:p>
        </w:tc>
        <w:tc>
          <w:tcPr>
            <w:tcW w:w="706" w:type="pct"/>
            <w:tcBorders>
              <w:top w:val="single" w:color="auto" w:sz="4" w:space="0"/>
              <w:left w:val="single" w:color="auto" w:sz="4" w:space="0"/>
              <w:bottom w:val="single" w:color="auto" w:sz="4" w:space="0"/>
              <w:right w:val="single" w:color="auto" w:sz="4" w:space="0"/>
            </w:tcBorders>
            <w:vAlign w:val="center"/>
          </w:tcPr>
          <w:p w14:paraId="3228CD26">
            <w:pPr>
              <w:rPr>
                <w:rFonts w:hint="eastAsia" w:ascii="宋体" w:hAnsi="宋体" w:cs="宋体"/>
                <w:color w:val="auto"/>
                <w:szCs w:val="21"/>
                <w:highlight w:val="none"/>
              </w:rPr>
            </w:pPr>
          </w:p>
        </w:tc>
        <w:tc>
          <w:tcPr>
            <w:tcW w:w="1431" w:type="pct"/>
            <w:tcBorders>
              <w:top w:val="single" w:color="auto" w:sz="4" w:space="0"/>
              <w:left w:val="single" w:color="auto" w:sz="4" w:space="0"/>
              <w:bottom w:val="single" w:color="auto" w:sz="4" w:space="0"/>
              <w:right w:val="single" w:color="auto" w:sz="4" w:space="0"/>
            </w:tcBorders>
            <w:vAlign w:val="center"/>
          </w:tcPr>
          <w:p w14:paraId="6252EC5D">
            <w:pPr>
              <w:rPr>
                <w:rFonts w:hint="eastAsia" w:ascii="宋体" w:hAnsi="宋体" w:cs="宋体"/>
                <w:color w:val="auto"/>
                <w:szCs w:val="21"/>
                <w:highlight w:val="none"/>
              </w:rPr>
            </w:pPr>
          </w:p>
        </w:tc>
        <w:tc>
          <w:tcPr>
            <w:tcW w:w="705" w:type="pct"/>
            <w:tcBorders>
              <w:top w:val="single" w:color="auto" w:sz="4" w:space="0"/>
              <w:left w:val="single" w:color="auto" w:sz="4" w:space="0"/>
              <w:bottom w:val="single" w:color="auto" w:sz="4" w:space="0"/>
              <w:right w:val="single" w:color="auto" w:sz="4" w:space="0"/>
            </w:tcBorders>
            <w:vAlign w:val="center"/>
          </w:tcPr>
          <w:p w14:paraId="2242A984">
            <w:pPr>
              <w:rPr>
                <w:rFonts w:hint="eastAsia" w:ascii="宋体" w:hAnsi="宋体" w:cs="宋体"/>
                <w:color w:val="auto"/>
                <w:szCs w:val="21"/>
                <w:highlight w:val="none"/>
              </w:rPr>
            </w:pPr>
          </w:p>
        </w:tc>
        <w:tc>
          <w:tcPr>
            <w:tcW w:w="1116" w:type="pct"/>
            <w:tcBorders>
              <w:top w:val="single" w:color="auto" w:sz="4" w:space="0"/>
              <w:left w:val="single" w:color="auto" w:sz="4" w:space="0"/>
              <w:bottom w:val="single" w:color="auto" w:sz="4" w:space="0"/>
              <w:right w:val="single" w:color="auto" w:sz="4" w:space="0"/>
            </w:tcBorders>
            <w:vAlign w:val="center"/>
          </w:tcPr>
          <w:p w14:paraId="726DFED9">
            <w:pPr>
              <w:rPr>
                <w:rFonts w:hint="eastAsia" w:ascii="宋体" w:hAnsi="宋体" w:cs="宋体"/>
                <w:color w:val="auto"/>
                <w:szCs w:val="21"/>
                <w:highlight w:val="none"/>
              </w:rPr>
            </w:pPr>
          </w:p>
        </w:tc>
        <w:tc>
          <w:tcPr>
            <w:tcW w:w="676" w:type="pct"/>
            <w:tcBorders>
              <w:top w:val="single" w:color="auto" w:sz="4" w:space="0"/>
              <w:left w:val="single" w:color="auto" w:sz="4" w:space="0"/>
              <w:bottom w:val="single" w:color="auto" w:sz="4" w:space="0"/>
              <w:right w:val="single" w:color="auto" w:sz="4" w:space="0"/>
            </w:tcBorders>
            <w:vAlign w:val="center"/>
          </w:tcPr>
          <w:p w14:paraId="00D6B921">
            <w:pPr>
              <w:rPr>
                <w:rFonts w:hint="eastAsia" w:ascii="宋体" w:hAnsi="宋体" w:cs="宋体"/>
                <w:color w:val="auto"/>
                <w:szCs w:val="21"/>
                <w:highlight w:val="none"/>
              </w:rPr>
            </w:pPr>
          </w:p>
        </w:tc>
      </w:tr>
    </w:tbl>
    <w:p w14:paraId="4759C013">
      <w:pPr>
        <w:spacing w:line="360" w:lineRule="auto"/>
        <w:contextualSpacing/>
        <w:rPr>
          <w:rFonts w:hint="eastAsia" w:ascii="宋体" w:hAnsi="宋体" w:cs="宋体"/>
          <w:color w:val="auto"/>
          <w:kern w:val="0"/>
          <w:szCs w:val="21"/>
          <w:highlight w:val="none"/>
        </w:rPr>
      </w:pPr>
      <w:r>
        <w:rPr>
          <w:rFonts w:hint="eastAsia" w:ascii="宋体" w:hAnsi="宋体" w:cs="宋体"/>
          <w:color w:val="auto"/>
          <w:kern w:val="0"/>
          <w:szCs w:val="21"/>
          <w:highlight w:val="none"/>
        </w:rPr>
        <w:t>注：</w:t>
      </w:r>
    </w:p>
    <w:p w14:paraId="592A65C7">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cs="宋体"/>
          <w:color w:val="auto"/>
          <w:kern w:val="0"/>
          <w:szCs w:val="21"/>
          <w:highlight w:val="none"/>
        </w:rPr>
      </w:pPr>
      <w:r>
        <w:rPr>
          <w:rFonts w:hint="eastAsia" w:ascii="宋体" w:hAnsi="宋体" w:cs="宋体"/>
          <w:color w:val="auto"/>
          <w:kern w:val="0"/>
          <w:szCs w:val="21"/>
          <w:highlight w:val="none"/>
        </w:rPr>
        <w:t>1.说明：应对照谈判文件“第二章”中“货物需求一览表”的“货物名称”及“规格、技术参数、性能及要求”逐条作出明确响应，并作出偏离说明。</w:t>
      </w:r>
    </w:p>
    <w:p w14:paraId="4A8F6B11">
      <w:pPr>
        <w:keepNext w:val="0"/>
        <w:keepLines w:val="0"/>
        <w:pageBreakBefore w:val="0"/>
        <w:widowControl w:val="0"/>
        <w:kinsoku/>
        <w:wordWrap/>
        <w:overflowPunct/>
        <w:topLinePunct w:val="0"/>
        <w:autoSpaceDE/>
        <w:autoSpaceDN/>
        <w:bidi w:val="0"/>
        <w:adjustRightInd/>
        <w:snapToGrid/>
        <w:spacing w:line="360" w:lineRule="auto"/>
        <w:ind w:firstLine="420" w:firstLineChars="200"/>
        <w:contextualSpacing/>
        <w:textAlignment w:val="auto"/>
        <w:rPr>
          <w:rFonts w:hint="eastAsia" w:ascii="宋体" w:hAnsi="宋体" w:cs="宋体"/>
          <w:color w:val="auto"/>
          <w:szCs w:val="21"/>
          <w:highlight w:val="none"/>
        </w:rPr>
      </w:pPr>
      <w:r>
        <w:rPr>
          <w:rFonts w:hint="eastAsia" w:ascii="宋体" w:hAnsi="宋体" w:cs="宋体"/>
          <w:color w:val="auto"/>
          <w:szCs w:val="21"/>
          <w:highlight w:val="none"/>
        </w:rPr>
        <w:t>2.供应商应对照谈判文件要求，根据自身的承诺，</w:t>
      </w:r>
      <w:r>
        <w:rPr>
          <w:rFonts w:hint="eastAsia" w:ascii="宋体" w:hAnsi="宋体"/>
          <w:color w:val="auto"/>
          <w:highlight w:val="none"/>
        </w:rPr>
        <w:t>应当写明具体数值的须明确具体数值，否则作竞标无效处理，</w:t>
      </w:r>
      <w:r>
        <w:rPr>
          <w:rFonts w:hint="eastAsia" w:ascii="宋体" w:hAnsi="宋体" w:cs="宋体"/>
          <w:b/>
          <w:bCs/>
          <w:color w:val="auto"/>
          <w:szCs w:val="21"/>
          <w:highlight w:val="none"/>
        </w:rPr>
        <w:t>在“偏离说明”中注明“正偏离”、“负偏离”或者“无偏离”。既不属于“正偏离”也不属于“负偏离”即为“无偏离”。</w:t>
      </w:r>
      <w:r>
        <w:rPr>
          <w:rFonts w:hint="eastAsia" w:ascii="宋体" w:hAnsi="宋体" w:cs="宋体"/>
          <w:color w:val="auto"/>
          <w:szCs w:val="21"/>
          <w:highlight w:val="none"/>
        </w:rPr>
        <w:t xml:space="preserve"> 当响应文件的商务内容低于竞争性谈判采购文件要求时，竞标人应当如实写明“负偏离”。</w:t>
      </w:r>
    </w:p>
    <w:p w14:paraId="31A769D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color w:val="auto"/>
          <w:highlight w:val="none"/>
        </w:rPr>
      </w:pPr>
      <w:r>
        <w:rPr>
          <w:rFonts w:hint="eastAsia"/>
          <w:color w:val="auto"/>
          <w:highlight w:val="none"/>
        </w:rPr>
        <w:t>3.供应商应根据自身实际情况如实响应竞争性谈判文件，不得仅将竞争性谈判文件内容简单复制粘贴作为竞标响应，供应商响应技术参数要求应如实明确具体数值，否则将作无效响应处理（定制采购项目不适用本条款）。对于带“※”的重要参数技术参数应当在响应文件中提供技术支持资料，技术支持资料以</w:t>
      </w:r>
      <w:r>
        <w:rPr>
          <w:rFonts w:hint="eastAsia" w:ascii="宋体" w:hAnsi="宋体" w:cs="宋体"/>
          <w:color w:val="auto"/>
          <w:szCs w:val="21"/>
          <w:highlight w:val="none"/>
        </w:rPr>
        <w:t>竞标时须提供功能截图或承诺书</w:t>
      </w:r>
      <w:r>
        <w:rPr>
          <w:rFonts w:hint="eastAsia"/>
          <w:color w:val="auto"/>
          <w:highlight w:val="none"/>
        </w:rPr>
        <w:t>（加盖公章）</w:t>
      </w:r>
      <w:r>
        <w:rPr>
          <w:rFonts w:hint="eastAsia" w:ascii="宋体" w:hAnsi="宋体" w:cs="宋体"/>
          <w:color w:val="auto"/>
          <w:szCs w:val="21"/>
          <w:highlight w:val="none"/>
        </w:rPr>
        <w:t>，验收时提供经国家认可的第三方检测机构出具的产品功能测试报告</w:t>
      </w:r>
      <w:r>
        <w:rPr>
          <w:rFonts w:hint="eastAsia"/>
          <w:color w:val="auto"/>
          <w:highlight w:val="none"/>
        </w:rPr>
        <w:t>。</w:t>
      </w:r>
    </w:p>
    <w:p w14:paraId="7B0B5AF7">
      <w:pPr>
        <w:keepNext w:val="0"/>
        <w:keepLines w:val="0"/>
        <w:pageBreakBefore w:val="0"/>
        <w:widowControl w:val="0"/>
        <w:kinsoku/>
        <w:wordWrap/>
        <w:overflowPunct/>
        <w:topLinePunct w:val="0"/>
        <w:autoSpaceDE/>
        <w:autoSpaceDN/>
        <w:bidi w:val="0"/>
        <w:adjustRightInd/>
        <w:snapToGrid/>
        <w:spacing w:after="120" w:line="360" w:lineRule="auto"/>
        <w:ind w:firstLine="420" w:firstLineChars="200"/>
        <w:contextualSpacing/>
        <w:textAlignment w:val="auto"/>
        <w:rPr>
          <w:rFonts w:hint="eastAsia" w:ascii="宋体" w:hAnsi="宋体" w:cs="宋体"/>
          <w:color w:val="auto"/>
          <w:szCs w:val="21"/>
          <w:highlight w:val="none"/>
        </w:rPr>
      </w:pPr>
      <w:r>
        <w:rPr>
          <w:rFonts w:hint="eastAsia" w:ascii="宋体" w:hAnsi="宋体" w:cs="宋体"/>
          <w:color w:val="auto"/>
          <w:szCs w:val="21"/>
          <w:highlight w:val="none"/>
          <w:lang w:val="en-US" w:eastAsia="zh-CN"/>
        </w:rPr>
        <w:t>4</w:t>
      </w:r>
      <w:r>
        <w:rPr>
          <w:rFonts w:hint="eastAsia" w:ascii="宋体" w:hAnsi="宋体" w:cs="宋体"/>
          <w:color w:val="auto"/>
          <w:szCs w:val="21"/>
          <w:highlight w:val="none"/>
        </w:rPr>
        <w:t>.表格内容均需按要求填写并盖章，不得留空，否则按竞标无效处理。</w:t>
      </w:r>
    </w:p>
    <w:p w14:paraId="0C34E30F">
      <w:pPr>
        <w:keepNext w:val="0"/>
        <w:keepLines w:val="0"/>
        <w:pageBreakBefore w:val="0"/>
        <w:widowControl w:val="0"/>
        <w:kinsoku/>
        <w:wordWrap/>
        <w:overflowPunct/>
        <w:topLinePunct w:val="0"/>
        <w:autoSpaceDE/>
        <w:autoSpaceDN/>
        <w:bidi w:val="0"/>
        <w:adjustRightInd/>
        <w:snapToGrid/>
        <w:spacing w:after="120" w:line="360" w:lineRule="auto"/>
        <w:ind w:firstLine="420" w:firstLineChars="200"/>
        <w:contextualSpacing/>
        <w:textAlignment w:val="auto"/>
        <w:rPr>
          <w:rFonts w:hint="eastAsia" w:ascii="宋体" w:hAnsi="宋体" w:cs="宋体"/>
          <w:b/>
          <w:color w:val="auto"/>
          <w:sz w:val="30"/>
          <w:szCs w:val="30"/>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 如技术偏离表中的竞标响应与佐证材料不一致的，以佐证材料为准。</w:t>
      </w:r>
    </w:p>
    <w:p w14:paraId="63F76008">
      <w:pPr>
        <w:keepNext w:val="0"/>
        <w:keepLines w:val="0"/>
        <w:pageBreakBefore w:val="0"/>
        <w:widowControl w:val="0"/>
        <w:kinsoku/>
        <w:wordWrap/>
        <w:overflowPunct/>
        <w:topLinePunct w:val="0"/>
        <w:autoSpaceDE w:val="0"/>
        <w:autoSpaceDN w:val="0"/>
        <w:bidi w:val="0"/>
        <w:adjustRightInd/>
        <w:snapToGrid/>
        <w:spacing w:line="360" w:lineRule="auto"/>
        <w:ind w:left="4095" w:leftChars="1950" w:firstLine="480" w:firstLineChars="200"/>
        <w:textAlignment w:val="auto"/>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42C0BD8">
      <w:pPr>
        <w:keepNext w:val="0"/>
        <w:keepLines w:val="0"/>
        <w:pageBreakBefore w:val="0"/>
        <w:widowControl w:val="0"/>
        <w:kinsoku/>
        <w:wordWrap/>
        <w:overflowPunct/>
        <w:topLinePunct w:val="0"/>
        <w:autoSpaceDE w:val="0"/>
        <w:autoSpaceDN w:val="0"/>
        <w:bidi w:val="0"/>
        <w:adjustRightInd/>
        <w:snapToGrid/>
        <w:spacing w:line="360" w:lineRule="auto"/>
        <w:ind w:firstLine="4800" w:firstLineChars="2000"/>
        <w:textAlignment w:val="auto"/>
        <w:rPr>
          <w:rFonts w:hint="eastAsia" w:ascii="宋体" w:hAnsi="宋体" w:cs="宋体"/>
          <w:color w:val="auto"/>
          <w:sz w:val="32"/>
          <w:szCs w:val="32"/>
          <w:highlight w:val="none"/>
        </w:rPr>
        <w:sectPr>
          <w:pgSz w:w="11910" w:h="16840"/>
          <w:pgMar w:top="1440" w:right="1080" w:bottom="1440" w:left="1080" w:header="720" w:footer="720" w:gutter="0"/>
          <w:cols w:space="720" w:num="1"/>
        </w:sectPr>
      </w:pPr>
      <w:r>
        <w:rPr>
          <w:rFonts w:hint="eastAsia" w:ascii="宋体" w:hAnsi="宋体" w:cs="宋体"/>
          <w:color w:val="auto"/>
          <w:kern w:val="0"/>
          <w:sz w:val="24"/>
          <w:highlight w:val="none"/>
          <w:lang w:val="zh-CN"/>
        </w:rPr>
        <w:t>日期：  年  月   日</w:t>
      </w:r>
    </w:p>
    <w:p w14:paraId="48CF1763">
      <w:pPr>
        <w:snapToGrid w:val="0"/>
        <w:spacing w:before="120" w:beforeLines="50" w:after="50"/>
        <w:rPr>
          <w:rFonts w:hint="default" w:ascii="宋体" w:hAnsi="宋体" w:eastAsia="宋体" w:cs="宋体"/>
          <w:b/>
          <w:color w:val="auto"/>
          <w:sz w:val="30"/>
          <w:szCs w:val="30"/>
          <w:highlight w:val="none"/>
          <w:lang w:val="en-US" w:eastAsia="zh-CN"/>
        </w:rPr>
      </w:pPr>
      <w:r>
        <w:rPr>
          <w:rFonts w:hint="eastAsia" w:ascii="宋体" w:hAnsi="宋体" w:cs="宋体"/>
          <w:b/>
          <w:color w:val="auto"/>
          <w:sz w:val="30"/>
          <w:szCs w:val="30"/>
          <w:highlight w:val="none"/>
        </w:rPr>
        <w:t>八、售后服务承诺、售后服务方案</w:t>
      </w:r>
      <w:r>
        <w:rPr>
          <w:rFonts w:hint="eastAsia" w:ascii="宋体" w:hAnsi="宋体" w:cs="宋体"/>
          <w:b/>
          <w:color w:val="auto"/>
          <w:sz w:val="30"/>
          <w:szCs w:val="30"/>
          <w:highlight w:val="none"/>
          <w:lang w:eastAsia="zh-CN"/>
        </w:rPr>
        <w:t>（</w:t>
      </w:r>
      <w:r>
        <w:rPr>
          <w:rFonts w:hint="eastAsia" w:ascii="宋体" w:hAnsi="宋体" w:cs="宋体"/>
          <w:b/>
          <w:color w:val="auto"/>
          <w:sz w:val="30"/>
          <w:szCs w:val="30"/>
          <w:highlight w:val="none"/>
          <w:lang w:val="en-US" w:eastAsia="zh-CN"/>
        </w:rPr>
        <w:t>格式自拟）</w:t>
      </w:r>
    </w:p>
    <w:p w14:paraId="4BC11A77">
      <w:pPr>
        <w:snapToGrid w:val="0"/>
        <w:spacing w:before="120" w:beforeLines="50" w:after="50"/>
        <w:ind w:firstLine="420" w:firstLineChars="200"/>
        <w:rPr>
          <w:rFonts w:hint="eastAsia" w:ascii="宋体" w:hAnsi="宋体" w:cs="宋体"/>
          <w:b/>
          <w:color w:val="auto"/>
          <w:szCs w:val="21"/>
          <w:highlight w:val="none"/>
        </w:rPr>
      </w:pPr>
      <w:r>
        <w:rPr>
          <w:rFonts w:hint="eastAsia" w:ascii="宋体" w:hAnsi="宋体" w:cs="宋体"/>
          <w:color w:val="auto"/>
          <w:szCs w:val="21"/>
          <w:highlight w:val="none"/>
        </w:rPr>
        <w:t>由竞标人按本项目竞争性谈判采购文件第二章 采购需求“货物需求一览表”中商务条款部分的售后服务要求自行填写，其中要包含售后服务承诺书。</w:t>
      </w:r>
    </w:p>
    <w:p w14:paraId="63426188">
      <w:pPr>
        <w:spacing w:line="500" w:lineRule="exact"/>
        <w:rPr>
          <w:rFonts w:hint="eastAsia" w:ascii="宋体" w:hAnsi="宋体" w:cs="宋体"/>
          <w:color w:val="auto"/>
          <w:sz w:val="32"/>
          <w:szCs w:val="32"/>
          <w:highlight w:val="none"/>
        </w:rPr>
      </w:pPr>
    </w:p>
    <w:p w14:paraId="29931017">
      <w:pPr>
        <w:spacing w:line="500" w:lineRule="exact"/>
        <w:rPr>
          <w:rFonts w:hint="eastAsia" w:ascii="宋体" w:hAnsi="宋体" w:cs="宋体"/>
          <w:color w:val="auto"/>
          <w:sz w:val="32"/>
          <w:szCs w:val="32"/>
          <w:highlight w:val="none"/>
        </w:rPr>
      </w:pPr>
    </w:p>
    <w:p w14:paraId="78F37822">
      <w:pPr>
        <w:spacing w:line="500" w:lineRule="exact"/>
        <w:rPr>
          <w:rFonts w:hint="eastAsia" w:ascii="宋体" w:hAnsi="宋体" w:cs="宋体"/>
          <w:color w:val="auto"/>
          <w:sz w:val="32"/>
          <w:szCs w:val="32"/>
          <w:highlight w:val="none"/>
        </w:rPr>
      </w:pPr>
    </w:p>
    <w:p w14:paraId="04A48B48">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377FF9B6">
      <w:pPr>
        <w:snapToGrid w:val="0"/>
        <w:spacing w:line="360" w:lineRule="auto"/>
        <w:ind w:firstLine="4320" w:firstLineChars="1800"/>
        <w:rPr>
          <w:rFonts w:hint="eastAsia" w:ascii="宋体" w:hAnsi="宋体" w:cs="宋体"/>
          <w:b/>
          <w:color w:val="auto"/>
          <w:sz w:val="30"/>
          <w:szCs w:val="30"/>
          <w:highlight w:val="none"/>
        </w:rPr>
      </w:pPr>
      <w:r>
        <w:rPr>
          <w:rFonts w:hint="eastAsia" w:ascii="宋体" w:hAnsi="宋体" w:cs="宋体"/>
          <w:color w:val="auto"/>
          <w:kern w:val="0"/>
          <w:sz w:val="24"/>
          <w:highlight w:val="none"/>
          <w:lang w:val="zh-CN"/>
        </w:rPr>
        <w:t>日期：  年  月   日</w:t>
      </w:r>
      <w:r>
        <w:rPr>
          <w:rFonts w:hint="eastAsia" w:ascii="宋体" w:hAnsi="宋体" w:cs="宋体"/>
          <w:b/>
          <w:color w:val="auto"/>
          <w:sz w:val="30"/>
          <w:szCs w:val="30"/>
          <w:highlight w:val="none"/>
        </w:rPr>
        <w:br w:type="page"/>
      </w:r>
      <w:r>
        <w:rPr>
          <w:rFonts w:hint="eastAsia" w:ascii="宋体" w:hAnsi="宋体" w:cs="宋体"/>
          <w:b/>
          <w:color w:val="auto"/>
          <w:sz w:val="30"/>
          <w:szCs w:val="30"/>
          <w:highlight w:val="none"/>
        </w:rPr>
        <w:t>九、技术服务、技术培训</w:t>
      </w:r>
      <w:r>
        <w:rPr>
          <w:rFonts w:hint="eastAsia" w:ascii="宋体" w:hAnsi="宋体" w:cs="宋体"/>
          <w:b/>
          <w:color w:val="auto"/>
          <w:sz w:val="30"/>
          <w:szCs w:val="30"/>
          <w:highlight w:val="none"/>
          <w:lang w:val="en-US" w:eastAsia="zh-CN"/>
        </w:rPr>
        <w:t>方案</w:t>
      </w:r>
      <w:r>
        <w:rPr>
          <w:rFonts w:hint="eastAsia" w:ascii="宋体" w:hAnsi="宋体" w:cs="宋体"/>
          <w:b/>
          <w:color w:val="auto"/>
          <w:sz w:val="30"/>
          <w:szCs w:val="30"/>
          <w:highlight w:val="none"/>
        </w:rPr>
        <w:t>（格式自拟）</w:t>
      </w:r>
    </w:p>
    <w:p w14:paraId="007D7943">
      <w:pPr>
        <w:snapToGrid w:val="0"/>
        <w:spacing w:line="360" w:lineRule="auto"/>
        <w:ind w:firstLine="5421" w:firstLineChars="1800"/>
        <w:rPr>
          <w:rFonts w:hint="eastAsia" w:ascii="宋体" w:hAnsi="宋体" w:cs="宋体"/>
          <w:b/>
          <w:color w:val="auto"/>
          <w:sz w:val="30"/>
          <w:szCs w:val="30"/>
          <w:highlight w:val="none"/>
        </w:rPr>
      </w:pPr>
    </w:p>
    <w:p w14:paraId="2A74B987">
      <w:pPr>
        <w:snapToGrid w:val="0"/>
        <w:spacing w:line="360" w:lineRule="auto"/>
        <w:ind w:firstLine="5421" w:firstLineChars="1800"/>
        <w:rPr>
          <w:rFonts w:hint="eastAsia" w:ascii="宋体" w:hAnsi="宋体" w:cs="宋体"/>
          <w:b/>
          <w:color w:val="auto"/>
          <w:sz w:val="30"/>
          <w:szCs w:val="30"/>
          <w:highlight w:val="none"/>
        </w:rPr>
      </w:pPr>
    </w:p>
    <w:p w14:paraId="533FE43D">
      <w:pPr>
        <w:snapToGrid w:val="0"/>
        <w:spacing w:line="360" w:lineRule="auto"/>
        <w:ind w:firstLine="5421" w:firstLineChars="1800"/>
        <w:rPr>
          <w:rFonts w:hint="eastAsia" w:ascii="宋体" w:hAnsi="宋体" w:cs="宋体"/>
          <w:b/>
          <w:color w:val="auto"/>
          <w:sz w:val="30"/>
          <w:szCs w:val="30"/>
          <w:highlight w:val="none"/>
        </w:rPr>
      </w:pPr>
    </w:p>
    <w:p w14:paraId="0B92E8D4">
      <w:pPr>
        <w:snapToGrid w:val="0"/>
        <w:spacing w:line="360" w:lineRule="auto"/>
        <w:ind w:firstLine="5421" w:firstLineChars="1800"/>
        <w:rPr>
          <w:rFonts w:hint="eastAsia" w:ascii="宋体" w:hAnsi="宋体" w:cs="宋体"/>
          <w:b/>
          <w:color w:val="auto"/>
          <w:sz w:val="30"/>
          <w:szCs w:val="30"/>
          <w:highlight w:val="none"/>
        </w:rPr>
      </w:pPr>
    </w:p>
    <w:p w14:paraId="7D18357C">
      <w:pPr>
        <w:snapToGrid w:val="0"/>
        <w:spacing w:line="360" w:lineRule="auto"/>
        <w:ind w:firstLine="5421" w:firstLineChars="1800"/>
        <w:rPr>
          <w:rFonts w:hint="eastAsia" w:ascii="宋体" w:hAnsi="宋体" w:cs="宋体"/>
          <w:b/>
          <w:color w:val="auto"/>
          <w:sz w:val="30"/>
          <w:szCs w:val="30"/>
          <w:highlight w:val="none"/>
        </w:rPr>
      </w:pPr>
    </w:p>
    <w:p w14:paraId="699704A4">
      <w:pPr>
        <w:snapToGrid w:val="0"/>
        <w:spacing w:line="360" w:lineRule="auto"/>
        <w:ind w:firstLine="5421" w:firstLineChars="1800"/>
        <w:rPr>
          <w:rFonts w:hint="eastAsia" w:ascii="宋体" w:hAnsi="宋体" w:cs="宋体"/>
          <w:b/>
          <w:color w:val="auto"/>
          <w:sz w:val="30"/>
          <w:szCs w:val="30"/>
          <w:highlight w:val="none"/>
        </w:rPr>
      </w:pPr>
    </w:p>
    <w:p w14:paraId="0354D475">
      <w:pPr>
        <w:snapToGrid w:val="0"/>
        <w:spacing w:line="360" w:lineRule="auto"/>
        <w:ind w:firstLine="5421" w:firstLineChars="1800"/>
        <w:rPr>
          <w:rFonts w:hint="eastAsia" w:ascii="宋体" w:hAnsi="宋体" w:cs="宋体"/>
          <w:b/>
          <w:color w:val="auto"/>
          <w:sz w:val="30"/>
          <w:szCs w:val="30"/>
          <w:highlight w:val="none"/>
        </w:rPr>
      </w:pPr>
    </w:p>
    <w:p w14:paraId="12BA1CFA">
      <w:pPr>
        <w:snapToGrid w:val="0"/>
        <w:spacing w:line="360" w:lineRule="auto"/>
        <w:ind w:firstLine="5421" w:firstLineChars="1800"/>
        <w:rPr>
          <w:rFonts w:hint="eastAsia" w:ascii="宋体" w:hAnsi="宋体" w:cs="宋体"/>
          <w:b/>
          <w:color w:val="auto"/>
          <w:sz w:val="30"/>
          <w:szCs w:val="30"/>
          <w:highlight w:val="none"/>
        </w:rPr>
      </w:pPr>
    </w:p>
    <w:p w14:paraId="178FDA8C">
      <w:pPr>
        <w:snapToGrid w:val="0"/>
        <w:spacing w:line="360" w:lineRule="auto"/>
        <w:ind w:firstLine="5421" w:firstLineChars="1800"/>
        <w:rPr>
          <w:rFonts w:hint="eastAsia" w:ascii="宋体" w:hAnsi="宋体" w:cs="宋体"/>
          <w:b/>
          <w:color w:val="auto"/>
          <w:sz w:val="30"/>
          <w:szCs w:val="30"/>
          <w:highlight w:val="none"/>
        </w:rPr>
      </w:pPr>
    </w:p>
    <w:p w14:paraId="4D23FBA4">
      <w:pPr>
        <w:snapToGrid w:val="0"/>
        <w:spacing w:line="360" w:lineRule="auto"/>
        <w:ind w:firstLine="5421" w:firstLineChars="1800"/>
        <w:rPr>
          <w:rFonts w:hint="eastAsia" w:ascii="宋体" w:hAnsi="宋体" w:cs="宋体"/>
          <w:b/>
          <w:color w:val="auto"/>
          <w:sz w:val="30"/>
          <w:szCs w:val="30"/>
          <w:highlight w:val="none"/>
        </w:rPr>
      </w:pPr>
    </w:p>
    <w:p w14:paraId="599C2864">
      <w:pPr>
        <w:snapToGrid w:val="0"/>
        <w:spacing w:line="360" w:lineRule="auto"/>
        <w:ind w:firstLine="5421" w:firstLineChars="1800"/>
        <w:rPr>
          <w:rFonts w:hint="eastAsia" w:ascii="宋体" w:hAnsi="宋体" w:cs="宋体"/>
          <w:b/>
          <w:color w:val="auto"/>
          <w:sz w:val="30"/>
          <w:szCs w:val="30"/>
          <w:highlight w:val="none"/>
        </w:rPr>
      </w:pPr>
    </w:p>
    <w:p w14:paraId="2960F823">
      <w:pPr>
        <w:snapToGrid w:val="0"/>
        <w:spacing w:line="360" w:lineRule="auto"/>
        <w:ind w:firstLine="5421" w:firstLineChars="1800"/>
        <w:rPr>
          <w:rFonts w:hint="eastAsia" w:ascii="宋体" w:hAnsi="宋体" w:cs="宋体"/>
          <w:b/>
          <w:color w:val="auto"/>
          <w:sz w:val="30"/>
          <w:szCs w:val="30"/>
          <w:highlight w:val="none"/>
        </w:rPr>
      </w:pPr>
    </w:p>
    <w:p w14:paraId="77BB0771">
      <w:pPr>
        <w:snapToGrid w:val="0"/>
        <w:spacing w:line="360" w:lineRule="auto"/>
        <w:ind w:firstLine="5421" w:firstLineChars="1800"/>
        <w:rPr>
          <w:rFonts w:hint="eastAsia" w:ascii="宋体" w:hAnsi="宋体" w:cs="宋体"/>
          <w:b/>
          <w:color w:val="auto"/>
          <w:sz w:val="30"/>
          <w:szCs w:val="30"/>
          <w:highlight w:val="none"/>
        </w:rPr>
      </w:pPr>
    </w:p>
    <w:p w14:paraId="007E1C7D">
      <w:pPr>
        <w:snapToGrid w:val="0"/>
        <w:spacing w:line="360" w:lineRule="auto"/>
        <w:ind w:firstLine="5421" w:firstLineChars="1800"/>
        <w:rPr>
          <w:rFonts w:hint="eastAsia" w:ascii="宋体" w:hAnsi="宋体" w:cs="宋体"/>
          <w:b/>
          <w:color w:val="auto"/>
          <w:sz w:val="30"/>
          <w:szCs w:val="30"/>
          <w:highlight w:val="none"/>
        </w:rPr>
      </w:pPr>
    </w:p>
    <w:p w14:paraId="6D9CFBA1">
      <w:pPr>
        <w:snapToGrid w:val="0"/>
        <w:spacing w:line="360" w:lineRule="auto"/>
        <w:ind w:firstLine="5421" w:firstLineChars="1800"/>
        <w:rPr>
          <w:rFonts w:hint="eastAsia" w:ascii="宋体" w:hAnsi="宋体" w:cs="宋体"/>
          <w:b/>
          <w:color w:val="auto"/>
          <w:sz w:val="30"/>
          <w:szCs w:val="30"/>
          <w:highlight w:val="none"/>
        </w:rPr>
      </w:pPr>
    </w:p>
    <w:p w14:paraId="626C48F5">
      <w:pPr>
        <w:snapToGrid w:val="0"/>
        <w:spacing w:line="360" w:lineRule="auto"/>
        <w:ind w:firstLine="5421" w:firstLineChars="1800"/>
        <w:rPr>
          <w:rFonts w:hint="eastAsia" w:ascii="宋体" w:hAnsi="宋体" w:cs="宋体"/>
          <w:b/>
          <w:color w:val="auto"/>
          <w:sz w:val="30"/>
          <w:szCs w:val="30"/>
          <w:highlight w:val="none"/>
        </w:rPr>
      </w:pPr>
    </w:p>
    <w:p w14:paraId="4078C918">
      <w:pPr>
        <w:snapToGrid w:val="0"/>
        <w:spacing w:line="360" w:lineRule="auto"/>
        <w:ind w:firstLine="5421" w:firstLineChars="1800"/>
        <w:rPr>
          <w:rFonts w:hint="eastAsia" w:ascii="宋体" w:hAnsi="宋体" w:cs="宋体"/>
          <w:b/>
          <w:color w:val="auto"/>
          <w:sz w:val="30"/>
          <w:szCs w:val="30"/>
          <w:highlight w:val="none"/>
        </w:rPr>
      </w:pPr>
    </w:p>
    <w:p w14:paraId="5E1A8732">
      <w:pPr>
        <w:snapToGrid w:val="0"/>
        <w:spacing w:line="360" w:lineRule="auto"/>
        <w:ind w:firstLine="5421" w:firstLineChars="1800"/>
        <w:rPr>
          <w:rFonts w:hint="eastAsia" w:ascii="宋体" w:hAnsi="宋体" w:cs="宋体"/>
          <w:b/>
          <w:color w:val="auto"/>
          <w:sz w:val="30"/>
          <w:szCs w:val="30"/>
          <w:highlight w:val="none"/>
        </w:rPr>
      </w:pPr>
    </w:p>
    <w:p w14:paraId="61D3C7CA">
      <w:pPr>
        <w:snapToGrid w:val="0"/>
        <w:spacing w:line="360" w:lineRule="auto"/>
        <w:ind w:firstLine="5421" w:firstLineChars="1800"/>
        <w:rPr>
          <w:rFonts w:hint="eastAsia" w:ascii="宋体" w:hAnsi="宋体" w:cs="宋体"/>
          <w:b/>
          <w:color w:val="auto"/>
          <w:sz w:val="30"/>
          <w:szCs w:val="30"/>
          <w:highlight w:val="none"/>
        </w:rPr>
      </w:pPr>
    </w:p>
    <w:p w14:paraId="1DC69835">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26A3F75E">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1A375497">
      <w:pPr>
        <w:snapToGrid w:val="0"/>
        <w:spacing w:line="360" w:lineRule="auto"/>
        <w:ind w:firstLine="5421" w:firstLineChars="1800"/>
        <w:rPr>
          <w:rFonts w:hint="eastAsia" w:ascii="宋体" w:hAnsi="宋体" w:cs="宋体"/>
          <w:b/>
          <w:color w:val="auto"/>
          <w:sz w:val="30"/>
          <w:szCs w:val="30"/>
          <w:highlight w:val="none"/>
        </w:rPr>
      </w:pPr>
    </w:p>
    <w:p w14:paraId="47C96F26">
      <w:pPr>
        <w:snapToGrid w:val="0"/>
        <w:spacing w:line="360" w:lineRule="auto"/>
        <w:rPr>
          <w:rFonts w:hint="eastAsia" w:ascii="宋体" w:hAnsi="宋体" w:cs="宋体"/>
          <w:b/>
          <w:color w:val="auto"/>
          <w:sz w:val="30"/>
          <w:szCs w:val="30"/>
          <w:highlight w:val="none"/>
        </w:rPr>
      </w:pPr>
    </w:p>
    <w:p w14:paraId="02777A92">
      <w:pPr>
        <w:snapToGrid w:val="0"/>
        <w:spacing w:line="360" w:lineRule="auto"/>
        <w:rPr>
          <w:rFonts w:hint="eastAsia" w:ascii="宋体" w:hAnsi="宋体" w:cs="宋体"/>
          <w:b/>
          <w:color w:val="auto"/>
          <w:sz w:val="30"/>
          <w:szCs w:val="30"/>
          <w:highlight w:val="none"/>
        </w:rPr>
      </w:pPr>
      <w:r>
        <w:rPr>
          <w:rFonts w:hint="eastAsia" w:ascii="宋体" w:hAnsi="宋体" w:cs="宋体"/>
          <w:b/>
          <w:color w:val="auto"/>
          <w:sz w:val="30"/>
          <w:szCs w:val="30"/>
          <w:highlight w:val="none"/>
        </w:rPr>
        <w:t>十、货物需求、商务条款要求提供的其他材料</w:t>
      </w:r>
    </w:p>
    <w:p w14:paraId="3CA5D189">
      <w:pPr>
        <w:autoSpaceDE w:val="0"/>
        <w:autoSpaceDN w:val="0"/>
        <w:spacing w:line="360" w:lineRule="auto"/>
        <w:ind w:left="4335" w:leftChars="1950" w:hanging="240" w:hangingChars="100"/>
        <w:rPr>
          <w:rFonts w:hint="eastAsia" w:ascii="宋体" w:hAnsi="宋体" w:cs="宋体"/>
          <w:color w:val="auto"/>
          <w:kern w:val="0"/>
          <w:sz w:val="24"/>
          <w:highlight w:val="none"/>
        </w:rPr>
      </w:pPr>
    </w:p>
    <w:p w14:paraId="40644BD7">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2BE4421">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38489BB4">
      <w:pPr>
        <w:snapToGrid w:val="0"/>
        <w:spacing w:line="360" w:lineRule="auto"/>
        <w:ind w:firstLine="602" w:firstLineChars="200"/>
        <w:rPr>
          <w:rFonts w:hint="eastAsia" w:ascii="宋体" w:hAnsi="宋体" w:cs="宋体"/>
          <w:b/>
          <w:color w:val="auto"/>
          <w:sz w:val="30"/>
          <w:szCs w:val="30"/>
          <w:highlight w:val="none"/>
        </w:rPr>
      </w:pPr>
    </w:p>
    <w:p w14:paraId="548A0994">
      <w:pPr>
        <w:spacing w:line="500" w:lineRule="exact"/>
        <w:rPr>
          <w:rFonts w:hint="eastAsia" w:ascii="宋体" w:hAnsi="宋体" w:cs="宋体"/>
          <w:color w:val="auto"/>
          <w:sz w:val="32"/>
          <w:szCs w:val="32"/>
          <w:highlight w:val="none"/>
        </w:rPr>
        <w:sectPr>
          <w:pgSz w:w="11910" w:h="16840"/>
          <w:pgMar w:top="1440" w:right="1080" w:bottom="1440" w:left="1080" w:header="720" w:footer="720" w:gutter="0"/>
          <w:cols w:space="720" w:num="1"/>
        </w:sectPr>
      </w:pPr>
    </w:p>
    <w:p w14:paraId="4E9E4DA7">
      <w:pPr>
        <w:adjustRightInd w:val="0"/>
        <w:snapToGrid w:val="0"/>
        <w:spacing w:line="300" w:lineRule="auto"/>
        <w:rPr>
          <w:rFonts w:hint="eastAsia" w:ascii="宋体" w:hAnsi="宋体" w:cs="宋体"/>
          <w:color w:val="auto"/>
          <w:szCs w:val="21"/>
          <w:highlight w:val="none"/>
        </w:rPr>
      </w:pPr>
    </w:p>
    <w:p w14:paraId="2A15E62C">
      <w:pPr>
        <w:keepNext/>
        <w:keepLines/>
        <w:spacing w:before="260" w:after="260" w:line="416" w:lineRule="auto"/>
        <w:jc w:val="center"/>
        <w:outlineLvl w:val="1"/>
        <w:rPr>
          <w:rFonts w:hint="eastAsia" w:ascii="宋体" w:hAnsi="宋体" w:cs="宋体"/>
          <w:b/>
          <w:bCs/>
          <w:color w:val="auto"/>
          <w:sz w:val="32"/>
          <w:szCs w:val="32"/>
          <w:highlight w:val="none"/>
        </w:rPr>
      </w:pPr>
      <w:bookmarkStart w:id="67" w:name="_Toc21812"/>
      <w:r>
        <w:rPr>
          <w:rFonts w:hint="eastAsia" w:ascii="宋体" w:hAnsi="宋体" w:cs="宋体"/>
          <w:b/>
          <w:bCs/>
          <w:color w:val="auto"/>
          <w:sz w:val="32"/>
          <w:szCs w:val="32"/>
          <w:highlight w:val="none"/>
        </w:rPr>
        <w:t>第三节 报价文件格式</w:t>
      </w:r>
      <w:bookmarkEnd w:id="67"/>
    </w:p>
    <w:p w14:paraId="252BEC0B">
      <w:pPr>
        <w:snapToGrid w:val="0"/>
        <w:spacing w:before="120" w:beforeLines="50" w:after="50"/>
        <w:rPr>
          <w:rFonts w:hint="eastAsia" w:ascii="宋体" w:hAnsi="宋体" w:cs="宋体"/>
          <w:bCs/>
          <w:color w:val="auto"/>
          <w:sz w:val="32"/>
          <w:szCs w:val="20"/>
          <w:highlight w:val="none"/>
        </w:rPr>
      </w:pPr>
      <w:r>
        <w:rPr>
          <w:rFonts w:hint="eastAsia" w:ascii="宋体" w:hAnsi="宋体" w:cs="宋体"/>
          <w:color w:val="auto"/>
          <w:sz w:val="24"/>
          <w:highlight w:val="none"/>
        </w:rPr>
        <w:t xml:space="preserve">                                                    </w:t>
      </w:r>
      <w:r>
        <w:rPr>
          <w:rFonts w:hint="eastAsia" w:ascii="宋体" w:hAnsi="宋体" w:cs="宋体"/>
          <w:bCs/>
          <w:color w:val="auto"/>
          <w:highlight w:val="none"/>
        </w:rPr>
        <w:t>全流程电子文件</w:t>
      </w:r>
    </w:p>
    <w:p w14:paraId="210B3578">
      <w:pPr>
        <w:snapToGrid w:val="0"/>
        <w:spacing w:before="120" w:beforeLines="50" w:after="50"/>
        <w:rPr>
          <w:rFonts w:hint="eastAsia" w:ascii="宋体" w:hAnsi="宋体" w:cs="宋体"/>
          <w:color w:val="auto"/>
          <w:sz w:val="24"/>
          <w:szCs w:val="20"/>
          <w:highlight w:val="none"/>
        </w:rPr>
      </w:pPr>
    </w:p>
    <w:p w14:paraId="460EFD68">
      <w:pPr>
        <w:snapToGrid w:val="0"/>
        <w:spacing w:before="120" w:beforeLines="50" w:after="50"/>
        <w:rPr>
          <w:rFonts w:hint="eastAsia" w:ascii="宋体" w:hAnsi="宋体" w:cs="宋体"/>
          <w:color w:val="auto"/>
          <w:sz w:val="24"/>
          <w:szCs w:val="20"/>
          <w:highlight w:val="none"/>
        </w:rPr>
      </w:pPr>
    </w:p>
    <w:p w14:paraId="481C5D31">
      <w:pPr>
        <w:snapToGrid w:val="0"/>
        <w:spacing w:before="120" w:beforeLines="50" w:after="50"/>
        <w:rPr>
          <w:rFonts w:hint="eastAsia" w:ascii="宋体" w:hAnsi="宋体" w:cs="宋体"/>
          <w:color w:val="auto"/>
          <w:sz w:val="24"/>
          <w:szCs w:val="20"/>
          <w:highlight w:val="none"/>
        </w:rPr>
      </w:pPr>
    </w:p>
    <w:p w14:paraId="032FF58C">
      <w:pPr>
        <w:snapToGrid w:val="0"/>
        <w:spacing w:before="120" w:beforeLines="50" w:after="50"/>
        <w:jc w:val="center"/>
        <w:rPr>
          <w:rFonts w:hint="eastAsia" w:ascii="宋体" w:hAnsi="宋体" w:cs="宋体"/>
          <w:bCs/>
          <w:color w:val="auto"/>
          <w:sz w:val="44"/>
          <w:szCs w:val="44"/>
          <w:highlight w:val="none"/>
        </w:rPr>
      </w:pPr>
      <w:r>
        <w:rPr>
          <w:rFonts w:hint="eastAsia" w:ascii="宋体" w:hAnsi="宋体" w:cs="宋体"/>
          <w:bCs/>
          <w:color w:val="auto"/>
          <w:sz w:val="44"/>
          <w:szCs w:val="44"/>
          <w:highlight w:val="none"/>
        </w:rPr>
        <w:t>报  价  文  件（封面）</w:t>
      </w:r>
    </w:p>
    <w:p w14:paraId="61EBC00B">
      <w:pPr>
        <w:snapToGrid w:val="0"/>
        <w:spacing w:before="120" w:beforeLines="50" w:after="50"/>
        <w:rPr>
          <w:rFonts w:hint="eastAsia" w:ascii="宋体" w:hAnsi="宋体" w:cs="宋体"/>
          <w:bCs/>
          <w:color w:val="auto"/>
          <w:sz w:val="24"/>
          <w:szCs w:val="20"/>
          <w:highlight w:val="none"/>
        </w:rPr>
      </w:pPr>
    </w:p>
    <w:p w14:paraId="2C334B14">
      <w:pPr>
        <w:snapToGrid w:val="0"/>
        <w:spacing w:before="120" w:beforeLines="50" w:after="50"/>
        <w:rPr>
          <w:rFonts w:hint="eastAsia" w:ascii="宋体" w:hAnsi="宋体" w:cs="宋体"/>
          <w:bCs/>
          <w:color w:val="auto"/>
          <w:sz w:val="24"/>
          <w:szCs w:val="20"/>
          <w:highlight w:val="none"/>
        </w:rPr>
      </w:pPr>
    </w:p>
    <w:p w14:paraId="46D40A05">
      <w:pPr>
        <w:snapToGrid w:val="0"/>
        <w:spacing w:before="120" w:beforeLines="50" w:after="50"/>
        <w:rPr>
          <w:rFonts w:hint="eastAsia" w:ascii="宋体" w:hAnsi="宋体" w:cs="宋体"/>
          <w:bCs/>
          <w:color w:val="auto"/>
          <w:sz w:val="24"/>
          <w:szCs w:val="20"/>
          <w:highlight w:val="none"/>
        </w:rPr>
      </w:pPr>
    </w:p>
    <w:p w14:paraId="4F912DCB">
      <w:pPr>
        <w:snapToGrid w:val="0"/>
        <w:spacing w:before="120" w:beforeLines="50" w:after="50"/>
        <w:rPr>
          <w:rFonts w:hint="eastAsia" w:ascii="宋体" w:hAnsi="宋体" w:cs="宋体"/>
          <w:bCs/>
          <w:color w:val="auto"/>
          <w:sz w:val="24"/>
          <w:szCs w:val="20"/>
          <w:highlight w:val="none"/>
        </w:rPr>
      </w:pPr>
    </w:p>
    <w:p w14:paraId="0F96A5A2">
      <w:pPr>
        <w:snapToGrid w:val="0"/>
        <w:spacing w:before="120" w:beforeLines="50" w:after="50"/>
        <w:rPr>
          <w:rFonts w:hint="eastAsia" w:ascii="宋体" w:hAnsi="宋体" w:cs="宋体"/>
          <w:bCs/>
          <w:color w:val="auto"/>
          <w:sz w:val="24"/>
          <w:szCs w:val="20"/>
          <w:highlight w:val="none"/>
        </w:rPr>
      </w:pPr>
    </w:p>
    <w:p w14:paraId="215CE602">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项目名称：</w:t>
      </w:r>
    </w:p>
    <w:p w14:paraId="03F0B060">
      <w:pPr>
        <w:snapToGrid w:val="0"/>
        <w:spacing w:before="120" w:beforeLines="50" w:after="50"/>
        <w:ind w:firstLine="720" w:firstLineChars="225"/>
        <w:rPr>
          <w:rFonts w:hint="eastAsia" w:ascii="宋体" w:hAnsi="宋体" w:cs="宋体"/>
          <w:bCs/>
          <w:color w:val="auto"/>
          <w:sz w:val="32"/>
          <w:szCs w:val="32"/>
          <w:highlight w:val="none"/>
        </w:rPr>
      </w:pPr>
    </w:p>
    <w:p w14:paraId="43AAF797">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项目编号：</w:t>
      </w:r>
    </w:p>
    <w:p w14:paraId="10E935D9">
      <w:pPr>
        <w:snapToGrid w:val="0"/>
        <w:spacing w:before="120" w:beforeLines="50" w:after="50"/>
        <w:ind w:firstLine="720" w:firstLineChars="225"/>
        <w:rPr>
          <w:rFonts w:hint="eastAsia" w:ascii="宋体" w:hAnsi="宋体" w:cs="宋体"/>
          <w:bCs/>
          <w:color w:val="auto"/>
          <w:sz w:val="32"/>
          <w:szCs w:val="32"/>
          <w:highlight w:val="none"/>
        </w:rPr>
      </w:pPr>
      <w:r>
        <w:rPr>
          <w:rFonts w:hint="eastAsia" w:ascii="宋体" w:hAnsi="宋体" w:cs="宋体"/>
          <w:bCs/>
          <w:color w:val="auto"/>
          <w:sz w:val="32"/>
          <w:szCs w:val="32"/>
          <w:highlight w:val="none"/>
        </w:rPr>
        <w:t xml:space="preserve"> </w:t>
      </w:r>
    </w:p>
    <w:p w14:paraId="5DC37F13">
      <w:pPr>
        <w:snapToGrid w:val="0"/>
        <w:spacing w:before="120" w:beforeLines="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所竞分标（如有则填写，无分标时填写“无”或者留空）：</w:t>
      </w:r>
    </w:p>
    <w:p w14:paraId="2FEEF36A">
      <w:pPr>
        <w:snapToGrid w:val="0"/>
        <w:spacing w:before="120" w:beforeLines="50" w:after="50"/>
        <w:ind w:firstLine="720" w:firstLineChars="225"/>
        <w:rPr>
          <w:rFonts w:hint="eastAsia" w:ascii="宋体" w:hAnsi="宋体" w:cs="宋体"/>
          <w:bCs/>
          <w:color w:val="auto"/>
          <w:sz w:val="32"/>
          <w:szCs w:val="32"/>
          <w:highlight w:val="none"/>
        </w:rPr>
      </w:pPr>
    </w:p>
    <w:p w14:paraId="7CFCF87B">
      <w:pPr>
        <w:snapToGrid w:val="0"/>
        <w:spacing w:before="50" w:after="50"/>
        <w:ind w:firstLine="640" w:firstLineChars="200"/>
        <w:rPr>
          <w:rFonts w:hint="eastAsia" w:ascii="宋体" w:hAnsi="宋体" w:cs="宋体"/>
          <w:bCs/>
          <w:color w:val="auto"/>
          <w:sz w:val="32"/>
          <w:szCs w:val="32"/>
          <w:highlight w:val="none"/>
        </w:rPr>
      </w:pPr>
      <w:r>
        <w:rPr>
          <w:rFonts w:hint="eastAsia" w:ascii="宋体" w:hAnsi="宋体" w:cs="宋体"/>
          <w:bCs/>
          <w:color w:val="auto"/>
          <w:sz w:val="32"/>
          <w:szCs w:val="32"/>
          <w:highlight w:val="none"/>
        </w:rPr>
        <w:t>供应商名称：</w:t>
      </w:r>
    </w:p>
    <w:p w14:paraId="0FD571C2">
      <w:pPr>
        <w:snapToGrid w:val="0"/>
        <w:spacing w:before="50" w:after="50"/>
        <w:ind w:firstLine="720" w:firstLineChars="225"/>
        <w:rPr>
          <w:rFonts w:hint="eastAsia" w:ascii="宋体" w:hAnsi="宋体" w:cs="宋体"/>
          <w:bCs/>
          <w:color w:val="auto"/>
          <w:sz w:val="32"/>
          <w:szCs w:val="32"/>
          <w:highlight w:val="none"/>
        </w:rPr>
      </w:pPr>
    </w:p>
    <w:p w14:paraId="0A79E8AF">
      <w:pPr>
        <w:snapToGrid w:val="0"/>
        <w:spacing w:before="50" w:after="50"/>
        <w:ind w:firstLine="720" w:firstLineChars="225"/>
        <w:rPr>
          <w:rFonts w:hint="eastAsia" w:ascii="宋体" w:hAnsi="宋体" w:cs="宋体"/>
          <w:bCs/>
          <w:color w:val="auto"/>
          <w:sz w:val="32"/>
          <w:szCs w:val="32"/>
          <w:highlight w:val="none"/>
        </w:rPr>
      </w:pPr>
    </w:p>
    <w:p w14:paraId="01E046D0">
      <w:pPr>
        <w:snapToGrid w:val="0"/>
        <w:spacing w:before="50" w:after="50"/>
        <w:ind w:firstLine="1280" w:firstLineChars="400"/>
        <w:rPr>
          <w:rFonts w:hint="eastAsia" w:ascii="宋体" w:hAnsi="宋体" w:cs="宋体"/>
          <w:bCs/>
          <w:color w:val="auto"/>
          <w:sz w:val="32"/>
          <w:szCs w:val="32"/>
          <w:highlight w:val="none"/>
        </w:rPr>
      </w:pPr>
    </w:p>
    <w:p w14:paraId="140946BF">
      <w:pPr>
        <w:snapToGrid w:val="0"/>
        <w:spacing w:before="120" w:beforeLines="50" w:after="50"/>
        <w:jc w:val="center"/>
        <w:rPr>
          <w:rFonts w:hint="eastAsia" w:ascii="宋体" w:hAnsi="宋体" w:cs="宋体"/>
          <w:color w:val="auto"/>
          <w:sz w:val="32"/>
          <w:szCs w:val="32"/>
          <w:highlight w:val="none"/>
        </w:rPr>
      </w:pPr>
      <w:r>
        <w:rPr>
          <w:rFonts w:hint="eastAsia" w:ascii="宋体" w:hAnsi="宋体" w:cs="宋体"/>
          <w:color w:val="auto"/>
          <w:sz w:val="32"/>
          <w:szCs w:val="32"/>
          <w:highlight w:val="none"/>
        </w:rPr>
        <w:t>年    月    日</w:t>
      </w:r>
    </w:p>
    <w:p w14:paraId="42EBD52C">
      <w:pPr>
        <w:snapToGrid w:val="0"/>
        <w:spacing w:before="120" w:beforeLines="50" w:after="50" w:line="400" w:lineRule="exact"/>
        <w:jc w:val="center"/>
        <w:rPr>
          <w:rFonts w:hint="eastAsia" w:ascii="宋体" w:hAnsi="宋体" w:cs="宋体"/>
          <w:b/>
          <w:bCs/>
          <w:color w:val="auto"/>
          <w:sz w:val="32"/>
          <w:szCs w:val="32"/>
          <w:highlight w:val="none"/>
        </w:rPr>
      </w:pPr>
      <w:r>
        <w:rPr>
          <w:rFonts w:hint="eastAsia" w:ascii="宋体" w:hAnsi="宋体" w:cs="宋体"/>
          <w:color w:val="auto"/>
          <w:sz w:val="24"/>
          <w:highlight w:val="none"/>
        </w:rPr>
        <w:br w:type="page"/>
      </w:r>
      <w:r>
        <w:rPr>
          <w:rFonts w:hint="eastAsia" w:ascii="宋体" w:hAnsi="宋体" w:cs="宋体"/>
          <w:b/>
          <w:bCs/>
          <w:color w:val="auto"/>
          <w:sz w:val="32"/>
          <w:szCs w:val="32"/>
          <w:highlight w:val="none"/>
        </w:rPr>
        <w:t>报价文件目录</w:t>
      </w:r>
    </w:p>
    <w:p w14:paraId="6C5DC3E9">
      <w:pPr>
        <w:rPr>
          <w:rFonts w:hint="eastAsia" w:ascii="宋体" w:hAnsi="宋体" w:cs="宋体"/>
          <w:color w:val="auto"/>
          <w:highlight w:val="none"/>
        </w:rPr>
      </w:pPr>
    </w:p>
    <w:p w14:paraId="6431B40F">
      <w:pPr>
        <w:rPr>
          <w:rFonts w:hint="eastAsia" w:ascii="宋体" w:hAnsi="宋体" w:cs="宋体"/>
          <w:color w:val="auto"/>
          <w:kern w:val="0"/>
          <w:sz w:val="24"/>
          <w:highlight w:val="none"/>
        </w:rPr>
      </w:pPr>
      <w:r>
        <w:rPr>
          <w:rFonts w:hint="eastAsia" w:ascii="宋体" w:hAnsi="宋体" w:cs="宋体"/>
          <w:b/>
          <w:bCs/>
          <w:color w:val="auto"/>
          <w:sz w:val="24"/>
          <w:highlight w:val="none"/>
        </w:rPr>
        <w:t>注：根据谈判文件规定及供应商提供的材料自行编写目录（部分格式后附）。</w:t>
      </w:r>
    </w:p>
    <w:p w14:paraId="61D58B5F">
      <w:pPr>
        <w:snapToGrid w:val="0"/>
        <w:spacing w:before="120" w:beforeLines="50" w:after="50" w:line="360" w:lineRule="auto"/>
        <w:ind w:left="142" w:firstLine="640" w:firstLineChars="200"/>
        <w:jc w:val="left"/>
        <w:rPr>
          <w:rFonts w:hint="eastAsia" w:ascii="宋体" w:hAnsi="宋体" w:cs="宋体"/>
          <w:color w:val="auto"/>
          <w:sz w:val="32"/>
          <w:szCs w:val="32"/>
          <w:highlight w:val="none"/>
        </w:rPr>
      </w:pPr>
    </w:p>
    <w:p w14:paraId="5850B93D">
      <w:pPr>
        <w:spacing w:line="500" w:lineRule="exact"/>
        <w:rPr>
          <w:rFonts w:hint="eastAsia" w:ascii="宋体" w:hAnsi="宋体" w:cs="宋体"/>
          <w:color w:val="auto"/>
          <w:kern w:val="0"/>
          <w:sz w:val="24"/>
          <w:szCs w:val="21"/>
          <w:highlight w:val="none"/>
        </w:rPr>
      </w:pPr>
      <w:r>
        <w:rPr>
          <w:rFonts w:hint="eastAsia" w:ascii="宋体" w:hAnsi="宋体" w:cs="宋体"/>
          <w:color w:val="auto"/>
          <w:kern w:val="0"/>
          <w:sz w:val="24"/>
          <w:szCs w:val="21"/>
          <w:highlight w:val="none"/>
        </w:rPr>
        <w:br w:type="page"/>
      </w:r>
      <w:r>
        <w:rPr>
          <w:rFonts w:hint="eastAsia" w:ascii="宋体" w:hAnsi="宋体" w:cs="宋体"/>
          <w:b/>
          <w:color w:val="auto"/>
          <w:sz w:val="30"/>
          <w:szCs w:val="30"/>
          <w:highlight w:val="none"/>
        </w:rPr>
        <w:t>一、响应函</w:t>
      </w:r>
    </w:p>
    <w:p w14:paraId="2BDF516C">
      <w:pPr>
        <w:spacing w:line="500" w:lineRule="exact"/>
        <w:jc w:val="center"/>
        <w:rPr>
          <w:rFonts w:hint="eastAsia" w:ascii="宋体" w:hAnsi="宋体" w:cs="宋体"/>
          <w:b/>
          <w:bCs/>
          <w:color w:val="auto"/>
          <w:kern w:val="0"/>
          <w:sz w:val="30"/>
          <w:szCs w:val="30"/>
          <w:highlight w:val="none"/>
        </w:rPr>
      </w:pPr>
      <w:r>
        <w:rPr>
          <w:rFonts w:hint="eastAsia" w:ascii="宋体" w:hAnsi="宋体" w:cs="宋体"/>
          <w:b/>
          <w:bCs/>
          <w:color w:val="auto"/>
          <w:kern w:val="0"/>
          <w:sz w:val="30"/>
          <w:szCs w:val="30"/>
          <w:highlight w:val="none"/>
        </w:rPr>
        <w:t>响应函</w:t>
      </w:r>
    </w:p>
    <w:p w14:paraId="3143642B">
      <w:pPr>
        <w:spacing w:line="500" w:lineRule="exact"/>
        <w:rPr>
          <w:rFonts w:hint="eastAsia" w:ascii="宋体" w:hAnsi="宋体" w:cs="宋体"/>
          <w:color w:val="auto"/>
          <w:kern w:val="0"/>
          <w:sz w:val="32"/>
          <w:szCs w:val="21"/>
          <w:highlight w:val="none"/>
        </w:rPr>
      </w:pPr>
    </w:p>
    <w:p w14:paraId="0166877D">
      <w:pPr>
        <w:adjustRightInd w:val="0"/>
        <w:snapToGrid w:val="0"/>
        <w:spacing w:line="360" w:lineRule="auto"/>
        <w:rPr>
          <w:color w:val="auto"/>
          <w:kern w:val="0"/>
          <w:szCs w:val="21"/>
          <w:highlight w:val="none"/>
        </w:rPr>
      </w:pPr>
      <w:r>
        <w:rPr>
          <w:rFonts w:hint="eastAsia" w:ascii="宋体" w:hAnsi="宋体" w:cs="宋体"/>
          <w:color w:val="auto"/>
          <w:szCs w:val="21"/>
          <w:highlight w:val="none"/>
        </w:rPr>
        <w:t>致</w:t>
      </w:r>
      <w:r>
        <w:rPr>
          <w:color w:val="auto"/>
          <w:kern w:val="0"/>
          <w:szCs w:val="21"/>
          <w:highlight w:val="none"/>
        </w:rPr>
        <w:t>：</w:t>
      </w:r>
      <w:r>
        <w:rPr>
          <w:color w:val="auto"/>
          <w:kern w:val="0"/>
          <w:szCs w:val="21"/>
          <w:highlight w:val="none"/>
          <w:u w:val="single"/>
        </w:rPr>
        <w:t xml:space="preserve">                      </w:t>
      </w:r>
      <w:r>
        <w:rPr>
          <w:color w:val="auto"/>
          <w:kern w:val="0"/>
          <w:szCs w:val="21"/>
          <w:highlight w:val="none"/>
        </w:rPr>
        <w:t>（采购代理机构名称）</w:t>
      </w:r>
    </w:p>
    <w:p w14:paraId="55686CEC">
      <w:pPr>
        <w:adjustRightInd w:val="0"/>
        <w:snapToGrid w:val="0"/>
        <w:spacing w:line="360" w:lineRule="auto"/>
        <w:ind w:firstLine="420" w:firstLineChars="200"/>
        <w:rPr>
          <w:color w:val="auto"/>
          <w:kern w:val="0"/>
          <w:szCs w:val="21"/>
          <w:highlight w:val="none"/>
        </w:rPr>
      </w:pPr>
    </w:p>
    <w:p w14:paraId="22278183">
      <w:pPr>
        <w:adjustRightInd w:val="0"/>
        <w:snapToGrid w:val="0"/>
        <w:spacing w:line="360" w:lineRule="auto"/>
        <w:ind w:firstLine="420" w:firstLineChars="200"/>
        <w:rPr>
          <w:color w:val="auto"/>
          <w:kern w:val="0"/>
          <w:szCs w:val="21"/>
          <w:highlight w:val="none"/>
        </w:rPr>
      </w:pPr>
      <w:r>
        <w:rPr>
          <w:rFonts w:ascii="宋体" w:hAnsi="宋体"/>
          <w:color w:val="auto"/>
          <w:kern w:val="0"/>
          <w:szCs w:val="21"/>
          <w:highlight w:val="none"/>
        </w:rPr>
        <w:t>我方已仔细阅读了贵方组织的</w:t>
      </w:r>
      <w:r>
        <w:rPr>
          <w:rFonts w:ascii="宋体" w:hAnsi="宋体"/>
          <w:color w:val="auto"/>
          <w:kern w:val="0"/>
          <w:szCs w:val="21"/>
          <w:highlight w:val="none"/>
          <w:u w:val="single"/>
        </w:rPr>
        <w:t xml:space="preserve">                </w:t>
      </w:r>
      <w:r>
        <w:rPr>
          <w:rFonts w:ascii="宋体" w:hAnsi="宋体"/>
          <w:color w:val="auto"/>
          <w:kern w:val="0"/>
          <w:szCs w:val="21"/>
          <w:highlight w:val="none"/>
        </w:rPr>
        <w:t>项目（项目编号：</w:t>
      </w:r>
      <w:r>
        <w:rPr>
          <w:rFonts w:ascii="宋体" w:hAnsi="宋体"/>
          <w:color w:val="auto"/>
          <w:kern w:val="0"/>
          <w:szCs w:val="21"/>
          <w:highlight w:val="none"/>
          <w:u w:val="single"/>
        </w:rPr>
        <w:t xml:space="preserve">             </w:t>
      </w:r>
      <w:r>
        <w:rPr>
          <w:rFonts w:ascii="宋体" w:hAnsi="宋体"/>
          <w:color w:val="auto"/>
          <w:kern w:val="0"/>
          <w:szCs w:val="21"/>
          <w:highlight w:val="none"/>
        </w:rPr>
        <w:t>）的</w:t>
      </w:r>
      <w:r>
        <w:rPr>
          <w:rFonts w:hint="eastAsia" w:ascii="宋体" w:hAnsi="宋体"/>
          <w:color w:val="auto"/>
          <w:kern w:val="0"/>
          <w:szCs w:val="21"/>
          <w:highlight w:val="none"/>
        </w:rPr>
        <w:t>竞争性谈判文件</w:t>
      </w:r>
      <w:r>
        <w:rPr>
          <w:rFonts w:ascii="宋体" w:hAnsi="宋体"/>
          <w:color w:val="auto"/>
          <w:kern w:val="0"/>
          <w:szCs w:val="21"/>
          <w:highlight w:val="none"/>
        </w:rPr>
        <w:t xml:space="preserve">的全部内容，现正式递交下述文件参加贵方组织的本次政府采购活动： </w:t>
      </w:r>
    </w:p>
    <w:p w14:paraId="60A0537B">
      <w:pPr>
        <w:adjustRightInd w:val="0"/>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资格证明</w:t>
      </w:r>
      <w:r>
        <w:rPr>
          <w:rFonts w:ascii="宋体" w:hAnsi="宋体"/>
          <w:color w:val="auto"/>
          <w:kern w:val="0"/>
          <w:szCs w:val="21"/>
          <w:highlight w:val="none"/>
        </w:rPr>
        <w:t>文件电子版</w:t>
      </w:r>
      <w:r>
        <w:rPr>
          <w:rFonts w:ascii="宋体" w:hAnsi="宋体"/>
          <w:color w:val="auto"/>
          <w:kern w:val="0"/>
          <w:szCs w:val="21"/>
          <w:highlight w:val="none"/>
          <w:u w:val="single"/>
        </w:rPr>
        <w:t xml:space="preserve">   </w:t>
      </w:r>
      <w:r>
        <w:rPr>
          <w:rFonts w:ascii="宋体" w:hAnsi="宋体"/>
          <w:color w:val="auto"/>
          <w:kern w:val="0"/>
          <w:szCs w:val="21"/>
          <w:highlight w:val="none"/>
        </w:rPr>
        <w:t>份（包含按“第</w:t>
      </w:r>
      <w:r>
        <w:rPr>
          <w:rFonts w:hint="eastAsia" w:ascii="宋体" w:hAnsi="宋体"/>
          <w:color w:val="auto"/>
          <w:kern w:val="0"/>
          <w:szCs w:val="21"/>
          <w:highlight w:val="none"/>
        </w:rPr>
        <w:t>三</w:t>
      </w:r>
      <w:r>
        <w:rPr>
          <w:rFonts w:ascii="宋体" w:hAnsi="宋体"/>
          <w:color w:val="auto"/>
          <w:kern w:val="0"/>
          <w:szCs w:val="21"/>
          <w:highlight w:val="none"/>
        </w:rPr>
        <w:t>章 供应商须知”提交的全部文件）；</w:t>
      </w:r>
    </w:p>
    <w:p w14:paraId="01AF8E2C">
      <w:pPr>
        <w:adjustRightInd w:val="0"/>
        <w:snapToGrid w:val="0"/>
        <w:spacing w:line="360" w:lineRule="auto"/>
        <w:ind w:firstLine="420" w:firstLineChars="200"/>
        <w:rPr>
          <w:color w:val="auto"/>
          <w:kern w:val="0"/>
          <w:szCs w:val="21"/>
          <w:highlight w:val="none"/>
        </w:rPr>
      </w:pPr>
      <w:r>
        <w:rPr>
          <w:rFonts w:ascii="宋体" w:hAnsi="宋体"/>
          <w:color w:val="auto"/>
          <w:kern w:val="0"/>
          <w:szCs w:val="21"/>
          <w:highlight w:val="none"/>
        </w:rPr>
        <w:t>商务文件电子版</w:t>
      </w:r>
      <w:r>
        <w:rPr>
          <w:rFonts w:ascii="宋体" w:hAnsi="宋体"/>
          <w:color w:val="auto"/>
          <w:kern w:val="0"/>
          <w:szCs w:val="21"/>
          <w:highlight w:val="none"/>
          <w:u w:val="single"/>
        </w:rPr>
        <w:t xml:space="preserve">   </w:t>
      </w:r>
      <w:r>
        <w:rPr>
          <w:rFonts w:ascii="宋体" w:hAnsi="宋体"/>
          <w:color w:val="auto"/>
          <w:kern w:val="0"/>
          <w:szCs w:val="21"/>
          <w:highlight w:val="none"/>
        </w:rPr>
        <w:t>份（包含按“第</w:t>
      </w:r>
      <w:r>
        <w:rPr>
          <w:rFonts w:hint="eastAsia" w:ascii="宋体" w:hAnsi="宋体"/>
          <w:color w:val="auto"/>
          <w:kern w:val="0"/>
          <w:szCs w:val="21"/>
          <w:highlight w:val="none"/>
        </w:rPr>
        <w:t>三</w:t>
      </w:r>
      <w:r>
        <w:rPr>
          <w:rFonts w:ascii="宋体" w:hAnsi="宋体"/>
          <w:color w:val="auto"/>
          <w:kern w:val="0"/>
          <w:szCs w:val="21"/>
          <w:highlight w:val="none"/>
        </w:rPr>
        <w:t>章 供应商须知”提交的全部文件）；</w:t>
      </w:r>
    </w:p>
    <w:p w14:paraId="46EDE475">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技术文件电子版</w:t>
      </w:r>
      <w:r>
        <w:rPr>
          <w:rFonts w:ascii="宋体" w:hAnsi="宋体"/>
          <w:color w:val="auto"/>
          <w:kern w:val="0"/>
          <w:szCs w:val="21"/>
          <w:highlight w:val="none"/>
          <w:u w:val="single"/>
        </w:rPr>
        <w:t xml:space="preserve">   </w:t>
      </w:r>
      <w:r>
        <w:rPr>
          <w:rFonts w:ascii="宋体" w:hAnsi="宋体"/>
          <w:color w:val="auto"/>
          <w:kern w:val="0"/>
          <w:szCs w:val="21"/>
          <w:highlight w:val="none"/>
        </w:rPr>
        <w:t>份（包含按“第</w:t>
      </w:r>
      <w:r>
        <w:rPr>
          <w:rFonts w:hint="eastAsia" w:ascii="宋体" w:hAnsi="宋体"/>
          <w:color w:val="auto"/>
          <w:kern w:val="0"/>
          <w:szCs w:val="21"/>
          <w:highlight w:val="none"/>
        </w:rPr>
        <w:t>三</w:t>
      </w:r>
      <w:r>
        <w:rPr>
          <w:rFonts w:ascii="宋体" w:hAnsi="宋体"/>
          <w:color w:val="auto"/>
          <w:kern w:val="0"/>
          <w:szCs w:val="21"/>
          <w:highlight w:val="none"/>
        </w:rPr>
        <w:t>章 供应商须知”提交的全部文件）；</w:t>
      </w:r>
    </w:p>
    <w:p w14:paraId="2F62385F">
      <w:pPr>
        <w:adjustRightInd w:val="0"/>
        <w:snapToGrid w:val="0"/>
        <w:spacing w:line="360" w:lineRule="auto"/>
        <w:ind w:firstLine="420" w:firstLineChars="200"/>
        <w:rPr>
          <w:rFonts w:hint="eastAsia" w:ascii="宋体" w:hAnsi="宋体"/>
          <w:color w:val="auto"/>
          <w:kern w:val="0"/>
          <w:szCs w:val="21"/>
          <w:highlight w:val="none"/>
        </w:rPr>
      </w:pPr>
      <w:r>
        <w:rPr>
          <w:rFonts w:ascii="宋体" w:hAnsi="宋体"/>
          <w:color w:val="auto"/>
          <w:kern w:val="0"/>
          <w:szCs w:val="21"/>
          <w:highlight w:val="none"/>
        </w:rPr>
        <w:t>报价文件电子版</w:t>
      </w:r>
      <w:r>
        <w:rPr>
          <w:rFonts w:ascii="宋体" w:hAnsi="宋体"/>
          <w:color w:val="auto"/>
          <w:kern w:val="0"/>
          <w:szCs w:val="21"/>
          <w:highlight w:val="none"/>
          <w:u w:val="single"/>
        </w:rPr>
        <w:t xml:space="preserve">   </w:t>
      </w:r>
      <w:r>
        <w:rPr>
          <w:rFonts w:ascii="宋体" w:hAnsi="宋体"/>
          <w:color w:val="auto"/>
          <w:kern w:val="0"/>
          <w:szCs w:val="21"/>
          <w:highlight w:val="none"/>
        </w:rPr>
        <w:t>份（包含按“第</w:t>
      </w:r>
      <w:r>
        <w:rPr>
          <w:rFonts w:hint="eastAsia" w:ascii="宋体" w:hAnsi="宋体"/>
          <w:color w:val="auto"/>
          <w:kern w:val="0"/>
          <w:szCs w:val="21"/>
          <w:highlight w:val="none"/>
        </w:rPr>
        <w:t>三</w:t>
      </w:r>
      <w:r>
        <w:rPr>
          <w:rFonts w:ascii="宋体" w:hAnsi="宋体"/>
          <w:color w:val="auto"/>
          <w:kern w:val="0"/>
          <w:szCs w:val="21"/>
          <w:highlight w:val="none"/>
        </w:rPr>
        <w:t>章 供应商须知”提交的全部文件）；</w:t>
      </w:r>
    </w:p>
    <w:p w14:paraId="66195326">
      <w:pPr>
        <w:adjustRightInd w:val="0"/>
        <w:snapToGrid w:val="0"/>
        <w:spacing w:line="360" w:lineRule="auto"/>
        <w:ind w:firstLine="420" w:firstLineChars="200"/>
        <w:rPr>
          <w:color w:val="auto"/>
          <w:kern w:val="0"/>
          <w:szCs w:val="21"/>
          <w:highlight w:val="none"/>
        </w:rPr>
      </w:pPr>
      <w:r>
        <w:rPr>
          <w:rFonts w:ascii="宋体" w:hAnsi="宋体"/>
          <w:color w:val="auto"/>
          <w:kern w:val="0"/>
          <w:szCs w:val="21"/>
          <w:highlight w:val="none"/>
        </w:rPr>
        <w:t>据此函，签字人兹宣布：</w:t>
      </w:r>
    </w:p>
    <w:p w14:paraId="7497D34F">
      <w:pPr>
        <w:adjustRightInd w:val="0"/>
        <w:snapToGrid w:val="0"/>
        <w:spacing w:line="360" w:lineRule="auto"/>
        <w:ind w:firstLine="482"/>
        <w:rPr>
          <w:color w:val="auto"/>
          <w:kern w:val="0"/>
          <w:szCs w:val="21"/>
          <w:highlight w:val="none"/>
        </w:rPr>
      </w:pPr>
      <w:r>
        <w:rPr>
          <w:rFonts w:ascii="宋体" w:hAnsi="宋体"/>
          <w:color w:val="auto"/>
          <w:kern w:val="0"/>
          <w:szCs w:val="21"/>
          <w:highlight w:val="none"/>
        </w:rPr>
        <w:t>1、我方愿意以（大写）人民币</w:t>
      </w:r>
      <w:r>
        <w:rPr>
          <w:rFonts w:ascii="宋体" w:hAnsi="宋体"/>
          <w:color w:val="auto"/>
          <w:kern w:val="0"/>
          <w:szCs w:val="21"/>
          <w:highlight w:val="none"/>
          <w:u w:val="single"/>
        </w:rPr>
        <w:t xml:space="preserve">              </w:t>
      </w:r>
      <w:r>
        <w:rPr>
          <w:rFonts w:ascii="宋体" w:hAnsi="宋体"/>
          <w:color w:val="auto"/>
          <w:kern w:val="0"/>
          <w:szCs w:val="21"/>
          <w:highlight w:val="none"/>
        </w:rPr>
        <w:t>（</w:t>
      </w:r>
      <w:r>
        <w:rPr>
          <w:rFonts w:hint="eastAsia" w:ascii="宋体" w:hAnsi="宋体"/>
          <w:color w:val="auto"/>
          <w:kern w:val="0"/>
          <w:szCs w:val="21"/>
          <w:highlight w:val="none"/>
        </w:rPr>
        <w:t>¥</w:t>
      </w:r>
      <w:r>
        <w:rPr>
          <w:rFonts w:ascii="宋体" w:hAnsi="宋体"/>
          <w:color w:val="auto"/>
          <w:kern w:val="0"/>
          <w:szCs w:val="21"/>
          <w:highlight w:val="none"/>
          <w:u w:val="single"/>
        </w:rPr>
        <w:t xml:space="preserve">          </w:t>
      </w:r>
      <w:r>
        <w:rPr>
          <w:rFonts w:ascii="宋体" w:hAnsi="宋体"/>
          <w:color w:val="auto"/>
          <w:kern w:val="0"/>
          <w:szCs w:val="21"/>
          <w:highlight w:val="none"/>
        </w:rPr>
        <w:t>元</w:t>
      </w:r>
      <w:r>
        <w:rPr>
          <w:rFonts w:hint="eastAsia" w:ascii="宋体" w:hAnsi="宋体"/>
          <w:color w:val="auto"/>
          <w:kern w:val="0"/>
          <w:szCs w:val="21"/>
          <w:highlight w:val="none"/>
        </w:rPr>
        <w:t>）</w:t>
      </w:r>
      <w:r>
        <w:rPr>
          <w:rFonts w:ascii="宋体" w:hAnsi="宋体"/>
          <w:color w:val="auto"/>
          <w:kern w:val="0"/>
          <w:szCs w:val="21"/>
          <w:highlight w:val="none"/>
        </w:rPr>
        <w:t>的竞标总报价，</w:t>
      </w:r>
      <w:r>
        <w:rPr>
          <w:rFonts w:hint="eastAsia" w:ascii="宋体" w:hAnsi="宋体"/>
          <w:color w:val="auto"/>
          <w:kern w:val="0"/>
          <w:szCs w:val="21"/>
          <w:highlight w:val="none"/>
        </w:rPr>
        <w:t>交付时间</w:t>
      </w:r>
      <w:r>
        <w:rPr>
          <w:rFonts w:ascii="宋体" w:hAnsi="宋体"/>
          <w:color w:val="auto"/>
          <w:kern w:val="0"/>
          <w:szCs w:val="21"/>
          <w:highlight w:val="none"/>
        </w:rPr>
        <w:t>（无分标时填写）：</w:t>
      </w:r>
      <w:r>
        <w:rPr>
          <w:rFonts w:ascii="宋体" w:hAnsi="宋体"/>
          <w:color w:val="auto"/>
          <w:kern w:val="0"/>
          <w:szCs w:val="21"/>
          <w:highlight w:val="none"/>
          <w:u w:val="single"/>
        </w:rPr>
        <w:t xml:space="preserve">            </w:t>
      </w:r>
      <w:r>
        <w:rPr>
          <w:rFonts w:ascii="宋体" w:hAnsi="宋体"/>
          <w:color w:val="auto"/>
          <w:kern w:val="0"/>
          <w:szCs w:val="21"/>
          <w:highlight w:val="none"/>
        </w:rPr>
        <w:t>，提供本项目</w:t>
      </w:r>
      <w:r>
        <w:rPr>
          <w:rFonts w:hint="eastAsia" w:ascii="宋体" w:hAnsi="宋体"/>
          <w:color w:val="auto"/>
          <w:kern w:val="0"/>
          <w:szCs w:val="21"/>
          <w:highlight w:val="none"/>
        </w:rPr>
        <w:t>竞争性谈判文件</w:t>
      </w:r>
      <w:r>
        <w:rPr>
          <w:rFonts w:ascii="宋体" w:hAnsi="宋体"/>
          <w:color w:val="auto"/>
          <w:kern w:val="0"/>
          <w:szCs w:val="21"/>
          <w:highlight w:val="none"/>
        </w:rPr>
        <w:t>第</w:t>
      </w:r>
      <w:r>
        <w:rPr>
          <w:rFonts w:hint="eastAsia" w:ascii="宋体" w:hAnsi="宋体"/>
          <w:color w:val="auto"/>
          <w:kern w:val="0"/>
          <w:szCs w:val="21"/>
          <w:highlight w:val="none"/>
        </w:rPr>
        <w:t>二</w:t>
      </w:r>
      <w:r>
        <w:rPr>
          <w:rFonts w:ascii="宋体" w:hAnsi="宋体"/>
          <w:color w:val="auto"/>
          <w:kern w:val="0"/>
          <w:szCs w:val="21"/>
          <w:highlight w:val="none"/>
        </w:rPr>
        <w:t>章“</w:t>
      </w:r>
      <w:r>
        <w:rPr>
          <w:rFonts w:hint="eastAsia" w:ascii="宋体" w:hAnsi="宋体"/>
          <w:color w:val="auto"/>
          <w:kern w:val="0"/>
          <w:szCs w:val="21"/>
          <w:highlight w:val="none"/>
        </w:rPr>
        <w:t>采购需求</w:t>
      </w:r>
      <w:r>
        <w:rPr>
          <w:rFonts w:ascii="宋体" w:hAnsi="宋体"/>
          <w:color w:val="auto"/>
          <w:kern w:val="0"/>
          <w:szCs w:val="21"/>
          <w:highlight w:val="none"/>
        </w:rPr>
        <w:t>”中相应的采购内容。</w:t>
      </w:r>
    </w:p>
    <w:p w14:paraId="7F927D39">
      <w:pPr>
        <w:adjustRightInd w:val="0"/>
        <w:snapToGrid w:val="0"/>
        <w:spacing w:line="360" w:lineRule="auto"/>
        <w:ind w:firstLine="482"/>
        <w:rPr>
          <w:color w:val="auto"/>
          <w:kern w:val="0"/>
          <w:szCs w:val="21"/>
          <w:highlight w:val="none"/>
        </w:rPr>
      </w:pPr>
      <w:r>
        <w:rPr>
          <w:rFonts w:ascii="宋体" w:hAnsi="宋体"/>
          <w:color w:val="auto"/>
          <w:kern w:val="0"/>
          <w:szCs w:val="21"/>
          <w:highlight w:val="none"/>
        </w:rPr>
        <w:t>其中（有分标时填写）：</w:t>
      </w:r>
    </w:p>
    <w:p w14:paraId="31DAF9E8">
      <w:pPr>
        <w:adjustRightInd w:val="0"/>
        <w:snapToGrid w:val="0"/>
        <w:spacing w:line="360" w:lineRule="auto"/>
        <w:ind w:firstLine="482"/>
        <w:rPr>
          <w:color w:val="auto"/>
          <w:kern w:val="0"/>
          <w:szCs w:val="21"/>
          <w:highlight w:val="none"/>
        </w:rPr>
      </w:pPr>
      <w:r>
        <w:rPr>
          <w:rFonts w:ascii="宋体" w:hAnsi="宋体"/>
          <w:color w:val="auto"/>
          <w:kern w:val="0"/>
          <w:szCs w:val="21"/>
          <w:highlight w:val="none"/>
          <w:u w:val="single"/>
        </w:rPr>
        <w:t xml:space="preserve">    </w:t>
      </w:r>
      <w:r>
        <w:rPr>
          <w:rFonts w:ascii="宋体" w:hAnsi="宋体"/>
          <w:color w:val="auto"/>
          <w:kern w:val="0"/>
          <w:szCs w:val="21"/>
          <w:highlight w:val="none"/>
        </w:rPr>
        <w:t>分标报价为（大写）人民币</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r>
        <w:rPr>
          <w:rFonts w:hint="eastAsia" w:ascii="宋体" w:hAnsi="宋体"/>
          <w:color w:val="auto"/>
          <w:kern w:val="0"/>
          <w:szCs w:val="21"/>
          <w:highlight w:val="none"/>
        </w:rPr>
        <w:t>（¥</w:t>
      </w:r>
      <w:r>
        <w:rPr>
          <w:rFonts w:ascii="宋体" w:hAnsi="宋体"/>
          <w:color w:val="auto"/>
          <w:kern w:val="0"/>
          <w:szCs w:val="21"/>
          <w:highlight w:val="none"/>
          <w:u w:val="single"/>
        </w:rPr>
        <w:t xml:space="preserve">           </w:t>
      </w:r>
      <w:r>
        <w:rPr>
          <w:rFonts w:ascii="宋体" w:hAnsi="宋体"/>
          <w:color w:val="auto"/>
          <w:kern w:val="0"/>
          <w:szCs w:val="21"/>
          <w:highlight w:val="none"/>
        </w:rPr>
        <w:t>元</w:t>
      </w:r>
      <w:r>
        <w:rPr>
          <w:rFonts w:hint="eastAsia" w:ascii="宋体" w:hAnsi="宋体"/>
          <w:color w:val="auto"/>
          <w:kern w:val="0"/>
          <w:szCs w:val="21"/>
          <w:highlight w:val="none"/>
        </w:rPr>
        <w:t>）</w:t>
      </w:r>
      <w:r>
        <w:rPr>
          <w:rFonts w:ascii="宋体" w:hAnsi="宋体"/>
          <w:color w:val="auto"/>
          <w:kern w:val="0"/>
          <w:szCs w:val="21"/>
          <w:highlight w:val="none"/>
        </w:rPr>
        <w:t>，</w:t>
      </w:r>
      <w:r>
        <w:rPr>
          <w:rFonts w:hint="eastAsia" w:ascii="宋体" w:hAnsi="宋体"/>
          <w:color w:val="auto"/>
          <w:kern w:val="0"/>
          <w:szCs w:val="21"/>
          <w:highlight w:val="none"/>
        </w:rPr>
        <w:t>交付时间</w:t>
      </w:r>
      <w:r>
        <w:rPr>
          <w:rFonts w:ascii="宋体" w:hAnsi="宋体"/>
          <w:color w:val="auto"/>
          <w:kern w:val="0"/>
          <w:szCs w:val="21"/>
          <w:highlight w:val="none"/>
        </w:rPr>
        <w:t>：</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38B1F90C">
      <w:pPr>
        <w:adjustRightInd w:val="0"/>
        <w:snapToGrid w:val="0"/>
        <w:spacing w:line="360" w:lineRule="auto"/>
        <w:ind w:firstLine="482"/>
        <w:rPr>
          <w:color w:val="auto"/>
          <w:kern w:val="0"/>
          <w:szCs w:val="21"/>
          <w:highlight w:val="none"/>
        </w:rPr>
      </w:pPr>
      <w:r>
        <w:rPr>
          <w:rFonts w:ascii="宋体" w:hAnsi="宋体"/>
          <w:color w:val="auto"/>
          <w:kern w:val="0"/>
          <w:szCs w:val="21"/>
          <w:highlight w:val="none"/>
          <w:u w:val="single"/>
        </w:rPr>
        <w:t xml:space="preserve">    </w:t>
      </w:r>
      <w:r>
        <w:rPr>
          <w:rFonts w:ascii="宋体" w:hAnsi="宋体"/>
          <w:color w:val="auto"/>
          <w:kern w:val="0"/>
          <w:szCs w:val="21"/>
          <w:highlight w:val="none"/>
        </w:rPr>
        <w:t>分标报价为（大写）人民币</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r>
        <w:rPr>
          <w:rFonts w:hint="eastAsia" w:ascii="宋体" w:hAnsi="宋体"/>
          <w:color w:val="auto"/>
          <w:kern w:val="0"/>
          <w:szCs w:val="21"/>
          <w:highlight w:val="none"/>
        </w:rPr>
        <w:t>（¥</w:t>
      </w:r>
      <w:r>
        <w:rPr>
          <w:rFonts w:ascii="宋体" w:hAnsi="宋体"/>
          <w:color w:val="auto"/>
          <w:kern w:val="0"/>
          <w:szCs w:val="21"/>
          <w:highlight w:val="none"/>
          <w:u w:val="single"/>
        </w:rPr>
        <w:t xml:space="preserve">           </w:t>
      </w:r>
      <w:r>
        <w:rPr>
          <w:rFonts w:ascii="宋体" w:hAnsi="宋体"/>
          <w:color w:val="auto"/>
          <w:kern w:val="0"/>
          <w:szCs w:val="21"/>
          <w:highlight w:val="none"/>
        </w:rPr>
        <w:t>元</w:t>
      </w:r>
      <w:r>
        <w:rPr>
          <w:rFonts w:hint="eastAsia" w:ascii="宋体" w:hAnsi="宋体"/>
          <w:color w:val="auto"/>
          <w:kern w:val="0"/>
          <w:szCs w:val="21"/>
          <w:highlight w:val="none"/>
        </w:rPr>
        <w:t>）</w:t>
      </w:r>
      <w:r>
        <w:rPr>
          <w:rFonts w:ascii="宋体" w:hAnsi="宋体"/>
          <w:color w:val="auto"/>
          <w:kern w:val="0"/>
          <w:szCs w:val="21"/>
          <w:highlight w:val="none"/>
        </w:rPr>
        <w:t>，</w:t>
      </w:r>
      <w:r>
        <w:rPr>
          <w:rFonts w:hint="eastAsia" w:ascii="宋体" w:hAnsi="宋体"/>
          <w:color w:val="auto"/>
          <w:kern w:val="0"/>
          <w:szCs w:val="21"/>
          <w:highlight w:val="none"/>
        </w:rPr>
        <w:t>交付时间</w:t>
      </w:r>
      <w:r>
        <w:rPr>
          <w:rFonts w:ascii="宋体" w:hAnsi="宋体"/>
          <w:color w:val="auto"/>
          <w:kern w:val="0"/>
          <w:szCs w:val="21"/>
          <w:highlight w:val="none"/>
        </w:rPr>
        <w:t>：</w:t>
      </w:r>
      <w:r>
        <w:rPr>
          <w:rFonts w:ascii="宋体" w:hAnsi="宋体"/>
          <w:color w:val="auto"/>
          <w:kern w:val="0"/>
          <w:szCs w:val="21"/>
          <w:highlight w:val="none"/>
          <w:u w:val="single"/>
        </w:rPr>
        <w:t xml:space="preserve">          </w:t>
      </w:r>
      <w:r>
        <w:rPr>
          <w:rFonts w:ascii="宋体" w:hAnsi="宋体"/>
          <w:color w:val="auto"/>
          <w:kern w:val="0"/>
          <w:szCs w:val="21"/>
          <w:highlight w:val="none"/>
        </w:rPr>
        <w:t>；</w:t>
      </w:r>
    </w:p>
    <w:p w14:paraId="1EAC0AF1">
      <w:pPr>
        <w:adjustRightInd w:val="0"/>
        <w:snapToGrid w:val="0"/>
        <w:spacing w:line="360" w:lineRule="auto"/>
        <w:ind w:firstLine="482"/>
        <w:rPr>
          <w:color w:val="auto"/>
          <w:kern w:val="0"/>
          <w:szCs w:val="21"/>
          <w:highlight w:val="none"/>
        </w:rPr>
      </w:pPr>
      <w:r>
        <w:rPr>
          <w:rFonts w:ascii="宋体" w:hAnsi="宋体"/>
          <w:color w:val="auto"/>
          <w:kern w:val="0"/>
          <w:szCs w:val="21"/>
          <w:highlight w:val="none"/>
        </w:rPr>
        <w:t>......</w:t>
      </w:r>
    </w:p>
    <w:p w14:paraId="492C8143">
      <w:pPr>
        <w:adjustRightInd w:val="0"/>
        <w:snapToGrid w:val="0"/>
        <w:spacing w:line="360" w:lineRule="auto"/>
        <w:ind w:firstLine="482"/>
        <w:rPr>
          <w:rFonts w:hint="eastAsia" w:ascii="宋体" w:hAnsi="宋体" w:cs="宋体"/>
          <w:b/>
          <w:bCs/>
          <w:color w:val="auto"/>
          <w:kern w:val="0"/>
          <w:szCs w:val="21"/>
          <w:highlight w:val="none"/>
        </w:rPr>
      </w:pPr>
      <w:r>
        <w:rPr>
          <w:rFonts w:ascii="宋体" w:hAnsi="宋体"/>
          <w:color w:val="auto"/>
          <w:kern w:val="0"/>
          <w:szCs w:val="21"/>
          <w:highlight w:val="none"/>
        </w:rPr>
        <w:t>2、我方同意自本项目</w:t>
      </w:r>
      <w:r>
        <w:rPr>
          <w:rFonts w:hint="eastAsia" w:ascii="宋体" w:hAnsi="宋体"/>
          <w:color w:val="auto"/>
          <w:kern w:val="0"/>
          <w:szCs w:val="21"/>
          <w:highlight w:val="none"/>
        </w:rPr>
        <w:t>竞争性谈判文件</w:t>
      </w:r>
      <w:r>
        <w:rPr>
          <w:rFonts w:ascii="宋体" w:hAnsi="宋体"/>
          <w:color w:val="auto"/>
          <w:kern w:val="0"/>
          <w:szCs w:val="21"/>
          <w:highlight w:val="none"/>
        </w:rPr>
        <w:t>采购公告规定的递交响应文件截止时间起遵循本响应函，并承诺在“第三章 供应商须知”规定的响应有效期内不修改、撤销响应文件。</w:t>
      </w:r>
    </w:p>
    <w:p w14:paraId="4B67CCA4">
      <w:pPr>
        <w:adjustRightInd w:val="0"/>
        <w:snapToGrid w:val="0"/>
        <w:spacing w:line="360" w:lineRule="auto"/>
        <w:ind w:firstLine="482"/>
        <w:rPr>
          <w:rFonts w:hint="eastAsia" w:ascii="宋体" w:hAnsi="宋体" w:cs="宋体"/>
          <w:b/>
          <w:bCs/>
          <w:color w:val="auto"/>
          <w:kern w:val="0"/>
          <w:szCs w:val="21"/>
          <w:highlight w:val="none"/>
        </w:rPr>
      </w:pPr>
      <w:r>
        <w:rPr>
          <w:rFonts w:ascii="宋体" w:hAnsi="宋体"/>
          <w:color w:val="auto"/>
          <w:kern w:val="0"/>
          <w:szCs w:val="21"/>
          <w:highlight w:val="none"/>
        </w:rPr>
        <w:t>3、我方在此声明，所递交的响应文件及有关资料内容完整、真实和准确。</w:t>
      </w:r>
    </w:p>
    <w:p w14:paraId="68229F98">
      <w:pPr>
        <w:adjustRightInd w:val="0"/>
        <w:snapToGrid w:val="0"/>
        <w:spacing w:line="360" w:lineRule="auto"/>
        <w:ind w:firstLine="482"/>
        <w:rPr>
          <w:rFonts w:hint="eastAsia" w:ascii="宋体" w:hAnsi="宋体" w:cs="宋体"/>
          <w:b/>
          <w:bCs/>
          <w:color w:val="auto"/>
          <w:kern w:val="0"/>
          <w:szCs w:val="21"/>
          <w:highlight w:val="none"/>
        </w:rPr>
      </w:pPr>
      <w:r>
        <w:rPr>
          <w:rFonts w:ascii="宋体" w:hAnsi="宋体"/>
          <w:color w:val="auto"/>
          <w:kern w:val="0"/>
          <w:szCs w:val="21"/>
          <w:highlight w:val="none"/>
        </w:rPr>
        <w:t>4、如本项目采购内容涉及须符合国家强制规定的，我方承诺我方本次竞标均符合国家有关强制规定。</w:t>
      </w:r>
    </w:p>
    <w:p w14:paraId="13517944">
      <w:pPr>
        <w:adjustRightInd w:val="0"/>
        <w:snapToGrid w:val="0"/>
        <w:spacing w:line="360" w:lineRule="auto"/>
        <w:ind w:firstLine="482"/>
        <w:rPr>
          <w:rFonts w:hint="eastAsia" w:ascii="宋体" w:hAnsi="宋体" w:cs="宋体"/>
          <w:b/>
          <w:bCs/>
          <w:color w:val="auto"/>
          <w:kern w:val="0"/>
          <w:szCs w:val="21"/>
          <w:highlight w:val="none"/>
        </w:rPr>
      </w:pPr>
      <w:r>
        <w:rPr>
          <w:rFonts w:ascii="宋体" w:hAnsi="宋体"/>
          <w:color w:val="auto"/>
          <w:kern w:val="0"/>
          <w:szCs w:val="21"/>
          <w:highlight w:val="none"/>
        </w:rPr>
        <w:t>5、我方承诺未被列入失信被执行人、重大税收违法案件当事人名单、政府采购严重违法失信行为记录名单，并已经具备《中华人民共和国政府采购法》中规定的参加政府采购活动的供应商应当具备的条件：</w:t>
      </w:r>
    </w:p>
    <w:p w14:paraId="37A5E086">
      <w:pPr>
        <w:numPr>
          <w:ilvl w:val="0"/>
          <w:numId w:val="1"/>
        </w:numPr>
        <w:tabs>
          <w:tab w:val="left" w:pos="945"/>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具有独立承担民事责任的能力；</w:t>
      </w:r>
    </w:p>
    <w:p w14:paraId="71A33EB5">
      <w:pPr>
        <w:numPr>
          <w:ilvl w:val="0"/>
          <w:numId w:val="2"/>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具有良好的商业信誉和健全的财务会计制度；</w:t>
      </w:r>
    </w:p>
    <w:p w14:paraId="1EA99147">
      <w:pPr>
        <w:numPr>
          <w:ilvl w:val="0"/>
          <w:numId w:val="2"/>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具有履行合同所必需的设备和专业技术能力；</w:t>
      </w:r>
    </w:p>
    <w:p w14:paraId="6A371D71">
      <w:pPr>
        <w:numPr>
          <w:ilvl w:val="0"/>
          <w:numId w:val="2"/>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有依法缴纳税收和社会保障资金的良好记录；</w:t>
      </w:r>
    </w:p>
    <w:p w14:paraId="5F717148">
      <w:pPr>
        <w:numPr>
          <w:ilvl w:val="0"/>
          <w:numId w:val="2"/>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参加政府采购活动前三年内，在经营活动中没有重大违法记录；</w:t>
      </w:r>
    </w:p>
    <w:p w14:paraId="1E13D351">
      <w:pPr>
        <w:numPr>
          <w:ilvl w:val="0"/>
          <w:numId w:val="2"/>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法律、行政法规规定的其他条件。</w:t>
      </w:r>
    </w:p>
    <w:p w14:paraId="799E7D13">
      <w:pPr>
        <w:adjustRightInd w:val="0"/>
        <w:snapToGrid w:val="0"/>
        <w:spacing w:line="360" w:lineRule="auto"/>
        <w:ind w:firstLine="482"/>
        <w:rPr>
          <w:rFonts w:hint="eastAsia" w:ascii="宋体" w:hAnsi="宋体" w:cs="宋体"/>
          <w:b/>
          <w:bCs/>
          <w:color w:val="auto"/>
          <w:kern w:val="0"/>
          <w:szCs w:val="21"/>
          <w:highlight w:val="none"/>
        </w:rPr>
      </w:pPr>
      <w:r>
        <w:rPr>
          <w:rFonts w:ascii="宋体" w:hAnsi="宋体"/>
          <w:color w:val="auto"/>
          <w:kern w:val="0"/>
          <w:szCs w:val="21"/>
          <w:highlight w:val="none"/>
        </w:rPr>
        <w:t>6、如我方成交，我方承诺在收到成交通知书后，在成交通知书规定的期限内，根据</w:t>
      </w:r>
      <w:r>
        <w:rPr>
          <w:rFonts w:hint="eastAsia" w:ascii="宋体" w:hAnsi="宋体"/>
          <w:color w:val="auto"/>
          <w:kern w:val="0"/>
          <w:szCs w:val="21"/>
          <w:highlight w:val="none"/>
        </w:rPr>
        <w:t>竞争性谈判文件</w:t>
      </w:r>
      <w:r>
        <w:rPr>
          <w:rFonts w:ascii="宋体" w:hAnsi="宋体"/>
          <w:color w:val="auto"/>
          <w:kern w:val="0"/>
          <w:szCs w:val="21"/>
          <w:highlight w:val="none"/>
        </w:rPr>
        <w:t>、我方的响应文件及有关澄清承诺书的要求按第六章“合同文本”与采购人订立书面合同，并按照合同约定承担完成合同的责任和义务。</w:t>
      </w:r>
    </w:p>
    <w:p w14:paraId="50313A03">
      <w:pPr>
        <w:adjustRightInd w:val="0"/>
        <w:snapToGrid w:val="0"/>
        <w:spacing w:line="360" w:lineRule="auto"/>
        <w:ind w:firstLine="482"/>
        <w:rPr>
          <w:rFonts w:hint="eastAsia" w:ascii="宋体" w:hAnsi="宋体" w:cs="宋体"/>
          <w:b/>
          <w:bCs/>
          <w:color w:val="auto"/>
          <w:kern w:val="0"/>
          <w:szCs w:val="21"/>
          <w:highlight w:val="none"/>
        </w:rPr>
      </w:pPr>
      <w:r>
        <w:rPr>
          <w:rFonts w:ascii="宋体" w:hAnsi="宋体"/>
          <w:color w:val="auto"/>
          <w:kern w:val="0"/>
          <w:szCs w:val="21"/>
          <w:highlight w:val="none"/>
        </w:rPr>
        <w:t>7、我方已详细审核</w:t>
      </w:r>
      <w:r>
        <w:rPr>
          <w:rFonts w:hint="eastAsia" w:ascii="宋体" w:hAnsi="宋体"/>
          <w:color w:val="auto"/>
          <w:kern w:val="0"/>
          <w:szCs w:val="21"/>
          <w:highlight w:val="none"/>
        </w:rPr>
        <w:t>竞争性谈判文件</w:t>
      </w:r>
      <w:r>
        <w:rPr>
          <w:rFonts w:ascii="宋体" w:hAnsi="宋体"/>
          <w:color w:val="auto"/>
          <w:kern w:val="0"/>
          <w:szCs w:val="21"/>
          <w:highlight w:val="none"/>
        </w:rPr>
        <w:t>，我方知道必须放弃提出含糊不清或误解问题的权利。</w:t>
      </w:r>
    </w:p>
    <w:p w14:paraId="0B8B6587">
      <w:pPr>
        <w:adjustRightInd w:val="0"/>
        <w:snapToGrid w:val="0"/>
        <w:spacing w:line="360" w:lineRule="auto"/>
        <w:ind w:firstLine="482"/>
        <w:rPr>
          <w:rFonts w:hint="eastAsia" w:ascii="宋体" w:hAnsi="宋体" w:cs="宋体"/>
          <w:b/>
          <w:bCs/>
          <w:color w:val="auto"/>
          <w:kern w:val="0"/>
          <w:szCs w:val="21"/>
          <w:highlight w:val="none"/>
        </w:rPr>
      </w:pPr>
      <w:r>
        <w:rPr>
          <w:rFonts w:ascii="宋体" w:hAnsi="宋体"/>
          <w:color w:val="auto"/>
          <w:kern w:val="0"/>
          <w:szCs w:val="21"/>
          <w:highlight w:val="none"/>
        </w:rPr>
        <w:t>8、我方承诺满足</w:t>
      </w:r>
      <w:r>
        <w:rPr>
          <w:rFonts w:hint="eastAsia" w:ascii="宋体" w:hAnsi="宋体"/>
          <w:color w:val="auto"/>
          <w:kern w:val="0"/>
          <w:szCs w:val="21"/>
          <w:highlight w:val="none"/>
        </w:rPr>
        <w:t>竞争性谈判文件</w:t>
      </w:r>
      <w:r>
        <w:rPr>
          <w:rFonts w:ascii="宋体" w:hAnsi="宋体"/>
          <w:color w:val="auto"/>
          <w:kern w:val="0"/>
          <w:szCs w:val="21"/>
          <w:highlight w:val="none"/>
        </w:rPr>
        <w:t>第六章“合同文本”的条款，承担完成合同的责任和义务。</w:t>
      </w:r>
    </w:p>
    <w:p w14:paraId="7DC296C0">
      <w:pPr>
        <w:adjustRightInd w:val="0"/>
        <w:snapToGrid w:val="0"/>
        <w:spacing w:line="360" w:lineRule="auto"/>
        <w:ind w:firstLine="482"/>
        <w:rPr>
          <w:rFonts w:hint="eastAsia" w:ascii="宋体" w:hAnsi="宋体" w:cs="宋体"/>
          <w:b/>
          <w:bCs/>
          <w:color w:val="auto"/>
          <w:kern w:val="0"/>
          <w:szCs w:val="21"/>
          <w:highlight w:val="none"/>
        </w:rPr>
      </w:pPr>
      <w:r>
        <w:rPr>
          <w:rFonts w:ascii="宋体" w:hAnsi="宋体"/>
          <w:color w:val="auto"/>
          <w:kern w:val="0"/>
          <w:szCs w:val="21"/>
          <w:highlight w:val="none"/>
        </w:rPr>
        <w:t>9、我方同意应贵方要求提供与本竞标有关的任何数据或资料。若贵方需要，我方愿意提供我方作出的一切承诺的证明材料。</w:t>
      </w:r>
    </w:p>
    <w:p w14:paraId="2D1E321F">
      <w:pPr>
        <w:adjustRightInd w:val="0"/>
        <w:snapToGrid w:val="0"/>
        <w:spacing w:line="360" w:lineRule="auto"/>
        <w:ind w:firstLine="482"/>
        <w:rPr>
          <w:rFonts w:hint="eastAsia" w:ascii="宋体" w:hAnsi="宋体" w:cs="宋体"/>
          <w:b/>
          <w:bCs/>
          <w:color w:val="auto"/>
          <w:kern w:val="0"/>
          <w:szCs w:val="21"/>
          <w:highlight w:val="none"/>
        </w:rPr>
      </w:pPr>
      <w:r>
        <w:rPr>
          <w:rFonts w:ascii="宋体" w:hAnsi="宋体"/>
          <w:color w:val="auto"/>
          <w:kern w:val="0"/>
          <w:szCs w:val="21"/>
          <w:highlight w:val="none"/>
        </w:rPr>
        <w:t>10、我方完全理解贵方不一定接受响应报价最低的竞标人为成交供应商的行为。</w:t>
      </w:r>
    </w:p>
    <w:p w14:paraId="7A75982A">
      <w:pPr>
        <w:adjustRightInd w:val="0"/>
        <w:snapToGrid w:val="0"/>
        <w:spacing w:line="360" w:lineRule="auto"/>
        <w:ind w:firstLine="482"/>
        <w:rPr>
          <w:rFonts w:hint="eastAsia" w:ascii="宋体" w:hAnsi="宋体" w:cs="宋体"/>
          <w:bCs/>
          <w:color w:val="auto"/>
          <w:kern w:val="0"/>
          <w:szCs w:val="21"/>
          <w:highlight w:val="none"/>
        </w:rPr>
      </w:pPr>
      <w:r>
        <w:rPr>
          <w:rFonts w:ascii="宋体" w:hAnsi="宋体"/>
          <w:color w:val="auto"/>
          <w:kern w:val="0"/>
          <w:szCs w:val="21"/>
          <w:highlight w:val="none"/>
        </w:rPr>
        <w:t>11、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C5B7959">
      <w:pPr>
        <w:numPr>
          <w:ilvl w:val="0"/>
          <w:numId w:val="3"/>
        </w:numPr>
        <w:tabs>
          <w:tab w:val="left" w:pos="945"/>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提供虚假材料谋取中标、成交的；</w:t>
      </w:r>
    </w:p>
    <w:p w14:paraId="2C4B0900">
      <w:pPr>
        <w:numPr>
          <w:ilvl w:val="0"/>
          <w:numId w:val="4"/>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采取不正当手段诋毁、排挤其他供应商的；</w:t>
      </w:r>
    </w:p>
    <w:p w14:paraId="55A50B48">
      <w:pPr>
        <w:numPr>
          <w:ilvl w:val="0"/>
          <w:numId w:val="4"/>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与采购人、其他供应商或者采购代理机构恶意串通的；</w:t>
      </w:r>
    </w:p>
    <w:p w14:paraId="37AEB188">
      <w:pPr>
        <w:numPr>
          <w:ilvl w:val="0"/>
          <w:numId w:val="4"/>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向采购人、采购代理机构行贿或者提供其他不正当利益的；</w:t>
      </w:r>
    </w:p>
    <w:p w14:paraId="43DD8938">
      <w:pPr>
        <w:numPr>
          <w:ilvl w:val="0"/>
          <w:numId w:val="4"/>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在采购过程中与采购人进行协商谈判的；</w:t>
      </w:r>
    </w:p>
    <w:p w14:paraId="24E608E1">
      <w:pPr>
        <w:numPr>
          <w:ilvl w:val="0"/>
          <w:numId w:val="4"/>
        </w:numPr>
        <w:tabs>
          <w:tab w:val="left" w:pos="945"/>
          <w:tab w:val="left" w:pos="1140"/>
        </w:tabs>
        <w:adjustRightInd w:val="0"/>
        <w:snapToGrid w:val="0"/>
        <w:spacing w:line="360" w:lineRule="auto"/>
        <w:rPr>
          <w:rFonts w:hint="eastAsia" w:ascii="宋体" w:hAnsi="宋体" w:cs="宋体"/>
          <w:bCs/>
          <w:color w:val="auto"/>
          <w:kern w:val="0"/>
          <w:szCs w:val="21"/>
          <w:highlight w:val="none"/>
        </w:rPr>
      </w:pPr>
      <w:r>
        <w:rPr>
          <w:rFonts w:ascii="宋体" w:hAnsi="宋体"/>
          <w:color w:val="auto"/>
          <w:kern w:val="0"/>
          <w:szCs w:val="21"/>
          <w:highlight w:val="none"/>
        </w:rPr>
        <w:t>拒绝有关部门监督检查或提供虚假情况的。</w:t>
      </w:r>
    </w:p>
    <w:p w14:paraId="27EF69EB">
      <w:pPr>
        <w:adjustRightInd w:val="0"/>
        <w:snapToGrid w:val="0"/>
        <w:spacing w:line="360" w:lineRule="auto"/>
        <w:ind w:firstLine="420"/>
        <w:rPr>
          <w:rFonts w:hint="eastAsia" w:ascii="宋体" w:hAnsi="宋体" w:cs="宋体"/>
          <w:b/>
          <w:bCs/>
          <w:color w:val="auto"/>
          <w:kern w:val="0"/>
          <w:szCs w:val="21"/>
          <w:highlight w:val="none"/>
        </w:rPr>
      </w:pPr>
      <w:r>
        <w:rPr>
          <w:rFonts w:ascii="宋体" w:hAnsi="宋体" w:cs="宋体"/>
          <w:color w:val="auto"/>
          <w:kern w:val="0"/>
          <w:szCs w:val="21"/>
          <w:highlight w:val="none"/>
        </w:rPr>
        <w:t>12.与本</w:t>
      </w:r>
      <w:r>
        <w:rPr>
          <w:rFonts w:hint="eastAsia" w:ascii="宋体" w:hAnsi="宋体" w:cs="宋体"/>
          <w:color w:val="auto"/>
          <w:kern w:val="0"/>
          <w:szCs w:val="21"/>
          <w:highlight w:val="none"/>
        </w:rPr>
        <w:t>谈判</w:t>
      </w:r>
      <w:r>
        <w:rPr>
          <w:rFonts w:ascii="宋体" w:hAnsi="宋体" w:cs="宋体"/>
          <w:color w:val="auto"/>
          <w:kern w:val="0"/>
          <w:szCs w:val="21"/>
          <w:highlight w:val="none"/>
        </w:rPr>
        <w:t>有关的一切正式往来信函请寄</w:t>
      </w:r>
      <w:r>
        <w:rPr>
          <w:rFonts w:ascii="宋体" w:hAnsi="宋体"/>
          <w:color w:val="auto"/>
          <w:kern w:val="0"/>
          <w:szCs w:val="21"/>
          <w:highlight w:val="none"/>
        </w:rPr>
        <w:t>：</w:t>
      </w:r>
    </w:p>
    <w:p w14:paraId="26BF2F78">
      <w:pPr>
        <w:adjustRightInd w:val="0"/>
        <w:snapToGrid w:val="0"/>
        <w:spacing w:line="360" w:lineRule="auto"/>
        <w:ind w:firstLine="420"/>
        <w:rPr>
          <w:rFonts w:hint="eastAsia" w:ascii="宋体" w:hAnsi="宋体" w:cs="宋体"/>
          <w:b/>
          <w:bCs/>
          <w:color w:val="auto"/>
          <w:kern w:val="0"/>
          <w:szCs w:val="21"/>
          <w:highlight w:val="none"/>
        </w:rPr>
      </w:pPr>
      <w:r>
        <w:rPr>
          <w:rFonts w:ascii="宋体" w:hAnsi="宋体"/>
          <w:color w:val="auto"/>
          <w:kern w:val="0"/>
          <w:szCs w:val="21"/>
          <w:highlight w:val="none"/>
        </w:rPr>
        <w:t>地址：</w:t>
      </w:r>
      <w:r>
        <w:rPr>
          <w:rFonts w:ascii="宋体" w:hAnsi="宋体"/>
          <w:color w:val="auto"/>
          <w:kern w:val="0"/>
          <w:szCs w:val="21"/>
          <w:highlight w:val="none"/>
          <w:u w:val="single"/>
        </w:rPr>
        <w:t xml:space="preserve">                                                        </w:t>
      </w:r>
      <w:r>
        <w:rPr>
          <w:rFonts w:ascii="宋体" w:hAnsi="宋体"/>
          <w:color w:val="auto"/>
          <w:kern w:val="0"/>
          <w:szCs w:val="21"/>
          <w:highlight w:val="none"/>
        </w:rPr>
        <w:t xml:space="preserve"> </w:t>
      </w:r>
    </w:p>
    <w:p w14:paraId="0F8CD2EE">
      <w:pPr>
        <w:adjustRightInd w:val="0"/>
        <w:snapToGrid w:val="0"/>
        <w:spacing w:line="360" w:lineRule="auto"/>
        <w:ind w:firstLine="420"/>
        <w:rPr>
          <w:rFonts w:hint="eastAsia" w:ascii="宋体" w:hAnsi="宋体"/>
          <w:color w:val="auto"/>
          <w:kern w:val="0"/>
          <w:szCs w:val="21"/>
          <w:highlight w:val="none"/>
          <w:u w:val="single"/>
        </w:rPr>
      </w:pPr>
      <w:r>
        <w:rPr>
          <w:rFonts w:ascii="宋体" w:hAnsi="宋体"/>
          <w:color w:val="auto"/>
          <w:kern w:val="0"/>
          <w:szCs w:val="21"/>
          <w:highlight w:val="none"/>
        </w:rPr>
        <w:t>电话：</w:t>
      </w:r>
      <w:r>
        <w:rPr>
          <w:rFonts w:ascii="宋体" w:hAnsi="宋体"/>
          <w:color w:val="auto"/>
          <w:kern w:val="0"/>
          <w:szCs w:val="21"/>
          <w:highlight w:val="none"/>
          <w:u w:val="single"/>
        </w:rPr>
        <w:t xml:space="preserve">                                      　　　　　　　　　</w:t>
      </w:r>
    </w:p>
    <w:p w14:paraId="2884C11D">
      <w:pPr>
        <w:adjustRightInd w:val="0"/>
        <w:snapToGrid w:val="0"/>
        <w:spacing w:line="360" w:lineRule="auto"/>
        <w:ind w:firstLine="420"/>
        <w:rPr>
          <w:rFonts w:hint="eastAsia" w:ascii="宋体" w:hAnsi="宋体" w:cs="宋体"/>
          <w:b/>
          <w:bCs/>
          <w:color w:val="auto"/>
          <w:kern w:val="0"/>
          <w:szCs w:val="21"/>
          <w:highlight w:val="none"/>
        </w:rPr>
      </w:pPr>
      <w:r>
        <w:rPr>
          <w:rFonts w:ascii="宋体" w:hAnsi="宋体"/>
          <w:color w:val="auto"/>
          <w:kern w:val="0"/>
          <w:szCs w:val="21"/>
          <w:highlight w:val="none"/>
        </w:rPr>
        <w:t>传真：</w:t>
      </w:r>
      <w:r>
        <w:rPr>
          <w:rFonts w:ascii="宋体" w:hAnsi="宋体"/>
          <w:color w:val="auto"/>
          <w:kern w:val="0"/>
          <w:szCs w:val="21"/>
          <w:highlight w:val="none"/>
          <w:u w:val="single"/>
        </w:rPr>
        <w:t>　　　　　　　　　　　　　　　　　　　　　　　　　　　　</w:t>
      </w:r>
    </w:p>
    <w:p w14:paraId="07F14869">
      <w:pPr>
        <w:adjustRightInd w:val="0"/>
        <w:snapToGrid w:val="0"/>
        <w:spacing w:line="360" w:lineRule="auto"/>
        <w:ind w:firstLine="420"/>
        <w:rPr>
          <w:rFonts w:hint="eastAsia" w:ascii="宋体" w:hAnsi="宋体"/>
          <w:color w:val="auto"/>
          <w:kern w:val="0"/>
          <w:szCs w:val="21"/>
          <w:highlight w:val="none"/>
          <w:u w:val="single"/>
        </w:rPr>
      </w:pPr>
      <w:r>
        <w:rPr>
          <w:rFonts w:ascii="宋体" w:hAnsi="宋体"/>
          <w:color w:val="auto"/>
          <w:kern w:val="0"/>
          <w:szCs w:val="21"/>
          <w:highlight w:val="none"/>
        </w:rPr>
        <w:t>邮政编码：</w:t>
      </w:r>
      <w:r>
        <w:rPr>
          <w:rFonts w:ascii="宋体" w:hAnsi="宋体"/>
          <w:color w:val="auto"/>
          <w:kern w:val="0"/>
          <w:szCs w:val="21"/>
          <w:highlight w:val="none"/>
          <w:u w:val="single"/>
        </w:rPr>
        <w:t xml:space="preserve">                                                    </w:t>
      </w:r>
    </w:p>
    <w:p w14:paraId="4E739393">
      <w:pPr>
        <w:adjustRightInd w:val="0"/>
        <w:snapToGrid w:val="0"/>
        <w:spacing w:line="360" w:lineRule="auto"/>
        <w:ind w:firstLine="420"/>
        <w:rPr>
          <w:rFonts w:hint="eastAsia" w:ascii="宋体" w:hAnsi="宋体"/>
          <w:color w:val="auto"/>
          <w:kern w:val="0"/>
          <w:szCs w:val="21"/>
          <w:highlight w:val="none"/>
          <w:u w:val="single"/>
        </w:rPr>
      </w:pPr>
      <w:r>
        <w:rPr>
          <w:rFonts w:ascii="宋体" w:hAnsi="宋体"/>
          <w:color w:val="auto"/>
          <w:kern w:val="0"/>
          <w:szCs w:val="21"/>
          <w:highlight w:val="none"/>
        </w:rPr>
        <w:t>开户名称：</w:t>
      </w:r>
      <w:r>
        <w:rPr>
          <w:rFonts w:ascii="宋体" w:hAnsi="宋体"/>
          <w:color w:val="auto"/>
          <w:kern w:val="0"/>
          <w:szCs w:val="21"/>
          <w:highlight w:val="none"/>
          <w:u w:val="single"/>
        </w:rPr>
        <w:t xml:space="preserve">                                                    </w:t>
      </w:r>
    </w:p>
    <w:p w14:paraId="42F1476B">
      <w:pPr>
        <w:adjustRightInd w:val="0"/>
        <w:snapToGrid w:val="0"/>
        <w:spacing w:line="360" w:lineRule="auto"/>
        <w:ind w:firstLine="420"/>
        <w:rPr>
          <w:rFonts w:hint="eastAsia" w:ascii="宋体" w:hAnsi="宋体"/>
          <w:color w:val="auto"/>
          <w:kern w:val="0"/>
          <w:szCs w:val="21"/>
          <w:highlight w:val="none"/>
          <w:u w:val="single"/>
        </w:rPr>
      </w:pPr>
      <w:r>
        <w:rPr>
          <w:rFonts w:ascii="宋体" w:hAnsi="宋体"/>
          <w:color w:val="auto"/>
          <w:kern w:val="0"/>
          <w:szCs w:val="21"/>
          <w:highlight w:val="none"/>
        </w:rPr>
        <w:t>开户银行：</w:t>
      </w:r>
      <w:r>
        <w:rPr>
          <w:rFonts w:ascii="宋体" w:hAnsi="宋体"/>
          <w:color w:val="auto"/>
          <w:kern w:val="0"/>
          <w:szCs w:val="21"/>
          <w:highlight w:val="none"/>
          <w:u w:val="single"/>
        </w:rPr>
        <w:t xml:space="preserve">                                                    </w:t>
      </w:r>
    </w:p>
    <w:p w14:paraId="3D4DA59E">
      <w:pPr>
        <w:adjustRightInd w:val="0"/>
        <w:snapToGrid w:val="0"/>
        <w:spacing w:line="360" w:lineRule="auto"/>
        <w:ind w:firstLine="420"/>
        <w:rPr>
          <w:rFonts w:hint="eastAsia" w:ascii="宋体" w:hAnsi="宋体"/>
          <w:color w:val="auto"/>
          <w:kern w:val="0"/>
          <w:szCs w:val="21"/>
          <w:highlight w:val="none"/>
          <w:u w:val="single"/>
        </w:rPr>
      </w:pPr>
      <w:r>
        <w:rPr>
          <w:rFonts w:ascii="宋体" w:hAnsi="宋体"/>
          <w:color w:val="auto"/>
          <w:kern w:val="0"/>
          <w:szCs w:val="21"/>
          <w:highlight w:val="none"/>
        </w:rPr>
        <w:t>银行账号：</w:t>
      </w:r>
      <w:r>
        <w:rPr>
          <w:rFonts w:ascii="宋体" w:hAnsi="宋体"/>
          <w:color w:val="auto"/>
          <w:kern w:val="0"/>
          <w:szCs w:val="21"/>
          <w:highlight w:val="none"/>
          <w:u w:val="single"/>
        </w:rPr>
        <w:t xml:space="preserve">                                                    </w:t>
      </w:r>
    </w:p>
    <w:p w14:paraId="66D77EC1">
      <w:pPr>
        <w:tabs>
          <w:tab w:val="left" w:pos="939"/>
        </w:tabs>
        <w:spacing w:line="360" w:lineRule="auto"/>
        <w:ind w:left="141" w:leftChars="67" w:firstLine="315" w:firstLineChars="150"/>
        <w:contextualSpacing/>
        <w:rPr>
          <w:rFonts w:hint="eastAsia" w:ascii="宋体" w:hAnsi="宋体" w:cs="宋体"/>
          <w:color w:val="auto"/>
          <w:szCs w:val="21"/>
          <w:highlight w:val="none"/>
        </w:rPr>
      </w:pPr>
      <w:r>
        <w:rPr>
          <w:rFonts w:ascii="宋体" w:hAnsi="宋体" w:cs="宋体"/>
          <w:color w:val="auto"/>
          <w:szCs w:val="21"/>
          <w:highlight w:val="none"/>
        </w:rPr>
        <w:t>特此承诺</w:t>
      </w:r>
      <w:r>
        <w:rPr>
          <w:rFonts w:hint="eastAsia" w:ascii="宋体" w:hAnsi="宋体" w:cs="宋体"/>
          <w:color w:val="auto"/>
          <w:szCs w:val="21"/>
          <w:highlight w:val="none"/>
        </w:rPr>
        <w:t>。</w:t>
      </w:r>
    </w:p>
    <w:p w14:paraId="7426A294">
      <w:pPr>
        <w:spacing w:line="360" w:lineRule="auto"/>
        <w:contextualSpacing/>
        <w:jc w:val="left"/>
        <w:rPr>
          <w:rFonts w:hint="eastAsia" w:ascii="宋体" w:hAnsi="宋体" w:cs="宋体"/>
          <w:color w:val="auto"/>
          <w:szCs w:val="21"/>
          <w:highlight w:val="none"/>
        </w:rPr>
      </w:pPr>
    </w:p>
    <w:p w14:paraId="0937FA42">
      <w:pPr>
        <w:autoSpaceDE w:val="0"/>
        <w:autoSpaceDN w:val="0"/>
        <w:spacing w:line="360" w:lineRule="auto"/>
        <w:ind w:left="4305" w:leftChars="1950" w:hanging="210" w:hangingChars="100"/>
        <w:rPr>
          <w:rFonts w:hint="eastAsia" w:ascii="宋体" w:hAnsi="宋体" w:cs="宋体"/>
          <w:color w:val="auto"/>
          <w:kern w:val="0"/>
          <w:szCs w:val="21"/>
          <w:highlight w:val="none"/>
        </w:rPr>
      </w:pPr>
      <w:r>
        <w:rPr>
          <w:rFonts w:hint="eastAsia" w:ascii="宋体" w:hAnsi="宋体" w:cs="宋体"/>
          <w:color w:val="auto"/>
          <w:kern w:val="0"/>
          <w:szCs w:val="21"/>
          <w:highlight w:val="none"/>
        </w:rPr>
        <w:t>供应商名称（电子签章）：</w:t>
      </w:r>
    </w:p>
    <w:p w14:paraId="43887E6F">
      <w:pPr>
        <w:autoSpaceDE w:val="0"/>
        <w:autoSpaceDN w:val="0"/>
        <w:spacing w:line="360" w:lineRule="auto"/>
        <w:ind w:firstLine="5670" w:firstLineChars="27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  年  月   日</w:t>
      </w:r>
    </w:p>
    <w:p w14:paraId="66673499">
      <w:pPr>
        <w:spacing w:line="360" w:lineRule="auto"/>
        <w:ind w:firstLine="420"/>
        <w:rPr>
          <w:rFonts w:hint="eastAsia" w:ascii="宋体" w:hAnsi="宋体" w:cs="宋体"/>
          <w:color w:val="auto"/>
          <w:kern w:val="0"/>
          <w:sz w:val="20"/>
          <w:szCs w:val="21"/>
          <w:highlight w:val="none"/>
        </w:rPr>
      </w:pPr>
    </w:p>
    <w:p w14:paraId="2059CE57">
      <w:pPr>
        <w:spacing w:line="520" w:lineRule="exact"/>
        <w:ind w:firstLine="420" w:firstLineChars="200"/>
        <w:rPr>
          <w:rFonts w:hint="eastAsia" w:ascii="宋体" w:hAnsi="宋体" w:cs="宋体"/>
          <w:color w:val="auto"/>
          <w:highlight w:val="none"/>
        </w:rPr>
        <w:sectPr>
          <w:pgSz w:w="11910" w:h="16840"/>
          <w:pgMar w:top="1440" w:right="1080" w:bottom="1440" w:left="1080" w:header="720" w:footer="720" w:gutter="0"/>
          <w:cols w:space="720" w:num="1"/>
        </w:sectPr>
      </w:pPr>
    </w:p>
    <w:p w14:paraId="304DA3A4">
      <w:pPr>
        <w:spacing w:line="500" w:lineRule="exact"/>
        <w:ind w:firstLine="602" w:firstLineChars="200"/>
        <w:rPr>
          <w:rFonts w:hint="eastAsia" w:ascii="宋体" w:hAnsi="宋体" w:cs="宋体"/>
          <w:b/>
          <w:color w:val="auto"/>
          <w:sz w:val="30"/>
          <w:szCs w:val="30"/>
          <w:highlight w:val="none"/>
        </w:rPr>
      </w:pPr>
      <w:r>
        <w:rPr>
          <w:rFonts w:hint="eastAsia" w:ascii="宋体" w:hAnsi="宋体" w:cs="宋体"/>
          <w:b/>
          <w:color w:val="auto"/>
          <w:sz w:val="30"/>
          <w:szCs w:val="30"/>
          <w:highlight w:val="none"/>
        </w:rPr>
        <w:t xml:space="preserve">二、响应报价表 </w:t>
      </w:r>
    </w:p>
    <w:p w14:paraId="2D8BA1B9">
      <w:pPr>
        <w:snapToGrid w:val="0"/>
        <w:spacing w:before="50" w:after="5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项目名称：                    项目编号：                     分标：           </w:t>
      </w:r>
    </w:p>
    <w:p w14:paraId="60C7F332">
      <w:pPr>
        <w:snapToGrid w:val="0"/>
        <w:spacing w:before="50" w:after="50" w:line="360" w:lineRule="auto"/>
        <w:rPr>
          <w:rFonts w:hint="eastAsia" w:ascii="宋体" w:hAnsi="宋体" w:cs="宋体"/>
          <w:color w:val="auto"/>
          <w:szCs w:val="21"/>
          <w:highlight w:val="none"/>
        </w:rPr>
      </w:pPr>
      <w:r>
        <w:rPr>
          <w:rFonts w:hint="eastAsia" w:ascii="宋体" w:hAnsi="宋体" w:cs="宋体"/>
          <w:color w:val="auto"/>
          <w:szCs w:val="21"/>
          <w:highlight w:val="none"/>
        </w:rPr>
        <w:t xml:space="preserve">供应商名称：                                           </w:t>
      </w:r>
    </w:p>
    <w:tbl>
      <w:tblPr>
        <w:tblStyle w:val="33"/>
        <w:tblW w:w="102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1482"/>
        <w:gridCol w:w="2000"/>
        <w:gridCol w:w="1813"/>
        <w:gridCol w:w="437"/>
        <w:gridCol w:w="775"/>
        <w:gridCol w:w="988"/>
        <w:gridCol w:w="1537"/>
        <w:gridCol w:w="499"/>
      </w:tblGrid>
      <w:tr w14:paraId="0972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82" w:hRule="atLeast"/>
        </w:trPr>
        <w:tc>
          <w:tcPr>
            <w:tcW w:w="719" w:type="dxa"/>
            <w:tcBorders>
              <w:top w:val="single" w:color="auto" w:sz="4" w:space="0"/>
              <w:left w:val="single" w:color="auto" w:sz="4" w:space="0"/>
              <w:bottom w:val="single" w:color="auto" w:sz="4" w:space="0"/>
              <w:right w:val="single" w:color="auto" w:sz="4" w:space="0"/>
            </w:tcBorders>
            <w:vAlign w:val="center"/>
          </w:tcPr>
          <w:p w14:paraId="71C9BFD2">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项号</w:t>
            </w:r>
          </w:p>
        </w:tc>
        <w:tc>
          <w:tcPr>
            <w:tcW w:w="1482" w:type="dxa"/>
            <w:tcBorders>
              <w:top w:val="single" w:color="auto" w:sz="4" w:space="0"/>
              <w:left w:val="single" w:color="auto" w:sz="4" w:space="0"/>
              <w:bottom w:val="single" w:color="auto" w:sz="4" w:space="0"/>
              <w:right w:val="single" w:color="auto" w:sz="4" w:space="0"/>
            </w:tcBorders>
            <w:vAlign w:val="center"/>
          </w:tcPr>
          <w:p w14:paraId="63D0C263">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货物名称</w:t>
            </w:r>
          </w:p>
        </w:tc>
        <w:tc>
          <w:tcPr>
            <w:tcW w:w="2000" w:type="dxa"/>
            <w:tcBorders>
              <w:top w:val="single" w:color="auto" w:sz="4" w:space="0"/>
              <w:left w:val="single" w:color="auto" w:sz="4" w:space="0"/>
              <w:bottom w:val="single" w:color="auto" w:sz="4" w:space="0"/>
              <w:right w:val="single" w:color="auto" w:sz="4" w:space="0"/>
            </w:tcBorders>
            <w:vAlign w:val="center"/>
          </w:tcPr>
          <w:p w14:paraId="5ABE4DC5">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品牌、生产厂家</w:t>
            </w:r>
          </w:p>
        </w:tc>
        <w:tc>
          <w:tcPr>
            <w:tcW w:w="1813" w:type="dxa"/>
            <w:tcBorders>
              <w:top w:val="single" w:color="auto" w:sz="4" w:space="0"/>
              <w:left w:val="single" w:color="auto" w:sz="4" w:space="0"/>
              <w:bottom w:val="single" w:color="auto" w:sz="4" w:space="0"/>
              <w:right w:val="single" w:color="auto" w:sz="4" w:space="0"/>
            </w:tcBorders>
            <w:vAlign w:val="center"/>
          </w:tcPr>
          <w:p w14:paraId="51BA576E">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型号</w:t>
            </w:r>
          </w:p>
        </w:tc>
        <w:tc>
          <w:tcPr>
            <w:tcW w:w="437" w:type="dxa"/>
            <w:tcBorders>
              <w:top w:val="single" w:color="auto" w:sz="4" w:space="0"/>
              <w:left w:val="single" w:color="auto" w:sz="4" w:space="0"/>
              <w:bottom w:val="single" w:color="auto" w:sz="4" w:space="0"/>
              <w:right w:val="single" w:color="auto" w:sz="4" w:space="0"/>
            </w:tcBorders>
            <w:vAlign w:val="center"/>
          </w:tcPr>
          <w:p w14:paraId="74B90122">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单位</w:t>
            </w:r>
          </w:p>
        </w:tc>
        <w:tc>
          <w:tcPr>
            <w:tcW w:w="775" w:type="dxa"/>
            <w:tcBorders>
              <w:top w:val="single" w:color="auto" w:sz="4" w:space="0"/>
              <w:left w:val="single" w:color="auto" w:sz="4" w:space="0"/>
              <w:bottom w:val="single" w:color="auto" w:sz="4" w:space="0"/>
              <w:right w:val="single" w:color="auto" w:sz="4" w:space="0"/>
            </w:tcBorders>
            <w:vAlign w:val="center"/>
          </w:tcPr>
          <w:p w14:paraId="786D5DF3">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数量①</w:t>
            </w:r>
          </w:p>
        </w:tc>
        <w:tc>
          <w:tcPr>
            <w:tcW w:w="988" w:type="dxa"/>
            <w:tcBorders>
              <w:top w:val="single" w:color="auto" w:sz="4" w:space="0"/>
              <w:left w:val="single" w:color="auto" w:sz="4" w:space="0"/>
              <w:bottom w:val="single" w:color="auto" w:sz="4" w:space="0"/>
              <w:right w:val="single" w:color="auto" w:sz="4" w:space="0"/>
            </w:tcBorders>
            <w:vAlign w:val="center"/>
          </w:tcPr>
          <w:p w14:paraId="16BA2300">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单价(元)②</w:t>
            </w:r>
          </w:p>
        </w:tc>
        <w:tc>
          <w:tcPr>
            <w:tcW w:w="1537" w:type="dxa"/>
            <w:tcBorders>
              <w:top w:val="single" w:color="auto" w:sz="4" w:space="0"/>
              <w:left w:val="single" w:color="auto" w:sz="4" w:space="0"/>
              <w:bottom w:val="single" w:color="auto" w:sz="4" w:space="0"/>
              <w:right w:val="single" w:color="auto" w:sz="4" w:space="0"/>
            </w:tcBorders>
            <w:vAlign w:val="center"/>
          </w:tcPr>
          <w:p w14:paraId="7DDD63E1">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单项合价</w:t>
            </w:r>
          </w:p>
          <w:p w14:paraId="314DA760">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（元）</w:t>
            </w:r>
          </w:p>
          <w:p w14:paraId="0B1AD270">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③＝①×②</w:t>
            </w:r>
          </w:p>
        </w:tc>
        <w:tc>
          <w:tcPr>
            <w:tcW w:w="499" w:type="dxa"/>
            <w:tcBorders>
              <w:top w:val="single" w:color="auto" w:sz="4" w:space="0"/>
              <w:left w:val="single" w:color="auto" w:sz="4" w:space="0"/>
              <w:bottom w:val="single" w:color="auto" w:sz="4" w:space="0"/>
              <w:right w:val="single" w:color="auto" w:sz="4" w:space="0"/>
            </w:tcBorders>
            <w:vAlign w:val="center"/>
          </w:tcPr>
          <w:p w14:paraId="1F07CDE2">
            <w:pPr>
              <w:pStyle w:val="2"/>
              <w:snapToGrid w:val="0"/>
              <w:jc w:val="center"/>
              <w:rPr>
                <w:rFonts w:hint="eastAsia" w:hAnsi="宋体" w:cs="宋体"/>
                <w:color w:val="auto"/>
                <w:kern w:val="2"/>
                <w:sz w:val="21"/>
                <w:highlight w:val="none"/>
              </w:rPr>
            </w:pPr>
            <w:r>
              <w:rPr>
                <w:rFonts w:hint="eastAsia" w:hAnsi="宋体" w:cs="宋体"/>
                <w:color w:val="auto"/>
                <w:kern w:val="2"/>
                <w:sz w:val="21"/>
                <w:highlight w:val="none"/>
              </w:rPr>
              <w:t>备注</w:t>
            </w:r>
          </w:p>
        </w:tc>
      </w:tr>
      <w:tr w14:paraId="4056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5" w:hRule="atLeast"/>
        </w:trPr>
        <w:tc>
          <w:tcPr>
            <w:tcW w:w="719" w:type="dxa"/>
            <w:tcBorders>
              <w:top w:val="single" w:color="auto" w:sz="4" w:space="0"/>
              <w:left w:val="single" w:color="auto" w:sz="4" w:space="0"/>
              <w:bottom w:val="single" w:color="auto" w:sz="4" w:space="0"/>
              <w:right w:val="single" w:color="auto" w:sz="4" w:space="0"/>
            </w:tcBorders>
            <w:vAlign w:val="center"/>
          </w:tcPr>
          <w:p w14:paraId="79E6C096">
            <w:pPr>
              <w:jc w:val="center"/>
              <w:rPr>
                <w:rFonts w:hint="eastAsia" w:ascii="宋体" w:hAnsi="宋体" w:cs="宋体"/>
                <w:color w:val="auto"/>
                <w:szCs w:val="21"/>
                <w:highlight w:val="none"/>
              </w:rPr>
            </w:pPr>
            <w:r>
              <w:rPr>
                <w:rFonts w:hint="eastAsia" w:ascii="宋体" w:hAnsi="宋体" w:cs="宋体"/>
                <w:color w:val="auto"/>
                <w:szCs w:val="21"/>
                <w:highlight w:val="none"/>
              </w:rPr>
              <w:t>1</w:t>
            </w:r>
          </w:p>
        </w:tc>
        <w:tc>
          <w:tcPr>
            <w:tcW w:w="1482" w:type="dxa"/>
            <w:tcBorders>
              <w:top w:val="single" w:color="auto" w:sz="4" w:space="0"/>
              <w:left w:val="single" w:color="auto" w:sz="4" w:space="0"/>
              <w:bottom w:val="single" w:color="auto" w:sz="4" w:space="0"/>
              <w:right w:val="single" w:color="auto" w:sz="4" w:space="0"/>
            </w:tcBorders>
            <w:vAlign w:val="center"/>
          </w:tcPr>
          <w:p w14:paraId="24772F4F">
            <w:pPr>
              <w:jc w:val="center"/>
              <w:rPr>
                <w:rFonts w:hint="eastAsia" w:ascii="宋体" w:hAnsi="宋体" w:cs="宋体"/>
                <w:color w:val="auto"/>
                <w:szCs w:val="21"/>
                <w:highlight w:val="none"/>
              </w:rPr>
            </w:pPr>
          </w:p>
        </w:tc>
        <w:tc>
          <w:tcPr>
            <w:tcW w:w="2000" w:type="dxa"/>
            <w:tcBorders>
              <w:top w:val="single" w:color="auto" w:sz="4" w:space="0"/>
              <w:left w:val="single" w:color="auto" w:sz="4" w:space="0"/>
              <w:bottom w:val="single" w:color="auto" w:sz="4" w:space="0"/>
              <w:right w:val="single" w:color="auto" w:sz="4" w:space="0"/>
            </w:tcBorders>
            <w:vAlign w:val="center"/>
          </w:tcPr>
          <w:p w14:paraId="0B5EA412">
            <w:pPr>
              <w:jc w:val="center"/>
              <w:rPr>
                <w:rFonts w:hint="eastAsia" w:ascii="宋体" w:hAnsi="宋体" w:cs="宋体"/>
                <w:color w:val="auto"/>
                <w:szCs w:val="21"/>
                <w:highlight w:val="none"/>
              </w:rPr>
            </w:pPr>
          </w:p>
        </w:tc>
        <w:tc>
          <w:tcPr>
            <w:tcW w:w="1813" w:type="dxa"/>
            <w:tcBorders>
              <w:top w:val="single" w:color="auto" w:sz="4" w:space="0"/>
              <w:left w:val="single" w:color="auto" w:sz="4" w:space="0"/>
              <w:bottom w:val="single" w:color="auto" w:sz="4" w:space="0"/>
              <w:right w:val="single" w:color="auto" w:sz="4" w:space="0"/>
            </w:tcBorders>
            <w:vAlign w:val="center"/>
          </w:tcPr>
          <w:p w14:paraId="48C90D1F">
            <w:pPr>
              <w:jc w:val="center"/>
              <w:rPr>
                <w:rFonts w:hint="eastAsia" w:ascii="宋体" w:hAnsi="宋体" w:cs="宋体"/>
                <w:color w:val="auto"/>
                <w:szCs w:val="21"/>
                <w:highlight w:val="none"/>
              </w:rPr>
            </w:pPr>
          </w:p>
        </w:tc>
        <w:tc>
          <w:tcPr>
            <w:tcW w:w="437" w:type="dxa"/>
            <w:tcBorders>
              <w:top w:val="single" w:color="auto" w:sz="4" w:space="0"/>
              <w:left w:val="single" w:color="auto" w:sz="4" w:space="0"/>
              <w:bottom w:val="single" w:color="auto" w:sz="4" w:space="0"/>
              <w:right w:val="single" w:color="auto" w:sz="4" w:space="0"/>
            </w:tcBorders>
            <w:vAlign w:val="center"/>
          </w:tcPr>
          <w:p w14:paraId="64093C25">
            <w:pPr>
              <w:jc w:val="center"/>
              <w:rPr>
                <w:rFonts w:hint="eastAsia" w:ascii="宋体" w:hAnsi="宋体" w:cs="宋体"/>
                <w:color w:val="auto"/>
                <w:szCs w:val="21"/>
                <w:highlight w:val="none"/>
              </w:rPr>
            </w:pPr>
          </w:p>
        </w:tc>
        <w:tc>
          <w:tcPr>
            <w:tcW w:w="775" w:type="dxa"/>
            <w:tcBorders>
              <w:top w:val="single" w:color="auto" w:sz="4" w:space="0"/>
              <w:left w:val="single" w:color="auto" w:sz="4" w:space="0"/>
              <w:bottom w:val="single" w:color="auto" w:sz="4" w:space="0"/>
              <w:right w:val="single" w:color="auto" w:sz="4" w:space="0"/>
            </w:tcBorders>
            <w:vAlign w:val="center"/>
          </w:tcPr>
          <w:p w14:paraId="51554822">
            <w:pPr>
              <w:jc w:val="center"/>
              <w:rPr>
                <w:rFonts w:hint="eastAsia" w:ascii="宋体" w:hAnsi="宋体" w:cs="宋体"/>
                <w:color w:val="auto"/>
                <w:szCs w:val="21"/>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4FBD2162">
            <w:pPr>
              <w:jc w:val="center"/>
              <w:rPr>
                <w:rFonts w:hint="eastAsia" w:ascii="宋体" w:hAnsi="宋体" w:cs="宋体"/>
                <w:color w:val="auto"/>
                <w:szCs w:val="21"/>
                <w:highlight w:val="none"/>
              </w:rPr>
            </w:pPr>
          </w:p>
        </w:tc>
        <w:tc>
          <w:tcPr>
            <w:tcW w:w="1537" w:type="dxa"/>
            <w:tcBorders>
              <w:top w:val="single" w:color="auto" w:sz="4" w:space="0"/>
              <w:left w:val="single" w:color="auto" w:sz="4" w:space="0"/>
              <w:bottom w:val="single" w:color="auto" w:sz="4" w:space="0"/>
              <w:right w:val="single" w:color="auto" w:sz="4" w:space="0"/>
            </w:tcBorders>
          </w:tcPr>
          <w:p w14:paraId="25B68F0F">
            <w:pPr>
              <w:jc w:val="center"/>
              <w:rPr>
                <w:rFonts w:hint="eastAsia" w:ascii="宋体" w:hAnsi="宋体" w:cs="宋体"/>
                <w:color w:val="auto"/>
                <w:szCs w:val="21"/>
                <w:highlight w:val="none"/>
              </w:rPr>
            </w:pPr>
          </w:p>
        </w:tc>
        <w:tc>
          <w:tcPr>
            <w:tcW w:w="499" w:type="dxa"/>
            <w:tcBorders>
              <w:top w:val="single" w:color="auto" w:sz="4" w:space="0"/>
              <w:left w:val="single" w:color="auto" w:sz="4" w:space="0"/>
              <w:bottom w:val="single" w:color="auto" w:sz="4" w:space="0"/>
              <w:right w:val="single" w:color="auto" w:sz="4" w:space="0"/>
            </w:tcBorders>
            <w:vAlign w:val="center"/>
          </w:tcPr>
          <w:p w14:paraId="679AFFD9">
            <w:pPr>
              <w:jc w:val="center"/>
              <w:rPr>
                <w:rFonts w:hint="eastAsia" w:ascii="宋体" w:hAnsi="宋体" w:cs="宋体"/>
                <w:color w:val="auto"/>
                <w:szCs w:val="21"/>
                <w:highlight w:val="none"/>
              </w:rPr>
            </w:pPr>
          </w:p>
        </w:tc>
      </w:tr>
      <w:tr w14:paraId="7171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1" w:hRule="atLeast"/>
        </w:trPr>
        <w:tc>
          <w:tcPr>
            <w:tcW w:w="719" w:type="dxa"/>
            <w:tcBorders>
              <w:top w:val="single" w:color="auto" w:sz="4" w:space="0"/>
              <w:left w:val="single" w:color="auto" w:sz="4" w:space="0"/>
              <w:bottom w:val="single" w:color="auto" w:sz="4" w:space="0"/>
              <w:right w:val="single" w:color="auto" w:sz="4" w:space="0"/>
            </w:tcBorders>
            <w:vAlign w:val="center"/>
          </w:tcPr>
          <w:p w14:paraId="42312B20">
            <w:pPr>
              <w:jc w:val="center"/>
              <w:rPr>
                <w:rFonts w:hint="eastAsia" w:ascii="宋体" w:hAnsi="宋体" w:cs="宋体"/>
                <w:color w:val="auto"/>
                <w:szCs w:val="21"/>
                <w:highlight w:val="none"/>
              </w:rPr>
            </w:pPr>
            <w:r>
              <w:rPr>
                <w:rFonts w:hint="eastAsia" w:ascii="宋体" w:hAnsi="宋体" w:cs="宋体"/>
                <w:color w:val="auto"/>
                <w:szCs w:val="21"/>
                <w:highlight w:val="none"/>
              </w:rPr>
              <w:t>2</w:t>
            </w:r>
          </w:p>
        </w:tc>
        <w:tc>
          <w:tcPr>
            <w:tcW w:w="1482" w:type="dxa"/>
            <w:tcBorders>
              <w:top w:val="single" w:color="auto" w:sz="4" w:space="0"/>
              <w:left w:val="single" w:color="auto" w:sz="4" w:space="0"/>
              <w:bottom w:val="single" w:color="auto" w:sz="4" w:space="0"/>
              <w:right w:val="single" w:color="auto" w:sz="4" w:space="0"/>
            </w:tcBorders>
            <w:vAlign w:val="center"/>
          </w:tcPr>
          <w:p w14:paraId="73504762">
            <w:pPr>
              <w:jc w:val="center"/>
              <w:rPr>
                <w:rFonts w:hint="eastAsia" w:ascii="宋体" w:hAnsi="宋体" w:cs="宋体"/>
                <w:color w:val="auto"/>
                <w:szCs w:val="21"/>
                <w:highlight w:val="none"/>
              </w:rPr>
            </w:pPr>
          </w:p>
        </w:tc>
        <w:tc>
          <w:tcPr>
            <w:tcW w:w="2000" w:type="dxa"/>
            <w:tcBorders>
              <w:top w:val="single" w:color="auto" w:sz="4" w:space="0"/>
              <w:left w:val="single" w:color="auto" w:sz="4" w:space="0"/>
              <w:bottom w:val="single" w:color="auto" w:sz="4" w:space="0"/>
              <w:right w:val="single" w:color="auto" w:sz="4" w:space="0"/>
            </w:tcBorders>
            <w:vAlign w:val="center"/>
          </w:tcPr>
          <w:p w14:paraId="69CF75DB">
            <w:pPr>
              <w:jc w:val="center"/>
              <w:rPr>
                <w:rFonts w:hint="eastAsia" w:ascii="宋体" w:hAnsi="宋体" w:cs="宋体"/>
                <w:color w:val="auto"/>
                <w:szCs w:val="21"/>
                <w:highlight w:val="none"/>
              </w:rPr>
            </w:pPr>
          </w:p>
        </w:tc>
        <w:tc>
          <w:tcPr>
            <w:tcW w:w="1813" w:type="dxa"/>
            <w:tcBorders>
              <w:top w:val="single" w:color="auto" w:sz="4" w:space="0"/>
              <w:left w:val="single" w:color="auto" w:sz="4" w:space="0"/>
              <w:bottom w:val="single" w:color="auto" w:sz="4" w:space="0"/>
              <w:right w:val="single" w:color="auto" w:sz="4" w:space="0"/>
            </w:tcBorders>
            <w:vAlign w:val="center"/>
          </w:tcPr>
          <w:p w14:paraId="56E94B1E">
            <w:pPr>
              <w:jc w:val="center"/>
              <w:rPr>
                <w:rFonts w:hint="eastAsia" w:ascii="宋体" w:hAnsi="宋体" w:cs="宋体"/>
                <w:color w:val="auto"/>
                <w:szCs w:val="21"/>
                <w:highlight w:val="none"/>
              </w:rPr>
            </w:pPr>
          </w:p>
        </w:tc>
        <w:tc>
          <w:tcPr>
            <w:tcW w:w="437" w:type="dxa"/>
            <w:tcBorders>
              <w:top w:val="single" w:color="auto" w:sz="4" w:space="0"/>
              <w:left w:val="single" w:color="auto" w:sz="4" w:space="0"/>
              <w:bottom w:val="single" w:color="auto" w:sz="4" w:space="0"/>
              <w:right w:val="single" w:color="auto" w:sz="4" w:space="0"/>
            </w:tcBorders>
            <w:vAlign w:val="center"/>
          </w:tcPr>
          <w:p w14:paraId="4EF3A1B4">
            <w:pPr>
              <w:jc w:val="center"/>
              <w:rPr>
                <w:rFonts w:hint="eastAsia" w:ascii="宋体" w:hAnsi="宋体" w:cs="宋体"/>
                <w:color w:val="auto"/>
                <w:szCs w:val="21"/>
                <w:highlight w:val="none"/>
              </w:rPr>
            </w:pPr>
          </w:p>
        </w:tc>
        <w:tc>
          <w:tcPr>
            <w:tcW w:w="775" w:type="dxa"/>
            <w:tcBorders>
              <w:top w:val="single" w:color="auto" w:sz="4" w:space="0"/>
              <w:left w:val="single" w:color="auto" w:sz="4" w:space="0"/>
              <w:bottom w:val="single" w:color="auto" w:sz="4" w:space="0"/>
              <w:right w:val="single" w:color="auto" w:sz="4" w:space="0"/>
            </w:tcBorders>
            <w:vAlign w:val="center"/>
          </w:tcPr>
          <w:p w14:paraId="738F4E21">
            <w:pPr>
              <w:jc w:val="center"/>
              <w:rPr>
                <w:rFonts w:hint="eastAsia" w:ascii="宋体" w:hAnsi="宋体" w:cs="宋体"/>
                <w:color w:val="auto"/>
                <w:szCs w:val="21"/>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5BB53CBA">
            <w:pPr>
              <w:jc w:val="center"/>
              <w:rPr>
                <w:rFonts w:hint="eastAsia" w:ascii="宋体" w:hAnsi="宋体" w:cs="宋体"/>
                <w:color w:val="auto"/>
                <w:szCs w:val="21"/>
                <w:highlight w:val="none"/>
              </w:rPr>
            </w:pPr>
          </w:p>
        </w:tc>
        <w:tc>
          <w:tcPr>
            <w:tcW w:w="1537" w:type="dxa"/>
            <w:tcBorders>
              <w:top w:val="single" w:color="auto" w:sz="4" w:space="0"/>
              <w:left w:val="single" w:color="auto" w:sz="4" w:space="0"/>
              <w:bottom w:val="single" w:color="auto" w:sz="4" w:space="0"/>
              <w:right w:val="single" w:color="auto" w:sz="4" w:space="0"/>
            </w:tcBorders>
          </w:tcPr>
          <w:p w14:paraId="52E78569">
            <w:pPr>
              <w:jc w:val="center"/>
              <w:rPr>
                <w:rFonts w:hint="eastAsia" w:ascii="宋体" w:hAnsi="宋体" w:cs="宋体"/>
                <w:color w:val="auto"/>
                <w:szCs w:val="21"/>
                <w:highlight w:val="none"/>
              </w:rPr>
            </w:pPr>
          </w:p>
        </w:tc>
        <w:tc>
          <w:tcPr>
            <w:tcW w:w="499" w:type="dxa"/>
            <w:tcBorders>
              <w:top w:val="single" w:color="auto" w:sz="4" w:space="0"/>
              <w:left w:val="single" w:color="auto" w:sz="4" w:space="0"/>
              <w:bottom w:val="single" w:color="auto" w:sz="4" w:space="0"/>
              <w:right w:val="single" w:color="auto" w:sz="4" w:space="0"/>
            </w:tcBorders>
            <w:vAlign w:val="center"/>
          </w:tcPr>
          <w:p w14:paraId="16F5DED2">
            <w:pPr>
              <w:jc w:val="center"/>
              <w:rPr>
                <w:rFonts w:hint="eastAsia" w:ascii="宋体" w:hAnsi="宋体" w:cs="宋体"/>
                <w:color w:val="auto"/>
                <w:szCs w:val="21"/>
                <w:highlight w:val="none"/>
              </w:rPr>
            </w:pPr>
          </w:p>
        </w:tc>
      </w:tr>
      <w:tr w14:paraId="7774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8" w:hRule="atLeast"/>
        </w:trPr>
        <w:tc>
          <w:tcPr>
            <w:tcW w:w="719" w:type="dxa"/>
            <w:tcBorders>
              <w:top w:val="single" w:color="auto" w:sz="4" w:space="0"/>
              <w:left w:val="single" w:color="auto" w:sz="4" w:space="0"/>
              <w:bottom w:val="single" w:color="auto" w:sz="4" w:space="0"/>
              <w:right w:val="single" w:color="auto" w:sz="4" w:space="0"/>
            </w:tcBorders>
            <w:vAlign w:val="center"/>
          </w:tcPr>
          <w:p w14:paraId="3677DEA7">
            <w:pPr>
              <w:jc w:val="center"/>
              <w:rPr>
                <w:rFonts w:hint="eastAsia" w:ascii="宋体" w:hAnsi="宋体" w:cs="宋体"/>
                <w:color w:val="auto"/>
                <w:szCs w:val="21"/>
                <w:highlight w:val="none"/>
              </w:rPr>
            </w:pPr>
            <w:r>
              <w:rPr>
                <w:rFonts w:hint="eastAsia" w:ascii="宋体" w:hAnsi="宋体" w:cs="宋体"/>
                <w:color w:val="auto"/>
                <w:szCs w:val="21"/>
                <w:highlight w:val="none"/>
              </w:rPr>
              <w:t>...</w:t>
            </w:r>
          </w:p>
        </w:tc>
        <w:tc>
          <w:tcPr>
            <w:tcW w:w="1482" w:type="dxa"/>
            <w:tcBorders>
              <w:top w:val="single" w:color="auto" w:sz="4" w:space="0"/>
              <w:left w:val="single" w:color="auto" w:sz="4" w:space="0"/>
              <w:bottom w:val="single" w:color="auto" w:sz="4" w:space="0"/>
              <w:right w:val="single" w:color="auto" w:sz="4" w:space="0"/>
            </w:tcBorders>
            <w:vAlign w:val="center"/>
          </w:tcPr>
          <w:p w14:paraId="2FA5786C">
            <w:pPr>
              <w:jc w:val="center"/>
              <w:rPr>
                <w:rFonts w:hint="eastAsia" w:ascii="宋体" w:hAnsi="宋体" w:cs="宋体"/>
                <w:color w:val="auto"/>
                <w:szCs w:val="21"/>
                <w:highlight w:val="none"/>
              </w:rPr>
            </w:pPr>
          </w:p>
        </w:tc>
        <w:tc>
          <w:tcPr>
            <w:tcW w:w="2000" w:type="dxa"/>
            <w:tcBorders>
              <w:top w:val="single" w:color="auto" w:sz="4" w:space="0"/>
              <w:left w:val="single" w:color="auto" w:sz="4" w:space="0"/>
              <w:bottom w:val="single" w:color="auto" w:sz="4" w:space="0"/>
              <w:right w:val="single" w:color="auto" w:sz="4" w:space="0"/>
            </w:tcBorders>
            <w:vAlign w:val="center"/>
          </w:tcPr>
          <w:p w14:paraId="7A099335">
            <w:pPr>
              <w:jc w:val="center"/>
              <w:rPr>
                <w:rFonts w:hint="eastAsia" w:ascii="宋体" w:hAnsi="宋体" w:cs="宋体"/>
                <w:color w:val="auto"/>
                <w:szCs w:val="21"/>
                <w:highlight w:val="none"/>
              </w:rPr>
            </w:pPr>
          </w:p>
        </w:tc>
        <w:tc>
          <w:tcPr>
            <w:tcW w:w="1813" w:type="dxa"/>
            <w:tcBorders>
              <w:top w:val="single" w:color="auto" w:sz="4" w:space="0"/>
              <w:left w:val="single" w:color="auto" w:sz="4" w:space="0"/>
              <w:bottom w:val="single" w:color="auto" w:sz="4" w:space="0"/>
              <w:right w:val="single" w:color="auto" w:sz="4" w:space="0"/>
            </w:tcBorders>
            <w:vAlign w:val="center"/>
          </w:tcPr>
          <w:p w14:paraId="5C615F80">
            <w:pPr>
              <w:jc w:val="center"/>
              <w:rPr>
                <w:rFonts w:hint="eastAsia" w:ascii="宋体" w:hAnsi="宋体" w:cs="宋体"/>
                <w:color w:val="auto"/>
                <w:szCs w:val="21"/>
                <w:highlight w:val="none"/>
              </w:rPr>
            </w:pPr>
          </w:p>
        </w:tc>
        <w:tc>
          <w:tcPr>
            <w:tcW w:w="437" w:type="dxa"/>
            <w:tcBorders>
              <w:top w:val="single" w:color="auto" w:sz="4" w:space="0"/>
              <w:left w:val="single" w:color="auto" w:sz="4" w:space="0"/>
              <w:bottom w:val="single" w:color="auto" w:sz="4" w:space="0"/>
              <w:right w:val="single" w:color="auto" w:sz="4" w:space="0"/>
            </w:tcBorders>
            <w:vAlign w:val="center"/>
          </w:tcPr>
          <w:p w14:paraId="1E998619">
            <w:pPr>
              <w:jc w:val="center"/>
              <w:rPr>
                <w:rFonts w:hint="eastAsia" w:ascii="宋体" w:hAnsi="宋体" w:cs="宋体"/>
                <w:color w:val="auto"/>
                <w:szCs w:val="21"/>
                <w:highlight w:val="none"/>
              </w:rPr>
            </w:pPr>
          </w:p>
        </w:tc>
        <w:tc>
          <w:tcPr>
            <w:tcW w:w="775" w:type="dxa"/>
            <w:tcBorders>
              <w:top w:val="single" w:color="auto" w:sz="4" w:space="0"/>
              <w:left w:val="single" w:color="auto" w:sz="4" w:space="0"/>
              <w:bottom w:val="single" w:color="auto" w:sz="4" w:space="0"/>
              <w:right w:val="single" w:color="auto" w:sz="4" w:space="0"/>
            </w:tcBorders>
            <w:vAlign w:val="center"/>
          </w:tcPr>
          <w:p w14:paraId="02BA2356">
            <w:pPr>
              <w:jc w:val="center"/>
              <w:rPr>
                <w:rFonts w:hint="eastAsia" w:ascii="宋体" w:hAnsi="宋体" w:cs="宋体"/>
                <w:color w:val="auto"/>
                <w:szCs w:val="21"/>
                <w:highlight w:val="none"/>
              </w:rPr>
            </w:pPr>
          </w:p>
        </w:tc>
        <w:tc>
          <w:tcPr>
            <w:tcW w:w="988" w:type="dxa"/>
            <w:tcBorders>
              <w:top w:val="single" w:color="auto" w:sz="4" w:space="0"/>
              <w:left w:val="single" w:color="auto" w:sz="4" w:space="0"/>
              <w:bottom w:val="single" w:color="auto" w:sz="4" w:space="0"/>
              <w:right w:val="single" w:color="auto" w:sz="4" w:space="0"/>
            </w:tcBorders>
            <w:vAlign w:val="center"/>
          </w:tcPr>
          <w:p w14:paraId="39EA3AD6">
            <w:pPr>
              <w:jc w:val="center"/>
              <w:rPr>
                <w:rFonts w:hint="eastAsia" w:ascii="宋体" w:hAnsi="宋体" w:cs="宋体"/>
                <w:color w:val="auto"/>
                <w:szCs w:val="21"/>
                <w:highlight w:val="none"/>
              </w:rPr>
            </w:pPr>
          </w:p>
        </w:tc>
        <w:tc>
          <w:tcPr>
            <w:tcW w:w="1537" w:type="dxa"/>
            <w:tcBorders>
              <w:top w:val="single" w:color="auto" w:sz="4" w:space="0"/>
              <w:left w:val="single" w:color="auto" w:sz="4" w:space="0"/>
              <w:bottom w:val="single" w:color="auto" w:sz="4" w:space="0"/>
              <w:right w:val="single" w:color="auto" w:sz="4" w:space="0"/>
            </w:tcBorders>
          </w:tcPr>
          <w:p w14:paraId="69DFFE1B">
            <w:pPr>
              <w:jc w:val="center"/>
              <w:rPr>
                <w:rFonts w:hint="eastAsia" w:ascii="宋体" w:hAnsi="宋体" w:cs="宋体"/>
                <w:color w:val="auto"/>
                <w:szCs w:val="21"/>
                <w:highlight w:val="none"/>
              </w:rPr>
            </w:pPr>
          </w:p>
        </w:tc>
        <w:tc>
          <w:tcPr>
            <w:tcW w:w="499" w:type="dxa"/>
            <w:tcBorders>
              <w:top w:val="single" w:color="auto" w:sz="4" w:space="0"/>
              <w:left w:val="single" w:color="auto" w:sz="4" w:space="0"/>
              <w:bottom w:val="single" w:color="auto" w:sz="4" w:space="0"/>
              <w:right w:val="single" w:color="auto" w:sz="4" w:space="0"/>
            </w:tcBorders>
            <w:vAlign w:val="center"/>
          </w:tcPr>
          <w:p w14:paraId="512444E6">
            <w:pPr>
              <w:jc w:val="center"/>
              <w:rPr>
                <w:rFonts w:hint="eastAsia" w:ascii="宋体" w:hAnsi="宋体" w:cs="宋体"/>
                <w:color w:val="auto"/>
                <w:szCs w:val="21"/>
                <w:highlight w:val="none"/>
              </w:rPr>
            </w:pPr>
          </w:p>
        </w:tc>
      </w:tr>
      <w:tr w14:paraId="47435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250" w:type="dxa"/>
            <w:gridSpan w:val="9"/>
            <w:tcBorders>
              <w:top w:val="single" w:color="auto" w:sz="4" w:space="0"/>
              <w:left w:val="single" w:color="auto" w:sz="4" w:space="0"/>
              <w:bottom w:val="single" w:color="auto" w:sz="4" w:space="0"/>
              <w:right w:val="single" w:color="auto" w:sz="4" w:space="0"/>
            </w:tcBorders>
            <w:vAlign w:val="center"/>
          </w:tcPr>
          <w:p w14:paraId="38FFC55D">
            <w:pPr>
              <w:jc w:val="left"/>
              <w:rPr>
                <w:rFonts w:hint="eastAsia" w:ascii="宋体" w:hAnsi="宋体" w:cs="宋体"/>
                <w:color w:val="auto"/>
                <w:szCs w:val="21"/>
                <w:highlight w:val="none"/>
              </w:rPr>
            </w:pPr>
            <w:r>
              <w:rPr>
                <w:rFonts w:hint="eastAsia" w:ascii="宋体" w:hAnsi="宋体" w:cs="宋体"/>
                <w:color w:val="auto"/>
                <w:szCs w:val="21"/>
                <w:highlight w:val="none"/>
              </w:rPr>
              <w:t>竞标总报价合计（包含税费等所有费用）：（大写）人民币</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元）</w:t>
            </w:r>
          </w:p>
        </w:tc>
      </w:tr>
      <w:tr w14:paraId="07E52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250" w:type="dxa"/>
            <w:gridSpan w:val="9"/>
            <w:tcBorders>
              <w:top w:val="single" w:color="auto" w:sz="4" w:space="0"/>
              <w:left w:val="single" w:color="auto" w:sz="4" w:space="0"/>
              <w:bottom w:val="single" w:color="auto" w:sz="4" w:space="0"/>
              <w:right w:val="single" w:color="auto" w:sz="4" w:space="0"/>
            </w:tcBorders>
            <w:vAlign w:val="center"/>
          </w:tcPr>
          <w:p w14:paraId="7DECFE50">
            <w:pPr>
              <w:rPr>
                <w:rFonts w:hint="eastAsia" w:ascii="宋体" w:hAnsi="宋体" w:cs="宋体"/>
                <w:color w:val="auto"/>
                <w:szCs w:val="21"/>
                <w:highlight w:val="none"/>
              </w:rPr>
            </w:pPr>
            <w:r>
              <w:rPr>
                <w:rFonts w:hint="eastAsia" w:ascii="宋体" w:hAnsi="宋体" w:cs="宋体"/>
                <w:color w:val="auto"/>
                <w:szCs w:val="21"/>
                <w:highlight w:val="none"/>
              </w:rPr>
              <w:t>交付时间</w:t>
            </w:r>
            <w:r>
              <w:rPr>
                <w:rFonts w:hint="eastAsia" w:ascii="宋体" w:hAnsi="宋体" w:cs="宋体"/>
                <w:bCs/>
                <w:color w:val="auto"/>
                <w:szCs w:val="21"/>
                <w:highlight w:val="none"/>
              </w:rPr>
              <w:t>：</w:t>
            </w:r>
          </w:p>
        </w:tc>
      </w:tr>
    </w:tbl>
    <w:p w14:paraId="7DF9BFFC">
      <w:pPr>
        <w:snapToGrid w:val="0"/>
        <w:spacing w:before="50" w:after="50"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 xml:space="preserve">注： </w:t>
      </w:r>
    </w:p>
    <w:p w14:paraId="71472DB7">
      <w:pPr>
        <w:snapToGrid w:val="0"/>
        <w:spacing w:before="50" w:after="50"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1、供应商需按本表格式</w:t>
      </w:r>
      <w:r>
        <w:rPr>
          <w:rFonts w:hint="eastAsia" w:ascii="宋体" w:hAnsi="宋体" w:cs="宋体"/>
          <w:color w:val="auto"/>
          <w:kern w:val="0"/>
          <w:szCs w:val="21"/>
          <w:highlight w:val="none"/>
        </w:rPr>
        <w:t>如实</w:t>
      </w:r>
      <w:r>
        <w:rPr>
          <w:rFonts w:hint="eastAsia" w:ascii="宋体" w:hAnsi="宋体" w:cs="宋体"/>
          <w:color w:val="auto"/>
          <w:kern w:val="0"/>
          <w:szCs w:val="21"/>
          <w:highlight w:val="none"/>
          <w:lang w:val="zh-CN"/>
        </w:rPr>
        <w:t>填写</w:t>
      </w:r>
      <w:r>
        <w:rPr>
          <w:rFonts w:hint="eastAsia" w:ascii="宋体" w:hAnsi="宋体" w:cs="宋体"/>
          <w:b/>
          <w:color w:val="auto"/>
          <w:kern w:val="0"/>
          <w:szCs w:val="21"/>
          <w:highlight w:val="none"/>
          <w:lang w:val="zh-CN"/>
        </w:rPr>
        <w:t>。</w:t>
      </w:r>
    </w:p>
    <w:p w14:paraId="52B1B965">
      <w:pPr>
        <w:snapToGrid w:val="0"/>
        <w:spacing w:before="50" w:after="50" w:line="360" w:lineRule="auto"/>
        <w:ind w:firstLine="420" w:firstLineChars="200"/>
        <w:jc w:val="left"/>
        <w:rPr>
          <w:rFonts w:hint="eastAsia" w:ascii="宋体" w:hAnsi="宋体" w:cs="宋体"/>
          <w:b/>
          <w:color w:val="auto"/>
          <w:kern w:val="0"/>
          <w:szCs w:val="21"/>
          <w:highlight w:val="none"/>
          <w:lang w:val="zh-CN"/>
        </w:rPr>
      </w:pPr>
      <w:r>
        <w:rPr>
          <w:rFonts w:hint="eastAsia" w:ascii="宋体" w:hAnsi="宋体" w:cs="宋体"/>
          <w:color w:val="auto"/>
          <w:kern w:val="0"/>
          <w:szCs w:val="21"/>
          <w:highlight w:val="none"/>
          <w:lang w:val="zh-CN"/>
        </w:rPr>
        <w:t>2、如为联合体响应的，“供应商名称”处必须列明联合体各方名称，并标注联合体牵头人名称，且盖章处须加盖联合体各方公章，</w:t>
      </w:r>
      <w:r>
        <w:rPr>
          <w:rFonts w:hint="eastAsia" w:ascii="宋体" w:hAnsi="宋体" w:cs="宋体"/>
          <w:b/>
          <w:color w:val="auto"/>
          <w:kern w:val="0"/>
          <w:szCs w:val="21"/>
          <w:highlight w:val="none"/>
          <w:lang w:val="zh-CN"/>
        </w:rPr>
        <w:t>否则其响应作无效响应处理。</w:t>
      </w:r>
    </w:p>
    <w:p w14:paraId="07223189">
      <w:pPr>
        <w:snapToGrid w:val="0"/>
        <w:spacing w:before="50" w:after="50" w:line="360" w:lineRule="auto"/>
        <w:ind w:firstLine="420" w:firstLineChars="200"/>
        <w:jc w:val="left"/>
        <w:rPr>
          <w:rFonts w:hint="eastAsia" w:ascii="宋体" w:hAnsi="宋体" w:cs="宋体"/>
          <w:b/>
          <w:color w:val="auto"/>
          <w:kern w:val="0"/>
          <w:szCs w:val="21"/>
          <w:highlight w:val="none"/>
          <w:lang w:val="zh-CN"/>
        </w:rPr>
      </w:pPr>
      <w:r>
        <w:rPr>
          <w:rFonts w:hint="eastAsia" w:ascii="宋体" w:hAnsi="宋体" w:cs="宋体"/>
          <w:color w:val="auto"/>
          <w:kern w:val="0"/>
          <w:szCs w:val="21"/>
          <w:highlight w:val="none"/>
          <w:lang w:val="zh-CN"/>
        </w:rPr>
        <w:t>3、以上表格要求细分项目及报价，在“具体货物内容”一栏中，填写具体货物，</w:t>
      </w:r>
      <w:r>
        <w:rPr>
          <w:rFonts w:hint="eastAsia" w:ascii="宋体" w:hAnsi="宋体" w:cs="宋体"/>
          <w:b/>
          <w:color w:val="auto"/>
          <w:kern w:val="0"/>
          <w:szCs w:val="21"/>
          <w:highlight w:val="none"/>
          <w:lang w:val="zh-CN"/>
        </w:rPr>
        <w:t>否则其响应作无效响应处理。</w:t>
      </w:r>
    </w:p>
    <w:p w14:paraId="45D30014">
      <w:pPr>
        <w:snapToGrid w:val="0"/>
        <w:spacing w:line="360" w:lineRule="auto"/>
        <w:ind w:firstLine="422" w:firstLineChars="200"/>
        <w:jc w:val="left"/>
        <w:rPr>
          <w:rFonts w:hint="eastAsia" w:ascii="宋体" w:hAnsi="宋体" w:cs="宋体"/>
          <w:color w:val="auto"/>
          <w:kern w:val="0"/>
          <w:szCs w:val="21"/>
          <w:highlight w:val="none"/>
          <w:lang w:val="zh-CN"/>
        </w:rPr>
      </w:pPr>
      <w:r>
        <w:rPr>
          <w:rFonts w:hint="eastAsia" w:ascii="宋体" w:hAnsi="宋体" w:cs="宋体"/>
          <w:b/>
          <w:bCs/>
          <w:color w:val="auto"/>
          <w:kern w:val="0"/>
          <w:szCs w:val="21"/>
          <w:highlight w:val="none"/>
          <w:lang w:val="zh-CN"/>
        </w:rPr>
        <w:t>4、特别提示：采购机构将对</w:t>
      </w:r>
      <w:r>
        <w:rPr>
          <w:rFonts w:hint="eastAsia" w:ascii="宋体" w:hAnsi="宋体" w:cs="宋体"/>
          <w:b/>
          <w:bCs/>
          <w:color w:val="auto"/>
          <w:kern w:val="0"/>
          <w:szCs w:val="21"/>
          <w:highlight w:val="none"/>
        </w:rPr>
        <w:t>成交供应商的最后报价表随成交公告</w:t>
      </w:r>
      <w:r>
        <w:rPr>
          <w:rFonts w:hint="eastAsia" w:ascii="宋体" w:hAnsi="宋体" w:cs="宋体"/>
          <w:b/>
          <w:bCs/>
          <w:color w:val="auto"/>
          <w:kern w:val="0"/>
          <w:szCs w:val="21"/>
          <w:highlight w:val="none"/>
          <w:lang w:val="zh-CN"/>
        </w:rPr>
        <w:t>予以公示。</w:t>
      </w:r>
    </w:p>
    <w:p w14:paraId="4AB6D8A8">
      <w:pPr>
        <w:snapToGrid w:val="0"/>
        <w:spacing w:line="360" w:lineRule="auto"/>
        <w:ind w:firstLine="420" w:firstLineChars="200"/>
        <w:jc w:val="left"/>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5、符合采购文件中列明的可享受中小企业扶持政策的供应商，请填写中小企业声明函。注：供应商提供的中小企业声明函内容不实的，属于提供虚假材料谋取中标、成交，依照《中华人民共和国政府采购法》等国家有关规定追究相应责任。</w:t>
      </w:r>
    </w:p>
    <w:p w14:paraId="63A27341">
      <w:pPr>
        <w:autoSpaceDE w:val="0"/>
        <w:autoSpaceDN w:val="0"/>
        <w:spacing w:line="360" w:lineRule="auto"/>
        <w:ind w:left="4305" w:leftChars="1950" w:hanging="210" w:hangingChars="100"/>
        <w:rPr>
          <w:rFonts w:hint="eastAsia" w:ascii="宋体" w:hAnsi="宋体" w:cs="宋体"/>
          <w:color w:val="auto"/>
          <w:kern w:val="0"/>
          <w:szCs w:val="21"/>
          <w:highlight w:val="none"/>
        </w:rPr>
      </w:pPr>
      <w:r>
        <w:rPr>
          <w:rFonts w:hint="eastAsia" w:ascii="宋体" w:hAnsi="宋体" w:cs="宋体"/>
          <w:color w:val="auto"/>
          <w:kern w:val="0"/>
          <w:szCs w:val="21"/>
          <w:highlight w:val="none"/>
        </w:rPr>
        <w:t>供应商名称（电子签章）：</w:t>
      </w:r>
    </w:p>
    <w:p w14:paraId="6A2C76BA">
      <w:pPr>
        <w:autoSpaceDE w:val="0"/>
        <w:autoSpaceDN w:val="0"/>
        <w:spacing w:line="360" w:lineRule="auto"/>
        <w:ind w:firstLine="5670" w:firstLineChars="2700"/>
        <w:rPr>
          <w:rFonts w:hint="eastAsia" w:ascii="宋体" w:hAnsi="宋体" w:cs="宋体"/>
          <w:color w:val="auto"/>
          <w:kern w:val="0"/>
          <w:szCs w:val="21"/>
          <w:highlight w:val="none"/>
          <w:lang w:val="zh-CN"/>
        </w:rPr>
      </w:pPr>
      <w:r>
        <w:rPr>
          <w:rFonts w:hint="eastAsia" w:ascii="宋体" w:hAnsi="宋体" w:cs="宋体"/>
          <w:color w:val="auto"/>
          <w:kern w:val="0"/>
          <w:szCs w:val="21"/>
          <w:highlight w:val="none"/>
          <w:lang w:val="zh-CN"/>
        </w:rPr>
        <w:t>日期：  年  月   日</w:t>
      </w:r>
    </w:p>
    <w:p w14:paraId="46D3AFE9">
      <w:pPr>
        <w:spacing w:line="360" w:lineRule="auto"/>
        <w:ind w:right="-817" w:rightChars="-389" w:firstLine="5461" w:firstLineChars="1700"/>
        <w:contextualSpacing/>
        <w:rPr>
          <w:rFonts w:hint="eastAsia" w:ascii="宋体" w:hAnsi="宋体" w:cs="宋体"/>
          <w:b/>
          <w:color w:val="auto"/>
          <w:sz w:val="32"/>
          <w:szCs w:val="32"/>
          <w:highlight w:val="none"/>
        </w:rPr>
      </w:pPr>
    </w:p>
    <w:p w14:paraId="42105E87">
      <w:pPr>
        <w:spacing w:line="500" w:lineRule="exact"/>
        <w:rPr>
          <w:rFonts w:hint="eastAsia" w:ascii="宋体" w:hAnsi="宋体" w:cs="宋体"/>
          <w:b/>
          <w:color w:val="auto"/>
          <w:sz w:val="30"/>
          <w:szCs w:val="30"/>
          <w:highlight w:val="none"/>
        </w:rPr>
      </w:pPr>
      <w:r>
        <w:rPr>
          <w:rFonts w:hint="eastAsia" w:ascii="宋体" w:hAnsi="宋体" w:cs="宋体"/>
          <w:b/>
          <w:color w:val="auto"/>
          <w:sz w:val="30"/>
          <w:szCs w:val="30"/>
          <w:highlight w:val="none"/>
        </w:rPr>
        <w:br w:type="page"/>
      </w:r>
      <w:r>
        <w:rPr>
          <w:rFonts w:hint="eastAsia" w:ascii="宋体" w:hAnsi="宋体" w:cs="宋体"/>
          <w:b/>
          <w:color w:val="auto"/>
          <w:sz w:val="30"/>
          <w:szCs w:val="30"/>
          <w:highlight w:val="none"/>
        </w:rPr>
        <w:t>三、中小企业声明函</w:t>
      </w:r>
    </w:p>
    <w:p w14:paraId="09073591">
      <w:pPr>
        <w:spacing w:line="300" w:lineRule="auto"/>
        <w:ind w:firstLine="2200" w:firstLineChars="500"/>
        <w:rPr>
          <w:rFonts w:hint="eastAsia" w:ascii="宋体" w:hAnsi="宋体" w:cs="宋体"/>
          <w:color w:val="auto"/>
          <w:sz w:val="44"/>
          <w:szCs w:val="44"/>
          <w:highlight w:val="none"/>
        </w:rPr>
      </w:pPr>
      <w:r>
        <w:rPr>
          <w:rFonts w:hint="eastAsia" w:ascii="宋体" w:hAnsi="宋体" w:cs="宋体"/>
          <w:color w:val="auto"/>
          <w:sz w:val="44"/>
          <w:szCs w:val="44"/>
          <w:highlight w:val="none"/>
        </w:rPr>
        <w:t>中小企业声明函（货物）</w:t>
      </w:r>
    </w:p>
    <w:p w14:paraId="749EAAF4">
      <w:pPr>
        <w:spacing w:line="360" w:lineRule="auto"/>
        <w:ind w:left="-426" w:right="142" w:firstLine="640"/>
        <w:contextualSpacing/>
        <w:rPr>
          <w:rFonts w:hint="eastAsia" w:ascii="宋体" w:hAnsi="宋体" w:cs="宋体"/>
          <w:color w:val="auto"/>
          <w:sz w:val="24"/>
          <w:highlight w:val="none"/>
        </w:rPr>
      </w:pPr>
      <w:r>
        <w:rPr>
          <w:rFonts w:hint="eastAsia" w:ascii="宋体" w:hAnsi="宋体" w:cs="宋体"/>
          <w:color w:val="auto"/>
          <w:sz w:val="24"/>
          <w:highlight w:val="none"/>
        </w:rPr>
        <w:t>本公司（联合体）郑重声明，根据《政府采购促进中小企业发展管理办法》（财库﹝2020﹞46号）的规定，本公司（联合体）参加</w:t>
      </w:r>
      <w:r>
        <w:rPr>
          <w:rFonts w:hint="eastAsia" w:ascii="宋体" w:hAnsi="宋体" w:cs="宋体"/>
          <w:color w:val="auto"/>
          <w:sz w:val="24"/>
          <w:highlight w:val="none"/>
          <w:u w:val="single"/>
          <w:lang w:eastAsia="zh-CN"/>
        </w:rPr>
        <w:t>广西国际商务职业技术学院</w:t>
      </w:r>
      <w:r>
        <w:rPr>
          <w:rFonts w:hint="eastAsia" w:ascii="宋体" w:hAnsi="宋体" w:cs="宋体"/>
          <w:color w:val="auto"/>
          <w:sz w:val="24"/>
          <w:highlight w:val="none"/>
        </w:rPr>
        <w:t>的</w:t>
      </w:r>
      <w:r>
        <w:rPr>
          <w:rFonts w:hint="eastAsia" w:ascii="宋体" w:hAnsi="宋体" w:cs="宋体"/>
          <w:color w:val="auto"/>
          <w:sz w:val="24"/>
          <w:highlight w:val="none"/>
          <w:u w:val="single"/>
          <w:lang w:eastAsia="zh-CN"/>
        </w:rPr>
        <w:t>智能设计与制造学院实训室升级改造项目</w:t>
      </w:r>
      <w:r>
        <w:rPr>
          <w:rFonts w:hint="eastAsia" w:ascii="宋体" w:hAnsi="宋体" w:cs="宋体"/>
          <w:color w:val="auto"/>
          <w:sz w:val="24"/>
          <w:highlight w:val="none"/>
        </w:rPr>
        <w:t>采购活动，提供的货物全部由符合政策要求的中小企业制造。相关企业（含联合体中的中小企业、签订分包意向协议的中小企业）的具体情况如下：</w:t>
      </w:r>
    </w:p>
    <w:p w14:paraId="06114416">
      <w:pPr>
        <w:tabs>
          <w:tab w:val="left" w:pos="1384"/>
          <w:tab w:val="left" w:pos="4562"/>
          <w:tab w:val="left" w:pos="6803"/>
        </w:tabs>
        <w:spacing w:line="360" w:lineRule="auto"/>
        <w:ind w:left="-426" w:right="-58" w:firstLine="655"/>
        <w:contextualSpacing/>
        <w:rPr>
          <w:rFonts w:hint="eastAsia" w:ascii="宋体" w:hAnsi="宋体" w:cs="宋体"/>
          <w:color w:val="auto"/>
          <w:sz w:val="24"/>
          <w:highlight w:val="none"/>
        </w:rPr>
      </w:pPr>
      <w:r>
        <w:rPr>
          <w:rFonts w:hint="eastAsia" w:ascii="宋体" w:hAnsi="宋体" w:cs="宋体"/>
          <w:color w:val="auto"/>
          <w:sz w:val="24"/>
          <w:highlight w:val="none"/>
        </w:rPr>
        <w:t>1.</w:t>
      </w:r>
      <w:r>
        <w:rPr>
          <w:rFonts w:hint="eastAsia" w:ascii="宋体" w:hAnsi="宋体" w:cs="宋体"/>
          <w:color w:val="auto"/>
          <w:sz w:val="24"/>
          <w:highlight w:val="none"/>
          <w:u w:val="single"/>
        </w:rPr>
        <w:t>（货物名称）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行业；制造商为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5F6DB3C4">
      <w:pPr>
        <w:tabs>
          <w:tab w:val="left" w:pos="1065"/>
          <w:tab w:val="left" w:pos="6477"/>
        </w:tabs>
        <w:spacing w:line="360" w:lineRule="auto"/>
        <w:ind w:left="-426" w:right="-58" w:firstLine="655"/>
        <w:contextualSpacing/>
        <w:rPr>
          <w:rFonts w:hint="eastAsia" w:ascii="宋体" w:hAnsi="宋体" w:cs="宋体"/>
          <w:color w:val="auto"/>
          <w:sz w:val="24"/>
          <w:highlight w:val="none"/>
        </w:rPr>
      </w:pPr>
      <w:r>
        <w:rPr>
          <w:rFonts w:hint="eastAsia" w:ascii="宋体" w:hAnsi="宋体" w:cs="宋体"/>
          <w:color w:val="auto"/>
          <w:sz w:val="24"/>
          <w:highlight w:val="none"/>
        </w:rPr>
        <w:t>2.</w:t>
      </w:r>
      <w:r>
        <w:rPr>
          <w:rFonts w:hint="eastAsia" w:ascii="宋体" w:hAnsi="宋体" w:cs="宋体"/>
          <w:color w:val="auto"/>
          <w:sz w:val="24"/>
          <w:highlight w:val="none"/>
          <w:u w:val="single"/>
        </w:rPr>
        <w:t>（货物名称）</w:t>
      </w:r>
      <w:r>
        <w:rPr>
          <w:rFonts w:hint="eastAsia" w:ascii="宋体" w:hAnsi="宋体" w:cs="宋体"/>
          <w:color w:val="auto"/>
          <w:sz w:val="24"/>
          <w:highlight w:val="none"/>
        </w:rPr>
        <w:t>，属于</w:t>
      </w:r>
      <w:r>
        <w:rPr>
          <w:rFonts w:hint="eastAsia" w:ascii="宋体" w:hAnsi="宋体" w:cs="宋体"/>
          <w:color w:val="auto"/>
          <w:sz w:val="24"/>
          <w:highlight w:val="none"/>
          <w:u w:val="single"/>
        </w:rPr>
        <w:t>（采购文件中明确的所属行业）</w:t>
      </w:r>
      <w:r>
        <w:rPr>
          <w:rFonts w:hint="eastAsia" w:ascii="宋体" w:hAnsi="宋体" w:cs="宋体"/>
          <w:color w:val="auto"/>
          <w:sz w:val="24"/>
          <w:highlight w:val="none"/>
        </w:rPr>
        <w:t>行业；制造商为</w:t>
      </w:r>
      <w:r>
        <w:rPr>
          <w:rFonts w:hint="eastAsia" w:ascii="宋体" w:hAnsi="宋体" w:cs="宋体"/>
          <w:color w:val="auto"/>
          <w:sz w:val="24"/>
          <w:highlight w:val="none"/>
          <w:u w:val="single"/>
        </w:rPr>
        <w:t>（企业名称）</w:t>
      </w:r>
      <w:r>
        <w:rPr>
          <w:rFonts w:hint="eastAsia" w:ascii="宋体" w:hAnsi="宋体" w:cs="宋体"/>
          <w:color w:val="auto"/>
          <w:sz w:val="24"/>
          <w:highlight w:val="none"/>
        </w:rPr>
        <w:t>，从业人员</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人，营业收入为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万元，资产总额为</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万元，属于</w:t>
      </w:r>
      <w:r>
        <w:rPr>
          <w:rFonts w:hint="eastAsia" w:ascii="宋体" w:hAnsi="宋体" w:cs="宋体"/>
          <w:color w:val="auto"/>
          <w:sz w:val="24"/>
          <w:highlight w:val="none"/>
          <w:u w:val="single"/>
        </w:rPr>
        <w:t>（中型企业、小型企业、微型企业）</w:t>
      </w:r>
      <w:r>
        <w:rPr>
          <w:rFonts w:hint="eastAsia" w:ascii="宋体" w:hAnsi="宋体" w:cs="宋体"/>
          <w:color w:val="auto"/>
          <w:sz w:val="24"/>
          <w:highlight w:val="none"/>
        </w:rPr>
        <w:t>；</w:t>
      </w:r>
    </w:p>
    <w:p w14:paraId="0E9653C0">
      <w:pPr>
        <w:spacing w:line="360" w:lineRule="auto"/>
        <w:ind w:left="142" w:right="142"/>
        <w:contextualSpacing/>
        <w:rPr>
          <w:rFonts w:hint="eastAsia" w:ascii="宋体" w:hAnsi="宋体" w:cs="宋体"/>
          <w:color w:val="auto"/>
          <w:sz w:val="24"/>
          <w:highlight w:val="none"/>
        </w:rPr>
      </w:pPr>
      <w:r>
        <w:rPr>
          <w:rFonts w:hint="eastAsia" w:ascii="宋体" w:hAnsi="宋体" w:cs="宋体"/>
          <w:color w:val="auto"/>
          <w:sz w:val="24"/>
          <w:highlight w:val="none"/>
        </w:rPr>
        <w:t xml:space="preserve">…… </w:t>
      </w:r>
    </w:p>
    <w:p w14:paraId="3817B5A8">
      <w:pPr>
        <w:spacing w:line="360" w:lineRule="auto"/>
        <w:ind w:left="-405" w:leftChars="-193" w:right="142" w:firstLine="455" w:firstLineChars="189"/>
        <w:contextualSpacing/>
        <w:rPr>
          <w:rFonts w:hint="eastAsia" w:ascii="宋体" w:hAnsi="宋体" w:cs="宋体"/>
          <w:color w:val="auto"/>
          <w:sz w:val="24"/>
          <w:highlight w:val="none"/>
        </w:rPr>
      </w:pPr>
      <w:r>
        <w:rPr>
          <w:rFonts w:hint="eastAsia" w:ascii="宋体" w:hAnsi="宋体" w:cs="宋体"/>
          <w:b/>
          <w:bCs/>
          <w:color w:val="auto"/>
          <w:sz w:val="24"/>
          <w:highlight w:val="none"/>
        </w:rPr>
        <w:t>以上企业，不属于大企业的分支机构，不存在控股股东为大企业的情形，也不存在与大企业的负责人为同一人的情形。</w:t>
      </w:r>
    </w:p>
    <w:p w14:paraId="00A0BDC2">
      <w:pPr>
        <w:spacing w:line="360" w:lineRule="auto"/>
        <w:ind w:left="-426" w:right="142" w:firstLine="567"/>
        <w:contextualSpacing/>
        <w:rPr>
          <w:rFonts w:hint="eastAsia" w:ascii="宋体" w:hAnsi="宋体" w:cs="宋体"/>
          <w:color w:val="auto"/>
          <w:sz w:val="24"/>
          <w:highlight w:val="none"/>
        </w:rPr>
      </w:pPr>
      <w:r>
        <w:rPr>
          <w:rFonts w:hint="eastAsia" w:ascii="宋体" w:hAnsi="宋体" w:cs="宋体"/>
          <w:b/>
          <w:bCs/>
          <w:color w:val="auto"/>
          <w:sz w:val="24"/>
          <w:highlight w:val="none"/>
        </w:rPr>
        <w:t>本企业对上述声明内容的真实性负责。如有虚假，将依法承担相应责任。</w:t>
      </w:r>
    </w:p>
    <w:p w14:paraId="319C7925">
      <w:pPr>
        <w:spacing w:line="360" w:lineRule="auto"/>
        <w:ind w:left="3960" w:right="1808"/>
        <w:contextualSpacing/>
        <w:rPr>
          <w:rFonts w:hint="eastAsia" w:ascii="宋体" w:hAnsi="宋体" w:cs="宋体"/>
          <w:color w:val="auto"/>
          <w:sz w:val="24"/>
          <w:highlight w:val="none"/>
        </w:rPr>
      </w:pPr>
    </w:p>
    <w:p w14:paraId="5AE046B9">
      <w:pPr>
        <w:autoSpaceDE w:val="0"/>
        <w:autoSpaceDN w:val="0"/>
        <w:spacing w:line="360" w:lineRule="auto"/>
        <w:ind w:left="4335" w:leftChars="1950" w:hanging="240" w:hangingChars="100"/>
        <w:rPr>
          <w:rFonts w:hint="eastAsia" w:ascii="宋体" w:hAnsi="宋体" w:cs="宋体"/>
          <w:color w:val="auto"/>
          <w:kern w:val="0"/>
          <w:sz w:val="24"/>
          <w:highlight w:val="none"/>
        </w:rPr>
      </w:pPr>
      <w:r>
        <w:rPr>
          <w:rFonts w:hint="eastAsia" w:ascii="宋体" w:hAnsi="宋体" w:cs="宋体"/>
          <w:color w:val="auto"/>
          <w:kern w:val="0"/>
          <w:sz w:val="24"/>
          <w:highlight w:val="none"/>
        </w:rPr>
        <w:t>供应商名称（电子签章）：</w:t>
      </w:r>
    </w:p>
    <w:p w14:paraId="69061B15">
      <w:pPr>
        <w:autoSpaceDE w:val="0"/>
        <w:autoSpaceDN w:val="0"/>
        <w:spacing w:line="360" w:lineRule="auto"/>
        <w:ind w:firstLine="6480" w:firstLineChars="2700"/>
        <w:rPr>
          <w:rFonts w:hint="eastAsia" w:ascii="宋体" w:hAnsi="宋体" w:cs="宋体"/>
          <w:color w:val="auto"/>
          <w:kern w:val="0"/>
          <w:sz w:val="24"/>
          <w:highlight w:val="none"/>
          <w:lang w:val="zh-CN"/>
        </w:rPr>
      </w:pPr>
      <w:r>
        <w:rPr>
          <w:rFonts w:hint="eastAsia" w:ascii="宋体" w:hAnsi="宋体" w:cs="宋体"/>
          <w:color w:val="auto"/>
          <w:kern w:val="0"/>
          <w:sz w:val="24"/>
          <w:highlight w:val="none"/>
          <w:lang w:val="zh-CN"/>
        </w:rPr>
        <w:t>日期：  年  月   日</w:t>
      </w:r>
    </w:p>
    <w:p w14:paraId="2A49DE21">
      <w:pPr>
        <w:spacing w:line="360" w:lineRule="auto"/>
        <w:ind w:left="3960" w:right="1808"/>
        <w:contextualSpacing/>
        <w:rPr>
          <w:rFonts w:hint="eastAsia" w:ascii="宋体" w:hAnsi="宋体" w:cs="宋体"/>
          <w:color w:val="auto"/>
          <w:sz w:val="24"/>
          <w:highlight w:val="none"/>
        </w:rPr>
      </w:pPr>
    </w:p>
    <w:p w14:paraId="6EDB683C">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注：</w:t>
      </w:r>
    </w:p>
    <w:p w14:paraId="723AB43D">
      <w:pPr>
        <w:spacing w:line="360" w:lineRule="auto"/>
        <w:contextualSpacing/>
        <w:jc w:val="left"/>
        <w:rPr>
          <w:rFonts w:hint="eastAsia" w:ascii="宋体" w:hAnsi="宋体" w:cs="宋体"/>
          <w:color w:val="auto"/>
          <w:sz w:val="24"/>
          <w:highlight w:val="none"/>
        </w:rPr>
      </w:pPr>
      <w:r>
        <w:rPr>
          <w:rFonts w:hint="eastAsia" w:ascii="宋体" w:hAnsi="宋体" w:cs="宋体"/>
          <w:color w:val="auto"/>
          <w:sz w:val="24"/>
          <w:highlight w:val="none"/>
        </w:rPr>
        <w:t>1、从业人员、营业收入、资产总额填报上一年度数据，无上一年度数据的新成立企业可不填报。</w:t>
      </w:r>
    </w:p>
    <w:p w14:paraId="51217E79">
      <w:pPr>
        <w:spacing w:line="360" w:lineRule="auto"/>
        <w:contextualSpacing/>
        <w:jc w:val="left"/>
        <w:rPr>
          <w:rFonts w:hint="eastAsia" w:ascii="宋体" w:hAnsi="宋体" w:cs="宋体"/>
          <w:b/>
          <w:color w:val="auto"/>
          <w:sz w:val="24"/>
          <w:highlight w:val="none"/>
        </w:rPr>
      </w:pPr>
      <w:r>
        <w:rPr>
          <w:rFonts w:hint="eastAsia" w:ascii="宋体" w:hAnsi="宋体" w:cs="宋体"/>
          <w:color w:val="auto"/>
          <w:sz w:val="24"/>
          <w:highlight w:val="none"/>
        </w:rPr>
        <w:t>2、请根据自己的真实情况出具《中小企业声明函》。依法享受中小企业优惠政策的，采购人或者采购代理机构在公告中标结果时，同时公告其《中小企业声明函》，接受社会监督。</w:t>
      </w:r>
    </w:p>
    <w:p w14:paraId="0CFDBA9B">
      <w:pPr>
        <w:keepNext/>
        <w:keepLines/>
        <w:spacing w:before="260" w:after="260" w:line="416" w:lineRule="auto"/>
        <w:jc w:val="center"/>
        <w:outlineLvl w:val="1"/>
        <w:rPr>
          <w:rFonts w:hint="eastAsia" w:ascii="宋体" w:hAnsi="宋体" w:cs="宋体"/>
          <w:bCs/>
          <w:color w:val="auto"/>
          <w:sz w:val="32"/>
          <w:szCs w:val="32"/>
          <w:highlight w:val="none"/>
        </w:rPr>
      </w:pPr>
      <w:r>
        <w:rPr>
          <w:rFonts w:hint="eastAsia" w:ascii="宋体" w:hAnsi="宋体" w:cs="宋体"/>
          <w:color w:val="auto"/>
          <w:sz w:val="24"/>
          <w:szCs w:val="32"/>
          <w:highlight w:val="none"/>
        </w:rPr>
        <w:br w:type="page"/>
      </w:r>
      <w:bookmarkStart w:id="68" w:name="_Toc15599"/>
      <w:r>
        <w:rPr>
          <w:rFonts w:hint="eastAsia" w:ascii="宋体" w:hAnsi="宋体" w:cs="宋体"/>
          <w:b/>
          <w:bCs/>
          <w:color w:val="auto"/>
          <w:sz w:val="32"/>
          <w:szCs w:val="32"/>
          <w:highlight w:val="none"/>
        </w:rPr>
        <w:t>第四节 其他文书、文件格式</w:t>
      </w:r>
      <w:bookmarkEnd w:id="68"/>
    </w:p>
    <w:p w14:paraId="7CEC8D31">
      <w:pPr>
        <w:spacing w:line="520" w:lineRule="exact"/>
        <w:rPr>
          <w:rFonts w:hint="eastAsia" w:ascii="宋体" w:hAnsi="宋体" w:cs="宋体"/>
          <w:color w:val="auto"/>
          <w:sz w:val="24"/>
          <w:highlight w:val="none"/>
        </w:rPr>
      </w:pPr>
    </w:p>
    <w:p w14:paraId="19F19C8B">
      <w:pPr>
        <w:spacing w:line="520" w:lineRule="exact"/>
        <w:jc w:val="center"/>
        <w:rPr>
          <w:rFonts w:hint="eastAsia" w:ascii="宋体" w:hAnsi="宋体" w:cs="宋体"/>
          <w:color w:val="auto"/>
          <w:sz w:val="32"/>
          <w:szCs w:val="32"/>
          <w:highlight w:val="none"/>
        </w:rPr>
      </w:pPr>
      <w:r>
        <w:rPr>
          <w:rFonts w:hint="eastAsia" w:ascii="宋体" w:hAnsi="宋体" w:cs="宋体"/>
          <w:color w:val="auto"/>
          <w:sz w:val="44"/>
          <w:szCs w:val="44"/>
          <w:highlight w:val="none"/>
        </w:rPr>
        <w:t>残疾人福利性单位声明函</w:t>
      </w:r>
    </w:p>
    <w:p w14:paraId="650F5131">
      <w:pPr>
        <w:spacing w:line="520" w:lineRule="exact"/>
        <w:rPr>
          <w:rFonts w:hint="eastAsia" w:ascii="宋体" w:hAnsi="宋体" w:cs="宋体"/>
          <w:color w:val="auto"/>
          <w:sz w:val="32"/>
          <w:szCs w:val="32"/>
          <w:highlight w:val="none"/>
        </w:rPr>
      </w:pPr>
    </w:p>
    <w:p w14:paraId="17AAB6B2">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单位的</w:t>
      </w:r>
      <w:r>
        <w:rPr>
          <w:rFonts w:hint="eastAsia" w:ascii="宋体" w:hAnsi="宋体" w:cs="宋体"/>
          <w:color w:val="auto"/>
          <w:sz w:val="24"/>
          <w:highlight w:val="none"/>
          <w:u w:val="single"/>
        </w:rPr>
        <w:t xml:space="preserve">        </w:t>
      </w:r>
      <w:r>
        <w:rPr>
          <w:rFonts w:hint="eastAsia" w:ascii="宋体" w:hAnsi="宋体" w:cs="宋体"/>
          <w:color w:val="auto"/>
          <w:sz w:val="24"/>
          <w:highlight w:val="none"/>
        </w:rPr>
        <w:t>项目采购活动提供本单位制造的货物（由本单位承担工程/提供服务），或者提供其他残疾人福利性单位制造的货物（不包括使用非残疾人福利性单位注册商标的货物）。</w:t>
      </w:r>
    </w:p>
    <w:p w14:paraId="0B2F81BD">
      <w:pPr>
        <w:spacing w:line="360" w:lineRule="auto"/>
        <w:ind w:firstLine="480" w:firstLineChars="200"/>
        <w:contextualSpacing/>
        <w:rPr>
          <w:rFonts w:hint="eastAsia" w:ascii="宋体" w:hAnsi="宋体" w:cs="宋体"/>
          <w:color w:val="auto"/>
          <w:sz w:val="24"/>
          <w:highlight w:val="none"/>
        </w:rPr>
      </w:pPr>
      <w:r>
        <w:rPr>
          <w:rFonts w:hint="eastAsia" w:ascii="宋体" w:hAnsi="宋体" w:cs="宋体"/>
          <w:color w:val="auto"/>
          <w:sz w:val="24"/>
          <w:highlight w:val="none"/>
        </w:rPr>
        <w:t>本单位对上述声明的真实性负责。如有虚假，将依法承担相应责任。</w:t>
      </w:r>
    </w:p>
    <w:p w14:paraId="3890F68B">
      <w:pPr>
        <w:spacing w:line="360" w:lineRule="auto"/>
        <w:contextualSpacing/>
        <w:rPr>
          <w:rFonts w:hint="eastAsia" w:ascii="宋体" w:hAnsi="宋体" w:cs="宋体"/>
          <w:color w:val="auto"/>
          <w:sz w:val="24"/>
          <w:highlight w:val="none"/>
        </w:rPr>
      </w:pPr>
    </w:p>
    <w:p w14:paraId="2C4F05E5">
      <w:pPr>
        <w:spacing w:line="360" w:lineRule="auto"/>
        <w:contextualSpacing/>
        <w:rPr>
          <w:rFonts w:hint="eastAsia" w:ascii="宋体" w:hAnsi="宋体" w:cs="宋体"/>
          <w:color w:val="auto"/>
          <w:sz w:val="24"/>
          <w:highlight w:val="none"/>
        </w:rPr>
      </w:pPr>
    </w:p>
    <w:p w14:paraId="6EA1DC09">
      <w:pPr>
        <w:spacing w:line="360" w:lineRule="auto"/>
        <w:contextualSpacing/>
        <w:rPr>
          <w:rFonts w:hint="eastAsia" w:ascii="宋体" w:hAnsi="宋体" w:cs="宋体"/>
          <w:color w:val="auto"/>
          <w:sz w:val="24"/>
          <w:highlight w:val="none"/>
        </w:rPr>
      </w:pPr>
    </w:p>
    <w:p w14:paraId="528327CD">
      <w:pPr>
        <w:spacing w:line="360" w:lineRule="auto"/>
        <w:ind w:firstLine="2400" w:firstLineChars="1000"/>
        <w:contextualSpacing/>
        <w:rPr>
          <w:rFonts w:hint="eastAsia" w:ascii="宋体" w:hAnsi="宋体" w:cs="宋体"/>
          <w:color w:val="auto"/>
          <w:sz w:val="24"/>
          <w:highlight w:val="none"/>
        </w:rPr>
      </w:pPr>
      <w:r>
        <w:rPr>
          <w:rFonts w:hint="eastAsia" w:ascii="宋体" w:hAnsi="宋体" w:cs="宋体"/>
          <w:color w:val="auto"/>
          <w:sz w:val="24"/>
          <w:highlight w:val="none"/>
        </w:rPr>
        <w:t>供应商名称（电子签章）：</w:t>
      </w:r>
    </w:p>
    <w:p w14:paraId="0C9AB7EC">
      <w:pPr>
        <w:spacing w:line="360" w:lineRule="auto"/>
        <w:ind w:firstLine="4320" w:firstLineChars="1800"/>
        <w:contextualSpacing/>
        <w:rPr>
          <w:rFonts w:hint="eastAsia" w:ascii="宋体" w:hAnsi="宋体" w:cs="宋体"/>
          <w:color w:val="auto"/>
          <w:sz w:val="24"/>
          <w:highlight w:val="none"/>
        </w:rPr>
      </w:pPr>
      <w:r>
        <w:rPr>
          <w:rFonts w:hint="eastAsia" w:ascii="宋体" w:hAnsi="宋体" w:cs="宋体"/>
          <w:color w:val="auto"/>
          <w:sz w:val="24"/>
          <w:highlight w:val="none"/>
        </w:rPr>
        <w:t>日  期：     年   月   日</w:t>
      </w:r>
    </w:p>
    <w:p w14:paraId="268E810C">
      <w:pPr>
        <w:spacing w:line="360" w:lineRule="auto"/>
        <w:contextualSpacing/>
        <w:rPr>
          <w:rFonts w:hint="eastAsia" w:ascii="宋体" w:hAnsi="宋体" w:cs="宋体"/>
          <w:color w:val="auto"/>
          <w:sz w:val="24"/>
          <w:highlight w:val="none"/>
        </w:rPr>
      </w:pPr>
    </w:p>
    <w:p w14:paraId="43F9788F">
      <w:pPr>
        <w:spacing w:line="360" w:lineRule="auto"/>
        <w:contextualSpacing/>
        <w:rPr>
          <w:rFonts w:hint="eastAsia" w:ascii="宋体" w:hAnsi="宋体" w:cs="宋体"/>
          <w:color w:val="auto"/>
          <w:sz w:val="24"/>
          <w:highlight w:val="none"/>
        </w:rPr>
      </w:pPr>
    </w:p>
    <w:p w14:paraId="5492DF90">
      <w:pPr>
        <w:spacing w:line="360" w:lineRule="auto"/>
        <w:contextualSpacing/>
        <w:rPr>
          <w:rFonts w:hint="eastAsia" w:ascii="宋体" w:hAnsi="宋体" w:cs="宋体"/>
          <w:color w:val="auto"/>
          <w:sz w:val="24"/>
          <w:highlight w:val="none"/>
        </w:rPr>
      </w:pPr>
    </w:p>
    <w:p w14:paraId="21977A72">
      <w:pPr>
        <w:rPr>
          <w:rFonts w:hint="eastAsia" w:ascii="Arial Unicode MS" w:hAnsi="Arial Unicode MS" w:eastAsia="Arial Unicode MS" w:cs="Arial Unicode MS"/>
          <w:color w:val="auto"/>
          <w:sz w:val="44"/>
          <w:szCs w:val="44"/>
          <w:highlight w:val="none"/>
        </w:rPr>
      </w:pPr>
      <w:r>
        <w:rPr>
          <w:rFonts w:hint="eastAsia" w:ascii="宋体" w:hAnsi="宋体" w:cs="宋体"/>
          <w:color w:val="auto"/>
          <w:sz w:val="24"/>
          <w:highlight w:val="none"/>
        </w:rPr>
        <w:t>注：请根据自己的真实情况出具《残疾人福利性单位声明函》。依法享受中小企业优惠政策的，采购人或者采购代理机构在公告中标结果时，同时公告其《残疾人福利性单位声明函》，接受社会监督。</w:t>
      </w:r>
    </w:p>
    <w:p w14:paraId="4B4126CE">
      <w:pPr>
        <w:rPr>
          <w:rFonts w:hint="eastAsia" w:ascii="Arial Unicode MS" w:hAnsi="Arial Unicode MS" w:eastAsia="Arial Unicode MS" w:cs="Arial Unicode MS"/>
          <w:color w:val="auto"/>
          <w:sz w:val="44"/>
          <w:szCs w:val="44"/>
          <w:highlight w:val="none"/>
        </w:rPr>
      </w:pPr>
      <w:r>
        <w:rPr>
          <w:rFonts w:hint="eastAsia" w:ascii="Arial Unicode MS" w:hAnsi="Arial Unicode MS" w:eastAsia="Arial Unicode MS" w:cs="Arial Unicode MS"/>
          <w:color w:val="auto"/>
          <w:sz w:val="44"/>
          <w:szCs w:val="44"/>
          <w:highlight w:val="none"/>
        </w:rPr>
        <w:br w:type="page"/>
      </w:r>
    </w:p>
    <w:p w14:paraId="1D7A79F1">
      <w:pPr>
        <w:spacing w:line="360" w:lineRule="auto"/>
        <w:contextualSpacing/>
        <w:jc w:val="center"/>
        <w:rPr>
          <w:rFonts w:hint="eastAsia" w:ascii="Arial Unicode MS" w:hAnsi="Arial Unicode MS" w:eastAsia="Arial Unicode MS" w:cs="Arial Unicode MS"/>
          <w:color w:val="auto"/>
          <w:sz w:val="44"/>
          <w:szCs w:val="44"/>
          <w:highlight w:val="none"/>
        </w:rPr>
      </w:pPr>
      <w:r>
        <w:rPr>
          <w:rFonts w:hint="eastAsia" w:ascii="Arial Unicode MS" w:hAnsi="Arial Unicode MS" w:eastAsia="Arial Unicode MS" w:cs="Arial Unicode MS"/>
          <w:color w:val="auto"/>
          <w:sz w:val="44"/>
          <w:szCs w:val="44"/>
          <w:highlight w:val="none"/>
        </w:rPr>
        <w:t>关于符合本国产品标准的声明函</w:t>
      </w:r>
    </w:p>
    <w:p w14:paraId="7EA4C280">
      <w:pPr>
        <w:widowControl/>
        <w:shd w:val="clear" w:color="auto" w:fill="FFFFFF"/>
        <w:spacing w:before="30" w:after="30"/>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p w14:paraId="11C6B24C">
      <w:pPr>
        <w:widowControl/>
        <w:shd w:val="clear" w:color="auto" w:fill="FFFFFF"/>
        <w:spacing w:line="360" w:lineRule="auto"/>
        <w:ind w:firstLine="480"/>
        <w:jc w:val="left"/>
        <w:rPr>
          <w:rFonts w:hint="eastAsia" w:ascii="宋体" w:hAnsi="宋体" w:cs="宋体"/>
          <w:i/>
          <w:iCs/>
          <w:color w:val="auto"/>
          <w:kern w:val="0"/>
          <w:sz w:val="24"/>
          <w:highlight w:val="none"/>
        </w:rPr>
      </w:pPr>
      <w:r>
        <w:rPr>
          <w:rFonts w:hint="eastAsia" w:ascii="宋体" w:hAnsi="宋体" w:cs="宋体"/>
          <w:i/>
          <w:iCs/>
          <w:color w:val="auto"/>
          <w:kern w:val="0"/>
          <w:sz w:val="24"/>
          <w:highlight w:val="none"/>
        </w:rPr>
        <w:t>本公司（单位）郑重声明，根据《国务院办公厅关于在政府采购中实施本国产品标准及相关政策的通知》（国办发〔2025〕34号）的规定，本公司（单位）提供的以下产品属于本国产品。具体情况如下：</w:t>
      </w:r>
    </w:p>
    <w:p w14:paraId="0EB2C296">
      <w:pPr>
        <w:widowControl/>
        <w:shd w:val="clear" w:color="auto" w:fill="FFFFFF"/>
        <w:spacing w:line="360" w:lineRule="auto"/>
        <w:ind w:firstLine="480"/>
        <w:jc w:val="left"/>
        <w:rPr>
          <w:rFonts w:hint="eastAsia" w:ascii="宋体" w:hAnsi="宋体" w:cs="宋体"/>
          <w:i/>
          <w:iCs/>
          <w:color w:val="auto"/>
          <w:kern w:val="0"/>
          <w:sz w:val="24"/>
          <w:highlight w:val="none"/>
        </w:rPr>
      </w:pPr>
      <w:r>
        <w:rPr>
          <w:rFonts w:hint="eastAsia" w:ascii="宋体" w:hAnsi="宋体" w:cs="宋体"/>
          <w:i/>
          <w:iCs/>
          <w:color w:val="auto"/>
          <w:kern w:val="0"/>
          <w:sz w:val="24"/>
          <w:highlight w:val="none"/>
        </w:rPr>
        <w:t>1.（产品名称1）</w:t>
      </w:r>
      <w:r>
        <w:rPr>
          <w:rFonts w:hint="eastAsia" w:ascii="宋体" w:hAnsi="宋体" w:cs="宋体"/>
          <w:i/>
          <w:iCs/>
          <w:color w:val="auto"/>
          <w:kern w:val="0"/>
          <w:sz w:val="18"/>
          <w:szCs w:val="18"/>
          <w:highlight w:val="none"/>
          <w:vertAlign w:val="superscript"/>
        </w:rPr>
        <w:t>1</w:t>
      </w:r>
      <w:r>
        <w:rPr>
          <w:rFonts w:hint="eastAsia" w:ascii="宋体" w:hAnsi="宋体" w:cs="宋体"/>
          <w:i/>
          <w:iCs/>
          <w:color w:val="auto"/>
          <w:kern w:val="0"/>
          <w:sz w:val="24"/>
          <w:highlight w:val="none"/>
        </w:rPr>
        <w:t>，生产厂为（厂名）</w:t>
      </w:r>
      <w:r>
        <w:rPr>
          <w:rFonts w:hint="eastAsia" w:ascii="宋体" w:hAnsi="宋体" w:cs="宋体"/>
          <w:i/>
          <w:iCs/>
          <w:color w:val="auto"/>
          <w:kern w:val="0"/>
          <w:sz w:val="18"/>
          <w:szCs w:val="18"/>
          <w:highlight w:val="none"/>
          <w:vertAlign w:val="superscript"/>
        </w:rPr>
        <w:t>2</w:t>
      </w:r>
      <w:r>
        <w:rPr>
          <w:rFonts w:hint="eastAsia" w:ascii="宋体" w:hAnsi="宋体" w:cs="宋体"/>
          <w:i/>
          <w:iCs/>
          <w:color w:val="auto"/>
          <w:kern w:val="0"/>
          <w:sz w:val="24"/>
          <w:highlight w:val="none"/>
        </w:rPr>
        <w:t>，厂址为（生产厂址）。（产品名称1）的中国境内生产的组件成本占比≥（规定比例）</w:t>
      </w:r>
      <w:r>
        <w:rPr>
          <w:rFonts w:hint="eastAsia" w:ascii="宋体" w:hAnsi="宋体" w:cs="宋体"/>
          <w:i/>
          <w:iCs/>
          <w:color w:val="auto"/>
          <w:kern w:val="0"/>
          <w:sz w:val="18"/>
          <w:szCs w:val="18"/>
          <w:highlight w:val="none"/>
          <w:vertAlign w:val="superscript"/>
        </w:rPr>
        <w:t>3</w:t>
      </w:r>
      <w:r>
        <w:rPr>
          <w:rFonts w:hint="eastAsia" w:ascii="宋体" w:hAnsi="宋体" w:cs="宋体"/>
          <w:i/>
          <w:iCs/>
          <w:color w:val="auto"/>
          <w:kern w:val="0"/>
          <w:sz w:val="24"/>
          <w:highlight w:val="none"/>
        </w:rPr>
        <w:t>。（产品名称1）的（关键组件）</w:t>
      </w:r>
      <w:r>
        <w:rPr>
          <w:rFonts w:hint="eastAsia" w:ascii="宋体" w:hAnsi="宋体" w:cs="宋体"/>
          <w:i/>
          <w:iCs/>
          <w:color w:val="auto"/>
          <w:kern w:val="0"/>
          <w:sz w:val="18"/>
          <w:szCs w:val="18"/>
          <w:highlight w:val="none"/>
          <w:vertAlign w:val="superscript"/>
        </w:rPr>
        <w:t>4</w:t>
      </w:r>
      <w:r>
        <w:rPr>
          <w:rFonts w:hint="eastAsia" w:ascii="宋体" w:hAnsi="宋体" w:cs="宋体"/>
          <w:i/>
          <w:iCs/>
          <w:color w:val="auto"/>
          <w:kern w:val="0"/>
          <w:sz w:val="24"/>
          <w:highlight w:val="none"/>
        </w:rPr>
        <w:t>在中国境内生产。（产品名称1）的（关键工序）</w:t>
      </w:r>
      <w:r>
        <w:rPr>
          <w:rFonts w:hint="eastAsia" w:ascii="宋体" w:hAnsi="宋体" w:cs="宋体"/>
          <w:i/>
          <w:iCs/>
          <w:color w:val="auto"/>
          <w:kern w:val="0"/>
          <w:sz w:val="18"/>
          <w:szCs w:val="18"/>
          <w:highlight w:val="none"/>
          <w:vertAlign w:val="superscript"/>
        </w:rPr>
        <w:t>5</w:t>
      </w:r>
      <w:r>
        <w:rPr>
          <w:rFonts w:hint="eastAsia" w:ascii="宋体" w:hAnsi="宋体" w:cs="宋体"/>
          <w:i/>
          <w:iCs/>
          <w:color w:val="auto"/>
          <w:kern w:val="0"/>
          <w:sz w:val="24"/>
          <w:highlight w:val="none"/>
        </w:rPr>
        <w:t>在中国境内完成。</w:t>
      </w:r>
    </w:p>
    <w:p w14:paraId="7ADFB813">
      <w:pPr>
        <w:widowControl/>
        <w:shd w:val="clear" w:color="auto" w:fill="FFFFFF"/>
        <w:spacing w:line="360" w:lineRule="auto"/>
        <w:ind w:firstLine="480"/>
        <w:jc w:val="left"/>
        <w:rPr>
          <w:rFonts w:hint="eastAsia" w:ascii="宋体" w:hAnsi="宋体" w:cs="宋体"/>
          <w:color w:val="auto"/>
          <w:kern w:val="0"/>
          <w:sz w:val="24"/>
          <w:highlight w:val="none"/>
        </w:rPr>
      </w:pPr>
      <w:r>
        <w:rPr>
          <w:rFonts w:hint="eastAsia" w:ascii="宋体" w:hAnsi="宋体" w:cs="宋体"/>
          <w:i/>
          <w:iCs/>
          <w:color w:val="auto"/>
          <w:kern w:val="0"/>
          <w:sz w:val="24"/>
          <w:highlight w:val="none"/>
        </w:rPr>
        <w:t>2.（产品名称2），生产厂为（厂名），厂址为（生产厂址）。（产品名称2）的中国境内生产的组件成本占比≥（规定比例）。（产品名称2）的（关键组件）在中国境内生产。（产品名称2）的（关键工序）在中国境内完成。</w:t>
      </w:r>
    </w:p>
    <w:p w14:paraId="73A5AAF5">
      <w:pPr>
        <w:widowControl/>
        <w:shd w:val="clear" w:color="auto" w:fill="FFFFFF"/>
        <w:spacing w:line="360" w:lineRule="auto"/>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w:t>
      </w:r>
    </w:p>
    <w:p w14:paraId="359C7529">
      <w:pPr>
        <w:widowControl/>
        <w:shd w:val="clear" w:color="auto" w:fill="FFFFFF"/>
        <w:spacing w:line="360" w:lineRule="auto"/>
        <w:ind w:firstLine="48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本公司（单位）对上述声明内容的真实性负责。如有虚假，愿承担相应法律责任。</w:t>
      </w:r>
    </w:p>
    <w:p w14:paraId="4E477EFC">
      <w:pPr>
        <w:widowControl/>
        <w:shd w:val="clear" w:color="auto" w:fill="FFFFFF"/>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p w14:paraId="27DF6244">
      <w:pPr>
        <w:widowControl/>
        <w:shd w:val="clear" w:color="auto" w:fill="FFFFFF"/>
        <w:spacing w:line="360" w:lineRule="auto"/>
        <w:jc w:val="right"/>
        <w:rPr>
          <w:rFonts w:hint="eastAsia" w:ascii="宋体" w:hAnsi="宋体" w:cs="宋体"/>
          <w:color w:val="auto"/>
          <w:kern w:val="0"/>
          <w:sz w:val="24"/>
          <w:highlight w:val="none"/>
        </w:rPr>
      </w:pPr>
      <w:r>
        <w:rPr>
          <w:rFonts w:hint="eastAsia" w:ascii="宋体" w:hAnsi="宋体" w:cs="宋体"/>
          <w:color w:val="auto"/>
          <w:kern w:val="0"/>
          <w:sz w:val="24"/>
          <w:highlight w:val="none"/>
        </w:rPr>
        <w:t>公司（单位）名称（盖章/</w:t>
      </w:r>
      <w:r>
        <w:rPr>
          <w:rFonts w:hint="eastAsia" w:ascii="宋体" w:hAnsi="宋体" w:cs="宋体"/>
          <w:color w:val="auto"/>
          <w:sz w:val="24"/>
          <w:highlight w:val="none"/>
        </w:rPr>
        <w:t>电子签章</w:t>
      </w:r>
      <w:r>
        <w:rPr>
          <w:rFonts w:hint="eastAsia" w:ascii="宋体" w:hAnsi="宋体" w:cs="宋体"/>
          <w:color w:val="auto"/>
          <w:kern w:val="0"/>
          <w:sz w:val="24"/>
          <w:highlight w:val="none"/>
        </w:rPr>
        <w:t>）：　        </w:t>
      </w:r>
    </w:p>
    <w:p w14:paraId="3FC98094">
      <w:pPr>
        <w:widowControl/>
        <w:shd w:val="clear" w:color="auto" w:fill="FFFFFF"/>
        <w:spacing w:line="360" w:lineRule="auto"/>
        <w:jc w:val="right"/>
        <w:rPr>
          <w:rFonts w:hint="eastAsia" w:ascii="宋体" w:hAnsi="宋体" w:cs="宋体"/>
          <w:color w:val="auto"/>
          <w:kern w:val="0"/>
          <w:sz w:val="24"/>
          <w:highlight w:val="none"/>
        </w:rPr>
      </w:pPr>
      <w:r>
        <w:rPr>
          <w:rFonts w:hint="eastAsia" w:ascii="宋体" w:hAnsi="宋体" w:cs="宋体"/>
          <w:color w:val="auto"/>
          <w:kern w:val="0"/>
          <w:sz w:val="24"/>
          <w:highlight w:val="none"/>
        </w:rPr>
        <w:t>日期：　     年　  月　  日         </w:t>
      </w:r>
    </w:p>
    <w:p w14:paraId="3056783F">
      <w:pPr>
        <w:widowControl/>
        <w:shd w:val="clear" w:color="auto" w:fill="FFFFFF"/>
        <w:spacing w:line="360" w:lineRule="auto"/>
        <w:jc w:val="left"/>
        <w:rPr>
          <w:rFonts w:hint="eastAsia" w:ascii="宋体" w:hAnsi="宋体" w:cs="宋体"/>
          <w:color w:val="auto"/>
          <w:kern w:val="0"/>
          <w:sz w:val="24"/>
          <w:highlight w:val="none"/>
        </w:rPr>
      </w:pPr>
      <w:r>
        <w:rPr>
          <w:rFonts w:hint="eastAsia" w:ascii="宋体" w:hAnsi="宋体" w:cs="宋体"/>
          <w:color w:val="auto"/>
          <w:kern w:val="0"/>
          <w:sz w:val="24"/>
          <w:highlight w:val="none"/>
        </w:rPr>
        <w:t>__________________</w:t>
      </w:r>
    </w:p>
    <w:p w14:paraId="004FD17F">
      <w:pPr>
        <w:widowControl/>
        <w:shd w:val="clear" w:color="auto" w:fill="FFFFFF"/>
        <w:spacing w:line="360" w:lineRule="auto"/>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1.产品如有型号，请在“产品名称”栏一并填写。</w:t>
      </w:r>
    </w:p>
    <w:p w14:paraId="1124A8FE">
      <w:pPr>
        <w:widowControl/>
        <w:shd w:val="clear" w:color="auto" w:fill="FFFFFF"/>
        <w:spacing w:line="360" w:lineRule="auto"/>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2.生产厂名与厂址应与生产厂营业执照载明的相关信息保持一致。</w:t>
      </w:r>
    </w:p>
    <w:p w14:paraId="4673C010">
      <w:pPr>
        <w:widowControl/>
        <w:shd w:val="clear" w:color="auto" w:fill="FFFFFF"/>
        <w:spacing w:line="360" w:lineRule="auto"/>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3.该产品的中国境内生产的组件成本占比相关要求实施前，“规定比例”栏可不填，下同。</w:t>
      </w:r>
    </w:p>
    <w:p w14:paraId="619BF8F6">
      <w:pPr>
        <w:widowControl/>
        <w:shd w:val="clear" w:color="auto" w:fill="FFFFFF"/>
        <w:spacing w:line="360" w:lineRule="auto"/>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4.该产品的关键组件要求实施前，“关键组件”栏可不填，下同。</w:t>
      </w:r>
    </w:p>
    <w:p w14:paraId="37AAEEE7">
      <w:pPr>
        <w:widowControl/>
        <w:shd w:val="clear" w:color="auto" w:fill="FFFFFF"/>
        <w:spacing w:line="360" w:lineRule="auto"/>
        <w:ind w:firstLine="48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5.该产品的关键工序要求实施前，“关键工序”栏可不填，下同。</w:t>
      </w:r>
    </w:p>
    <w:p w14:paraId="339BDF39">
      <w:pPr>
        <w:spacing w:line="360" w:lineRule="auto"/>
        <w:contextualSpacing/>
        <w:rPr>
          <w:rFonts w:hint="eastAsia" w:ascii="宋体" w:hAnsi="宋体" w:cs="宋体"/>
          <w:color w:val="auto"/>
          <w:sz w:val="24"/>
          <w:highlight w:val="none"/>
        </w:rPr>
      </w:pPr>
    </w:p>
    <w:p w14:paraId="7DCF563C">
      <w:pPr>
        <w:spacing w:line="520" w:lineRule="exact"/>
        <w:jc w:val="center"/>
        <w:rPr>
          <w:rFonts w:hint="eastAsia" w:ascii="宋体" w:hAnsi="宋体" w:cs="宋体"/>
          <w:color w:val="auto"/>
          <w:sz w:val="24"/>
          <w:highlight w:val="none"/>
        </w:rPr>
      </w:pPr>
    </w:p>
    <w:p w14:paraId="162C3569">
      <w:pPr>
        <w:spacing w:line="520" w:lineRule="exact"/>
        <w:jc w:val="center"/>
        <w:rPr>
          <w:rFonts w:hint="eastAsia" w:ascii="宋体" w:hAnsi="宋体" w:cs="宋体"/>
          <w:color w:val="auto"/>
          <w:sz w:val="24"/>
          <w:highlight w:val="none"/>
        </w:rPr>
      </w:pPr>
    </w:p>
    <w:p w14:paraId="3909A921">
      <w:pPr>
        <w:spacing w:line="520" w:lineRule="exact"/>
        <w:jc w:val="center"/>
        <w:rPr>
          <w:rFonts w:hint="eastAsia" w:ascii="宋体" w:hAnsi="宋体" w:cs="宋体"/>
          <w:color w:val="auto"/>
          <w:sz w:val="24"/>
          <w:highlight w:val="none"/>
        </w:rPr>
      </w:pPr>
    </w:p>
    <w:p w14:paraId="42AA225E">
      <w:pPr>
        <w:spacing w:line="520" w:lineRule="exact"/>
        <w:jc w:val="center"/>
        <w:rPr>
          <w:rFonts w:hint="eastAsia" w:ascii="宋体" w:hAnsi="宋体" w:cs="宋体"/>
          <w:color w:val="auto"/>
          <w:sz w:val="24"/>
          <w:highlight w:val="none"/>
        </w:rPr>
      </w:pPr>
    </w:p>
    <w:p w14:paraId="13F53FA6">
      <w:pPr>
        <w:spacing w:line="520" w:lineRule="exact"/>
        <w:jc w:val="center"/>
        <w:rPr>
          <w:rFonts w:hint="eastAsia" w:ascii="宋体" w:hAnsi="宋体" w:cs="宋体"/>
          <w:color w:val="auto"/>
          <w:sz w:val="24"/>
          <w:highlight w:val="none"/>
        </w:rPr>
      </w:pPr>
    </w:p>
    <w:p w14:paraId="4297926E">
      <w:pPr>
        <w:spacing w:line="520" w:lineRule="exact"/>
        <w:jc w:val="center"/>
        <w:rPr>
          <w:rFonts w:hint="eastAsia" w:ascii="宋体" w:hAnsi="宋体" w:cs="宋体"/>
          <w:color w:val="auto"/>
          <w:sz w:val="24"/>
          <w:highlight w:val="none"/>
        </w:rPr>
      </w:pPr>
    </w:p>
    <w:p w14:paraId="4BD9589B">
      <w:pPr>
        <w:spacing w:line="520" w:lineRule="exact"/>
        <w:jc w:val="center"/>
        <w:rPr>
          <w:rFonts w:hint="eastAsia" w:ascii="宋体" w:hAnsi="宋体" w:cs="宋体"/>
          <w:color w:val="auto"/>
          <w:sz w:val="24"/>
          <w:highlight w:val="none"/>
        </w:rPr>
      </w:pPr>
    </w:p>
    <w:p w14:paraId="6C29198F">
      <w:pPr>
        <w:spacing w:line="520" w:lineRule="exact"/>
        <w:jc w:val="center"/>
        <w:rPr>
          <w:rFonts w:hint="eastAsia" w:ascii="宋体" w:hAnsi="宋体" w:cs="宋体"/>
          <w:color w:val="auto"/>
          <w:sz w:val="24"/>
          <w:highlight w:val="none"/>
        </w:rPr>
      </w:pPr>
    </w:p>
    <w:p w14:paraId="7FC66853">
      <w:pPr>
        <w:spacing w:line="520" w:lineRule="exact"/>
        <w:jc w:val="center"/>
        <w:rPr>
          <w:rFonts w:hint="eastAsia" w:ascii="宋体" w:hAnsi="宋体" w:cs="宋体"/>
          <w:color w:val="auto"/>
          <w:sz w:val="24"/>
          <w:highlight w:val="none"/>
        </w:rPr>
      </w:pPr>
    </w:p>
    <w:p w14:paraId="799D2F36">
      <w:pPr>
        <w:spacing w:line="360" w:lineRule="auto"/>
        <w:jc w:val="center"/>
        <w:rPr>
          <w:rFonts w:hint="eastAsia" w:ascii="宋体" w:hAnsi="宋体" w:cs="宋体"/>
          <w:b/>
          <w:bCs/>
          <w:color w:val="auto"/>
          <w:sz w:val="44"/>
          <w:szCs w:val="44"/>
          <w:highlight w:val="none"/>
        </w:rPr>
      </w:pPr>
    </w:p>
    <w:p w14:paraId="1E291C96">
      <w:pPr>
        <w:spacing w:line="360" w:lineRule="auto"/>
        <w:jc w:val="center"/>
        <w:rPr>
          <w:rFonts w:hint="eastAsia" w:ascii="宋体" w:hAnsi="宋体" w:cs="宋体"/>
          <w:b/>
          <w:bCs/>
          <w:color w:val="auto"/>
          <w:sz w:val="44"/>
          <w:szCs w:val="44"/>
          <w:highlight w:val="none"/>
        </w:rPr>
      </w:pPr>
    </w:p>
    <w:p w14:paraId="2A3A649C">
      <w:pPr>
        <w:spacing w:line="360" w:lineRule="auto"/>
        <w:jc w:val="center"/>
        <w:rPr>
          <w:rFonts w:hint="eastAsia" w:ascii="宋体" w:hAnsi="宋体" w:cs="宋体"/>
          <w:b/>
          <w:bCs/>
          <w:color w:val="auto"/>
          <w:sz w:val="44"/>
          <w:szCs w:val="44"/>
          <w:highlight w:val="none"/>
        </w:rPr>
      </w:pPr>
    </w:p>
    <w:p w14:paraId="1D327E67">
      <w:pPr>
        <w:spacing w:line="360" w:lineRule="auto"/>
        <w:jc w:val="center"/>
        <w:rPr>
          <w:rFonts w:hint="eastAsia" w:ascii="宋体" w:hAnsi="宋体" w:cs="宋体"/>
          <w:b/>
          <w:bCs/>
          <w:color w:val="auto"/>
          <w:sz w:val="44"/>
          <w:szCs w:val="44"/>
          <w:highlight w:val="none"/>
        </w:rPr>
      </w:pPr>
    </w:p>
    <w:p w14:paraId="35280511">
      <w:pPr>
        <w:spacing w:line="360" w:lineRule="auto"/>
        <w:jc w:val="center"/>
        <w:rPr>
          <w:rFonts w:hint="eastAsia" w:ascii="宋体" w:hAnsi="宋体" w:cs="宋体"/>
          <w:b/>
          <w:bCs/>
          <w:color w:val="auto"/>
          <w:sz w:val="44"/>
          <w:szCs w:val="44"/>
          <w:highlight w:val="none"/>
        </w:rPr>
      </w:pPr>
    </w:p>
    <w:p w14:paraId="5B573A3C">
      <w:pPr>
        <w:spacing w:line="360" w:lineRule="auto"/>
        <w:jc w:val="center"/>
        <w:rPr>
          <w:rFonts w:hint="eastAsia" w:ascii="宋体" w:hAnsi="宋体" w:cs="宋体"/>
          <w:b/>
          <w:bCs/>
          <w:color w:val="auto"/>
          <w:sz w:val="44"/>
          <w:szCs w:val="44"/>
          <w:highlight w:val="none"/>
        </w:rPr>
      </w:pPr>
    </w:p>
    <w:p w14:paraId="288E01DA">
      <w:pPr>
        <w:snapToGrid w:val="0"/>
        <w:spacing w:before="120" w:line="360" w:lineRule="auto"/>
        <w:jc w:val="center"/>
        <w:rPr>
          <w:rFonts w:hint="eastAsia" w:ascii="宋体" w:hAnsi="宋体" w:cs="宋体"/>
          <w:b/>
          <w:bCs/>
          <w:color w:val="auto"/>
          <w:sz w:val="44"/>
          <w:szCs w:val="44"/>
          <w:highlight w:val="none"/>
        </w:rPr>
      </w:pPr>
      <w:bookmarkStart w:id="69" w:name="_Toc18428"/>
      <w:r>
        <w:rPr>
          <w:rFonts w:hint="eastAsia" w:hAnsi="宋体" w:cs="宋体"/>
          <w:bCs/>
          <w:color w:val="auto"/>
          <w:kern w:val="44"/>
          <w:sz w:val="44"/>
          <w:szCs w:val="44"/>
          <w:highlight w:val="none"/>
        </w:rPr>
        <w:t>第六章  合同文本</w:t>
      </w:r>
      <w:r>
        <w:rPr>
          <w:rFonts w:hint="eastAsia" w:hAnsi="宋体" w:cs="宋体"/>
          <w:bCs/>
          <w:color w:val="auto"/>
          <w:kern w:val="44"/>
          <w:sz w:val="44"/>
          <w:szCs w:val="44"/>
          <w:highlight w:val="none"/>
        </w:rPr>
        <w:br w:type="page"/>
      </w:r>
      <w:bookmarkEnd w:id="69"/>
    </w:p>
    <w:p w14:paraId="6E8B68FF">
      <w:pPr>
        <w:snapToGrid w:val="0"/>
        <w:spacing w:before="120" w:line="360" w:lineRule="auto"/>
        <w:jc w:val="center"/>
        <w:rPr>
          <w:rFonts w:hint="eastAsia" w:ascii="宋体" w:hAnsi="宋体" w:cs="宋体"/>
          <w:b/>
          <w:bCs/>
          <w:color w:val="auto"/>
          <w:sz w:val="44"/>
          <w:szCs w:val="44"/>
          <w:highlight w:val="none"/>
        </w:rPr>
      </w:pPr>
    </w:p>
    <w:p w14:paraId="41377DF3">
      <w:pPr>
        <w:snapToGrid w:val="0"/>
        <w:spacing w:before="120" w:line="360" w:lineRule="auto"/>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广西壮族自治区政府采购合同（货物类）</w:t>
      </w:r>
    </w:p>
    <w:p w14:paraId="14A623FC">
      <w:pPr>
        <w:tabs>
          <w:tab w:val="center" w:pos="4153"/>
          <w:tab w:val="right" w:pos="8306"/>
        </w:tabs>
        <w:snapToGrid w:val="0"/>
        <w:spacing w:line="360" w:lineRule="auto"/>
        <w:jc w:val="left"/>
        <w:rPr>
          <w:rFonts w:ascii="宋体" w:hAnsi="宋体" w:cs="宋体"/>
          <w:b/>
          <w:bCs/>
          <w:color w:val="auto"/>
          <w:sz w:val="28"/>
          <w:szCs w:val="28"/>
          <w:highlight w:val="none"/>
        </w:rPr>
      </w:pPr>
    </w:p>
    <w:p w14:paraId="32A6A183">
      <w:pPr>
        <w:tabs>
          <w:tab w:val="center" w:pos="4153"/>
          <w:tab w:val="right" w:pos="8306"/>
        </w:tabs>
        <w:snapToGrid w:val="0"/>
        <w:spacing w:line="360" w:lineRule="auto"/>
        <w:jc w:val="left"/>
        <w:rPr>
          <w:rFonts w:ascii="宋体" w:hAnsi="宋体" w:cs="宋体"/>
          <w:b/>
          <w:bCs/>
          <w:color w:val="auto"/>
          <w:sz w:val="28"/>
          <w:szCs w:val="28"/>
          <w:highlight w:val="none"/>
        </w:rPr>
      </w:pPr>
    </w:p>
    <w:p w14:paraId="680081B7">
      <w:pPr>
        <w:tabs>
          <w:tab w:val="center" w:pos="4153"/>
          <w:tab w:val="right" w:pos="8306"/>
        </w:tabs>
        <w:snapToGrid w:val="0"/>
        <w:spacing w:line="360" w:lineRule="auto"/>
        <w:jc w:val="left"/>
        <w:rPr>
          <w:rFonts w:ascii="宋体" w:hAnsi="宋体" w:cs="宋体"/>
          <w:b/>
          <w:bCs/>
          <w:color w:val="auto"/>
          <w:sz w:val="28"/>
          <w:szCs w:val="28"/>
          <w:highlight w:val="none"/>
        </w:rPr>
      </w:pPr>
    </w:p>
    <w:p w14:paraId="09D4CA7A">
      <w:pPr>
        <w:spacing w:line="720" w:lineRule="auto"/>
        <w:ind w:firstLine="643" w:firstLineChars="200"/>
        <w:rPr>
          <w:rFonts w:hint="eastAsia" w:ascii="宋体" w:hAnsi="宋体" w:eastAsia="宋体" w:cs="宋体"/>
          <w:b/>
          <w:color w:val="auto"/>
          <w:kern w:val="0"/>
          <w:sz w:val="32"/>
          <w:szCs w:val="32"/>
          <w:highlight w:val="none"/>
          <w:u w:val="single"/>
          <w:lang w:eastAsia="zh-CN"/>
        </w:rPr>
      </w:pPr>
      <w:r>
        <w:rPr>
          <w:rFonts w:hint="eastAsia" w:ascii="宋体" w:hAnsi="宋体" w:cs="宋体"/>
          <w:b/>
          <w:color w:val="auto"/>
          <w:kern w:val="0"/>
          <w:sz w:val="32"/>
          <w:szCs w:val="32"/>
          <w:highlight w:val="none"/>
        </w:rPr>
        <w:t>项目名称：</w:t>
      </w:r>
      <w:r>
        <w:rPr>
          <w:rFonts w:hint="eastAsia" w:ascii="宋体" w:hAnsi="宋体" w:cs="宋体"/>
          <w:b/>
          <w:color w:val="auto"/>
          <w:kern w:val="0"/>
          <w:sz w:val="32"/>
          <w:szCs w:val="32"/>
          <w:highlight w:val="none"/>
          <w:u w:val="single"/>
          <w:lang w:eastAsia="zh-CN"/>
        </w:rPr>
        <w:t>智能设计与制造学院实训室升级改造项目</w:t>
      </w:r>
    </w:p>
    <w:p w14:paraId="28616349">
      <w:pPr>
        <w:spacing w:line="720" w:lineRule="auto"/>
        <w:ind w:firstLine="643" w:firstLineChars="200"/>
        <w:rPr>
          <w:rFonts w:ascii="宋体" w:hAnsi="宋体" w:cs="宋体"/>
          <w:b/>
          <w:color w:val="auto"/>
          <w:kern w:val="0"/>
          <w:sz w:val="32"/>
          <w:szCs w:val="32"/>
          <w:highlight w:val="none"/>
          <w:u w:val="single"/>
        </w:rPr>
      </w:pPr>
      <w:r>
        <w:rPr>
          <w:rFonts w:hint="eastAsia" w:ascii="宋体" w:hAnsi="宋体" w:cs="宋体"/>
          <w:b/>
          <w:color w:val="auto"/>
          <w:sz w:val="32"/>
          <w:szCs w:val="32"/>
          <w:highlight w:val="none"/>
        </w:rPr>
        <w:t>合同编</w:t>
      </w:r>
      <w:r>
        <w:rPr>
          <w:rFonts w:hint="eastAsia" w:ascii="宋体" w:hAnsi="宋体" w:cs="宋体"/>
          <w:b/>
          <w:color w:val="auto"/>
          <w:kern w:val="0"/>
          <w:sz w:val="32"/>
          <w:szCs w:val="32"/>
          <w:highlight w:val="none"/>
        </w:rPr>
        <w:t>号：</w:t>
      </w:r>
      <w:r>
        <w:rPr>
          <w:rFonts w:hint="eastAsia" w:ascii="宋体" w:hAnsi="宋体" w:cs="宋体"/>
          <w:b/>
          <w:color w:val="auto"/>
          <w:kern w:val="0"/>
          <w:sz w:val="32"/>
          <w:szCs w:val="32"/>
          <w:highlight w:val="none"/>
          <w:u w:val="single"/>
        </w:rPr>
        <w:t xml:space="preserve">                                    </w:t>
      </w:r>
    </w:p>
    <w:p w14:paraId="60BB525A">
      <w:pPr>
        <w:spacing w:line="720" w:lineRule="auto"/>
        <w:ind w:firstLine="643" w:firstLineChars="200"/>
        <w:rPr>
          <w:rFonts w:hint="eastAsia" w:ascii="宋体" w:hAnsi="宋体" w:cs="宋体"/>
          <w:b/>
          <w:color w:val="auto"/>
          <w:kern w:val="0"/>
          <w:sz w:val="32"/>
          <w:szCs w:val="32"/>
          <w:highlight w:val="none"/>
          <w:u w:val="single"/>
        </w:rPr>
      </w:pPr>
      <w:r>
        <w:rPr>
          <w:rFonts w:hint="eastAsia" w:ascii="宋体" w:hAnsi="宋体" w:cs="宋体"/>
          <w:b/>
          <w:color w:val="auto"/>
          <w:kern w:val="0"/>
          <w:sz w:val="32"/>
          <w:szCs w:val="32"/>
          <w:highlight w:val="none"/>
        </w:rPr>
        <w:t>采购单位（甲方）：</w:t>
      </w:r>
      <w:r>
        <w:rPr>
          <w:rFonts w:hint="eastAsia" w:ascii="宋体" w:hAnsi="宋体" w:cs="宋体"/>
          <w:b/>
          <w:color w:val="auto"/>
          <w:kern w:val="0"/>
          <w:sz w:val="32"/>
          <w:szCs w:val="32"/>
          <w:highlight w:val="none"/>
          <w:u w:val="single"/>
        </w:rPr>
        <w:t>广西国际商务职业技术学院</w:t>
      </w:r>
    </w:p>
    <w:p w14:paraId="5C5560A8">
      <w:pPr>
        <w:spacing w:line="720" w:lineRule="auto"/>
        <w:ind w:firstLine="643" w:firstLineChars="200"/>
        <w:rPr>
          <w:rFonts w:ascii="宋体" w:hAnsi="宋体" w:cs="宋体"/>
          <w:b/>
          <w:color w:val="auto"/>
          <w:kern w:val="0"/>
          <w:sz w:val="32"/>
          <w:szCs w:val="32"/>
          <w:highlight w:val="none"/>
          <w:u w:val="single"/>
        </w:rPr>
      </w:pPr>
      <w:r>
        <w:rPr>
          <w:rFonts w:hint="eastAsia" w:ascii="宋体" w:hAnsi="宋体" w:cs="宋体"/>
          <w:b/>
          <w:color w:val="auto"/>
          <w:kern w:val="0"/>
          <w:sz w:val="32"/>
          <w:szCs w:val="32"/>
          <w:highlight w:val="none"/>
        </w:rPr>
        <w:t>供 应 商（乙方）：</w:t>
      </w:r>
      <w:r>
        <w:rPr>
          <w:rFonts w:hint="eastAsia" w:ascii="宋体" w:hAnsi="宋体" w:cs="宋体"/>
          <w:b/>
          <w:color w:val="auto"/>
          <w:kern w:val="0"/>
          <w:sz w:val="32"/>
          <w:szCs w:val="32"/>
          <w:highlight w:val="none"/>
          <w:u w:val="single"/>
        </w:rPr>
        <w:t xml:space="preserve">                            </w:t>
      </w:r>
    </w:p>
    <w:p w14:paraId="0F64F591">
      <w:pPr>
        <w:spacing w:line="720" w:lineRule="auto"/>
        <w:ind w:firstLine="643" w:firstLineChars="200"/>
        <w:rPr>
          <w:rFonts w:ascii="宋体" w:hAnsi="宋体" w:cs="宋体"/>
          <w:b/>
          <w:color w:val="auto"/>
          <w:kern w:val="0"/>
          <w:sz w:val="32"/>
          <w:szCs w:val="32"/>
          <w:highlight w:val="none"/>
          <w:u w:val="single"/>
        </w:rPr>
      </w:pPr>
      <w:r>
        <w:rPr>
          <w:rFonts w:hint="eastAsia" w:ascii="宋体" w:hAnsi="宋体" w:cs="宋体"/>
          <w:b/>
          <w:color w:val="auto"/>
          <w:kern w:val="0"/>
          <w:sz w:val="32"/>
          <w:szCs w:val="32"/>
          <w:highlight w:val="none"/>
        </w:rPr>
        <w:t>签订合同地点：</w:t>
      </w:r>
      <w:r>
        <w:rPr>
          <w:rFonts w:hint="eastAsia" w:ascii="宋体" w:hAnsi="宋体" w:cs="宋体"/>
          <w:b/>
          <w:color w:val="auto"/>
          <w:kern w:val="0"/>
          <w:sz w:val="32"/>
          <w:szCs w:val="32"/>
          <w:highlight w:val="none"/>
          <w:u w:val="single"/>
        </w:rPr>
        <w:t xml:space="preserve">                                </w:t>
      </w:r>
    </w:p>
    <w:p w14:paraId="47DDA6ED">
      <w:pPr>
        <w:spacing w:line="720" w:lineRule="auto"/>
        <w:ind w:firstLine="643" w:firstLineChars="200"/>
        <w:rPr>
          <w:rFonts w:ascii="宋体" w:hAnsi="宋体" w:cs="宋体"/>
          <w:b/>
          <w:color w:val="auto"/>
          <w:kern w:val="0"/>
          <w:sz w:val="32"/>
          <w:szCs w:val="32"/>
          <w:highlight w:val="none"/>
          <w:u w:val="single"/>
        </w:rPr>
      </w:pPr>
      <w:r>
        <w:rPr>
          <w:rFonts w:hint="eastAsia" w:ascii="宋体" w:hAnsi="宋体" w:cs="宋体"/>
          <w:b/>
          <w:color w:val="auto"/>
          <w:kern w:val="0"/>
          <w:sz w:val="32"/>
          <w:szCs w:val="32"/>
          <w:highlight w:val="none"/>
        </w:rPr>
        <w:t>签订合同日期：</w:t>
      </w:r>
      <w:r>
        <w:rPr>
          <w:rFonts w:hint="eastAsia" w:ascii="宋体" w:hAnsi="宋体" w:cs="宋体"/>
          <w:b/>
          <w:color w:val="auto"/>
          <w:kern w:val="0"/>
          <w:sz w:val="32"/>
          <w:szCs w:val="32"/>
          <w:highlight w:val="none"/>
          <w:u w:val="single"/>
        </w:rPr>
        <w:t xml:space="preserve">                                </w:t>
      </w:r>
    </w:p>
    <w:p w14:paraId="48356C90">
      <w:pPr>
        <w:spacing w:line="360" w:lineRule="auto"/>
        <w:ind w:left="2040" w:leftChars="570" w:hanging="843" w:hangingChars="300"/>
        <w:rPr>
          <w:rFonts w:ascii="宋体" w:hAnsi="宋体" w:cs="宋体"/>
          <w:b/>
          <w:color w:val="auto"/>
          <w:kern w:val="0"/>
          <w:sz w:val="28"/>
          <w:szCs w:val="28"/>
          <w:highlight w:val="none"/>
          <w:u w:val="single"/>
        </w:rPr>
        <w:sectPr>
          <w:headerReference r:id="rId9" w:type="default"/>
          <w:pgSz w:w="11910" w:h="16840"/>
          <w:pgMar w:top="1440" w:right="1080" w:bottom="1440" w:left="1080" w:header="851" w:footer="992" w:gutter="0"/>
          <w:cols w:space="720" w:num="1"/>
          <w:docGrid w:linePitch="312" w:charSpace="0"/>
        </w:sectPr>
      </w:pPr>
    </w:p>
    <w:p w14:paraId="10FA9711">
      <w:pPr>
        <w:pStyle w:val="14"/>
        <w:spacing w:before="101" w:line="224" w:lineRule="auto"/>
        <w:jc w:val="center"/>
        <w:rPr>
          <w:color w:val="auto"/>
          <w:sz w:val="31"/>
          <w:szCs w:val="31"/>
          <w:highlight w:val="none"/>
        </w:rPr>
      </w:pPr>
      <w:r>
        <w:rPr>
          <w:rFonts w:hint="eastAsia"/>
          <w:b/>
          <w:bCs/>
          <w:color w:val="auto"/>
          <w:spacing w:val="6"/>
          <w:sz w:val="31"/>
          <w:szCs w:val="31"/>
          <w:highlight w:val="none"/>
        </w:rPr>
        <w:t>广西壮族自治区政府采购合同（</w:t>
      </w:r>
      <w:r>
        <w:rPr>
          <w:rFonts w:hint="eastAsia"/>
          <w:b/>
          <w:bCs/>
          <w:color w:val="auto"/>
          <w:spacing w:val="6"/>
          <w:sz w:val="31"/>
          <w:szCs w:val="31"/>
          <w:highlight w:val="none"/>
          <w:lang w:val="en-US" w:eastAsia="zh-CN"/>
        </w:rPr>
        <w:t>货物</w:t>
      </w:r>
      <w:r>
        <w:rPr>
          <w:rFonts w:hint="eastAsia"/>
          <w:b/>
          <w:bCs/>
          <w:color w:val="auto"/>
          <w:spacing w:val="6"/>
          <w:sz w:val="31"/>
          <w:szCs w:val="31"/>
          <w:highlight w:val="none"/>
        </w:rPr>
        <w:t>类）</w:t>
      </w:r>
    </w:p>
    <w:p w14:paraId="576B9C4E">
      <w:pPr>
        <w:spacing w:line="281" w:lineRule="auto"/>
        <w:rPr>
          <w:rFonts w:ascii="Arial"/>
          <w:color w:val="auto"/>
          <w:szCs w:val="21"/>
          <w:highlight w:val="none"/>
        </w:rPr>
      </w:pPr>
    </w:p>
    <w:p w14:paraId="100DFE8D">
      <w:pPr>
        <w:pStyle w:val="14"/>
        <w:spacing w:before="65" w:line="227" w:lineRule="auto"/>
        <w:rPr>
          <w:color w:val="auto"/>
          <w:spacing w:val="4"/>
          <w:sz w:val="21"/>
          <w:szCs w:val="21"/>
          <w:highlight w:val="none"/>
        </w:rPr>
      </w:pPr>
      <w:r>
        <w:rPr>
          <w:color w:val="auto"/>
          <w:spacing w:val="4"/>
          <w:sz w:val="21"/>
          <w:szCs w:val="21"/>
          <w:highlight w:val="none"/>
        </w:rPr>
        <w:t>采购计划号：</w:t>
      </w:r>
      <w:r>
        <w:rPr>
          <w:color w:val="auto"/>
          <w:sz w:val="21"/>
          <w:szCs w:val="21"/>
          <w:highlight w:val="none"/>
          <w:u w:val="single"/>
        </w:rPr>
        <w:t xml:space="preserve">             </w:t>
      </w:r>
    </w:p>
    <w:p w14:paraId="2E70859C">
      <w:pPr>
        <w:pStyle w:val="14"/>
        <w:spacing w:before="65" w:line="227" w:lineRule="auto"/>
        <w:rPr>
          <w:color w:val="auto"/>
          <w:sz w:val="21"/>
          <w:szCs w:val="21"/>
          <w:highlight w:val="none"/>
        </w:rPr>
      </w:pPr>
      <w:r>
        <w:rPr>
          <w:color w:val="auto"/>
          <w:spacing w:val="4"/>
          <w:sz w:val="21"/>
          <w:szCs w:val="21"/>
          <w:highlight w:val="none"/>
        </w:rPr>
        <w:t>合同编号：</w:t>
      </w:r>
      <w:r>
        <w:rPr>
          <w:color w:val="auto"/>
          <w:sz w:val="21"/>
          <w:szCs w:val="21"/>
          <w:highlight w:val="none"/>
          <w:u w:val="single"/>
        </w:rPr>
        <w:t xml:space="preserve">             </w:t>
      </w:r>
    </w:p>
    <w:p w14:paraId="0281CDE3">
      <w:pPr>
        <w:pStyle w:val="14"/>
        <w:spacing w:before="162" w:line="227" w:lineRule="auto"/>
        <w:rPr>
          <w:color w:val="auto"/>
          <w:spacing w:val="8"/>
          <w:sz w:val="21"/>
          <w:szCs w:val="21"/>
          <w:highlight w:val="none"/>
        </w:rPr>
      </w:pPr>
      <w:r>
        <w:rPr>
          <w:color w:val="auto"/>
          <w:spacing w:val="6"/>
          <w:sz w:val="21"/>
          <w:szCs w:val="21"/>
          <w:highlight w:val="none"/>
        </w:rPr>
        <w:t>采购人（甲方</w:t>
      </w:r>
      <w:r>
        <w:rPr>
          <w:color w:val="auto"/>
          <w:spacing w:val="12"/>
          <w:sz w:val="21"/>
          <w:szCs w:val="21"/>
          <w:highlight w:val="none"/>
        </w:rPr>
        <w:t>）：</w:t>
      </w:r>
      <w:r>
        <w:rPr>
          <w:rFonts w:hint="eastAsia"/>
          <w:color w:val="auto"/>
          <w:spacing w:val="5"/>
          <w:sz w:val="21"/>
          <w:szCs w:val="21"/>
          <w:highlight w:val="none"/>
          <w:u w:val="single"/>
          <w:lang w:eastAsia="zh-CN"/>
        </w:rPr>
        <w:t>广西国际商务职业技术学院</w:t>
      </w:r>
      <w:r>
        <w:rPr>
          <w:color w:val="auto"/>
          <w:spacing w:val="8"/>
          <w:sz w:val="21"/>
          <w:szCs w:val="21"/>
          <w:highlight w:val="none"/>
        </w:rPr>
        <w:t xml:space="preserve">   </w:t>
      </w:r>
    </w:p>
    <w:p w14:paraId="1666076C">
      <w:pPr>
        <w:pStyle w:val="14"/>
        <w:spacing w:before="162" w:line="227" w:lineRule="auto"/>
        <w:rPr>
          <w:color w:val="auto"/>
          <w:sz w:val="21"/>
          <w:szCs w:val="21"/>
          <w:highlight w:val="none"/>
        </w:rPr>
      </w:pPr>
      <w:r>
        <w:rPr>
          <w:color w:val="auto"/>
          <w:spacing w:val="6"/>
          <w:sz w:val="21"/>
          <w:szCs w:val="21"/>
          <w:highlight w:val="none"/>
        </w:rPr>
        <w:t>中标人（乙方</w:t>
      </w:r>
      <w:r>
        <w:rPr>
          <w:color w:val="auto"/>
          <w:spacing w:val="12"/>
          <w:sz w:val="21"/>
          <w:szCs w:val="21"/>
          <w:highlight w:val="none"/>
        </w:rPr>
        <w:t>）：</w:t>
      </w:r>
      <w:r>
        <w:rPr>
          <w:color w:val="auto"/>
          <w:sz w:val="21"/>
          <w:szCs w:val="21"/>
          <w:highlight w:val="none"/>
          <w:u w:val="single"/>
        </w:rPr>
        <w:t xml:space="preserve">             </w:t>
      </w:r>
    </w:p>
    <w:p w14:paraId="4E04059C">
      <w:pPr>
        <w:pStyle w:val="14"/>
        <w:spacing w:before="161" w:line="228" w:lineRule="auto"/>
        <w:rPr>
          <w:color w:val="auto"/>
          <w:spacing w:val="6"/>
          <w:sz w:val="21"/>
          <w:szCs w:val="21"/>
          <w:highlight w:val="none"/>
        </w:rPr>
      </w:pPr>
      <w:r>
        <w:rPr>
          <w:color w:val="auto"/>
          <w:spacing w:val="4"/>
          <w:sz w:val="21"/>
          <w:szCs w:val="21"/>
          <w:highlight w:val="none"/>
        </w:rPr>
        <w:t>项目名称：</w:t>
      </w:r>
      <w:r>
        <w:rPr>
          <w:rFonts w:hint="eastAsia"/>
          <w:color w:val="auto"/>
          <w:spacing w:val="4"/>
          <w:sz w:val="21"/>
          <w:szCs w:val="21"/>
          <w:highlight w:val="none"/>
          <w:u w:val="single"/>
          <w:lang w:eastAsia="zh-CN"/>
        </w:rPr>
        <w:t>智能设计与制造学院实训室升级改造项目</w:t>
      </w:r>
      <w:r>
        <w:rPr>
          <w:color w:val="auto"/>
          <w:spacing w:val="6"/>
          <w:sz w:val="21"/>
          <w:szCs w:val="21"/>
          <w:highlight w:val="none"/>
        </w:rPr>
        <w:t xml:space="preserve">    </w:t>
      </w:r>
    </w:p>
    <w:p w14:paraId="372652F8">
      <w:pPr>
        <w:pStyle w:val="14"/>
        <w:spacing w:before="161" w:line="228" w:lineRule="auto"/>
        <w:rPr>
          <w:rFonts w:hint="eastAsia"/>
          <w:color w:val="auto"/>
          <w:sz w:val="21"/>
          <w:szCs w:val="21"/>
          <w:highlight w:val="none"/>
          <w:lang w:eastAsia="zh-CN"/>
        </w:rPr>
      </w:pPr>
      <w:r>
        <w:rPr>
          <w:color w:val="auto"/>
          <w:spacing w:val="3"/>
          <w:sz w:val="21"/>
          <w:szCs w:val="21"/>
          <w:highlight w:val="none"/>
        </w:rPr>
        <w:t>项目编号：</w:t>
      </w:r>
      <w:r>
        <w:rPr>
          <w:rFonts w:hint="eastAsia"/>
          <w:color w:val="auto"/>
          <w:spacing w:val="3"/>
          <w:sz w:val="21"/>
          <w:szCs w:val="21"/>
          <w:highlight w:val="none"/>
          <w:u w:val="single"/>
          <w:lang w:eastAsia="zh-CN"/>
        </w:rPr>
        <w:t>GXZC2026-J1-003568-GXJL</w:t>
      </w:r>
    </w:p>
    <w:p w14:paraId="2B5152F4">
      <w:pPr>
        <w:pStyle w:val="14"/>
        <w:spacing w:before="161" w:line="230" w:lineRule="auto"/>
        <w:rPr>
          <w:color w:val="auto"/>
          <w:spacing w:val="4"/>
          <w:sz w:val="21"/>
          <w:szCs w:val="21"/>
          <w:highlight w:val="none"/>
        </w:rPr>
      </w:pPr>
      <w:r>
        <w:rPr>
          <w:color w:val="auto"/>
          <w:spacing w:val="4"/>
          <w:sz w:val="21"/>
          <w:szCs w:val="21"/>
          <w:highlight w:val="none"/>
        </w:rPr>
        <w:t>签订地点：</w:t>
      </w:r>
      <w:r>
        <w:rPr>
          <w:color w:val="auto"/>
          <w:spacing w:val="4"/>
          <w:sz w:val="21"/>
          <w:szCs w:val="21"/>
          <w:highlight w:val="none"/>
          <w:u w:val="single"/>
        </w:rPr>
        <w:t xml:space="preserve">                       </w:t>
      </w:r>
      <w:r>
        <w:rPr>
          <w:color w:val="auto"/>
          <w:spacing w:val="4"/>
          <w:sz w:val="21"/>
          <w:szCs w:val="21"/>
          <w:highlight w:val="none"/>
        </w:rPr>
        <w:t xml:space="preserve">     </w:t>
      </w:r>
      <w:r>
        <w:rPr>
          <w:rFonts w:hint="eastAsia"/>
          <w:color w:val="auto"/>
          <w:spacing w:val="4"/>
          <w:sz w:val="21"/>
          <w:szCs w:val="21"/>
          <w:highlight w:val="none"/>
          <w:lang w:val="en-US" w:eastAsia="zh-CN"/>
        </w:rPr>
        <w:t xml:space="preserve">  </w:t>
      </w:r>
      <w:r>
        <w:rPr>
          <w:color w:val="auto"/>
          <w:spacing w:val="4"/>
          <w:sz w:val="21"/>
          <w:szCs w:val="21"/>
          <w:highlight w:val="none"/>
        </w:rPr>
        <w:t xml:space="preserve">  </w:t>
      </w:r>
    </w:p>
    <w:p w14:paraId="6E377837">
      <w:pPr>
        <w:pStyle w:val="14"/>
        <w:spacing w:before="161" w:line="230" w:lineRule="auto"/>
        <w:rPr>
          <w:color w:val="auto"/>
          <w:sz w:val="21"/>
          <w:szCs w:val="21"/>
          <w:highlight w:val="none"/>
        </w:rPr>
      </w:pPr>
      <w:r>
        <w:rPr>
          <w:color w:val="auto"/>
          <w:spacing w:val="4"/>
          <w:sz w:val="21"/>
          <w:szCs w:val="21"/>
          <w:highlight w:val="none"/>
        </w:rPr>
        <w:t>签订时间：</w:t>
      </w:r>
      <w:r>
        <w:rPr>
          <w:color w:val="auto"/>
          <w:spacing w:val="4"/>
          <w:sz w:val="21"/>
          <w:szCs w:val="21"/>
          <w:highlight w:val="none"/>
          <w:u w:val="single"/>
        </w:rPr>
        <w:t xml:space="preserve">             </w:t>
      </w:r>
      <w:r>
        <w:rPr>
          <w:color w:val="auto"/>
          <w:spacing w:val="3"/>
          <w:sz w:val="21"/>
          <w:szCs w:val="21"/>
          <w:highlight w:val="none"/>
          <w:u w:val="single"/>
        </w:rPr>
        <w:t xml:space="preserve">      </w:t>
      </w:r>
    </w:p>
    <w:p w14:paraId="3FC528B4">
      <w:pPr>
        <w:spacing w:line="360" w:lineRule="auto"/>
        <w:rPr>
          <w:rFonts w:ascii="宋体" w:hAnsi="宋体" w:cs="宋体"/>
          <w:color w:val="auto"/>
          <w:szCs w:val="21"/>
          <w:highlight w:val="none"/>
        </w:rPr>
      </w:pPr>
      <w:r>
        <w:rPr>
          <w:color w:val="auto"/>
          <w:spacing w:val="9"/>
          <w:szCs w:val="21"/>
          <w:highlight w:val="none"/>
        </w:rPr>
        <w:t>本合同为中小企业预留合同</w:t>
      </w:r>
      <w:r>
        <w:rPr>
          <w:color w:val="auto"/>
          <w:szCs w:val="21"/>
          <w:highlight w:val="none"/>
        </w:rPr>
        <w:t>：</w:t>
      </w:r>
      <w:r>
        <w:rPr>
          <w:color w:val="auto"/>
          <w:szCs w:val="21"/>
          <w:highlight w:val="none"/>
          <w:u w:val="single"/>
        </w:rPr>
        <w:t>（</w:t>
      </w:r>
      <w:r>
        <w:rPr>
          <w:color w:val="auto"/>
          <w:spacing w:val="9"/>
          <w:szCs w:val="21"/>
          <w:highlight w:val="none"/>
          <w:u w:val="single"/>
        </w:rPr>
        <w:t>是/否）</w:t>
      </w:r>
      <w:r>
        <w:rPr>
          <w:color w:val="auto"/>
          <w:spacing w:val="9"/>
          <w:szCs w:val="21"/>
          <w:highlight w:val="none"/>
        </w:rPr>
        <w:t>。</w:t>
      </w:r>
    </w:p>
    <w:p w14:paraId="6EE1C060">
      <w:pPr>
        <w:pStyle w:val="14"/>
        <w:spacing w:line="360" w:lineRule="auto"/>
        <w:rPr>
          <w:rFonts w:hint="eastAsia" w:ascii="宋体" w:hAnsi="宋体"/>
          <w:color w:val="auto"/>
          <w:sz w:val="21"/>
          <w:szCs w:val="21"/>
          <w:highlight w:val="none"/>
        </w:rPr>
      </w:pPr>
    </w:p>
    <w:p w14:paraId="602CE806">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根据《中华人民共和国政府采购法》、《政府采购货物和服务招标投标管理办法》、《中华人民共和国民法典》等法律、法规规定，按照招标文件规定条款和乙方投标文件及其承诺，甲乙双方签订本合同。</w:t>
      </w:r>
    </w:p>
    <w:p w14:paraId="5F931F8D">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第一条　合同标的</w:t>
      </w:r>
    </w:p>
    <w:p w14:paraId="62F63F8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1.供货一览表</w:t>
      </w:r>
    </w:p>
    <w:tbl>
      <w:tblPr>
        <w:tblStyle w:val="33"/>
        <w:tblpPr w:leftFromText="180" w:rightFromText="180" w:vertAnchor="text"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1341"/>
        <w:gridCol w:w="1152"/>
        <w:gridCol w:w="1341"/>
        <w:gridCol w:w="1315"/>
        <w:gridCol w:w="986"/>
        <w:gridCol w:w="725"/>
        <w:gridCol w:w="1028"/>
        <w:gridCol w:w="1305"/>
      </w:tblGrid>
      <w:tr w14:paraId="0C8B1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386" w:type="pct"/>
            <w:noWrap w:val="0"/>
            <w:vAlign w:val="center"/>
          </w:tcPr>
          <w:p w14:paraId="77D2424F">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序号</w:t>
            </w:r>
          </w:p>
        </w:tc>
        <w:tc>
          <w:tcPr>
            <w:tcW w:w="673" w:type="pct"/>
            <w:noWrap w:val="0"/>
            <w:vAlign w:val="center"/>
          </w:tcPr>
          <w:p w14:paraId="16740155">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产品名称</w:t>
            </w:r>
          </w:p>
        </w:tc>
        <w:tc>
          <w:tcPr>
            <w:tcW w:w="1152" w:type="dxa"/>
            <w:noWrap w:val="0"/>
            <w:vAlign w:val="center"/>
          </w:tcPr>
          <w:p w14:paraId="7BEE4353">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规格型号</w:t>
            </w:r>
          </w:p>
        </w:tc>
        <w:tc>
          <w:tcPr>
            <w:tcW w:w="1341" w:type="dxa"/>
            <w:noWrap w:val="0"/>
            <w:vAlign w:val="center"/>
          </w:tcPr>
          <w:p w14:paraId="10C76AA8">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品牌</w:t>
            </w:r>
          </w:p>
        </w:tc>
        <w:tc>
          <w:tcPr>
            <w:tcW w:w="1315" w:type="dxa"/>
            <w:noWrap w:val="0"/>
            <w:vAlign w:val="center"/>
          </w:tcPr>
          <w:p w14:paraId="6948C216">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生产厂家</w:t>
            </w:r>
          </w:p>
        </w:tc>
        <w:tc>
          <w:tcPr>
            <w:tcW w:w="495" w:type="pct"/>
            <w:noWrap w:val="0"/>
            <w:vAlign w:val="center"/>
          </w:tcPr>
          <w:p w14:paraId="5EADFB41">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数  量</w:t>
            </w:r>
          </w:p>
        </w:tc>
        <w:tc>
          <w:tcPr>
            <w:tcW w:w="364" w:type="pct"/>
            <w:noWrap w:val="0"/>
            <w:vAlign w:val="center"/>
          </w:tcPr>
          <w:p w14:paraId="690E2CCC">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单位</w:t>
            </w:r>
          </w:p>
        </w:tc>
        <w:tc>
          <w:tcPr>
            <w:tcW w:w="516" w:type="pct"/>
            <w:noWrap w:val="0"/>
            <w:vAlign w:val="center"/>
          </w:tcPr>
          <w:p w14:paraId="3633B8E0">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单  价</w:t>
            </w:r>
          </w:p>
          <w:p w14:paraId="08F9BE52">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（元）</w:t>
            </w:r>
          </w:p>
        </w:tc>
        <w:tc>
          <w:tcPr>
            <w:tcW w:w="649" w:type="pct"/>
            <w:noWrap w:val="0"/>
            <w:vAlign w:val="center"/>
          </w:tcPr>
          <w:p w14:paraId="45F69C89">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金  额</w:t>
            </w:r>
          </w:p>
          <w:p w14:paraId="389A6FF3">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（元）</w:t>
            </w:r>
          </w:p>
        </w:tc>
      </w:tr>
      <w:tr w14:paraId="44E5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386" w:type="pct"/>
            <w:noWrap w:val="0"/>
            <w:vAlign w:val="center"/>
          </w:tcPr>
          <w:p w14:paraId="31A12AE7">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1</w:t>
            </w:r>
          </w:p>
        </w:tc>
        <w:tc>
          <w:tcPr>
            <w:tcW w:w="673" w:type="pct"/>
            <w:noWrap w:val="0"/>
            <w:vAlign w:val="center"/>
          </w:tcPr>
          <w:p w14:paraId="21651BE4">
            <w:pPr>
              <w:snapToGrid w:val="0"/>
              <w:spacing w:line="360" w:lineRule="auto"/>
              <w:jc w:val="center"/>
              <w:rPr>
                <w:rFonts w:hint="eastAsia" w:ascii="宋体" w:hAnsi="宋体"/>
                <w:color w:val="auto"/>
                <w:szCs w:val="21"/>
                <w:highlight w:val="none"/>
              </w:rPr>
            </w:pPr>
          </w:p>
        </w:tc>
        <w:tc>
          <w:tcPr>
            <w:tcW w:w="578" w:type="pct"/>
            <w:noWrap w:val="0"/>
            <w:vAlign w:val="center"/>
          </w:tcPr>
          <w:p w14:paraId="244BF1E8">
            <w:pPr>
              <w:snapToGrid w:val="0"/>
              <w:spacing w:line="360" w:lineRule="auto"/>
              <w:jc w:val="center"/>
              <w:rPr>
                <w:rFonts w:hint="eastAsia" w:ascii="宋体" w:hAnsi="宋体"/>
                <w:color w:val="auto"/>
                <w:szCs w:val="21"/>
                <w:highlight w:val="none"/>
              </w:rPr>
            </w:pPr>
          </w:p>
        </w:tc>
        <w:tc>
          <w:tcPr>
            <w:tcW w:w="673" w:type="pct"/>
            <w:noWrap w:val="0"/>
            <w:vAlign w:val="center"/>
          </w:tcPr>
          <w:p w14:paraId="7818EEF2">
            <w:pPr>
              <w:snapToGrid w:val="0"/>
              <w:spacing w:line="360" w:lineRule="auto"/>
              <w:jc w:val="center"/>
              <w:rPr>
                <w:rFonts w:hint="eastAsia" w:ascii="宋体" w:hAnsi="宋体"/>
                <w:color w:val="auto"/>
                <w:szCs w:val="21"/>
                <w:highlight w:val="none"/>
              </w:rPr>
            </w:pPr>
          </w:p>
        </w:tc>
        <w:tc>
          <w:tcPr>
            <w:tcW w:w="660" w:type="pct"/>
            <w:noWrap w:val="0"/>
            <w:vAlign w:val="top"/>
          </w:tcPr>
          <w:p w14:paraId="71BA2125">
            <w:pPr>
              <w:snapToGrid w:val="0"/>
              <w:spacing w:line="360" w:lineRule="auto"/>
              <w:jc w:val="center"/>
              <w:rPr>
                <w:rFonts w:hint="eastAsia" w:ascii="宋体" w:hAnsi="宋体"/>
                <w:color w:val="auto"/>
                <w:szCs w:val="21"/>
                <w:highlight w:val="none"/>
              </w:rPr>
            </w:pPr>
          </w:p>
        </w:tc>
        <w:tc>
          <w:tcPr>
            <w:tcW w:w="495" w:type="pct"/>
            <w:noWrap w:val="0"/>
            <w:vAlign w:val="top"/>
          </w:tcPr>
          <w:p w14:paraId="007C59DF">
            <w:pPr>
              <w:snapToGrid w:val="0"/>
              <w:spacing w:line="360" w:lineRule="auto"/>
              <w:jc w:val="center"/>
              <w:rPr>
                <w:rFonts w:hint="eastAsia" w:ascii="宋体" w:hAnsi="宋体"/>
                <w:color w:val="auto"/>
                <w:szCs w:val="21"/>
                <w:highlight w:val="none"/>
              </w:rPr>
            </w:pPr>
          </w:p>
        </w:tc>
        <w:tc>
          <w:tcPr>
            <w:tcW w:w="364" w:type="pct"/>
            <w:noWrap w:val="0"/>
            <w:vAlign w:val="top"/>
          </w:tcPr>
          <w:p w14:paraId="25B1FF0D">
            <w:pPr>
              <w:snapToGrid w:val="0"/>
              <w:spacing w:line="360" w:lineRule="auto"/>
              <w:jc w:val="center"/>
              <w:rPr>
                <w:rFonts w:hint="eastAsia" w:ascii="宋体" w:hAnsi="宋体"/>
                <w:color w:val="auto"/>
                <w:szCs w:val="21"/>
                <w:highlight w:val="none"/>
              </w:rPr>
            </w:pPr>
          </w:p>
        </w:tc>
        <w:tc>
          <w:tcPr>
            <w:tcW w:w="516" w:type="pct"/>
            <w:noWrap w:val="0"/>
            <w:vAlign w:val="center"/>
          </w:tcPr>
          <w:p w14:paraId="4101EE95">
            <w:pPr>
              <w:snapToGrid w:val="0"/>
              <w:spacing w:line="360" w:lineRule="auto"/>
              <w:jc w:val="center"/>
              <w:rPr>
                <w:rFonts w:hint="eastAsia" w:ascii="宋体" w:hAnsi="宋体"/>
                <w:color w:val="auto"/>
                <w:szCs w:val="21"/>
                <w:highlight w:val="none"/>
              </w:rPr>
            </w:pPr>
          </w:p>
        </w:tc>
        <w:tc>
          <w:tcPr>
            <w:tcW w:w="649" w:type="pct"/>
            <w:noWrap w:val="0"/>
            <w:vAlign w:val="center"/>
          </w:tcPr>
          <w:p w14:paraId="57CB8843">
            <w:pPr>
              <w:snapToGrid w:val="0"/>
              <w:spacing w:line="360" w:lineRule="auto"/>
              <w:jc w:val="center"/>
              <w:rPr>
                <w:rFonts w:hint="eastAsia" w:ascii="宋体" w:hAnsi="宋体"/>
                <w:color w:val="auto"/>
                <w:szCs w:val="21"/>
                <w:highlight w:val="none"/>
              </w:rPr>
            </w:pPr>
          </w:p>
        </w:tc>
      </w:tr>
      <w:tr w14:paraId="1ED1F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386" w:type="pct"/>
            <w:noWrap w:val="0"/>
            <w:vAlign w:val="center"/>
          </w:tcPr>
          <w:p w14:paraId="34DB5F83">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2</w:t>
            </w:r>
          </w:p>
        </w:tc>
        <w:tc>
          <w:tcPr>
            <w:tcW w:w="673" w:type="pct"/>
            <w:noWrap w:val="0"/>
            <w:vAlign w:val="center"/>
          </w:tcPr>
          <w:p w14:paraId="3BB67E09">
            <w:pPr>
              <w:snapToGrid w:val="0"/>
              <w:spacing w:line="360" w:lineRule="auto"/>
              <w:jc w:val="center"/>
              <w:rPr>
                <w:rFonts w:hint="eastAsia" w:ascii="宋体" w:hAnsi="宋体"/>
                <w:color w:val="auto"/>
                <w:szCs w:val="21"/>
                <w:highlight w:val="none"/>
              </w:rPr>
            </w:pPr>
          </w:p>
        </w:tc>
        <w:tc>
          <w:tcPr>
            <w:tcW w:w="578" w:type="pct"/>
            <w:noWrap w:val="0"/>
            <w:vAlign w:val="center"/>
          </w:tcPr>
          <w:p w14:paraId="02E48226">
            <w:pPr>
              <w:snapToGrid w:val="0"/>
              <w:spacing w:line="360" w:lineRule="auto"/>
              <w:jc w:val="center"/>
              <w:rPr>
                <w:rFonts w:hint="eastAsia" w:ascii="宋体" w:hAnsi="宋体"/>
                <w:color w:val="auto"/>
                <w:szCs w:val="21"/>
                <w:highlight w:val="none"/>
              </w:rPr>
            </w:pPr>
          </w:p>
        </w:tc>
        <w:tc>
          <w:tcPr>
            <w:tcW w:w="673" w:type="pct"/>
            <w:noWrap w:val="0"/>
            <w:vAlign w:val="center"/>
          </w:tcPr>
          <w:p w14:paraId="269D761F">
            <w:pPr>
              <w:snapToGrid w:val="0"/>
              <w:spacing w:line="360" w:lineRule="auto"/>
              <w:jc w:val="center"/>
              <w:rPr>
                <w:rFonts w:hint="eastAsia" w:ascii="宋体" w:hAnsi="宋体"/>
                <w:color w:val="auto"/>
                <w:szCs w:val="21"/>
                <w:highlight w:val="none"/>
              </w:rPr>
            </w:pPr>
          </w:p>
        </w:tc>
        <w:tc>
          <w:tcPr>
            <w:tcW w:w="660" w:type="pct"/>
            <w:noWrap w:val="0"/>
            <w:vAlign w:val="top"/>
          </w:tcPr>
          <w:p w14:paraId="1CDFF28E">
            <w:pPr>
              <w:snapToGrid w:val="0"/>
              <w:spacing w:line="360" w:lineRule="auto"/>
              <w:jc w:val="center"/>
              <w:rPr>
                <w:rFonts w:hint="eastAsia" w:ascii="宋体" w:hAnsi="宋体"/>
                <w:color w:val="auto"/>
                <w:szCs w:val="21"/>
                <w:highlight w:val="none"/>
              </w:rPr>
            </w:pPr>
          </w:p>
        </w:tc>
        <w:tc>
          <w:tcPr>
            <w:tcW w:w="495" w:type="pct"/>
            <w:noWrap w:val="0"/>
            <w:vAlign w:val="top"/>
          </w:tcPr>
          <w:p w14:paraId="2BC1978A">
            <w:pPr>
              <w:snapToGrid w:val="0"/>
              <w:spacing w:line="360" w:lineRule="auto"/>
              <w:jc w:val="center"/>
              <w:rPr>
                <w:rFonts w:hint="eastAsia" w:ascii="宋体" w:hAnsi="宋体"/>
                <w:color w:val="auto"/>
                <w:szCs w:val="21"/>
                <w:highlight w:val="none"/>
              </w:rPr>
            </w:pPr>
          </w:p>
        </w:tc>
        <w:tc>
          <w:tcPr>
            <w:tcW w:w="364" w:type="pct"/>
            <w:noWrap w:val="0"/>
            <w:vAlign w:val="top"/>
          </w:tcPr>
          <w:p w14:paraId="389CCE1C">
            <w:pPr>
              <w:snapToGrid w:val="0"/>
              <w:spacing w:line="360" w:lineRule="auto"/>
              <w:jc w:val="center"/>
              <w:rPr>
                <w:rFonts w:hint="eastAsia" w:ascii="宋体" w:hAnsi="宋体"/>
                <w:color w:val="auto"/>
                <w:szCs w:val="21"/>
                <w:highlight w:val="none"/>
              </w:rPr>
            </w:pPr>
          </w:p>
        </w:tc>
        <w:tc>
          <w:tcPr>
            <w:tcW w:w="516" w:type="pct"/>
            <w:noWrap w:val="0"/>
            <w:vAlign w:val="center"/>
          </w:tcPr>
          <w:p w14:paraId="2FED6CA4">
            <w:pPr>
              <w:snapToGrid w:val="0"/>
              <w:spacing w:line="360" w:lineRule="auto"/>
              <w:jc w:val="center"/>
              <w:rPr>
                <w:rFonts w:hint="eastAsia" w:ascii="宋体" w:hAnsi="宋体"/>
                <w:color w:val="auto"/>
                <w:szCs w:val="21"/>
                <w:highlight w:val="none"/>
              </w:rPr>
            </w:pPr>
          </w:p>
        </w:tc>
        <w:tc>
          <w:tcPr>
            <w:tcW w:w="649" w:type="pct"/>
            <w:noWrap w:val="0"/>
            <w:vAlign w:val="center"/>
          </w:tcPr>
          <w:p w14:paraId="20DBDA79">
            <w:pPr>
              <w:snapToGrid w:val="0"/>
              <w:spacing w:line="360" w:lineRule="auto"/>
              <w:jc w:val="center"/>
              <w:rPr>
                <w:rFonts w:hint="eastAsia" w:ascii="宋体" w:hAnsi="宋体"/>
                <w:color w:val="auto"/>
                <w:szCs w:val="21"/>
                <w:highlight w:val="none"/>
              </w:rPr>
            </w:pPr>
          </w:p>
        </w:tc>
      </w:tr>
      <w:tr w14:paraId="53A65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386" w:type="pct"/>
            <w:noWrap w:val="0"/>
            <w:vAlign w:val="center"/>
          </w:tcPr>
          <w:p w14:paraId="708D2875">
            <w:pPr>
              <w:snapToGrid w:val="0"/>
              <w:spacing w:line="360" w:lineRule="auto"/>
              <w:jc w:val="center"/>
              <w:rPr>
                <w:rFonts w:hint="eastAsia" w:ascii="宋体" w:hAnsi="宋体"/>
                <w:color w:val="auto"/>
                <w:szCs w:val="21"/>
                <w:highlight w:val="none"/>
              </w:rPr>
            </w:pPr>
            <w:r>
              <w:rPr>
                <w:rFonts w:hint="eastAsia" w:ascii="宋体" w:hAnsi="宋体"/>
                <w:color w:val="auto"/>
                <w:szCs w:val="21"/>
                <w:highlight w:val="none"/>
              </w:rPr>
              <w:t>3</w:t>
            </w:r>
          </w:p>
        </w:tc>
        <w:tc>
          <w:tcPr>
            <w:tcW w:w="673" w:type="pct"/>
            <w:noWrap w:val="0"/>
            <w:vAlign w:val="center"/>
          </w:tcPr>
          <w:p w14:paraId="4786B913">
            <w:pPr>
              <w:snapToGrid w:val="0"/>
              <w:spacing w:line="360" w:lineRule="auto"/>
              <w:jc w:val="center"/>
              <w:rPr>
                <w:rFonts w:hint="eastAsia" w:ascii="宋体" w:hAnsi="宋体"/>
                <w:color w:val="auto"/>
                <w:szCs w:val="21"/>
                <w:highlight w:val="none"/>
              </w:rPr>
            </w:pPr>
          </w:p>
        </w:tc>
        <w:tc>
          <w:tcPr>
            <w:tcW w:w="578" w:type="pct"/>
            <w:noWrap w:val="0"/>
            <w:vAlign w:val="center"/>
          </w:tcPr>
          <w:p w14:paraId="1E5D5A3F">
            <w:pPr>
              <w:snapToGrid w:val="0"/>
              <w:spacing w:line="360" w:lineRule="auto"/>
              <w:jc w:val="center"/>
              <w:rPr>
                <w:rFonts w:hint="eastAsia" w:ascii="宋体" w:hAnsi="宋体"/>
                <w:color w:val="auto"/>
                <w:szCs w:val="21"/>
                <w:highlight w:val="none"/>
              </w:rPr>
            </w:pPr>
          </w:p>
        </w:tc>
        <w:tc>
          <w:tcPr>
            <w:tcW w:w="673" w:type="pct"/>
            <w:noWrap w:val="0"/>
            <w:vAlign w:val="center"/>
          </w:tcPr>
          <w:p w14:paraId="620E401A">
            <w:pPr>
              <w:snapToGrid w:val="0"/>
              <w:spacing w:line="360" w:lineRule="auto"/>
              <w:jc w:val="center"/>
              <w:rPr>
                <w:rFonts w:hint="eastAsia" w:ascii="宋体" w:hAnsi="宋体"/>
                <w:color w:val="auto"/>
                <w:szCs w:val="21"/>
                <w:highlight w:val="none"/>
              </w:rPr>
            </w:pPr>
          </w:p>
        </w:tc>
        <w:tc>
          <w:tcPr>
            <w:tcW w:w="660" w:type="pct"/>
            <w:noWrap w:val="0"/>
            <w:vAlign w:val="top"/>
          </w:tcPr>
          <w:p w14:paraId="52CCFB96">
            <w:pPr>
              <w:snapToGrid w:val="0"/>
              <w:spacing w:line="360" w:lineRule="auto"/>
              <w:jc w:val="center"/>
              <w:rPr>
                <w:rFonts w:hint="eastAsia" w:ascii="宋体" w:hAnsi="宋体"/>
                <w:color w:val="auto"/>
                <w:szCs w:val="21"/>
                <w:highlight w:val="none"/>
              </w:rPr>
            </w:pPr>
          </w:p>
        </w:tc>
        <w:tc>
          <w:tcPr>
            <w:tcW w:w="495" w:type="pct"/>
            <w:noWrap w:val="0"/>
            <w:vAlign w:val="top"/>
          </w:tcPr>
          <w:p w14:paraId="5458F025">
            <w:pPr>
              <w:snapToGrid w:val="0"/>
              <w:spacing w:line="360" w:lineRule="auto"/>
              <w:jc w:val="center"/>
              <w:rPr>
                <w:rFonts w:hint="eastAsia" w:ascii="宋体" w:hAnsi="宋体"/>
                <w:color w:val="auto"/>
                <w:szCs w:val="21"/>
                <w:highlight w:val="none"/>
              </w:rPr>
            </w:pPr>
          </w:p>
        </w:tc>
        <w:tc>
          <w:tcPr>
            <w:tcW w:w="364" w:type="pct"/>
            <w:noWrap w:val="0"/>
            <w:vAlign w:val="top"/>
          </w:tcPr>
          <w:p w14:paraId="5BB7EA70">
            <w:pPr>
              <w:snapToGrid w:val="0"/>
              <w:spacing w:line="360" w:lineRule="auto"/>
              <w:jc w:val="center"/>
              <w:rPr>
                <w:rFonts w:hint="eastAsia" w:ascii="宋体" w:hAnsi="宋体"/>
                <w:color w:val="auto"/>
                <w:szCs w:val="21"/>
                <w:highlight w:val="none"/>
              </w:rPr>
            </w:pPr>
          </w:p>
        </w:tc>
        <w:tc>
          <w:tcPr>
            <w:tcW w:w="516" w:type="pct"/>
            <w:noWrap w:val="0"/>
            <w:vAlign w:val="center"/>
          </w:tcPr>
          <w:p w14:paraId="6E2CC70F">
            <w:pPr>
              <w:snapToGrid w:val="0"/>
              <w:spacing w:line="360" w:lineRule="auto"/>
              <w:jc w:val="center"/>
              <w:rPr>
                <w:rFonts w:hint="eastAsia" w:ascii="宋体" w:hAnsi="宋体"/>
                <w:color w:val="auto"/>
                <w:szCs w:val="21"/>
                <w:highlight w:val="none"/>
              </w:rPr>
            </w:pPr>
          </w:p>
        </w:tc>
        <w:tc>
          <w:tcPr>
            <w:tcW w:w="649" w:type="pct"/>
            <w:noWrap w:val="0"/>
            <w:vAlign w:val="center"/>
          </w:tcPr>
          <w:p w14:paraId="3ABD18A2">
            <w:pPr>
              <w:snapToGrid w:val="0"/>
              <w:spacing w:line="360" w:lineRule="auto"/>
              <w:jc w:val="center"/>
              <w:rPr>
                <w:rFonts w:hint="eastAsia" w:ascii="宋体" w:hAnsi="宋体"/>
                <w:color w:val="auto"/>
                <w:szCs w:val="21"/>
                <w:highlight w:val="none"/>
              </w:rPr>
            </w:pPr>
          </w:p>
        </w:tc>
      </w:tr>
      <w:tr w14:paraId="07B2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5000" w:type="pct"/>
            <w:gridSpan w:val="9"/>
            <w:noWrap w:val="0"/>
            <w:vAlign w:val="center"/>
          </w:tcPr>
          <w:p w14:paraId="06D9EBCC">
            <w:pPr>
              <w:snapToGrid w:val="0"/>
              <w:spacing w:line="360" w:lineRule="auto"/>
              <w:rPr>
                <w:rFonts w:hint="eastAsia" w:ascii="宋体" w:hAnsi="宋体"/>
                <w:color w:val="auto"/>
                <w:szCs w:val="21"/>
                <w:highlight w:val="none"/>
              </w:rPr>
            </w:pPr>
            <w:r>
              <w:rPr>
                <w:rFonts w:hint="eastAsia" w:ascii="宋体" w:hAnsi="宋体"/>
                <w:color w:val="auto"/>
                <w:szCs w:val="21"/>
                <w:highlight w:val="none"/>
              </w:rPr>
              <w:t xml:space="preserve">人民币合计金额（大写）                          （小写）                 </w:t>
            </w:r>
          </w:p>
        </w:tc>
      </w:tr>
    </w:tbl>
    <w:p w14:paraId="4629D446">
      <w:pPr>
        <w:tabs>
          <w:tab w:val="left" w:pos="8280"/>
        </w:tabs>
        <w:snapToGrid w:val="0"/>
        <w:spacing w:line="360" w:lineRule="auto"/>
        <w:ind w:right="26" w:firstLine="420" w:firstLineChars="200"/>
        <w:rPr>
          <w:rFonts w:ascii="宋体" w:hAnsi="宋体"/>
          <w:color w:val="auto"/>
          <w:szCs w:val="21"/>
          <w:highlight w:val="none"/>
        </w:rPr>
      </w:pPr>
      <w:r>
        <w:rPr>
          <w:rFonts w:hint="eastAsia" w:ascii="宋体" w:hAnsi="宋体" w:cs="Arial"/>
          <w:color w:val="auto"/>
          <w:szCs w:val="21"/>
          <w:highlight w:val="none"/>
        </w:rPr>
        <w:t>2.合同合计金额包括货物价款，备件、专用工具、安装、调试、检验、技术培训及技术资料和包装、运输等全部费用。</w:t>
      </w:r>
    </w:p>
    <w:p w14:paraId="06B54A21">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第二条　质量保证</w:t>
      </w:r>
    </w:p>
    <w:p w14:paraId="27D102F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1.乙方所提供的产品名称、商标品牌、生产厂家、规格型号、技术参数等质量必须与招标文件规定及投标文件承诺相一致。乙方提供的节能和环保产品必须是列入政府采购品目清单的产品。</w:t>
      </w:r>
    </w:p>
    <w:p w14:paraId="3E06DDEE">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2.乙方所提供的货物必须是全新、未使用的原装产品，且在正常安装、使用和保养条件下，其使用寿命期内各项指标均达到招标文件规定或者投标文件承诺的质量要求。</w:t>
      </w:r>
    </w:p>
    <w:p w14:paraId="45395D33">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3.包装和运输</w:t>
      </w:r>
    </w:p>
    <w:p w14:paraId="183DE027">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3.1乙方提供的货物均应按招标文件规定或者投标文件承诺的要求的包装材料、包装标准、包装方式进行包装，每一包装单元内应附详细的装箱单和质量合格证。</w:t>
      </w:r>
    </w:p>
    <w:p w14:paraId="428C7A60">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3.2货物的运输方式：</w:t>
      </w:r>
      <w:r>
        <w:rPr>
          <w:rFonts w:hint="eastAsia" w:ascii="宋体" w:hAnsi="宋体"/>
          <w:color w:val="auto"/>
          <w:szCs w:val="21"/>
          <w:highlight w:val="none"/>
          <w:u w:val="single"/>
        </w:rPr>
        <w:t>由乙方自定</w:t>
      </w:r>
      <w:r>
        <w:rPr>
          <w:rFonts w:hint="eastAsia" w:ascii="宋体" w:hAnsi="宋体"/>
          <w:color w:val="auto"/>
          <w:szCs w:val="21"/>
          <w:highlight w:val="none"/>
        </w:rPr>
        <w:t>。</w:t>
      </w:r>
    </w:p>
    <w:p w14:paraId="5A4B1EB3">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3.3乙方负责货物运输，货物运输合理损耗及计算方法：</w:t>
      </w:r>
      <w:r>
        <w:rPr>
          <w:rFonts w:hint="eastAsia" w:ascii="宋体" w:hAnsi="宋体"/>
          <w:color w:val="auto"/>
          <w:szCs w:val="21"/>
          <w:highlight w:val="none"/>
          <w:u w:val="single"/>
        </w:rPr>
        <w:t xml:space="preserve"> 本项目合同不接受损耗 </w:t>
      </w:r>
      <w:r>
        <w:rPr>
          <w:rFonts w:hint="eastAsia" w:ascii="宋体" w:hAnsi="宋体"/>
          <w:color w:val="auto"/>
          <w:szCs w:val="21"/>
          <w:highlight w:val="none"/>
        </w:rPr>
        <w:t>。</w:t>
      </w:r>
    </w:p>
    <w:p w14:paraId="5D06417F">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第三条　权利保证</w:t>
      </w:r>
    </w:p>
    <w:p w14:paraId="261A718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1.乙方应保证所提供货物在使用时不会侵犯任何第三方的专利权、商标权、工业设计权或者其他权利。</w:t>
      </w:r>
    </w:p>
    <w:p w14:paraId="58D29BC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2.乙方应按招标文件规定或者投标文件承诺的时间向甲方提供使用货物的有关技术资料。</w:t>
      </w:r>
    </w:p>
    <w:p w14:paraId="26A09865">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w:t>
      </w:r>
    </w:p>
    <w:p w14:paraId="3D28698C">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4.乙方保证将要交付的货物的所有权完全属于乙方且无任何抵押、质押、查封等产权瑕疵。</w:t>
      </w:r>
    </w:p>
    <w:p w14:paraId="1A050F7A">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第四条  交付和验收</w:t>
      </w:r>
    </w:p>
    <w:p w14:paraId="1F21A0A7">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1.交付时间：</w:t>
      </w:r>
      <w:r>
        <w:rPr>
          <w:rFonts w:hint="eastAsia" w:ascii="宋体" w:hAnsi="宋体"/>
          <w:color w:val="auto"/>
          <w:szCs w:val="21"/>
          <w:highlight w:val="none"/>
          <w:u w:val="single"/>
        </w:rPr>
        <w:t xml:space="preserve">        </w:t>
      </w:r>
      <w:r>
        <w:rPr>
          <w:rFonts w:hint="eastAsia" w:ascii="宋体" w:hAnsi="宋体"/>
          <w:color w:val="auto"/>
          <w:szCs w:val="21"/>
          <w:highlight w:val="none"/>
        </w:rPr>
        <w:t>；交付地点：</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FA7DE72">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2.乙方提供不符合招标文件规定或者投标文件承诺的和本合同规定的货物，甲方有权拒绝接受。</w:t>
      </w:r>
    </w:p>
    <w:p w14:paraId="1810C353">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3.乙方应将所提供货物的装箱清单、用户手册、原厂保修卡、随机资料、工具和备品、备件等交付给甲方，货物属于进口产品的，供货时应同时附上中文使用说明书，如有缺失应在合理的规定时间内补齐，否则视为逾期交货。</w:t>
      </w:r>
    </w:p>
    <w:p w14:paraId="729005CE">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4.甲方应当在到货（安装、调试完）后七个工作日内进行验收，逾期不验收的，乙方可视同验收合格。验收合格后由甲乙双方签署货物验收单并加盖采购人公章，甲乙双方各执一份。</w:t>
      </w:r>
    </w:p>
    <w:p w14:paraId="2AAE086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5.甲方委托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1C6168D2">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6.甲方对验收有异议的，在验收后五个工作日内以书面形式向乙方提出，乙方应自收到甲方书面异议后五个工作日内及时予以解决。</w:t>
      </w:r>
    </w:p>
    <w:p w14:paraId="7A2E124C">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第五条　安装和培训</w:t>
      </w:r>
    </w:p>
    <w:p w14:paraId="53DF9390">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1.甲方应提供必要安装条件（如场地、电源、水源等）。</w:t>
      </w:r>
    </w:p>
    <w:p w14:paraId="1E3E0B39">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2.乙方负责甲方有关人员的培训。培训时间、地点：</w:t>
      </w:r>
      <w:r>
        <w:rPr>
          <w:rFonts w:hint="eastAsia" w:ascii="宋体" w:hAnsi="宋体"/>
          <w:color w:val="auto"/>
          <w:szCs w:val="21"/>
          <w:highlight w:val="none"/>
          <w:u w:val="single"/>
        </w:rPr>
        <w:t xml:space="preserve"> 由甲方决定 </w:t>
      </w:r>
      <w:r>
        <w:rPr>
          <w:rFonts w:hint="eastAsia" w:ascii="宋体" w:hAnsi="宋体"/>
          <w:color w:val="auto"/>
          <w:szCs w:val="21"/>
          <w:highlight w:val="none"/>
        </w:rPr>
        <w:t>。</w:t>
      </w:r>
    </w:p>
    <w:p w14:paraId="78C94B2D">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第六条  售后服务、质保期</w:t>
      </w:r>
    </w:p>
    <w:p w14:paraId="5B343DE9">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1.乙方应按照国家有关法律法规和“三包”规定以及本合同所附的《服务承诺》，为甲方提供售后服务。</w:t>
      </w:r>
    </w:p>
    <w:p w14:paraId="66EA143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2.货物质保期：</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1CA6A478">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3.乙方提供的服务承诺和售后服务及保修期责任等其它具体约定事项。（见合同附件）</w:t>
      </w:r>
    </w:p>
    <w:p w14:paraId="4283CDD4">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4.乙方应按招标文件规定的产品名称、商标品牌、生产厂家、规格型号、技术参数、质量标准向甲方提供未经使用的全新产品。不符合要求的，根据实际情况，经双方协商，可按以下办法处理：</w:t>
      </w:r>
    </w:p>
    <w:p w14:paraId="54305658">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szCs w:val="21"/>
          <w:highlight w:val="none"/>
        </w:rPr>
        <w:t>（1）更换：</w:t>
      </w:r>
      <w:r>
        <w:rPr>
          <w:rFonts w:hint="eastAsia" w:ascii="宋体" w:hAnsi="宋体"/>
          <w:color w:val="auto"/>
          <w:kern w:val="0"/>
          <w:szCs w:val="21"/>
          <w:highlight w:val="none"/>
        </w:rPr>
        <w:t>视为逾期交货，乙方须按本合同第十一条规定承担违约责任并在10个工作日内更换完毕。所发生的全部费用由乙方承担。</w:t>
      </w:r>
    </w:p>
    <w:p w14:paraId="3F85FEC6">
      <w:pPr>
        <w:snapToGrid w:val="0"/>
        <w:spacing w:line="360" w:lineRule="auto"/>
        <w:ind w:firstLine="420"/>
        <w:rPr>
          <w:rFonts w:hint="eastAsia" w:ascii="宋体" w:hAnsi="宋体"/>
          <w:color w:val="auto"/>
          <w:kern w:val="0"/>
          <w:szCs w:val="21"/>
          <w:highlight w:val="none"/>
        </w:rPr>
      </w:pPr>
      <w:r>
        <w:rPr>
          <w:rFonts w:hint="eastAsia" w:ascii="宋体" w:hAnsi="宋体"/>
          <w:color w:val="auto"/>
          <w:kern w:val="0"/>
          <w:szCs w:val="21"/>
          <w:highlight w:val="none"/>
        </w:rPr>
        <w:t>（2）贬值处理：由甲乙双方合议定价。</w:t>
      </w:r>
    </w:p>
    <w:p w14:paraId="2A8465AF">
      <w:pPr>
        <w:snapToGrid w:val="0"/>
        <w:spacing w:line="360" w:lineRule="auto"/>
        <w:ind w:firstLine="420" w:firstLineChars="200"/>
        <w:rPr>
          <w:rFonts w:ascii="宋体" w:hAnsi="宋体"/>
          <w:color w:val="auto"/>
          <w:szCs w:val="21"/>
          <w:highlight w:val="none"/>
        </w:rPr>
      </w:pPr>
      <w:r>
        <w:rPr>
          <w:rFonts w:hint="eastAsia" w:ascii="宋体" w:hAnsi="宋体"/>
          <w:color w:val="auto"/>
          <w:kern w:val="0"/>
          <w:szCs w:val="21"/>
          <w:highlight w:val="none"/>
        </w:rPr>
        <w:t>（3）退货处理：乙方须按本合同第十一条规定承担违约责任。乙方应退还甲方支付的合同款，同时应承担该货物的直接费用（运输、保险、检验、货款利息及银行手续费等）</w:t>
      </w:r>
      <w:r>
        <w:rPr>
          <w:rFonts w:hint="eastAsia" w:ascii="宋体" w:hAnsi="宋体"/>
          <w:color w:val="auto"/>
          <w:szCs w:val="21"/>
          <w:highlight w:val="none"/>
        </w:rPr>
        <w:t>。</w:t>
      </w:r>
    </w:p>
    <w:p w14:paraId="6D148E53">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5.如在使用过程中发生质量问题，乙方在接到甲方通知后到达甲方现场处理的时间</w:t>
      </w:r>
      <w:r>
        <w:rPr>
          <w:rFonts w:hint="eastAsia" w:ascii="宋体" w:hAnsi="宋体"/>
          <w:color w:val="auto"/>
          <w:szCs w:val="21"/>
          <w:highlight w:val="none"/>
          <w:u w:val="single"/>
        </w:rPr>
        <w:t xml:space="preserve"> 乙方售后服务承诺 </w:t>
      </w:r>
      <w:r>
        <w:rPr>
          <w:rFonts w:hint="eastAsia" w:ascii="宋体" w:hAnsi="宋体"/>
          <w:color w:val="auto"/>
          <w:szCs w:val="21"/>
          <w:highlight w:val="none"/>
        </w:rPr>
        <w:t>小时内。</w:t>
      </w:r>
    </w:p>
    <w:p w14:paraId="004FB68D">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6.在质保期内，乙方应对货物出现的质量及安全问题负责处理解决并承担一切费用。</w:t>
      </w:r>
    </w:p>
    <w:p w14:paraId="4F519B60">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7.货物因人为因素出现的故障不在免费保修范围内。超过保修期的机器设备的维修按乙方投标文件承诺实行。</w:t>
      </w:r>
    </w:p>
    <w:p w14:paraId="260C3679">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第七条　付款方式及要求</w:t>
      </w:r>
    </w:p>
    <w:p w14:paraId="40A31FA8">
      <w:pPr>
        <w:snapToGrid w:val="0"/>
        <w:spacing w:line="360" w:lineRule="auto"/>
        <w:ind w:firstLine="420" w:firstLineChars="200"/>
        <w:rPr>
          <w:rFonts w:hint="eastAsia" w:ascii="宋体" w:hAnsi="宋体"/>
          <w:color w:val="auto"/>
          <w:kern w:val="0"/>
          <w:szCs w:val="21"/>
          <w:highlight w:val="none"/>
        </w:rPr>
      </w:pPr>
      <w:r>
        <w:rPr>
          <w:rFonts w:hint="eastAsia" w:ascii="宋体" w:hAnsi="宋体"/>
          <w:bCs/>
          <w:color w:val="auto"/>
          <w:kern w:val="0"/>
          <w:szCs w:val="21"/>
          <w:highlight w:val="none"/>
        </w:rPr>
        <w:t>1.</w:t>
      </w:r>
      <w:r>
        <w:rPr>
          <w:rFonts w:hint="eastAsia" w:ascii="宋体" w:hAnsi="宋体"/>
          <w:color w:val="auto"/>
          <w:kern w:val="0"/>
          <w:szCs w:val="21"/>
          <w:highlight w:val="none"/>
        </w:rPr>
        <w:t>当采购数量与实际使用数量不一致时，乙方应根据实际使用量供货，合同的最终结算金额按实际使用量乘以中标单价进行计算。</w:t>
      </w:r>
    </w:p>
    <w:p w14:paraId="323C0E6A">
      <w:pPr>
        <w:snapToGrid w:val="0"/>
        <w:spacing w:line="360" w:lineRule="auto"/>
        <w:ind w:left="-61" w:leftChars="-29" w:firstLine="514" w:firstLineChars="245"/>
        <w:rPr>
          <w:rFonts w:ascii="宋体" w:hAnsi="宋体"/>
          <w:color w:val="auto"/>
          <w:szCs w:val="21"/>
          <w:highlight w:val="none"/>
        </w:rPr>
      </w:pPr>
      <w:r>
        <w:rPr>
          <w:rFonts w:hint="eastAsia" w:ascii="宋体" w:hAnsi="宋体"/>
          <w:color w:val="auto"/>
          <w:szCs w:val="21"/>
          <w:highlight w:val="none"/>
        </w:rPr>
        <w:t>2.付款方式：</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05B98D2C">
      <w:pPr>
        <w:snapToGrid w:val="0"/>
        <w:spacing w:line="360" w:lineRule="auto"/>
        <w:ind w:left="-61" w:leftChars="-29" w:firstLine="517" w:firstLineChars="245"/>
        <w:rPr>
          <w:rFonts w:ascii="宋体" w:hAnsi="宋体"/>
          <w:b/>
          <w:color w:val="auto"/>
          <w:szCs w:val="21"/>
          <w:highlight w:val="none"/>
        </w:rPr>
      </w:pPr>
      <w:r>
        <w:rPr>
          <w:rFonts w:hint="eastAsia" w:ascii="宋体" w:hAnsi="宋体"/>
          <w:b/>
          <w:color w:val="auto"/>
          <w:szCs w:val="21"/>
          <w:highlight w:val="none"/>
        </w:rPr>
        <w:t>第八条　履约保证金</w:t>
      </w:r>
    </w:p>
    <w:p w14:paraId="7F9CB133">
      <w:pPr>
        <w:snapToGrid w:val="0"/>
        <w:spacing w:line="360" w:lineRule="auto"/>
        <w:ind w:left="-61" w:leftChars="-29" w:firstLine="514" w:firstLineChars="245"/>
        <w:rPr>
          <w:rFonts w:ascii="宋体" w:hAnsi="宋体"/>
          <w:color w:val="auto"/>
          <w:szCs w:val="21"/>
          <w:highlight w:val="none"/>
        </w:rPr>
      </w:pPr>
      <w:r>
        <w:rPr>
          <w:rFonts w:hint="eastAsia" w:ascii="宋体" w:hAnsi="宋体"/>
          <w:color w:val="auto"/>
          <w:szCs w:val="21"/>
          <w:highlight w:val="none"/>
          <w:u w:val="single"/>
        </w:rPr>
        <w:t>本项目不收取履约保证金</w:t>
      </w:r>
      <w:r>
        <w:rPr>
          <w:rFonts w:hint="eastAsia" w:ascii="宋体" w:hAnsi="宋体"/>
          <w:color w:val="auto"/>
          <w:szCs w:val="21"/>
          <w:highlight w:val="none"/>
        </w:rPr>
        <w:t>。</w:t>
      </w:r>
    </w:p>
    <w:p w14:paraId="45B3582C">
      <w:pPr>
        <w:snapToGrid w:val="0"/>
        <w:spacing w:line="360" w:lineRule="auto"/>
        <w:ind w:left="-61" w:firstLine="514"/>
        <w:rPr>
          <w:rFonts w:ascii="宋体" w:hAnsi="宋体"/>
          <w:b/>
          <w:color w:val="auto"/>
          <w:szCs w:val="21"/>
          <w:highlight w:val="none"/>
        </w:rPr>
      </w:pPr>
      <w:r>
        <w:rPr>
          <w:rFonts w:hint="eastAsia" w:ascii="宋体" w:hAnsi="宋体"/>
          <w:b/>
          <w:color w:val="auto"/>
          <w:szCs w:val="21"/>
          <w:highlight w:val="none"/>
        </w:rPr>
        <w:t>第九条  税费</w:t>
      </w:r>
    </w:p>
    <w:p w14:paraId="46C1CBC4">
      <w:pPr>
        <w:snapToGrid w:val="0"/>
        <w:spacing w:line="360" w:lineRule="auto"/>
        <w:ind w:left="-61" w:firstLine="514"/>
        <w:rPr>
          <w:rFonts w:hint="eastAsia" w:ascii="宋体" w:hAnsi="宋体"/>
          <w:color w:val="auto"/>
          <w:szCs w:val="21"/>
          <w:highlight w:val="none"/>
        </w:rPr>
      </w:pPr>
      <w:r>
        <w:rPr>
          <w:rFonts w:hint="eastAsia" w:ascii="宋体" w:hAnsi="宋体"/>
          <w:color w:val="auto"/>
          <w:szCs w:val="21"/>
          <w:highlight w:val="none"/>
        </w:rPr>
        <w:t>本合同执行中相关的一切税费均由乙方负担。</w:t>
      </w:r>
    </w:p>
    <w:p w14:paraId="269C104E">
      <w:pPr>
        <w:snapToGrid w:val="0"/>
        <w:spacing w:line="360" w:lineRule="auto"/>
        <w:ind w:left="-61" w:firstLine="514"/>
        <w:rPr>
          <w:rFonts w:hint="eastAsia" w:ascii="宋体" w:hAnsi="宋体"/>
          <w:color w:val="auto"/>
          <w:szCs w:val="21"/>
          <w:highlight w:val="none"/>
        </w:rPr>
      </w:pPr>
      <w:r>
        <w:rPr>
          <w:rFonts w:hint="eastAsia" w:ascii="宋体" w:hAnsi="宋体"/>
          <w:b/>
          <w:color w:val="auto"/>
          <w:szCs w:val="21"/>
          <w:highlight w:val="none"/>
        </w:rPr>
        <w:t>第十条  调试和验收（本条款适用于甲方自行验收，委托第三方验收的另行规定）</w:t>
      </w:r>
    </w:p>
    <w:p w14:paraId="23896234">
      <w:pPr>
        <w:pStyle w:val="2"/>
        <w:snapToGrid w:val="0"/>
        <w:spacing w:line="360" w:lineRule="auto"/>
        <w:ind w:firstLine="420" w:firstLineChars="200"/>
        <w:jc w:val="left"/>
        <w:rPr>
          <w:rFonts w:hint="eastAsia" w:hAnsi="宋体"/>
          <w:color w:val="auto"/>
          <w:sz w:val="21"/>
          <w:highlight w:val="none"/>
        </w:rPr>
      </w:pPr>
      <w:r>
        <w:rPr>
          <w:rFonts w:hint="eastAsia" w:hAnsi="宋体"/>
          <w:color w:val="auto"/>
          <w:sz w:val="21"/>
          <w:highlight w:val="none"/>
        </w:rPr>
        <w:t>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14:paraId="19A6C934">
      <w:pPr>
        <w:pStyle w:val="2"/>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2.乙方交货前应对产品作出全面检查和对验收文件进行整理，并列出清单，作为甲方收货验收和使用的技术条件依据，检验的结果应随货物交甲方。</w:t>
      </w:r>
    </w:p>
    <w:p w14:paraId="0885F1DD">
      <w:pPr>
        <w:pStyle w:val="2"/>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3.甲方对乙方提供的货物在使用前进行调试时，乙方需负责安装并培训甲方的使用操作人员，并协助甲方一起调试，直到符合技术要求，甲方才做最终验收。</w:t>
      </w:r>
    </w:p>
    <w:p w14:paraId="3981BF06">
      <w:pPr>
        <w:pStyle w:val="2"/>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4.对技术复杂的货物，甲方应请国家认可的专业检测机构参与初步验收及最终验收，并由其出具质量检测报告。</w:t>
      </w:r>
    </w:p>
    <w:p w14:paraId="6BA5EB5E">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5. 验收时乙方必须在现场，验收完毕后作出验收结果报告；验收费用按招标文件约定承担方负责。</w:t>
      </w:r>
    </w:p>
    <w:p w14:paraId="1532DEBE">
      <w:pPr>
        <w:snapToGrid w:val="0"/>
        <w:spacing w:line="360" w:lineRule="auto"/>
        <w:ind w:firstLine="422" w:firstLineChars="200"/>
        <w:rPr>
          <w:rFonts w:hint="eastAsia" w:ascii="宋体" w:hAnsi="宋体"/>
          <w:b/>
          <w:color w:val="auto"/>
          <w:szCs w:val="21"/>
          <w:highlight w:val="none"/>
        </w:rPr>
      </w:pPr>
      <w:r>
        <w:rPr>
          <w:rFonts w:hint="eastAsia" w:ascii="宋体" w:hAnsi="宋体"/>
          <w:b/>
          <w:color w:val="auto"/>
          <w:szCs w:val="21"/>
          <w:highlight w:val="none"/>
        </w:rPr>
        <w:t>第十一条　违约责任</w:t>
      </w:r>
    </w:p>
    <w:p w14:paraId="71DD904D">
      <w:pPr>
        <w:snapToGrid w:val="0"/>
        <w:spacing w:line="360" w:lineRule="auto"/>
        <w:ind w:firstLine="422" w:firstLineChars="200"/>
        <w:rPr>
          <w:rFonts w:ascii="宋体" w:hAnsi="宋体"/>
          <w:b/>
          <w:color w:val="auto"/>
          <w:szCs w:val="21"/>
          <w:highlight w:val="none"/>
        </w:rPr>
      </w:pPr>
      <w:r>
        <w:rPr>
          <w:rFonts w:hint="eastAsia" w:ascii="宋体" w:hAnsi="宋体"/>
          <w:b/>
          <w:color w:val="auto"/>
          <w:szCs w:val="21"/>
          <w:highlight w:val="none"/>
        </w:rPr>
        <w:t>除另有约定的按约定执行外，存在下列违约行为的须承担违约责任：</w:t>
      </w:r>
    </w:p>
    <w:p w14:paraId="099D8597">
      <w:pPr>
        <w:pStyle w:val="2"/>
        <w:snapToGrid w:val="0"/>
        <w:spacing w:line="360" w:lineRule="auto"/>
        <w:ind w:firstLine="400" w:firstLineChars="200"/>
        <w:rPr>
          <w:rFonts w:hint="eastAsia" w:hAnsi="宋体"/>
          <w:color w:val="auto"/>
          <w:sz w:val="21"/>
          <w:highlight w:val="none"/>
        </w:rPr>
      </w:pPr>
      <w:r>
        <w:rPr>
          <w:rFonts w:hint="eastAsia" w:hAnsi="宋体"/>
          <w:color w:val="auto"/>
          <w:highlight w:val="none"/>
        </w:rPr>
        <w:t>1.</w:t>
      </w:r>
      <w:r>
        <w:rPr>
          <w:rFonts w:hint="eastAsia" w:hAnsi="宋体"/>
          <w:color w:val="auto"/>
          <w:sz w:val="21"/>
          <w:highlight w:val="none"/>
        </w:rPr>
        <w:t xml:space="preserve">乙方所提供的产品名称、商标品牌、生产厂家、规格型号、技术参数等质量不合格的，应及时更换，更换不及时的按逾期交货处罚；因质量问题甲方不同意接收的或者特殊情况甲方同意接收的，乙方应向甲方支付违约货款额 5%违约金并赔偿甲方经济损失。                                       </w:t>
      </w:r>
    </w:p>
    <w:p w14:paraId="70AC4671">
      <w:pPr>
        <w:pStyle w:val="2"/>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2.乙方提供的货物如侵犯了第三方合法权益而引发的任何纠纷或者诉讼，均由乙方负责交涉并承担全部责任。</w:t>
      </w:r>
    </w:p>
    <w:p w14:paraId="5FCD8D7B">
      <w:pPr>
        <w:pStyle w:val="2"/>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3.因包装、运输引起的货物损坏，按质量不合格处罚。</w:t>
      </w:r>
    </w:p>
    <w:p w14:paraId="03A1B036">
      <w:pPr>
        <w:pStyle w:val="2"/>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4.甲方无故延期接收货物、乙方逾期交货的，每天向对方偿付违约货款额3‰违约金，但违约金累计不得超过违约货款额5%，超过</w:t>
      </w:r>
      <w:r>
        <w:rPr>
          <w:rFonts w:hint="eastAsia" w:hAnsi="宋体"/>
          <w:color w:val="auto"/>
          <w:sz w:val="21"/>
          <w:highlight w:val="none"/>
          <w:u w:val="single"/>
          <w:lang w:val="en-US" w:eastAsia="zh-CN"/>
        </w:rPr>
        <w:t>30</w:t>
      </w:r>
      <w:r>
        <w:rPr>
          <w:rFonts w:hint="eastAsia" w:hAnsi="宋体"/>
          <w:color w:val="auto"/>
          <w:sz w:val="21"/>
          <w:highlight w:val="none"/>
        </w:rPr>
        <w:t>天对方有权解除合同，违约方承担因此给对方造成经济损失；甲方延期付货款的，每天向乙方偿付延期货款额3‰滞纳金，但滞纳金累计不得超过延期货款额5%。甲方无故延期退付履约保证金的，每天向对方偿付未退付履约保证金3‰的违约金。</w:t>
      </w:r>
    </w:p>
    <w:p w14:paraId="05D294DC">
      <w:pPr>
        <w:pStyle w:val="2"/>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5. 乙方未按本合同和投标文件中规定的服务承诺提供售后服务的，乙方应按本合同合计金额 5%向甲方支付违约金。</w:t>
      </w:r>
    </w:p>
    <w:p w14:paraId="48D7BCE2">
      <w:pPr>
        <w:pStyle w:val="2"/>
        <w:snapToGrid w:val="0"/>
        <w:spacing w:line="360" w:lineRule="auto"/>
        <w:ind w:firstLine="420" w:firstLineChars="200"/>
        <w:rPr>
          <w:rFonts w:hint="eastAsia" w:hAnsi="宋体"/>
          <w:color w:val="auto"/>
          <w:sz w:val="21"/>
          <w:highlight w:val="none"/>
        </w:rPr>
      </w:pPr>
      <w:r>
        <w:rPr>
          <w:rFonts w:hint="eastAsia" w:hAnsi="宋体"/>
          <w:color w:val="auto"/>
          <w:sz w:val="21"/>
          <w:highlight w:val="none"/>
        </w:rPr>
        <w:t>6. 乙方提供的货物在质量保证期内，因设计、工艺或者材料的缺陷和其它质量原因造成的问题，由乙方负责，费用从余款或者履约保证金中扣除，不足另补。</w:t>
      </w:r>
    </w:p>
    <w:p w14:paraId="3CB9EDF2">
      <w:pPr>
        <w:snapToGrid w:val="0"/>
        <w:spacing w:line="360" w:lineRule="auto"/>
        <w:ind w:firstLine="420" w:firstLineChars="200"/>
        <w:rPr>
          <w:rFonts w:ascii="宋体" w:hAnsi="宋体"/>
          <w:color w:val="auto"/>
          <w:szCs w:val="21"/>
          <w:highlight w:val="none"/>
        </w:rPr>
      </w:pPr>
      <w:r>
        <w:rPr>
          <w:rFonts w:hint="eastAsia" w:hAnsi="宋体"/>
          <w:color w:val="auto"/>
          <w:highlight w:val="none"/>
        </w:rPr>
        <w:t>7. 甲乙双方有其它违约行为的，由违约方向对方支付违约内容涉及货款额的5%，违约内容涉及货款额的5%不足以赔偿经济损失的按实际赔偿</w:t>
      </w:r>
      <w:r>
        <w:rPr>
          <w:rFonts w:hint="eastAsia" w:ascii="宋体" w:hAnsi="宋体"/>
          <w:color w:val="auto"/>
          <w:szCs w:val="21"/>
          <w:highlight w:val="none"/>
        </w:rPr>
        <w:t>。</w:t>
      </w:r>
    </w:p>
    <w:p w14:paraId="3371E177">
      <w:pPr>
        <w:snapToGrid w:val="0"/>
        <w:spacing w:line="360" w:lineRule="auto"/>
        <w:ind w:firstLine="413" w:firstLineChars="196"/>
        <w:rPr>
          <w:rFonts w:ascii="宋体" w:hAnsi="宋体"/>
          <w:b/>
          <w:color w:val="auto"/>
          <w:kern w:val="0"/>
          <w:szCs w:val="21"/>
          <w:highlight w:val="none"/>
        </w:rPr>
      </w:pPr>
      <w:r>
        <w:rPr>
          <w:rFonts w:hint="eastAsia" w:ascii="宋体" w:hAnsi="宋体"/>
          <w:b/>
          <w:color w:val="auto"/>
          <w:kern w:val="0"/>
          <w:szCs w:val="21"/>
          <w:highlight w:val="none"/>
        </w:rPr>
        <w:t>第十二条  不可抗力事件处理</w:t>
      </w:r>
    </w:p>
    <w:p w14:paraId="4685BB1C">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1.在合同有效期内，任何一方因不可抗力事件导致不能履行合同，则合同履行期可延长，其延长期与不可抗力影响期相同。</w:t>
      </w:r>
    </w:p>
    <w:p w14:paraId="510D8620">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2.不可抗力事件发生后，应立即通知对方，并寄送有关权威机构出具的证明。</w:t>
      </w:r>
    </w:p>
    <w:p w14:paraId="78D81976">
      <w:pPr>
        <w:snapToGrid w:val="0"/>
        <w:spacing w:line="360" w:lineRule="auto"/>
        <w:ind w:firstLine="420" w:firstLineChars="200"/>
        <w:rPr>
          <w:rFonts w:ascii="宋体" w:hAnsi="宋体"/>
          <w:color w:val="auto"/>
          <w:szCs w:val="21"/>
          <w:highlight w:val="none"/>
        </w:rPr>
      </w:pPr>
      <w:r>
        <w:rPr>
          <w:rFonts w:hint="eastAsia" w:ascii="宋体" w:hAnsi="宋体"/>
          <w:color w:val="auto"/>
          <w:kern w:val="0"/>
          <w:szCs w:val="21"/>
          <w:highlight w:val="none"/>
        </w:rPr>
        <w:t>3.不可抗力事件延续一百二十天以上，双方应通过友好协商，确定是否继续履行合同</w:t>
      </w:r>
      <w:r>
        <w:rPr>
          <w:rFonts w:hint="eastAsia" w:ascii="宋体" w:hAnsi="宋体"/>
          <w:color w:val="auto"/>
          <w:szCs w:val="21"/>
          <w:highlight w:val="none"/>
        </w:rPr>
        <w:t>。</w:t>
      </w:r>
    </w:p>
    <w:p w14:paraId="4BAE11B9">
      <w:pPr>
        <w:snapToGrid w:val="0"/>
        <w:spacing w:line="360" w:lineRule="auto"/>
        <w:ind w:firstLine="422" w:firstLineChars="200"/>
        <w:rPr>
          <w:rFonts w:ascii="宋体" w:hAnsi="宋体"/>
          <w:color w:val="auto"/>
          <w:szCs w:val="21"/>
          <w:highlight w:val="none"/>
        </w:rPr>
      </w:pPr>
      <w:r>
        <w:rPr>
          <w:rFonts w:hint="eastAsia" w:ascii="宋体" w:hAnsi="宋体"/>
          <w:b/>
          <w:color w:val="auto"/>
          <w:szCs w:val="21"/>
          <w:highlight w:val="none"/>
        </w:rPr>
        <w:t>第十三条  合同争议解决</w:t>
      </w:r>
    </w:p>
    <w:p w14:paraId="5372D254">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1.因货物质量问题发生争议的，应邀请国家认可的质量检测机构按照国家标准对货物质量进行鉴定。鉴定费由乙方承担。</w:t>
      </w:r>
    </w:p>
    <w:p w14:paraId="22EAAF7F">
      <w:pPr>
        <w:snapToGrid w:val="0"/>
        <w:spacing w:line="360" w:lineRule="auto"/>
        <w:ind w:firstLine="420" w:firstLineChars="200"/>
        <w:rPr>
          <w:rFonts w:ascii="宋体" w:hAnsi="宋体"/>
          <w:color w:val="auto"/>
          <w:szCs w:val="21"/>
          <w:highlight w:val="none"/>
        </w:rPr>
      </w:pPr>
      <w:r>
        <w:rPr>
          <w:rFonts w:hint="eastAsia" w:ascii="宋体" w:hAnsi="宋体"/>
          <w:color w:val="auto"/>
          <w:szCs w:val="21"/>
          <w:highlight w:val="none"/>
        </w:rPr>
        <w:t>2.因履行本合同引起的或与本合同有关的争议，甲乙双方应首先通过友好协商解决，如果协商不能解决，可向甲方所在地有管辖权的人民法院提起诉讼。</w:t>
      </w:r>
    </w:p>
    <w:p w14:paraId="47A0CECB">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3.诉讼期间，本合同继续履行。</w:t>
      </w:r>
    </w:p>
    <w:p w14:paraId="12B1D801">
      <w:pPr>
        <w:snapToGrid w:val="0"/>
        <w:spacing w:line="360" w:lineRule="auto"/>
        <w:ind w:firstLine="422" w:firstLineChars="200"/>
        <w:rPr>
          <w:rFonts w:ascii="宋体" w:hAnsi="宋体"/>
          <w:b/>
          <w:color w:val="auto"/>
          <w:szCs w:val="21"/>
          <w:highlight w:val="none"/>
        </w:rPr>
      </w:pPr>
      <w:r>
        <w:rPr>
          <w:rFonts w:hint="eastAsia" w:ascii="宋体" w:hAnsi="宋体"/>
          <w:b/>
          <w:color w:val="auto"/>
          <w:kern w:val="0"/>
          <w:szCs w:val="21"/>
          <w:highlight w:val="none"/>
        </w:rPr>
        <w:t xml:space="preserve">第十四条  </w:t>
      </w:r>
      <w:r>
        <w:rPr>
          <w:rFonts w:hint="eastAsia" w:ascii="宋体" w:hAnsi="宋体"/>
          <w:b/>
          <w:color w:val="auto"/>
          <w:szCs w:val="21"/>
          <w:highlight w:val="none"/>
        </w:rPr>
        <w:t>合同的变更、终止与转让</w:t>
      </w:r>
    </w:p>
    <w:p w14:paraId="68AACD0A">
      <w:pPr>
        <w:snapToGrid w:val="0"/>
        <w:spacing w:line="360" w:lineRule="auto"/>
        <w:ind w:left="-61" w:firstLine="514"/>
        <w:rPr>
          <w:rFonts w:hint="eastAsia" w:ascii="宋体" w:hAnsi="宋体"/>
          <w:color w:val="auto"/>
          <w:szCs w:val="21"/>
          <w:highlight w:val="none"/>
        </w:rPr>
      </w:pPr>
      <w:r>
        <w:rPr>
          <w:rFonts w:hint="eastAsia" w:ascii="宋体" w:hAnsi="宋体"/>
          <w:color w:val="auto"/>
          <w:szCs w:val="21"/>
          <w:highlight w:val="none"/>
        </w:rPr>
        <w:t>1. 除《中华人民共和国政府采购法》第五十条规定的情形外，本合同一经签订，甲乙双方不得擅自变更、中止或者终止。</w:t>
      </w:r>
    </w:p>
    <w:p w14:paraId="696B64EB">
      <w:pPr>
        <w:snapToGrid w:val="0"/>
        <w:spacing w:line="360" w:lineRule="auto"/>
        <w:ind w:left="-61" w:firstLine="514"/>
        <w:rPr>
          <w:rFonts w:ascii="宋体" w:hAnsi="宋体"/>
          <w:color w:val="auto"/>
          <w:szCs w:val="21"/>
          <w:highlight w:val="none"/>
        </w:rPr>
      </w:pPr>
      <w:r>
        <w:rPr>
          <w:rFonts w:hint="eastAsia" w:ascii="宋体" w:hAnsi="宋体"/>
          <w:color w:val="auto"/>
          <w:szCs w:val="21"/>
          <w:highlight w:val="none"/>
        </w:rPr>
        <w:t>2. 乙方不得擅自转让其应履行的合同义务。</w:t>
      </w:r>
    </w:p>
    <w:p w14:paraId="558490FB">
      <w:pPr>
        <w:snapToGrid w:val="0"/>
        <w:spacing w:line="360" w:lineRule="auto"/>
        <w:ind w:firstLine="422" w:firstLineChars="200"/>
        <w:rPr>
          <w:rFonts w:ascii="宋体" w:hAnsi="宋体"/>
          <w:b/>
          <w:bCs/>
          <w:color w:val="auto"/>
          <w:kern w:val="0"/>
          <w:szCs w:val="21"/>
          <w:highlight w:val="none"/>
        </w:rPr>
      </w:pPr>
      <w:r>
        <w:rPr>
          <w:rFonts w:hint="eastAsia" w:ascii="宋体" w:hAnsi="宋体"/>
          <w:b/>
          <w:color w:val="auto"/>
          <w:szCs w:val="21"/>
          <w:highlight w:val="none"/>
        </w:rPr>
        <w:t>第十五条　</w:t>
      </w:r>
      <w:r>
        <w:rPr>
          <w:rFonts w:hint="eastAsia" w:ascii="宋体" w:hAnsi="宋体"/>
          <w:b/>
          <w:bCs/>
          <w:color w:val="auto"/>
          <w:kern w:val="0"/>
          <w:szCs w:val="21"/>
          <w:highlight w:val="none"/>
        </w:rPr>
        <w:t>合同组成及解释</w:t>
      </w:r>
    </w:p>
    <w:p w14:paraId="5FF48A90">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本合同书与下列文件一起构成合同文件</w:t>
      </w:r>
    </w:p>
    <w:p w14:paraId="169D8464">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1.中标通知书；</w:t>
      </w:r>
    </w:p>
    <w:p w14:paraId="3CC091B5">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2.投标函；</w:t>
      </w:r>
    </w:p>
    <w:p w14:paraId="716FC22C">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3.商务条款偏离表和技术偏离表；</w:t>
      </w:r>
    </w:p>
    <w:p w14:paraId="073F6302">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4.采购需求；</w:t>
      </w:r>
    </w:p>
    <w:p w14:paraId="3C2A72CD">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5.开标一览表；</w:t>
      </w:r>
    </w:p>
    <w:p w14:paraId="7A4A6E05">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6.设备性能配置清单；</w:t>
      </w:r>
    </w:p>
    <w:p w14:paraId="31C04F25">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7.售后服务承诺；</w:t>
      </w:r>
    </w:p>
    <w:p w14:paraId="7DA8A9A3">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8.其他合同文件。</w:t>
      </w:r>
    </w:p>
    <w:p w14:paraId="1622BDBA">
      <w:pPr>
        <w:snapToGrid w:val="0"/>
        <w:spacing w:line="360" w:lineRule="auto"/>
        <w:ind w:firstLine="420" w:firstLineChars="200"/>
        <w:rPr>
          <w:rFonts w:ascii="宋体" w:hAnsi="宋体"/>
          <w:b/>
          <w:color w:val="auto"/>
          <w:kern w:val="0"/>
          <w:szCs w:val="21"/>
          <w:highlight w:val="none"/>
        </w:rPr>
      </w:pPr>
      <w:r>
        <w:rPr>
          <w:rFonts w:hint="eastAsia" w:ascii="宋体" w:hAnsi="宋体"/>
          <w:color w:val="auto"/>
          <w:kern w:val="0"/>
          <w:szCs w:val="21"/>
          <w:highlight w:val="none"/>
        </w:rPr>
        <w:t>上述合同文件互相补充和解释。如果合同文件之间存在矛盾或者不一致之处，以上述文件的排列顺序在先者为准。</w:t>
      </w:r>
    </w:p>
    <w:p w14:paraId="3CDBBEC1">
      <w:pPr>
        <w:snapToGrid w:val="0"/>
        <w:spacing w:line="360" w:lineRule="auto"/>
        <w:ind w:firstLine="422" w:firstLineChars="200"/>
        <w:rPr>
          <w:rFonts w:ascii="宋体" w:hAnsi="宋体"/>
          <w:bCs/>
          <w:color w:val="auto"/>
          <w:szCs w:val="21"/>
          <w:highlight w:val="none"/>
        </w:rPr>
      </w:pPr>
      <w:r>
        <w:rPr>
          <w:rFonts w:hint="eastAsia" w:ascii="宋体" w:hAnsi="宋体"/>
          <w:b/>
          <w:color w:val="auto"/>
          <w:szCs w:val="21"/>
          <w:highlight w:val="none"/>
        </w:rPr>
        <w:t>第十六条　通知与送达</w:t>
      </w:r>
    </w:p>
    <w:p w14:paraId="1C5DF5E6">
      <w:pPr>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1.本合同项下对合同一方对另外一方的任何通知或请求，应当发送至接收方在合同中约定的地址、联系人和通信终端。一方当事人变更名称、地址、联系人或通信终端等信息的，应当在变更后3日内及时书面通知对方当事人，对方当事人实际收到变更通知前的送达仍为有效送达，电子送达与书面送达具有同等法律效力。</w:t>
      </w:r>
    </w:p>
    <w:p w14:paraId="10934566">
      <w:pPr>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2.任何一方当事人向对/他方所发出的通知或请求送达时间：书面文件送达，则在收件人签收之日视为收到。</w:t>
      </w:r>
    </w:p>
    <w:p w14:paraId="766FDA56">
      <w:pPr>
        <w:snapToGrid w:val="0"/>
        <w:spacing w:line="360" w:lineRule="auto"/>
        <w:ind w:firstLine="420" w:firstLineChars="200"/>
        <w:rPr>
          <w:rFonts w:ascii="宋体" w:hAnsi="宋体"/>
          <w:bCs/>
          <w:color w:val="auto"/>
          <w:szCs w:val="21"/>
          <w:highlight w:val="none"/>
        </w:rPr>
      </w:pPr>
      <w:r>
        <w:rPr>
          <w:rFonts w:hint="eastAsia" w:ascii="宋体" w:hAnsi="宋体"/>
          <w:bCs/>
          <w:color w:val="auto"/>
          <w:szCs w:val="21"/>
          <w:highlight w:val="none"/>
        </w:rPr>
        <w:t>3.本合同约定的地址、联系人及电子通信终端等信息亦为双方工作联系往来、法律文书及争议解决时人民法院和/或仲裁机构的法律文书送达地址。人民法院和/或仲裁机构的诉讼文书（含裁判文书）向任何合同任何一方当事人的上述地址和/或工商登记公示地址（居民身份证登记地址）送达的，视为有效送达。当事人对电子通信终端的联系送达适用于争议解决时的送达。</w:t>
      </w:r>
    </w:p>
    <w:p w14:paraId="43422DA8">
      <w:pPr>
        <w:snapToGrid w:val="0"/>
        <w:spacing w:line="360" w:lineRule="auto"/>
        <w:ind w:firstLine="420" w:firstLineChars="200"/>
        <w:rPr>
          <w:rFonts w:ascii="宋体" w:hAnsi="宋体"/>
          <w:b/>
          <w:color w:val="auto"/>
          <w:szCs w:val="21"/>
          <w:highlight w:val="none"/>
        </w:rPr>
      </w:pPr>
      <w:r>
        <w:rPr>
          <w:rFonts w:hint="eastAsia" w:ascii="宋体" w:hAnsi="宋体"/>
          <w:bCs/>
          <w:color w:val="auto"/>
          <w:szCs w:val="21"/>
          <w:highlight w:val="none"/>
        </w:rPr>
        <w:t>4.合同送达条款与争议解决条款均为独立条款，不受合同整体或其他条款的效力的影响。因载明的地址有误或变更地址5日内未及时告知对方的，导致相关通知文书及诉讼文书未能实际被接收的、邮寄送达的，以文件退回之日为送达之日；直接送达的，以送达人当场在送达回证上记明情况之日为送达之日。</w:t>
      </w:r>
    </w:p>
    <w:p w14:paraId="56ED6DBB">
      <w:pPr>
        <w:snapToGrid w:val="0"/>
        <w:spacing w:line="360" w:lineRule="auto"/>
        <w:ind w:firstLine="413" w:firstLineChars="196"/>
        <w:rPr>
          <w:rFonts w:ascii="宋体" w:hAnsi="宋体"/>
          <w:b/>
          <w:color w:val="auto"/>
          <w:kern w:val="0"/>
          <w:szCs w:val="21"/>
          <w:highlight w:val="none"/>
        </w:rPr>
      </w:pPr>
      <w:r>
        <w:rPr>
          <w:rFonts w:hint="eastAsia" w:ascii="宋体" w:hAnsi="宋体"/>
          <w:b/>
          <w:color w:val="auto"/>
          <w:szCs w:val="21"/>
          <w:highlight w:val="none"/>
        </w:rPr>
        <w:t xml:space="preserve">第十七条 </w:t>
      </w:r>
      <w:r>
        <w:rPr>
          <w:rFonts w:hint="eastAsia" w:ascii="宋体" w:hAnsi="宋体"/>
          <w:b/>
          <w:color w:val="auto"/>
          <w:kern w:val="0"/>
          <w:szCs w:val="21"/>
          <w:highlight w:val="none"/>
        </w:rPr>
        <w:t>合同生效及其他</w:t>
      </w:r>
    </w:p>
    <w:p w14:paraId="7363D4E9">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1.合同经双方法定代表人或被授权代表签字并加盖单位公章后生效。</w:t>
      </w:r>
    </w:p>
    <w:p w14:paraId="60408A8F">
      <w:pPr>
        <w:snapToGrid w:val="0"/>
        <w:spacing w:line="360" w:lineRule="auto"/>
        <w:ind w:firstLine="420" w:firstLineChars="200"/>
        <w:rPr>
          <w:rFonts w:ascii="宋体" w:hAnsi="宋体"/>
          <w:color w:val="auto"/>
          <w:kern w:val="0"/>
          <w:szCs w:val="21"/>
          <w:highlight w:val="none"/>
        </w:rPr>
      </w:pPr>
      <w:r>
        <w:rPr>
          <w:rFonts w:hint="eastAsia" w:ascii="宋体" w:hAnsi="宋体"/>
          <w:color w:val="auto"/>
          <w:kern w:val="0"/>
          <w:szCs w:val="21"/>
          <w:highlight w:val="none"/>
        </w:rPr>
        <w:t>2.合同执行中涉及采购资金和采购内容修改或补充的，在法律允许的范围内，须签书面补充协议。</w:t>
      </w:r>
    </w:p>
    <w:p w14:paraId="777EB326">
      <w:pPr>
        <w:snapToGrid w:val="0"/>
        <w:spacing w:line="360" w:lineRule="auto"/>
        <w:ind w:firstLine="420" w:firstLineChars="200"/>
        <w:rPr>
          <w:rFonts w:hint="eastAsia" w:ascii="宋体" w:hAnsi="宋体"/>
          <w:color w:val="auto"/>
          <w:kern w:val="0"/>
          <w:szCs w:val="21"/>
          <w:highlight w:val="none"/>
        </w:rPr>
      </w:pPr>
      <w:r>
        <w:rPr>
          <w:rFonts w:hint="eastAsia" w:ascii="宋体" w:hAnsi="宋体"/>
          <w:color w:val="auto"/>
          <w:kern w:val="0"/>
          <w:szCs w:val="21"/>
          <w:highlight w:val="none"/>
        </w:rPr>
        <w:t>3.本合同未尽事宜，且双方未能事后协商达到一致的，以法律法规、交易惯例等进行推定和补足。</w:t>
      </w:r>
    </w:p>
    <w:p w14:paraId="38A2F296">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4.本合同一式六份，具有同等法律效力，甲乙双方各三份（可根据需要另增加）。</w:t>
      </w:r>
    </w:p>
    <w:p w14:paraId="272BB60A">
      <w:pPr>
        <w:snapToGrid w:val="0"/>
        <w:spacing w:line="360" w:lineRule="auto"/>
        <w:ind w:firstLine="420" w:firstLineChars="200"/>
        <w:rPr>
          <w:rFonts w:hint="eastAsia" w:ascii="宋体" w:hAnsi="宋体"/>
          <w:color w:val="auto"/>
          <w:szCs w:val="21"/>
          <w:highlight w:val="none"/>
        </w:rPr>
      </w:pPr>
      <w:r>
        <w:rPr>
          <w:rFonts w:hint="eastAsia" w:ascii="宋体" w:hAnsi="宋体"/>
          <w:color w:val="auto"/>
          <w:szCs w:val="21"/>
          <w:highlight w:val="none"/>
        </w:rPr>
        <w:t>本合同自签订之日起2个工作日内，甲方应当将采购合同在广西壮族自治区财政厅指定的媒体上公告。</w:t>
      </w:r>
    </w:p>
    <w:tbl>
      <w:tblPr>
        <w:tblStyle w:val="33"/>
        <w:tblW w:w="50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26"/>
        <w:gridCol w:w="5026"/>
      </w:tblGrid>
      <w:tr w14:paraId="6F1C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trPr>
        <w:tc>
          <w:tcPr>
            <w:tcW w:w="2500" w:type="pct"/>
            <w:noWrap w:val="0"/>
            <w:vAlign w:val="center"/>
          </w:tcPr>
          <w:p w14:paraId="6A67E488">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 xml:space="preserve">甲方（公章）：           </w:t>
            </w:r>
          </w:p>
          <w:p w14:paraId="5E1FF767">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广西国际商务职业技术学院</w:t>
            </w:r>
          </w:p>
          <w:p w14:paraId="297F17D4">
            <w:pPr>
              <w:snapToGrid w:val="0"/>
              <w:spacing w:line="360" w:lineRule="atLeast"/>
              <w:ind w:firstLine="945" w:firstLineChars="450"/>
              <w:jc w:val="right"/>
              <w:rPr>
                <w:rFonts w:hint="eastAsia" w:ascii="宋体" w:hAnsi="宋体"/>
                <w:color w:val="auto"/>
                <w:szCs w:val="21"/>
                <w:highlight w:val="none"/>
              </w:rPr>
            </w:pPr>
            <w:r>
              <w:rPr>
                <w:rFonts w:hint="eastAsia" w:ascii="宋体" w:hAnsi="宋体"/>
                <w:color w:val="auto"/>
                <w:szCs w:val="21"/>
                <w:highlight w:val="none"/>
              </w:rPr>
              <w:t>年   月   日</w:t>
            </w:r>
          </w:p>
        </w:tc>
        <w:tc>
          <w:tcPr>
            <w:tcW w:w="2500" w:type="pct"/>
            <w:noWrap w:val="0"/>
            <w:vAlign w:val="center"/>
          </w:tcPr>
          <w:p w14:paraId="44897D8F">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 xml:space="preserve">乙方（公章）：              </w:t>
            </w:r>
          </w:p>
          <w:p w14:paraId="01610114">
            <w:pPr>
              <w:snapToGrid w:val="0"/>
              <w:spacing w:line="360" w:lineRule="atLeast"/>
              <w:rPr>
                <w:rFonts w:hint="eastAsia" w:ascii="宋体" w:hAnsi="宋体"/>
                <w:color w:val="auto"/>
                <w:szCs w:val="21"/>
                <w:highlight w:val="none"/>
              </w:rPr>
            </w:pPr>
          </w:p>
          <w:p w14:paraId="78EDC615">
            <w:pPr>
              <w:snapToGrid w:val="0"/>
              <w:spacing w:line="360" w:lineRule="atLeast"/>
              <w:jc w:val="right"/>
              <w:rPr>
                <w:rFonts w:hint="eastAsia" w:ascii="宋体" w:hAnsi="宋体"/>
                <w:color w:val="auto"/>
                <w:szCs w:val="21"/>
                <w:highlight w:val="none"/>
              </w:rPr>
            </w:pPr>
            <w:r>
              <w:rPr>
                <w:rFonts w:hint="eastAsia" w:ascii="宋体" w:hAnsi="宋体"/>
                <w:color w:val="auto"/>
                <w:szCs w:val="21"/>
                <w:highlight w:val="none"/>
              </w:rPr>
              <w:t xml:space="preserve"> 年   月   日</w:t>
            </w:r>
          </w:p>
        </w:tc>
      </w:tr>
      <w:tr w14:paraId="53D68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500" w:type="pct"/>
            <w:noWrap w:val="0"/>
            <w:vAlign w:val="center"/>
          </w:tcPr>
          <w:p w14:paraId="6950B210">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单位地址：广西南宁市西乡塘区大学东路168号</w:t>
            </w:r>
          </w:p>
        </w:tc>
        <w:tc>
          <w:tcPr>
            <w:tcW w:w="2500" w:type="pct"/>
            <w:noWrap w:val="0"/>
            <w:vAlign w:val="center"/>
          </w:tcPr>
          <w:p w14:paraId="496BE71E">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单位地址：</w:t>
            </w:r>
          </w:p>
        </w:tc>
      </w:tr>
      <w:tr w14:paraId="3299B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500" w:type="pct"/>
            <w:noWrap w:val="0"/>
            <w:vAlign w:val="center"/>
          </w:tcPr>
          <w:p w14:paraId="52EB6DBE">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法定代表人：</w:t>
            </w:r>
          </w:p>
        </w:tc>
        <w:tc>
          <w:tcPr>
            <w:tcW w:w="2500" w:type="pct"/>
            <w:noWrap w:val="0"/>
            <w:vAlign w:val="center"/>
          </w:tcPr>
          <w:p w14:paraId="3E2100B8">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法定代表人：</w:t>
            </w:r>
          </w:p>
        </w:tc>
      </w:tr>
      <w:tr w14:paraId="6C6F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6" w:hRule="atLeast"/>
        </w:trPr>
        <w:tc>
          <w:tcPr>
            <w:tcW w:w="2500" w:type="pct"/>
            <w:noWrap w:val="0"/>
            <w:vAlign w:val="center"/>
          </w:tcPr>
          <w:p w14:paraId="2A05A0A9">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委托代理人</w:t>
            </w:r>
            <w:r>
              <w:rPr>
                <w:rFonts w:hint="eastAsia" w:ascii="宋体" w:hAnsi="宋体"/>
                <w:color w:val="auto"/>
                <w:sz w:val="15"/>
                <w:szCs w:val="15"/>
                <w:highlight w:val="none"/>
              </w:rPr>
              <w:t>（说明：委托代理人签署合同须提交法定代表人签字的授权文件作为本合同的附件）</w:t>
            </w:r>
            <w:r>
              <w:rPr>
                <w:rFonts w:hint="eastAsia" w:ascii="宋体" w:hAnsi="宋体"/>
                <w:color w:val="auto"/>
                <w:szCs w:val="21"/>
                <w:highlight w:val="none"/>
              </w:rPr>
              <w:t>：</w:t>
            </w:r>
          </w:p>
        </w:tc>
        <w:tc>
          <w:tcPr>
            <w:tcW w:w="2500" w:type="pct"/>
            <w:noWrap w:val="0"/>
            <w:vAlign w:val="center"/>
          </w:tcPr>
          <w:p w14:paraId="3BA08A84">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委托代理人</w:t>
            </w:r>
            <w:r>
              <w:rPr>
                <w:rFonts w:hint="eastAsia" w:ascii="宋体" w:hAnsi="宋体"/>
                <w:color w:val="auto"/>
                <w:sz w:val="15"/>
                <w:szCs w:val="15"/>
                <w:highlight w:val="none"/>
              </w:rPr>
              <w:t>（说明：委托代理人签署合同须提交法定代表人签字的授权文件作为本合同的附件。同时提供单位营业执照（复印件）、法定代表人身份证（复印件）及身份证明文件（原件）留存为合同附件）</w:t>
            </w:r>
            <w:r>
              <w:rPr>
                <w:rFonts w:hint="eastAsia" w:ascii="宋体" w:hAnsi="宋体"/>
                <w:color w:val="auto"/>
                <w:szCs w:val="21"/>
                <w:highlight w:val="none"/>
              </w:rPr>
              <w:t>：</w:t>
            </w:r>
          </w:p>
        </w:tc>
      </w:tr>
      <w:tr w14:paraId="082D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500" w:type="pct"/>
            <w:noWrap w:val="0"/>
            <w:vAlign w:val="center"/>
          </w:tcPr>
          <w:p w14:paraId="79C21233">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电话：</w:t>
            </w:r>
          </w:p>
        </w:tc>
        <w:tc>
          <w:tcPr>
            <w:tcW w:w="2500" w:type="pct"/>
            <w:noWrap w:val="0"/>
            <w:vAlign w:val="center"/>
          </w:tcPr>
          <w:p w14:paraId="79880B25">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电话：</w:t>
            </w:r>
          </w:p>
        </w:tc>
      </w:tr>
      <w:tr w14:paraId="3FE79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500" w:type="pct"/>
            <w:noWrap w:val="0"/>
            <w:vAlign w:val="center"/>
          </w:tcPr>
          <w:p w14:paraId="4828841A">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电子邮箱：</w:t>
            </w:r>
          </w:p>
        </w:tc>
        <w:tc>
          <w:tcPr>
            <w:tcW w:w="2500" w:type="pct"/>
            <w:noWrap w:val="0"/>
            <w:vAlign w:val="center"/>
          </w:tcPr>
          <w:p w14:paraId="2F3B2358">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电子邮箱：</w:t>
            </w:r>
          </w:p>
        </w:tc>
      </w:tr>
      <w:tr w14:paraId="574D6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500" w:type="pct"/>
            <w:noWrap w:val="0"/>
            <w:vAlign w:val="center"/>
          </w:tcPr>
          <w:p w14:paraId="3F5BC2D0">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开户银行：</w:t>
            </w:r>
          </w:p>
        </w:tc>
        <w:tc>
          <w:tcPr>
            <w:tcW w:w="2500" w:type="pct"/>
            <w:noWrap w:val="0"/>
            <w:vAlign w:val="center"/>
          </w:tcPr>
          <w:p w14:paraId="2C915427">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开户银行：</w:t>
            </w:r>
          </w:p>
        </w:tc>
      </w:tr>
      <w:tr w14:paraId="3ABFA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500" w:type="pct"/>
            <w:noWrap w:val="0"/>
            <w:vAlign w:val="center"/>
          </w:tcPr>
          <w:p w14:paraId="50FD0EF9">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账号：</w:t>
            </w:r>
          </w:p>
        </w:tc>
        <w:tc>
          <w:tcPr>
            <w:tcW w:w="2500" w:type="pct"/>
            <w:noWrap w:val="0"/>
            <w:vAlign w:val="center"/>
          </w:tcPr>
          <w:p w14:paraId="6E4C4FBD">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账号：</w:t>
            </w:r>
          </w:p>
        </w:tc>
      </w:tr>
      <w:tr w14:paraId="4D243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7" w:hRule="atLeast"/>
        </w:trPr>
        <w:tc>
          <w:tcPr>
            <w:tcW w:w="2500" w:type="pct"/>
            <w:noWrap w:val="0"/>
            <w:vAlign w:val="center"/>
          </w:tcPr>
          <w:p w14:paraId="7B0B2819">
            <w:pPr>
              <w:snapToGrid w:val="0"/>
              <w:spacing w:line="360" w:lineRule="atLeast"/>
              <w:rPr>
                <w:rFonts w:ascii="宋体" w:hAnsi="宋体"/>
                <w:color w:val="auto"/>
                <w:szCs w:val="21"/>
                <w:highlight w:val="none"/>
              </w:rPr>
            </w:pPr>
            <w:r>
              <w:rPr>
                <w:rFonts w:hint="eastAsia" w:ascii="宋体" w:hAnsi="宋体"/>
                <w:color w:val="auto"/>
                <w:szCs w:val="21"/>
                <w:highlight w:val="none"/>
              </w:rPr>
              <w:t>纳税人识别号或统一社会信用代码：</w:t>
            </w:r>
          </w:p>
        </w:tc>
        <w:tc>
          <w:tcPr>
            <w:tcW w:w="2500" w:type="pct"/>
            <w:noWrap w:val="0"/>
            <w:vAlign w:val="center"/>
          </w:tcPr>
          <w:p w14:paraId="7581563B">
            <w:pPr>
              <w:snapToGrid w:val="0"/>
              <w:spacing w:line="360" w:lineRule="atLeast"/>
              <w:rPr>
                <w:rFonts w:ascii="宋体" w:hAnsi="宋体"/>
                <w:color w:val="auto"/>
                <w:szCs w:val="21"/>
                <w:highlight w:val="none"/>
              </w:rPr>
            </w:pPr>
            <w:r>
              <w:rPr>
                <w:rFonts w:hint="eastAsia" w:ascii="宋体" w:hAnsi="宋体"/>
                <w:color w:val="auto"/>
                <w:szCs w:val="21"/>
                <w:highlight w:val="none"/>
              </w:rPr>
              <w:t>纳税人识别号或统一社会信用代码：</w:t>
            </w:r>
          </w:p>
        </w:tc>
      </w:tr>
      <w:tr w14:paraId="1614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2500" w:type="pct"/>
            <w:noWrap w:val="0"/>
            <w:vAlign w:val="center"/>
          </w:tcPr>
          <w:p w14:paraId="445BB0F9">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邮政编码：</w:t>
            </w:r>
          </w:p>
        </w:tc>
        <w:tc>
          <w:tcPr>
            <w:tcW w:w="2500" w:type="pct"/>
            <w:noWrap w:val="0"/>
            <w:vAlign w:val="center"/>
          </w:tcPr>
          <w:p w14:paraId="7C85BC4D">
            <w:pPr>
              <w:snapToGrid w:val="0"/>
              <w:spacing w:line="360" w:lineRule="atLeast"/>
              <w:rPr>
                <w:rFonts w:hint="eastAsia" w:ascii="宋体" w:hAnsi="宋体"/>
                <w:color w:val="auto"/>
                <w:szCs w:val="21"/>
                <w:highlight w:val="none"/>
              </w:rPr>
            </w:pPr>
            <w:r>
              <w:rPr>
                <w:rFonts w:hint="eastAsia" w:ascii="宋体" w:hAnsi="宋体"/>
                <w:color w:val="auto"/>
                <w:szCs w:val="21"/>
                <w:highlight w:val="none"/>
              </w:rPr>
              <w:t>邮政编码：</w:t>
            </w:r>
          </w:p>
        </w:tc>
      </w:tr>
    </w:tbl>
    <w:p w14:paraId="7AADF0B6">
      <w:pPr>
        <w:snapToGrid w:val="0"/>
        <w:spacing w:line="360" w:lineRule="auto"/>
        <w:ind w:right="315"/>
        <w:jc w:val="center"/>
        <w:rPr>
          <w:rFonts w:ascii="宋体" w:hAnsi="宋体"/>
          <w:b/>
          <w:color w:val="auto"/>
          <w:sz w:val="24"/>
          <w:highlight w:val="none"/>
        </w:rPr>
      </w:pPr>
      <w:r>
        <w:rPr>
          <w:rFonts w:ascii="宋体" w:hAnsi="宋体"/>
          <w:color w:val="auto"/>
          <w:szCs w:val="21"/>
          <w:highlight w:val="none"/>
        </w:rPr>
        <w:br w:type="page"/>
      </w:r>
      <w:r>
        <w:rPr>
          <w:rFonts w:hint="eastAsia" w:ascii="宋体" w:hAnsi="宋体"/>
          <w:b/>
          <w:color w:val="auto"/>
          <w:sz w:val="24"/>
          <w:highlight w:val="none"/>
        </w:rPr>
        <w:t>合 同 附 件</w:t>
      </w:r>
    </w:p>
    <w:p w14:paraId="5509889A">
      <w:pPr>
        <w:snapToGrid w:val="0"/>
        <w:spacing w:line="360" w:lineRule="auto"/>
        <w:rPr>
          <w:rFonts w:ascii="宋体" w:hAnsi="宋体"/>
          <w:color w:val="auto"/>
          <w:sz w:val="24"/>
          <w:highlight w:val="none"/>
        </w:rPr>
      </w:pPr>
    </w:p>
    <w:tbl>
      <w:tblPr>
        <w:tblStyle w:val="33"/>
        <w:tblW w:w="0" w:type="auto"/>
        <w:jc w:val="center"/>
        <w:tblLayout w:type="fixed"/>
        <w:tblCellMar>
          <w:top w:w="0" w:type="dxa"/>
          <w:left w:w="108" w:type="dxa"/>
          <w:bottom w:w="0" w:type="dxa"/>
          <w:right w:w="108" w:type="dxa"/>
        </w:tblCellMar>
      </w:tblPr>
      <w:tblGrid>
        <w:gridCol w:w="4263"/>
        <w:gridCol w:w="4259"/>
      </w:tblGrid>
      <w:tr w14:paraId="279D45F3">
        <w:tblPrEx>
          <w:tblCellMar>
            <w:top w:w="0" w:type="dxa"/>
            <w:left w:w="108" w:type="dxa"/>
            <w:bottom w:w="0" w:type="dxa"/>
            <w:right w:w="108" w:type="dxa"/>
          </w:tblCellMar>
        </w:tblPrEx>
        <w:trPr>
          <w:trHeight w:val="1889" w:hRule="atLeast"/>
          <w:jc w:val="center"/>
        </w:trPr>
        <w:tc>
          <w:tcPr>
            <w:tcW w:w="8522" w:type="dxa"/>
            <w:gridSpan w:val="2"/>
            <w:tcBorders>
              <w:top w:val="single" w:color="auto" w:sz="4" w:space="0"/>
              <w:left w:val="single" w:color="auto" w:sz="4" w:space="0"/>
              <w:right w:val="single" w:color="auto" w:sz="4" w:space="0"/>
            </w:tcBorders>
            <w:noWrap w:val="0"/>
            <w:vAlign w:val="top"/>
          </w:tcPr>
          <w:p w14:paraId="1D728124">
            <w:pPr>
              <w:snapToGrid w:val="0"/>
              <w:spacing w:line="360" w:lineRule="auto"/>
              <w:rPr>
                <w:rFonts w:ascii="宋体" w:hAnsi="宋体"/>
                <w:b/>
                <w:color w:val="auto"/>
                <w:sz w:val="24"/>
                <w:highlight w:val="none"/>
              </w:rPr>
            </w:pPr>
            <w:r>
              <w:rPr>
                <w:rFonts w:hint="eastAsia" w:ascii="宋体" w:hAnsi="宋体"/>
                <w:b/>
                <w:color w:val="auto"/>
                <w:sz w:val="24"/>
                <w:highlight w:val="none"/>
              </w:rPr>
              <w:t>1. 供应商承诺具体事项：</w:t>
            </w:r>
          </w:p>
          <w:p w14:paraId="3C7D08D8">
            <w:pPr>
              <w:snapToGrid w:val="0"/>
              <w:spacing w:line="360" w:lineRule="auto"/>
              <w:rPr>
                <w:color w:val="auto"/>
                <w:highlight w:val="none"/>
              </w:rPr>
            </w:pPr>
          </w:p>
          <w:p w14:paraId="19C84B1E">
            <w:pPr>
              <w:snapToGrid w:val="0"/>
              <w:spacing w:line="360" w:lineRule="auto"/>
              <w:rPr>
                <w:rFonts w:ascii="宋体" w:hAnsi="宋体"/>
                <w:b/>
                <w:color w:val="auto"/>
                <w:sz w:val="24"/>
                <w:highlight w:val="none"/>
              </w:rPr>
            </w:pPr>
          </w:p>
        </w:tc>
      </w:tr>
      <w:tr w14:paraId="7C325552">
        <w:tblPrEx>
          <w:tblCellMar>
            <w:top w:w="0" w:type="dxa"/>
            <w:left w:w="108" w:type="dxa"/>
            <w:bottom w:w="0" w:type="dxa"/>
            <w:right w:w="108" w:type="dxa"/>
          </w:tblCellMar>
        </w:tblPrEx>
        <w:trPr>
          <w:trHeight w:val="1986" w:hRule="atLeast"/>
          <w:jc w:val="center"/>
        </w:trPr>
        <w:tc>
          <w:tcPr>
            <w:tcW w:w="8522" w:type="dxa"/>
            <w:gridSpan w:val="2"/>
            <w:tcBorders>
              <w:top w:val="single" w:color="auto" w:sz="4" w:space="0"/>
              <w:left w:val="single" w:color="auto" w:sz="4" w:space="0"/>
              <w:right w:val="single" w:color="auto" w:sz="4" w:space="0"/>
            </w:tcBorders>
            <w:noWrap w:val="0"/>
            <w:vAlign w:val="top"/>
          </w:tcPr>
          <w:p w14:paraId="729F1D7D">
            <w:pPr>
              <w:snapToGrid w:val="0"/>
              <w:spacing w:line="360" w:lineRule="auto"/>
              <w:rPr>
                <w:rFonts w:ascii="宋体" w:hAnsi="宋体"/>
                <w:b/>
                <w:color w:val="auto"/>
                <w:sz w:val="24"/>
                <w:highlight w:val="none"/>
              </w:rPr>
            </w:pPr>
            <w:r>
              <w:rPr>
                <w:rFonts w:hint="eastAsia" w:ascii="宋体" w:hAnsi="宋体"/>
                <w:b/>
                <w:color w:val="auto"/>
                <w:sz w:val="24"/>
                <w:highlight w:val="none"/>
              </w:rPr>
              <w:t>2. 售后服务具体事项：</w:t>
            </w:r>
          </w:p>
          <w:p w14:paraId="56C8714E">
            <w:pPr>
              <w:rPr>
                <w:rFonts w:ascii="宋体" w:hAnsi="宋体"/>
                <w:color w:val="auto"/>
                <w:sz w:val="24"/>
                <w:highlight w:val="none"/>
              </w:rPr>
            </w:pPr>
          </w:p>
          <w:p w14:paraId="20A48592">
            <w:pPr>
              <w:rPr>
                <w:rFonts w:ascii="宋体" w:hAnsi="宋体"/>
                <w:color w:val="auto"/>
                <w:sz w:val="24"/>
                <w:highlight w:val="none"/>
              </w:rPr>
            </w:pPr>
          </w:p>
          <w:p w14:paraId="46B7E4FE">
            <w:pPr>
              <w:rPr>
                <w:rFonts w:ascii="宋体" w:hAnsi="宋体"/>
                <w:color w:val="auto"/>
                <w:sz w:val="24"/>
                <w:highlight w:val="none"/>
              </w:rPr>
            </w:pPr>
          </w:p>
          <w:p w14:paraId="0211C938">
            <w:pPr>
              <w:tabs>
                <w:tab w:val="left" w:pos="5535"/>
              </w:tabs>
              <w:rPr>
                <w:rFonts w:ascii="宋体" w:hAnsi="宋体"/>
                <w:color w:val="auto"/>
                <w:sz w:val="24"/>
                <w:highlight w:val="none"/>
              </w:rPr>
            </w:pPr>
            <w:r>
              <w:rPr>
                <w:rFonts w:ascii="宋体" w:hAnsi="宋体"/>
                <w:color w:val="auto"/>
                <w:sz w:val="24"/>
                <w:highlight w:val="none"/>
              </w:rPr>
              <w:tab/>
            </w:r>
          </w:p>
        </w:tc>
      </w:tr>
      <w:tr w14:paraId="5F261F07">
        <w:tblPrEx>
          <w:tblCellMar>
            <w:top w:w="0" w:type="dxa"/>
            <w:left w:w="108" w:type="dxa"/>
            <w:bottom w:w="0" w:type="dxa"/>
            <w:right w:w="108" w:type="dxa"/>
          </w:tblCellMar>
        </w:tblPrEx>
        <w:trPr>
          <w:trHeight w:val="1958" w:hRule="atLeast"/>
          <w:jc w:val="center"/>
        </w:trPr>
        <w:tc>
          <w:tcPr>
            <w:tcW w:w="8522" w:type="dxa"/>
            <w:gridSpan w:val="2"/>
            <w:tcBorders>
              <w:top w:val="single" w:color="auto" w:sz="4" w:space="0"/>
              <w:left w:val="single" w:color="auto" w:sz="4" w:space="0"/>
              <w:right w:val="single" w:color="auto" w:sz="4" w:space="0"/>
            </w:tcBorders>
            <w:noWrap w:val="0"/>
            <w:vAlign w:val="top"/>
          </w:tcPr>
          <w:p w14:paraId="3E6514C8">
            <w:pPr>
              <w:snapToGrid w:val="0"/>
              <w:spacing w:line="360" w:lineRule="auto"/>
              <w:rPr>
                <w:rFonts w:ascii="宋体" w:hAnsi="宋体"/>
                <w:b/>
                <w:color w:val="auto"/>
                <w:sz w:val="24"/>
                <w:highlight w:val="none"/>
              </w:rPr>
            </w:pPr>
            <w:r>
              <w:rPr>
                <w:rFonts w:hint="eastAsia" w:ascii="宋体" w:hAnsi="宋体"/>
                <w:b/>
                <w:color w:val="auto"/>
                <w:sz w:val="24"/>
                <w:highlight w:val="none"/>
              </w:rPr>
              <w:t>3. 质保期责任：</w:t>
            </w:r>
          </w:p>
          <w:p w14:paraId="54978C72">
            <w:pPr>
              <w:snapToGrid w:val="0"/>
              <w:spacing w:line="360" w:lineRule="auto"/>
              <w:rPr>
                <w:rFonts w:ascii="宋体" w:hAnsi="宋体"/>
                <w:b/>
                <w:color w:val="auto"/>
                <w:sz w:val="24"/>
                <w:highlight w:val="none"/>
              </w:rPr>
            </w:pPr>
          </w:p>
          <w:p w14:paraId="20D859EB">
            <w:pPr>
              <w:rPr>
                <w:rFonts w:ascii="宋体" w:hAnsi="宋体"/>
                <w:color w:val="auto"/>
                <w:sz w:val="24"/>
                <w:highlight w:val="none"/>
              </w:rPr>
            </w:pPr>
          </w:p>
          <w:p w14:paraId="4C9FEC57">
            <w:pPr>
              <w:snapToGrid w:val="0"/>
              <w:spacing w:line="360" w:lineRule="auto"/>
              <w:rPr>
                <w:rFonts w:ascii="宋体" w:hAnsi="宋体"/>
                <w:b/>
                <w:color w:val="auto"/>
                <w:sz w:val="24"/>
                <w:highlight w:val="none"/>
              </w:rPr>
            </w:pPr>
          </w:p>
        </w:tc>
      </w:tr>
      <w:tr w14:paraId="28FA2BFA">
        <w:tblPrEx>
          <w:tblCellMar>
            <w:top w:w="0" w:type="dxa"/>
            <w:left w:w="108" w:type="dxa"/>
            <w:bottom w:w="0" w:type="dxa"/>
            <w:right w:w="108" w:type="dxa"/>
          </w:tblCellMar>
        </w:tblPrEx>
        <w:trPr>
          <w:trHeight w:val="1844" w:hRule="atLeast"/>
          <w:jc w:val="center"/>
        </w:trPr>
        <w:tc>
          <w:tcPr>
            <w:tcW w:w="8522" w:type="dxa"/>
            <w:gridSpan w:val="2"/>
            <w:tcBorders>
              <w:top w:val="single" w:color="auto" w:sz="4" w:space="0"/>
              <w:left w:val="single" w:color="auto" w:sz="4" w:space="0"/>
              <w:right w:val="single" w:color="auto" w:sz="4" w:space="0"/>
            </w:tcBorders>
            <w:noWrap w:val="0"/>
            <w:vAlign w:val="top"/>
          </w:tcPr>
          <w:p w14:paraId="2B9D0F0A">
            <w:pPr>
              <w:snapToGrid w:val="0"/>
              <w:spacing w:line="360" w:lineRule="auto"/>
              <w:rPr>
                <w:rFonts w:ascii="宋体" w:hAnsi="宋体"/>
                <w:b/>
                <w:color w:val="auto"/>
                <w:sz w:val="24"/>
                <w:highlight w:val="none"/>
              </w:rPr>
            </w:pPr>
            <w:r>
              <w:rPr>
                <w:rFonts w:hint="eastAsia" w:ascii="宋体" w:hAnsi="宋体"/>
                <w:b/>
                <w:color w:val="auto"/>
                <w:sz w:val="24"/>
                <w:highlight w:val="none"/>
              </w:rPr>
              <w:t>4. 其他具体事项：</w:t>
            </w:r>
          </w:p>
          <w:p w14:paraId="219620AD">
            <w:pPr>
              <w:snapToGrid w:val="0"/>
              <w:spacing w:line="360" w:lineRule="auto"/>
              <w:rPr>
                <w:rFonts w:ascii="宋体" w:hAnsi="宋体"/>
                <w:b/>
                <w:color w:val="auto"/>
                <w:sz w:val="24"/>
                <w:highlight w:val="none"/>
              </w:rPr>
            </w:pPr>
          </w:p>
          <w:p w14:paraId="083FF62C">
            <w:pPr>
              <w:snapToGrid w:val="0"/>
              <w:spacing w:line="360" w:lineRule="auto"/>
              <w:rPr>
                <w:rFonts w:ascii="宋体" w:hAnsi="宋体"/>
                <w:b/>
                <w:color w:val="auto"/>
                <w:sz w:val="24"/>
                <w:highlight w:val="none"/>
              </w:rPr>
            </w:pPr>
          </w:p>
        </w:tc>
      </w:tr>
      <w:tr w14:paraId="1D654AD7">
        <w:tblPrEx>
          <w:tblCellMar>
            <w:top w:w="0" w:type="dxa"/>
            <w:left w:w="108" w:type="dxa"/>
            <w:bottom w:w="0" w:type="dxa"/>
            <w:right w:w="108" w:type="dxa"/>
          </w:tblCellMar>
        </w:tblPrEx>
        <w:trPr>
          <w:trHeight w:val="1703" w:hRule="atLeast"/>
          <w:jc w:val="center"/>
        </w:trPr>
        <w:tc>
          <w:tcPr>
            <w:tcW w:w="4263" w:type="dxa"/>
            <w:tcBorders>
              <w:top w:val="single" w:color="auto" w:sz="4" w:space="0"/>
              <w:left w:val="single" w:color="auto" w:sz="4" w:space="0"/>
              <w:bottom w:val="single" w:color="auto" w:sz="4" w:space="0"/>
              <w:right w:val="single" w:color="auto" w:sz="4" w:space="0"/>
            </w:tcBorders>
            <w:noWrap w:val="0"/>
            <w:vAlign w:val="center"/>
          </w:tcPr>
          <w:p w14:paraId="3ACF031C">
            <w:pPr>
              <w:snapToGrid w:val="0"/>
              <w:spacing w:line="360" w:lineRule="auto"/>
              <w:rPr>
                <w:rFonts w:ascii="宋体" w:hAnsi="宋体"/>
                <w:b/>
                <w:color w:val="auto"/>
                <w:sz w:val="24"/>
                <w:highlight w:val="none"/>
              </w:rPr>
            </w:pPr>
            <w:r>
              <w:rPr>
                <w:rFonts w:hint="eastAsia" w:ascii="宋体" w:hAnsi="宋体"/>
                <w:b/>
                <w:color w:val="auto"/>
                <w:sz w:val="24"/>
                <w:highlight w:val="none"/>
              </w:rPr>
              <w:t>甲方（章）</w:t>
            </w:r>
          </w:p>
          <w:p w14:paraId="5C5FB349">
            <w:pPr>
              <w:snapToGrid w:val="0"/>
              <w:spacing w:line="360" w:lineRule="auto"/>
              <w:ind w:firstLine="482" w:firstLineChars="200"/>
              <w:rPr>
                <w:rFonts w:ascii="宋体" w:hAnsi="宋体"/>
                <w:b/>
                <w:color w:val="auto"/>
                <w:sz w:val="24"/>
                <w:highlight w:val="none"/>
              </w:rPr>
            </w:pPr>
          </w:p>
          <w:p w14:paraId="74C0B7D2">
            <w:pPr>
              <w:snapToGrid w:val="0"/>
              <w:spacing w:line="360" w:lineRule="auto"/>
              <w:rPr>
                <w:rFonts w:ascii="宋体" w:hAnsi="宋体"/>
                <w:b/>
                <w:color w:val="auto"/>
                <w:sz w:val="24"/>
                <w:highlight w:val="none"/>
              </w:rPr>
            </w:pPr>
          </w:p>
          <w:p w14:paraId="05C5E573">
            <w:pPr>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 xml:space="preserve">                 年   月   日 </w:t>
            </w:r>
          </w:p>
        </w:tc>
        <w:tc>
          <w:tcPr>
            <w:tcW w:w="4259" w:type="dxa"/>
            <w:tcBorders>
              <w:top w:val="single" w:color="auto" w:sz="4" w:space="0"/>
              <w:left w:val="single" w:color="auto" w:sz="4" w:space="0"/>
              <w:bottom w:val="single" w:color="auto" w:sz="4" w:space="0"/>
              <w:right w:val="single" w:color="auto" w:sz="4" w:space="0"/>
            </w:tcBorders>
            <w:noWrap w:val="0"/>
            <w:vAlign w:val="center"/>
          </w:tcPr>
          <w:p w14:paraId="4277CC0D">
            <w:pPr>
              <w:snapToGrid w:val="0"/>
              <w:spacing w:line="360" w:lineRule="auto"/>
              <w:rPr>
                <w:rFonts w:ascii="宋体" w:hAnsi="宋体"/>
                <w:b/>
                <w:color w:val="auto"/>
                <w:sz w:val="24"/>
                <w:highlight w:val="none"/>
              </w:rPr>
            </w:pPr>
            <w:r>
              <w:rPr>
                <w:rFonts w:hint="eastAsia" w:ascii="宋体" w:hAnsi="宋体"/>
                <w:b/>
                <w:color w:val="auto"/>
                <w:sz w:val="24"/>
                <w:highlight w:val="none"/>
              </w:rPr>
              <w:t>乙方（章）</w:t>
            </w:r>
          </w:p>
          <w:p w14:paraId="24505E54">
            <w:pPr>
              <w:snapToGrid w:val="0"/>
              <w:spacing w:line="360" w:lineRule="auto"/>
              <w:ind w:firstLine="482" w:firstLineChars="200"/>
              <w:rPr>
                <w:rFonts w:ascii="宋体" w:hAnsi="宋体"/>
                <w:b/>
                <w:color w:val="auto"/>
                <w:sz w:val="24"/>
                <w:highlight w:val="none"/>
              </w:rPr>
            </w:pPr>
          </w:p>
          <w:p w14:paraId="46B80C91">
            <w:pPr>
              <w:snapToGrid w:val="0"/>
              <w:spacing w:line="360" w:lineRule="auto"/>
              <w:rPr>
                <w:rFonts w:ascii="宋体" w:hAnsi="宋体"/>
                <w:b/>
                <w:color w:val="auto"/>
                <w:sz w:val="24"/>
                <w:highlight w:val="none"/>
              </w:rPr>
            </w:pPr>
          </w:p>
          <w:p w14:paraId="6A5D1C82">
            <w:pPr>
              <w:snapToGrid w:val="0"/>
              <w:spacing w:line="360" w:lineRule="auto"/>
              <w:ind w:firstLine="482" w:firstLineChars="200"/>
              <w:rPr>
                <w:rFonts w:ascii="宋体" w:hAnsi="宋体"/>
                <w:b/>
                <w:color w:val="auto"/>
                <w:sz w:val="24"/>
                <w:highlight w:val="none"/>
              </w:rPr>
            </w:pPr>
            <w:r>
              <w:rPr>
                <w:rFonts w:hint="eastAsia" w:ascii="宋体" w:hAnsi="宋体"/>
                <w:b/>
                <w:color w:val="auto"/>
                <w:sz w:val="24"/>
                <w:highlight w:val="none"/>
              </w:rPr>
              <w:t xml:space="preserve">                 年   月   日</w:t>
            </w:r>
          </w:p>
        </w:tc>
      </w:tr>
    </w:tbl>
    <w:p w14:paraId="7B17C5EC">
      <w:pPr>
        <w:snapToGrid w:val="0"/>
        <w:spacing w:line="360" w:lineRule="auto"/>
        <w:ind w:left="420" w:hanging="420" w:hangingChars="200"/>
        <w:rPr>
          <w:rFonts w:hint="eastAsia" w:ascii="宋体" w:hAnsi="宋体"/>
          <w:color w:val="auto"/>
          <w:szCs w:val="21"/>
          <w:highlight w:val="none"/>
        </w:rPr>
      </w:pPr>
    </w:p>
    <w:p w14:paraId="4536D503">
      <w:pPr>
        <w:snapToGrid w:val="0"/>
        <w:spacing w:line="360" w:lineRule="auto"/>
        <w:jc w:val="left"/>
        <w:outlineLvl w:val="0"/>
        <w:rPr>
          <w:rFonts w:hint="eastAsia" w:ascii="宋体" w:hAnsi="宋体"/>
          <w:color w:val="auto"/>
          <w:sz w:val="24"/>
          <w:highlight w:val="none"/>
        </w:rPr>
      </w:pPr>
    </w:p>
    <w:p w14:paraId="7FA3CA67">
      <w:pPr>
        <w:spacing w:line="600" w:lineRule="exact"/>
        <w:ind w:firstLine="480" w:firstLineChars="200"/>
        <w:rPr>
          <w:rFonts w:hint="eastAsia" w:ascii="宋体" w:hAnsi="宋体" w:cs="宋体"/>
          <w:color w:val="auto"/>
          <w:sz w:val="24"/>
          <w:highlight w:val="none"/>
        </w:rPr>
      </w:pPr>
    </w:p>
    <w:p w14:paraId="4998C2B6">
      <w:pPr>
        <w:pStyle w:val="15"/>
        <w:tabs>
          <w:tab w:val="left" w:pos="0"/>
          <w:tab w:val="left" w:pos="993"/>
          <w:tab w:val="left" w:pos="1134"/>
        </w:tabs>
        <w:ind w:left="0" w:leftChars="0" w:firstLine="0" w:firstLineChars="0"/>
        <w:rPr>
          <w:rFonts w:hint="eastAsia" w:ascii="宋体" w:hAnsi="宋体" w:cs="宋体"/>
          <w:color w:val="auto"/>
          <w:sz w:val="24"/>
          <w:highlight w:val="none"/>
        </w:rPr>
      </w:pPr>
    </w:p>
    <w:p w14:paraId="04728C2C">
      <w:pPr>
        <w:pStyle w:val="15"/>
        <w:ind w:firstLine="422"/>
        <w:rPr>
          <w:rFonts w:hint="eastAsia" w:ascii="宋体" w:hAnsi="宋体" w:cs="宋体"/>
          <w:bCs/>
          <w:color w:val="auto"/>
          <w:kern w:val="44"/>
          <w:sz w:val="44"/>
          <w:szCs w:val="44"/>
          <w:highlight w:val="none"/>
        </w:rPr>
      </w:pPr>
      <w:r>
        <w:rPr>
          <w:rFonts w:hint="eastAsia" w:ascii="宋体" w:hAnsi="宋体" w:cs="宋体"/>
          <w:b/>
          <w:color w:val="auto"/>
          <w:szCs w:val="21"/>
          <w:highlight w:val="none"/>
        </w:rPr>
        <w:br w:type="page"/>
      </w:r>
    </w:p>
    <w:p w14:paraId="39783579">
      <w:pPr>
        <w:pStyle w:val="15"/>
        <w:ind w:firstLine="880"/>
        <w:rPr>
          <w:rFonts w:hint="eastAsia" w:ascii="宋体" w:hAnsi="宋体" w:cs="宋体"/>
          <w:bCs/>
          <w:color w:val="auto"/>
          <w:kern w:val="44"/>
          <w:sz w:val="44"/>
          <w:szCs w:val="44"/>
          <w:highlight w:val="none"/>
        </w:rPr>
      </w:pPr>
    </w:p>
    <w:p w14:paraId="53A8335B">
      <w:pPr>
        <w:pStyle w:val="15"/>
        <w:ind w:firstLine="880"/>
        <w:rPr>
          <w:rFonts w:hint="eastAsia" w:ascii="宋体" w:hAnsi="宋体" w:cs="宋体"/>
          <w:bCs/>
          <w:color w:val="auto"/>
          <w:kern w:val="44"/>
          <w:sz w:val="44"/>
          <w:szCs w:val="44"/>
          <w:highlight w:val="none"/>
        </w:rPr>
      </w:pPr>
    </w:p>
    <w:p w14:paraId="76C70013">
      <w:pPr>
        <w:keepNext/>
        <w:keepLines/>
        <w:spacing w:before="340" w:after="330" w:line="578" w:lineRule="auto"/>
        <w:jc w:val="center"/>
        <w:outlineLvl w:val="0"/>
        <w:rPr>
          <w:rFonts w:hint="eastAsia" w:ascii="宋体" w:hAnsi="宋体" w:cs="宋体"/>
          <w:bCs/>
          <w:color w:val="auto"/>
          <w:kern w:val="44"/>
          <w:sz w:val="44"/>
          <w:szCs w:val="44"/>
          <w:highlight w:val="none"/>
        </w:rPr>
      </w:pPr>
    </w:p>
    <w:p w14:paraId="4B5AC6D2">
      <w:pPr>
        <w:keepNext/>
        <w:keepLines/>
        <w:spacing w:before="340" w:after="330" w:line="578" w:lineRule="auto"/>
        <w:jc w:val="center"/>
        <w:outlineLvl w:val="0"/>
        <w:rPr>
          <w:rFonts w:hint="eastAsia" w:ascii="宋体" w:hAnsi="宋体" w:cs="宋体"/>
          <w:b/>
          <w:bCs/>
          <w:color w:val="auto"/>
          <w:kern w:val="44"/>
          <w:sz w:val="44"/>
          <w:szCs w:val="44"/>
          <w:highlight w:val="none"/>
        </w:rPr>
        <w:sectPr>
          <w:footerReference r:id="rId10" w:type="default"/>
          <w:pgSz w:w="11910" w:h="16840"/>
          <w:pgMar w:top="1440" w:right="1080" w:bottom="1440" w:left="1080" w:header="720" w:footer="720" w:gutter="0"/>
          <w:cols w:space="720" w:num="1"/>
        </w:sectPr>
      </w:pPr>
      <w:bookmarkStart w:id="70" w:name="_Toc18174"/>
      <w:r>
        <w:rPr>
          <w:rFonts w:hint="eastAsia" w:ascii="宋体" w:hAnsi="宋体" w:cs="宋体"/>
          <w:bCs/>
          <w:color w:val="auto"/>
          <w:kern w:val="44"/>
          <w:sz w:val="44"/>
          <w:szCs w:val="44"/>
          <w:highlight w:val="none"/>
        </w:rPr>
        <w:t>第七章 质疑、投诉材料格式</w:t>
      </w:r>
      <w:bookmarkEnd w:id="70"/>
    </w:p>
    <w:p w14:paraId="748A521C">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质疑函（格式）</w:t>
      </w:r>
    </w:p>
    <w:p w14:paraId="797CE49E">
      <w:pPr>
        <w:spacing w:line="360" w:lineRule="auto"/>
        <w:ind w:firstLine="482" w:firstLineChars="200"/>
        <w:contextualSpacing/>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一、质疑供应商基本信息：</w:t>
      </w:r>
    </w:p>
    <w:p w14:paraId="475B89B1">
      <w:pPr>
        <w:spacing w:line="360" w:lineRule="auto"/>
        <w:ind w:firstLine="480" w:firstLineChars="200"/>
        <w:contextualSpacing/>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质疑供应商：                                                        </w:t>
      </w:r>
    </w:p>
    <w:p w14:paraId="1DBE34BA">
      <w:pPr>
        <w:spacing w:line="360" w:lineRule="auto"/>
        <w:ind w:firstLine="480" w:firstLineChars="200"/>
        <w:contextualSpacing/>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地址：                                          邮编：                                   </w:t>
      </w:r>
    </w:p>
    <w:p w14:paraId="24F98CDA">
      <w:pPr>
        <w:spacing w:line="360" w:lineRule="auto"/>
        <w:ind w:firstLine="480" w:firstLineChars="200"/>
        <w:contextualSpacing/>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联系人：                     联系电话：                 </w:t>
      </w:r>
    </w:p>
    <w:p w14:paraId="149D5366">
      <w:pPr>
        <w:spacing w:line="360" w:lineRule="auto"/>
        <w:ind w:firstLine="480" w:firstLineChars="200"/>
        <w:contextualSpacing/>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授权代表：                      </w:t>
      </w:r>
    </w:p>
    <w:p w14:paraId="72953F7A">
      <w:pPr>
        <w:spacing w:line="360" w:lineRule="auto"/>
        <w:ind w:firstLine="480" w:firstLineChars="200"/>
        <w:contextualSpacing/>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联系电话：                      </w:t>
      </w:r>
    </w:p>
    <w:p w14:paraId="62B119D6">
      <w:pPr>
        <w:spacing w:line="360" w:lineRule="auto"/>
        <w:ind w:firstLine="480" w:firstLineChars="200"/>
        <w:contextualSpacing/>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地址：                 邮编：                       </w:t>
      </w:r>
    </w:p>
    <w:p w14:paraId="3F3923F3">
      <w:pPr>
        <w:spacing w:line="360" w:lineRule="auto"/>
        <w:ind w:firstLine="482" w:firstLineChars="200"/>
        <w:contextualSpacing/>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二、质疑项目基本情况：</w:t>
      </w:r>
    </w:p>
    <w:p w14:paraId="0E24E8C3">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bCs/>
          <w:color w:val="auto"/>
          <w:kern w:val="0"/>
          <w:sz w:val="24"/>
          <w:highlight w:val="none"/>
        </w:rPr>
        <w:t>质疑</w:t>
      </w:r>
      <w:r>
        <w:rPr>
          <w:rFonts w:hint="eastAsia" w:ascii="宋体" w:hAnsi="宋体" w:cs="宋体"/>
          <w:color w:val="auto"/>
          <w:kern w:val="0"/>
          <w:sz w:val="24"/>
          <w:highlight w:val="none"/>
        </w:rPr>
        <w:t>项目的名称：</w:t>
      </w:r>
      <w:r>
        <w:rPr>
          <w:rFonts w:hint="eastAsia" w:ascii="宋体" w:hAnsi="宋体" w:cs="宋体"/>
          <w:bCs/>
          <w:color w:val="auto"/>
          <w:kern w:val="0"/>
          <w:sz w:val="24"/>
          <w:highlight w:val="none"/>
        </w:rPr>
        <w:t xml:space="preserve">                                     </w:t>
      </w:r>
    </w:p>
    <w:p w14:paraId="39023F42">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bCs/>
          <w:color w:val="auto"/>
          <w:kern w:val="0"/>
          <w:sz w:val="24"/>
          <w:highlight w:val="none"/>
        </w:rPr>
        <w:t>质疑</w:t>
      </w:r>
      <w:r>
        <w:rPr>
          <w:rFonts w:hint="eastAsia" w:ascii="宋体" w:hAnsi="宋体" w:cs="宋体"/>
          <w:color w:val="auto"/>
          <w:kern w:val="0"/>
          <w:sz w:val="24"/>
          <w:highlight w:val="none"/>
        </w:rPr>
        <w:t>项目的编号：</w:t>
      </w:r>
      <w:r>
        <w:rPr>
          <w:rFonts w:hint="eastAsia" w:ascii="宋体" w:hAnsi="宋体" w:cs="宋体"/>
          <w:bCs/>
          <w:color w:val="auto"/>
          <w:kern w:val="0"/>
          <w:sz w:val="24"/>
          <w:highlight w:val="none"/>
        </w:rPr>
        <w:t xml:space="preserve">                                     </w:t>
      </w:r>
    </w:p>
    <w:p w14:paraId="26418638">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采购人名称：</w:t>
      </w:r>
      <w:r>
        <w:rPr>
          <w:rFonts w:hint="eastAsia" w:ascii="宋体" w:hAnsi="宋体" w:cs="宋体"/>
          <w:bCs/>
          <w:color w:val="auto"/>
          <w:kern w:val="0"/>
          <w:sz w:val="24"/>
          <w:highlight w:val="none"/>
        </w:rPr>
        <w:t xml:space="preserve">                                         </w:t>
      </w:r>
    </w:p>
    <w:p w14:paraId="3AC6D182">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质疑事项：</w:t>
      </w:r>
    </w:p>
    <w:p w14:paraId="786046C8">
      <w:pPr>
        <w:spacing w:line="360" w:lineRule="auto"/>
        <w:ind w:left="25" w:leftChars="12" w:firstLine="352" w:firstLineChars="14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□采购文件   采购文件获取日期：</w:t>
      </w:r>
      <w:r>
        <w:rPr>
          <w:rFonts w:hint="eastAsia" w:ascii="宋体" w:hAnsi="宋体" w:cs="宋体"/>
          <w:bCs/>
          <w:color w:val="auto"/>
          <w:kern w:val="0"/>
          <w:sz w:val="24"/>
          <w:highlight w:val="none"/>
        </w:rPr>
        <w:t xml:space="preserve">                                   </w:t>
      </w:r>
    </w:p>
    <w:p w14:paraId="20886FB4">
      <w:pPr>
        <w:spacing w:line="360" w:lineRule="auto"/>
        <w:ind w:left="25" w:leftChars="12" w:firstLine="352" w:firstLineChars="14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□采购过程   </w:t>
      </w:r>
    </w:p>
    <w:p w14:paraId="2D320869">
      <w:pPr>
        <w:spacing w:line="360" w:lineRule="auto"/>
        <w:ind w:left="25" w:leftChars="12" w:firstLine="352" w:firstLineChars="147"/>
        <w:contextualSpacing/>
        <w:rPr>
          <w:rFonts w:hint="eastAsia" w:ascii="宋体" w:hAnsi="宋体" w:cs="宋体"/>
          <w:bCs/>
          <w:color w:val="auto"/>
          <w:kern w:val="0"/>
          <w:sz w:val="24"/>
          <w:highlight w:val="none"/>
        </w:rPr>
      </w:pPr>
      <w:r>
        <w:rPr>
          <w:rFonts w:hint="eastAsia" w:ascii="宋体" w:hAnsi="宋体" w:cs="宋体"/>
          <w:color w:val="auto"/>
          <w:kern w:val="0"/>
          <w:sz w:val="24"/>
          <w:highlight w:val="none"/>
        </w:rPr>
        <w:t xml:space="preserve">□成交结果   </w:t>
      </w:r>
    </w:p>
    <w:p w14:paraId="73796A93">
      <w:pPr>
        <w:spacing w:line="360" w:lineRule="auto"/>
        <w:ind w:left="25" w:leftChars="12" w:firstLine="472" w:firstLineChars="196"/>
        <w:contextualSpacing/>
        <w:rPr>
          <w:rFonts w:hint="eastAsia" w:ascii="宋体" w:hAnsi="宋体" w:cs="宋体"/>
          <w:b/>
          <w:color w:val="auto"/>
          <w:kern w:val="0"/>
          <w:sz w:val="24"/>
          <w:highlight w:val="none"/>
        </w:rPr>
      </w:pPr>
      <w:r>
        <w:rPr>
          <w:rFonts w:hint="eastAsia" w:ascii="宋体" w:hAnsi="宋体" w:cs="宋体"/>
          <w:b/>
          <w:color w:val="auto"/>
          <w:kern w:val="0"/>
          <w:sz w:val="24"/>
          <w:highlight w:val="none"/>
        </w:rPr>
        <w:t>三、质疑事项具体内容</w:t>
      </w:r>
    </w:p>
    <w:p w14:paraId="13FA7FB8">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质疑事项1：</w:t>
      </w:r>
      <w:r>
        <w:rPr>
          <w:rFonts w:hint="eastAsia" w:ascii="宋体" w:hAnsi="宋体" w:cs="宋体"/>
          <w:bCs/>
          <w:color w:val="auto"/>
          <w:kern w:val="0"/>
          <w:sz w:val="24"/>
          <w:highlight w:val="none"/>
        </w:rPr>
        <w:t xml:space="preserve">                                                                    </w:t>
      </w:r>
    </w:p>
    <w:p w14:paraId="0C026221">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事实依据：</w:t>
      </w:r>
      <w:r>
        <w:rPr>
          <w:rFonts w:hint="eastAsia" w:ascii="宋体" w:hAnsi="宋体" w:cs="宋体"/>
          <w:bCs/>
          <w:color w:val="auto"/>
          <w:kern w:val="0"/>
          <w:sz w:val="24"/>
          <w:highlight w:val="none"/>
        </w:rPr>
        <w:t xml:space="preserve">                                                                      </w:t>
      </w:r>
    </w:p>
    <w:p w14:paraId="527B4CE0">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法律依据：                                                        </w:t>
      </w:r>
      <w:r>
        <w:rPr>
          <w:rFonts w:hint="eastAsia" w:ascii="宋体" w:hAnsi="宋体" w:cs="宋体"/>
          <w:bCs/>
          <w:color w:val="auto"/>
          <w:kern w:val="0"/>
          <w:sz w:val="24"/>
          <w:highlight w:val="none"/>
        </w:rPr>
        <w:t xml:space="preserve">               </w:t>
      </w:r>
    </w:p>
    <w:p w14:paraId="5F4112C0">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质疑事项2</w:t>
      </w:r>
    </w:p>
    <w:p w14:paraId="5E7946BC">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w:t>
      </w:r>
    </w:p>
    <w:p w14:paraId="6D9B8538">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四、与质疑事项相关的质疑请求：</w:t>
      </w:r>
    </w:p>
    <w:p w14:paraId="025296E8">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请求：</w:t>
      </w:r>
      <w:r>
        <w:rPr>
          <w:rFonts w:hint="eastAsia" w:ascii="宋体" w:hAnsi="宋体" w:cs="宋体"/>
          <w:bCs/>
          <w:color w:val="auto"/>
          <w:kern w:val="0"/>
          <w:sz w:val="24"/>
          <w:highlight w:val="none"/>
        </w:rPr>
        <w:t xml:space="preserve">                                                                </w:t>
      </w:r>
    </w:p>
    <w:p w14:paraId="3573E294">
      <w:pPr>
        <w:spacing w:line="360" w:lineRule="auto"/>
        <w:ind w:left="25" w:leftChars="12" w:firstLine="352" w:firstLineChars="147"/>
        <w:contextualSpacing/>
        <w:rPr>
          <w:rFonts w:hint="eastAsia" w:ascii="宋体" w:hAnsi="宋体" w:cs="宋体"/>
          <w:color w:val="auto"/>
          <w:kern w:val="0"/>
          <w:sz w:val="24"/>
          <w:highlight w:val="none"/>
        </w:rPr>
      </w:pPr>
    </w:p>
    <w:p w14:paraId="39C80642">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签字（签章）：                                       公章：</w:t>
      </w:r>
    </w:p>
    <w:p w14:paraId="49A4EF30">
      <w:pPr>
        <w:spacing w:line="360" w:lineRule="auto"/>
        <w:ind w:left="25" w:leftChars="12" w:firstLine="352" w:firstLineChars="147"/>
        <w:contextualSpacing/>
        <w:rPr>
          <w:rFonts w:hint="eastAsia" w:ascii="宋体" w:hAnsi="宋体" w:cs="宋体"/>
          <w:color w:val="auto"/>
          <w:kern w:val="0"/>
          <w:sz w:val="24"/>
          <w:highlight w:val="none"/>
        </w:rPr>
      </w:pPr>
    </w:p>
    <w:p w14:paraId="5778DCC7">
      <w:pPr>
        <w:spacing w:line="360" w:lineRule="auto"/>
        <w:ind w:left="25" w:leftChars="12" w:firstLine="472" w:firstLineChars="197"/>
        <w:contextualSpacing/>
        <w:rPr>
          <w:rFonts w:hint="eastAsia" w:ascii="宋体" w:hAnsi="宋体" w:cs="宋体"/>
          <w:color w:val="auto"/>
          <w:kern w:val="0"/>
          <w:sz w:val="24"/>
          <w:highlight w:val="none"/>
        </w:rPr>
      </w:pPr>
      <w:r>
        <w:rPr>
          <w:rFonts w:hint="eastAsia" w:ascii="宋体" w:hAnsi="宋体" w:cs="宋体"/>
          <w:color w:val="auto"/>
          <w:kern w:val="0"/>
          <w:sz w:val="24"/>
          <w:highlight w:val="none"/>
        </w:rPr>
        <w:t>日期：</w:t>
      </w:r>
    </w:p>
    <w:p w14:paraId="52BA9E0D">
      <w:pPr>
        <w:spacing w:line="360" w:lineRule="auto"/>
        <w:contextualSpacing/>
        <w:rPr>
          <w:rFonts w:hint="eastAsia" w:ascii="宋体" w:hAnsi="宋体" w:cs="宋体"/>
          <w:b/>
          <w:color w:val="auto"/>
          <w:kern w:val="0"/>
          <w:sz w:val="24"/>
          <w:highlight w:val="none"/>
        </w:rPr>
      </w:pPr>
    </w:p>
    <w:p w14:paraId="5C4E37CE">
      <w:pPr>
        <w:spacing w:line="360" w:lineRule="auto"/>
        <w:contextualSpacing/>
        <w:rPr>
          <w:rFonts w:hint="eastAsia" w:ascii="宋体" w:hAnsi="宋体" w:cs="宋体"/>
          <w:b/>
          <w:color w:val="auto"/>
          <w:kern w:val="0"/>
          <w:sz w:val="24"/>
          <w:highlight w:val="none"/>
        </w:rPr>
      </w:pPr>
    </w:p>
    <w:p w14:paraId="3FBFC6EF">
      <w:pPr>
        <w:pStyle w:val="15"/>
        <w:rPr>
          <w:rFonts w:hint="eastAsia" w:ascii="宋体" w:hAnsi="宋体" w:cs="宋体"/>
          <w:color w:val="auto"/>
          <w:highlight w:val="none"/>
        </w:rPr>
      </w:pPr>
    </w:p>
    <w:p w14:paraId="3B3F8449">
      <w:pPr>
        <w:spacing w:line="360" w:lineRule="auto"/>
        <w:contextualSpacing/>
        <w:rPr>
          <w:rFonts w:hint="eastAsia" w:ascii="宋体" w:hAnsi="宋体" w:cs="宋体"/>
          <w:b/>
          <w:color w:val="auto"/>
          <w:kern w:val="0"/>
          <w:sz w:val="24"/>
          <w:highlight w:val="none"/>
        </w:rPr>
      </w:pPr>
      <w:r>
        <w:rPr>
          <w:rFonts w:hint="eastAsia" w:ascii="宋体" w:hAnsi="宋体" w:cs="宋体"/>
          <w:b/>
          <w:color w:val="auto"/>
          <w:kern w:val="0"/>
          <w:sz w:val="24"/>
          <w:highlight w:val="none"/>
        </w:rPr>
        <w:t>说明：</w:t>
      </w:r>
    </w:p>
    <w:p w14:paraId="0EC2A69C">
      <w:pPr>
        <w:spacing w:line="360" w:lineRule="auto"/>
        <w:ind w:left="25" w:leftChars="12" w:firstLine="354" w:firstLineChars="147"/>
        <w:contextualSpacing/>
        <w:rPr>
          <w:rFonts w:hint="eastAsia" w:ascii="宋体" w:hAnsi="宋体" w:cs="宋体"/>
          <w:b/>
          <w:bCs/>
          <w:color w:val="auto"/>
          <w:kern w:val="0"/>
          <w:sz w:val="24"/>
          <w:highlight w:val="none"/>
        </w:rPr>
      </w:pPr>
      <w:r>
        <w:rPr>
          <w:rFonts w:hint="eastAsia" w:ascii="宋体" w:hAnsi="宋体" w:cs="宋体"/>
          <w:b/>
          <w:color w:val="auto"/>
          <w:kern w:val="0"/>
          <w:sz w:val="24"/>
          <w:highlight w:val="none"/>
        </w:rPr>
        <w:t>1.供应商提出质疑时，应提交质疑函和必要的证明材料</w:t>
      </w:r>
      <w:r>
        <w:rPr>
          <w:rFonts w:hint="eastAsia" w:ascii="宋体" w:hAnsi="宋体" w:cs="宋体"/>
          <w:b/>
          <w:bCs/>
          <w:color w:val="auto"/>
          <w:kern w:val="0"/>
          <w:sz w:val="24"/>
          <w:highlight w:val="none"/>
        </w:rPr>
        <w:t>。</w:t>
      </w:r>
    </w:p>
    <w:p w14:paraId="5C7E6A17">
      <w:pPr>
        <w:spacing w:line="360" w:lineRule="auto"/>
        <w:ind w:left="25" w:leftChars="12" w:firstLine="354" w:firstLineChars="147"/>
        <w:contextualSpacing/>
        <w:rPr>
          <w:rFonts w:hint="eastAsia" w:ascii="宋体" w:hAnsi="宋体" w:cs="宋体"/>
          <w:b/>
          <w:color w:val="auto"/>
          <w:kern w:val="0"/>
          <w:sz w:val="24"/>
          <w:highlight w:val="none"/>
        </w:rPr>
      </w:pPr>
      <w:r>
        <w:rPr>
          <w:rFonts w:hint="eastAsia" w:ascii="宋体" w:hAnsi="宋体" w:cs="宋体"/>
          <w:b/>
          <w:color w:val="auto"/>
          <w:kern w:val="0"/>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78B8CFC4">
      <w:pPr>
        <w:spacing w:line="360" w:lineRule="auto"/>
        <w:ind w:left="25" w:leftChars="12" w:firstLine="354" w:firstLineChars="147"/>
        <w:contextualSpacing/>
        <w:rPr>
          <w:rFonts w:hint="eastAsia" w:ascii="宋体" w:hAnsi="宋体" w:cs="宋体"/>
          <w:b/>
          <w:color w:val="auto"/>
          <w:kern w:val="0"/>
          <w:sz w:val="24"/>
          <w:highlight w:val="none"/>
        </w:rPr>
      </w:pPr>
      <w:r>
        <w:rPr>
          <w:rFonts w:hint="eastAsia" w:ascii="宋体" w:hAnsi="宋体" w:cs="宋体"/>
          <w:b/>
          <w:color w:val="auto"/>
          <w:kern w:val="0"/>
          <w:sz w:val="24"/>
          <w:highlight w:val="none"/>
        </w:rPr>
        <w:t>3.质疑函的质疑事项应具体、明确，并有必要的事实依据和法律依据。</w:t>
      </w:r>
    </w:p>
    <w:p w14:paraId="6507831E">
      <w:pPr>
        <w:spacing w:line="360" w:lineRule="auto"/>
        <w:ind w:left="25" w:leftChars="12" w:firstLine="354" w:firstLineChars="147"/>
        <w:contextualSpacing/>
        <w:rPr>
          <w:rFonts w:hint="eastAsia" w:ascii="宋体" w:hAnsi="宋体" w:cs="宋体"/>
          <w:b/>
          <w:color w:val="auto"/>
          <w:kern w:val="0"/>
          <w:sz w:val="24"/>
          <w:highlight w:val="none"/>
        </w:rPr>
      </w:pPr>
      <w:r>
        <w:rPr>
          <w:rFonts w:hint="eastAsia" w:ascii="宋体" w:hAnsi="宋体" w:cs="宋体"/>
          <w:b/>
          <w:color w:val="auto"/>
          <w:kern w:val="0"/>
          <w:sz w:val="24"/>
          <w:highlight w:val="none"/>
        </w:rPr>
        <w:t>4.质疑函的质疑请求应与质疑事项相关。</w:t>
      </w:r>
    </w:p>
    <w:p w14:paraId="6C3E0BE8">
      <w:pPr>
        <w:spacing w:line="360" w:lineRule="auto"/>
        <w:ind w:left="25" w:leftChars="12" w:firstLine="354" w:firstLineChars="147"/>
        <w:contextualSpacing/>
        <w:rPr>
          <w:rFonts w:hint="eastAsia" w:ascii="宋体" w:hAnsi="宋体" w:cs="宋体"/>
          <w:b/>
          <w:color w:val="auto"/>
          <w:kern w:val="0"/>
          <w:sz w:val="20"/>
          <w:szCs w:val="21"/>
          <w:highlight w:val="none"/>
        </w:rPr>
      </w:pPr>
      <w:r>
        <w:rPr>
          <w:rFonts w:hint="eastAsia" w:ascii="宋体" w:hAnsi="宋体" w:cs="宋体"/>
          <w:b/>
          <w:color w:val="auto"/>
          <w:kern w:val="0"/>
          <w:sz w:val="24"/>
          <w:highlight w:val="none"/>
        </w:rPr>
        <w:t>5.质疑供应商为法人或者其他组织的，质疑函应由法定代表人、主要负责人，或者其授权代表签字或者盖章，并加盖公章。</w:t>
      </w:r>
    </w:p>
    <w:p w14:paraId="235BC6B5">
      <w:pPr>
        <w:snapToGrid w:val="0"/>
        <w:rPr>
          <w:rFonts w:hint="eastAsia" w:ascii="宋体" w:hAnsi="宋体" w:cs="宋体"/>
          <w:b/>
          <w:color w:val="auto"/>
          <w:kern w:val="0"/>
          <w:sz w:val="24"/>
          <w:highlight w:val="none"/>
        </w:rPr>
      </w:pPr>
    </w:p>
    <w:p w14:paraId="12E2D850">
      <w:pPr>
        <w:spacing w:line="460" w:lineRule="exact"/>
        <w:jc w:val="center"/>
        <w:rPr>
          <w:rFonts w:hint="eastAsia" w:ascii="宋体" w:hAnsi="宋体" w:cs="宋体"/>
          <w:color w:val="auto"/>
          <w:sz w:val="44"/>
          <w:highlight w:val="none"/>
        </w:rPr>
      </w:pPr>
      <w:r>
        <w:rPr>
          <w:rFonts w:hint="eastAsia" w:ascii="宋体" w:hAnsi="宋体" w:cs="宋体"/>
          <w:color w:val="auto"/>
          <w:sz w:val="44"/>
          <w:highlight w:val="none"/>
        </w:rPr>
        <w:br w:type="page"/>
      </w:r>
    </w:p>
    <w:p w14:paraId="23911E46">
      <w:pPr>
        <w:spacing w:line="360" w:lineRule="auto"/>
        <w:jc w:val="center"/>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投诉书（格式）</w:t>
      </w:r>
    </w:p>
    <w:p w14:paraId="11433987">
      <w:pPr>
        <w:snapToGrid w:val="0"/>
        <w:spacing w:line="360" w:lineRule="auto"/>
        <w:ind w:firstLine="482" w:firstLineChars="200"/>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一、投诉相关主体基本情况：</w:t>
      </w:r>
    </w:p>
    <w:p w14:paraId="5B029834">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供应商：                                                                                         </w:t>
      </w:r>
    </w:p>
    <w:p w14:paraId="0D95EA85">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地址：                                          邮编：                                           </w:t>
      </w:r>
    </w:p>
    <w:p w14:paraId="4B52ABCF">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法定代表人/主要负责人：                                                         </w:t>
      </w:r>
    </w:p>
    <w:p w14:paraId="3D960695">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联系电话：                                         </w:t>
      </w:r>
    </w:p>
    <w:p w14:paraId="3F874890">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授权代表：                                         联系电话：                   </w:t>
      </w:r>
    </w:p>
    <w:p w14:paraId="43F78C43">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地址：                                                            </w:t>
      </w:r>
    </w:p>
    <w:p w14:paraId="0ACCB8EA">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邮编：            </w:t>
      </w:r>
    </w:p>
    <w:p w14:paraId="6ADEA2ED">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被投诉人1：</w:t>
      </w:r>
    </w:p>
    <w:p w14:paraId="7A1D4798">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地址：                                                            </w:t>
      </w:r>
    </w:p>
    <w:p w14:paraId="505088D4">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邮编：           </w:t>
      </w:r>
    </w:p>
    <w:p w14:paraId="3C9E1B89">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联系人：                                                联系电话：                </w:t>
      </w:r>
    </w:p>
    <w:p w14:paraId="18932D8A">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被投诉人2：</w:t>
      </w:r>
    </w:p>
    <w:p w14:paraId="6146C7A5">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w:t>
      </w:r>
    </w:p>
    <w:p w14:paraId="7365EDD7">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相关供应商：                                                                       </w:t>
      </w:r>
    </w:p>
    <w:p w14:paraId="28623656">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地址：                                              邮编：                         </w:t>
      </w:r>
    </w:p>
    <w:p w14:paraId="5ACB4401">
      <w:pPr>
        <w:snapToGrid w:val="0"/>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联系人：                                            联系电话：                                     </w:t>
      </w:r>
    </w:p>
    <w:p w14:paraId="42FCAE22">
      <w:pPr>
        <w:snapToGrid w:val="0"/>
        <w:spacing w:line="360" w:lineRule="auto"/>
        <w:ind w:firstLine="482" w:firstLineChars="200"/>
        <w:rPr>
          <w:rFonts w:hint="eastAsia" w:ascii="宋体" w:hAnsi="宋体" w:cs="宋体"/>
          <w:b/>
          <w:bCs/>
          <w:color w:val="auto"/>
          <w:kern w:val="0"/>
          <w:sz w:val="24"/>
          <w:highlight w:val="none"/>
        </w:rPr>
      </w:pPr>
      <w:r>
        <w:rPr>
          <w:rFonts w:hint="eastAsia" w:ascii="宋体" w:hAnsi="宋体" w:cs="宋体"/>
          <w:b/>
          <w:bCs/>
          <w:color w:val="auto"/>
          <w:kern w:val="0"/>
          <w:sz w:val="24"/>
          <w:highlight w:val="none"/>
        </w:rPr>
        <w:t>二、投诉项目基本情况：</w:t>
      </w:r>
    </w:p>
    <w:p w14:paraId="72B12B09">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bCs/>
          <w:color w:val="auto"/>
          <w:kern w:val="0"/>
          <w:sz w:val="24"/>
          <w:highlight w:val="none"/>
        </w:rPr>
        <w:t>采购</w:t>
      </w:r>
      <w:r>
        <w:rPr>
          <w:rFonts w:hint="eastAsia" w:ascii="宋体" w:hAnsi="宋体" w:cs="宋体"/>
          <w:color w:val="auto"/>
          <w:kern w:val="0"/>
          <w:sz w:val="24"/>
          <w:highlight w:val="none"/>
        </w:rPr>
        <w:t>项目的名称：</w:t>
      </w:r>
      <w:r>
        <w:rPr>
          <w:rFonts w:hint="eastAsia" w:ascii="宋体" w:hAnsi="宋体" w:cs="宋体"/>
          <w:bCs/>
          <w:color w:val="auto"/>
          <w:kern w:val="0"/>
          <w:sz w:val="24"/>
          <w:highlight w:val="none"/>
        </w:rPr>
        <w:t xml:space="preserve">                                                                   </w:t>
      </w:r>
    </w:p>
    <w:p w14:paraId="11CCEC90">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bCs/>
          <w:color w:val="auto"/>
          <w:kern w:val="0"/>
          <w:sz w:val="24"/>
          <w:highlight w:val="none"/>
        </w:rPr>
        <w:t>采购</w:t>
      </w:r>
      <w:r>
        <w:rPr>
          <w:rFonts w:hint="eastAsia" w:ascii="宋体" w:hAnsi="宋体" w:cs="宋体"/>
          <w:color w:val="auto"/>
          <w:kern w:val="0"/>
          <w:sz w:val="24"/>
          <w:highlight w:val="none"/>
        </w:rPr>
        <w:t>项目的编号：</w:t>
      </w:r>
      <w:r>
        <w:rPr>
          <w:rFonts w:hint="eastAsia" w:ascii="宋体" w:hAnsi="宋体" w:cs="宋体"/>
          <w:bCs/>
          <w:color w:val="auto"/>
          <w:kern w:val="0"/>
          <w:sz w:val="24"/>
          <w:highlight w:val="none"/>
        </w:rPr>
        <w:t xml:space="preserve">                                          </w:t>
      </w:r>
    </w:p>
    <w:p w14:paraId="7D9C0030">
      <w:pPr>
        <w:spacing w:line="360" w:lineRule="auto"/>
        <w:ind w:left="25" w:leftChars="12" w:firstLine="472" w:firstLineChars="197"/>
        <w:rPr>
          <w:rFonts w:hint="eastAsia" w:ascii="宋体" w:hAnsi="宋体" w:cs="宋体"/>
          <w:bCs/>
          <w:color w:val="auto"/>
          <w:kern w:val="0"/>
          <w:sz w:val="24"/>
          <w:highlight w:val="none"/>
        </w:rPr>
      </w:pPr>
      <w:r>
        <w:rPr>
          <w:rFonts w:hint="eastAsia" w:ascii="宋体" w:hAnsi="宋体" w:cs="宋体"/>
          <w:color w:val="auto"/>
          <w:kern w:val="0"/>
          <w:sz w:val="24"/>
          <w:highlight w:val="none"/>
        </w:rPr>
        <w:t>采购人名称：</w:t>
      </w:r>
      <w:r>
        <w:rPr>
          <w:rFonts w:hint="eastAsia" w:ascii="宋体" w:hAnsi="宋体" w:cs="宋体"/>
          <w:bCs/>
          <w:color w:val="auto"/>
          <w:kern w:val="0"/>
          <w:sz w:val="24"/>
          <w:highlight w:val="none"/>
        </w:rPr>
        <w:t xml:space="preserve">                                                                        </w:t>
      </w:r>
    </w:p>
    <w:p w14:paraId="64C03443">
      <w:pPr>
        <w:spacing w:line="360" w:lineRule="auto"/>
        <w:ind w:left="25" w:leftChars="12" w:firstLine="472" w:firstLineChars="197"/>
        <w:rPr>
          <w:rFonts w:hint="eastAsia" w:ascii="宋体" w:hAnsi="宋体" w:cs="宋体"/>
          <w:bCs/>
          <w:color w:val="auto"/>
          <w:kern w:val="0"/>
          <w:sz w:val="24"/>
          <w:highlight w:val="none"/>
        </w:rPr>
      </w:pPr>
      <w:r>
        <w:rPr>
          <w:rFonts w:hint="eastAsia" w:ascii="宋体" w:hAnsi="宋体" w:cs="宋体"/>
          <w:color w:val="auto"/>
          <w:kern w:val="0"/>
          <w:sz w:val="24"/>
          <w:highlight w:val="none"/>
        </w:rPr>
        <w:t>代理机构名称：</w:t>
      </w:r>
      <w:r>
        <w:rPr>
          <w:rFonts w:hint="eastAsia" w:ascii="宋体" w:hAnsi="宋体" w:cs="宋体"/>
          <w:bCs/>
          <w:color w:val="auto"/>
          <w:kern w:val="0"/>
          <w:sz w:val="24"/>
          <w:highlight w:val="none"/>
        </w:rPr>
        <w:t xml:space="preserve">                                                                      </w:t>
      </w:r>
    </w:p>
    <w:p w14:paraId="3CA1CDE0">
      <w:pPr>
        <w:spacing w:line="360" w:lineRule="auto"/>
        <w:ind w:left="25" w:leftChars="12" w:firstLine="472" w:firstLineChars="197"/>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招标文件公告：是/否公告期限：                                                       </w:t>
      </w:r>
    </w:p>
    <w:p w14:paraId="2663D48E">
      <w:pPr>
        <w:spacing w:line="360" w:lineRule="auto"/>
        <w:ind w:left="25" w:leftChars="12" w:firstLine="472" w:firstLineChars="197"/>
        <w:rPr>
          <w:rFonts w:hint="eastAsia" w:ascii="宋体" w:hAnsi="宋体" w:cs="宋体"/>
          <w:b/>
          <w:color w:val="auto"/>
          <w:kern w:val="0"/>
          <w:sz w:val="24"/>
          <w:highlight w:val="none"/>
        </w:rPr>
      </w:pPr>
      <w:r>
        <w:rPr>
          <w:rFonts w:hint="eastAsia" w:ascii="宋体" w:hAnsi="宋体" w:cs="宋体"/>
          <w:bCs/>
          <w:color w:val="auto"/>
          <w:kern w:val="0"/>
          <w:sz w:val="24"/>
          <w:highlight w:val="none"/>
        </w:rPr>
        <w:t xml:space="preserve">采购结果公告：是/否公告期限：                                                       </w:t>
      </w:r>
    </w:p>
    <w:p w14:paraId="5EDE1EAE">
      <w:pPr>
        <w:spacing w:line="360" w:lineRule="auto"/>
        <w:ind w:left="25" w:leftChars="12" w:firstLine="472" w:firstLineChars="196"/>
        <w:rPr>
          <w:rFonts w:hint="eastAsia" w:ascii="宋体" w:hAnsi="宋体" w:cs="宋体"/>
          <w:b/>
          <w:color w:val="auto"/>
          <w:kern w:val="0"/>
          <w:sz w:val="24"/>
          <w:highlight w:val="none"/>
        </w:rPr>
      </w:pPr>
      <w:r>
        <w:rPr>
          <w:rFonts w:hint="eastAsia" w:ascii="宋体" w:hAnsi="宋体" w:cs="宋体"/>
          <w:b/>
          <w:color w:val="auto"/>
          <w:kern w:val="0"/>
          <w:sz w:val="24"/>
          <w:highlight w:val="none"/>
        </w:rPr>
        <w:t>三、质疑基本情况</w:t>
      </w:r>
    </w:p>
    <w:p w14:paraId="0A4BE3EA">
      <w:pPr>
        <w:spacing w:line="360" w:lineRule="auto"/>
        <w:ind w:firstLine="480" w:firstLineChars="200"/>
        <w:rPr>
          <w:rFonts w:hint="eastAsia" w:ascii="宋体" w:hAnsi="宋体" w:cs="宋体"/>
          <w:color w:val="auto"/>
          <w:kern w:val="0"/>
          <w:sz w:val="24"/>
          <w:highlight w:val="none"/>
        </w:rPr>
      </w:pPr>
      <w:r>
        <w:rPr>
          <w:rFonts w:hint="eastAsia" w:ascii="宋体" w:hAnsi="宋体" w:cs="宋体"/>
          <w:color w:val="auto"/>
          <w:kern w:val="0"/>
          <w:sz w:val="24"/>
          <w:highlight w:val="none"/>
        </w:rPr>
        <w:t>投诉人于      年   月   日，向                                提出质疑，质疑事项为：</w:t>
      </w:r>
    </w:p>
    <w:p w14:paraId="1C732E4C">
      <w:pPr>
        <w:spacing w:line="360" w:lineRule="auto"/>
        <w:ind w:firstLine="241"/>
        <w:rPr>
          <w:rFonts w:hint="eastAsia" w:ascii="宋体" w:hAnsi="宋体" w:cs="宋体"/>
          <w:bCs/>
          <w:color w:val="auto"/>
          <w:kern w:val="0"/>
          <w:sz w:val="24"/>
          <w:highlight w:val="none"/>
        </w:rPr>
      </w:pPr>
      <w:r>
        <w:rPr>
          <w:rFonts w:hint="eastAsia" w:ascii="宋体" w:hAnsi="宋体" w:cs="宋体"/>
          <w:color w:val="auto"/>
          <w:kern w:val="0"/>
          <w:sz w:val="24"/>
          <w:highlight w:val="none"/>
        </w:rPr>
        <w:t xml:space="preserve">    </w:t>
      </w:r>
      <w:r>
        <w:rPr>
          <w:rFonts w:hint="eastAsia" w:ascii="宋体" w:hAnsi="宋体" w:cs="宋体"/>
          <w:bCs/>
          <w:color w:val="auto"/>
          <w:kern w:val="0"/>
          <w:sz w:val="24"/>
          <w:highlight w:val="none"/>
        </w:rPr>
        <w:t xml:space="preserve">                                                                                      </w:t>
      </w:r>
    </w:p>
    <w:p w14:paraId="09C3EC7C">
      <w:pPr>
        <w:spacing w:line="360" w:lineRule="auto"/>
        <w:ind w:firstLine="241"/>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                                                                                          </w:t>
      </w:r>
    </w:p>
    <w:p w14:paraId="3C54007A">
      <w:pPr>
        <w:spacing w:line="360" w:lineRule="auto"/>
        <w:ind w:firstLine="480" w:firstLineChars="200"/>
        <w:rPr>
          <w:rFonts w:hint="eastAsia" w:ascii="宋体" w:hAnsi="宋体" w:cs="宋体"/>
          <w:color w:val="auto"/>
          <w:kern w:val="0"/>
          <w:sz w:val="24"/>
          <w:highlight w:val="none"/>
        </w:rPr>
      </w:pPr>
      <w:r>
        <w:rPr>
          <w:rFonts w:hint="eastAsia" w:ascii="宋体" w:hAnsi="宋体" w:cs="宋体"/>
          <w:bCs/>
          <w:color w:val="auto"/>
          <w:kern w:val="0"/>
          <w:sz w:val="24"/>
          <w:highlight w:val="none"/>
        </w:rPr>
        <w:t>采购人/代理机构于</w:t>
      </w:r>
      <w:r>
        <w:rPr>
          <w:rFonts w:hint="eastAsia" w:ascii="宋体" w:hAnsi="宋体" w:cs="宋体"/>
          <w:color w:val="auto"/>
          <w:kern w:val="0"/>
          <w:sz w:val="24"/>
          <w:highlight w:val="none"/>
        </w:rPr>
        <w:t xml:space="preserve">      年   月   日，</w:t>
      </w:r>
      <w:r>
        <w:rPr>
          <w:rFonts w:hint="eastAsia" w:ascii="宋体" w:hAnsi="宋体" w:cs="宋体"/>
          <w:bCs/>
          <w:color w:val="auto"/>
          <w:kern w:val="0"/>
          <w:sz w:val="24"/>
          <w:highlight w:val="none"/>
        </w:rPr>
        <w:t xml:space="preserve">就质疑事项作出了答复/没有在法定期限内作出答复。                                                                                             </w:t>
      </w:r>
    </w:p>
    <w:p w14:paraId="7DA32155">
      <w:pPr>
        <w:spacing w:line="360" w:lineRule="auto"/>
        <w:ind w:left="25" w:leftChars="12" w:firstLine="472" w:firstLineChars="196"/>
        <w:rPr>
          <w:rFonts w:hint="eastAsia" w:ascii="宋体" w:hAnsi="宋体" w:cs="宋体"/>
          <w:b/>
          <w:color w:val="auto"/>
          <w:kern w:val="0"/>
          <w:sz w:val="24"/>
          <w:highlight w:val="none"/>
        </w:rPr>
      </w:pPr>
      <w:r>
        <w:rPr>
          <w:rFonts w:hint="eastAsia" w:ascii="宋体" w:hAnsi="宋体" w:cs="宋体"/>
          <w:b/>
          <w:color w:val="auto"/>
          <w:kern w:val="0"/>
          <w:sz w:val="24"/>
          <w:highlight w:val="none"/>
        </w:rPr>
        <w:t>四、投诉事项具体内容</w:t>
      </w:r>
    </w:p>
    <w:p w14:paraId="7642B1FC">
      <w:pPr>
        <w:spacing w:line="360" w:lineRule="auto"/>
        <w:ind w:left="25" w:leftChars="12" w:firstLine="472" w:firstLineChars="197"/>
        <w:rPr>
          <w:rFonts w:hint="eastAsia" w:ascii="宋体" w:hAnsi="宋体" w:cs="宋体"/>
          <w:bCs/>
          <w:color w:val="auto"/>
          <w:kern w:val="0"/>
          <w:sz w:val="24"/>
          <w:highlight w:val="none"/>
        </w:rPr>
      </w:pPr>
      <w:r>
        <w:rPr>
          <w:rFonts w:hint="eastAsia" w:ascii="宋体" w:hAnsi="宋体" w:cs="宋体"/>
          <w:color w:val="auto"/>
          <w:kern w:val="0"/>
          <w:sz w:val="24"/>
          <w:highlight w:val="none"/>
        </w:rPr>
        <w:t>投诉事项1：</w:t>
      </w:r>
      <w:r>
        <w:rPr>
          <w:rFonts w:hint="eastAsia" w:ascii="宋体" w:hAnsi="宋体" w:cs="宋体"/>
          <w:bCs/>
          <w:color w:val="auto"/>
          <w:kern w:val="0"/>
          <w:sz w:val="24"/>
          <w:highlight w:val="none"/>
        </w:rPr>
        <w:t xml:space="preserve">                                                                           </w:t>
      </w:r>
    </w:p>
    <w:p w14:paraId="77B31757">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事实依据：</w:t>
      </w:r>
      <w:r>
        <w:rPr>
          <w:rFonts w:hint="eastAsia" w:ascii="宋体" w:hAnsi="宋体" w:cs="宋体"/>
          <w:color w:val="auto"/>
          <w:kern w:val="0"/>
          <w:sz w:val="24"/>
          <w:highlight w:val="none"/>
        </w:rPr>
        <w:t xml:space="preserve"> </w:t>
      </w:r>
      <w:r>
        <w:rPr>
          <w:rFonts w:hint="eastAsia" w:ascii="宋体" w:hAnsi="宋体" w:cs="宋体"/>
          <w:bCs/>
          <w:color w:val="auto"/>
          <w:kern w:val="0"/>
          <w:sz w:val="24"/>
          <w:highlight w:val="none"/>
        </w:rPr>
        <w:t xml:space="preserve">                                                                                      </w:t>
      </w:r>
    </w:p>
    <w:p w14:paraId="2C935C1E">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bCs/>
          <w:color w:val="auto"/>
          <w:kern w:val="0"/>
          <w:sz w:val="24"/>
          <w:highlight w:val="none"/>
        </w:rPr>
        <w:t xml:space="preserve">                                                                                        </w:t>
      </w:r>
    </w:p>
    <w:p w14:paraId="2C41B9F3">
      <w:pPr>
        <w:spacing w:line="360" w:lineRule="auto"/>
        <w:ind w:firstLine="480" w:firstLineChars="200"/>
        <w:rPr>
          <w:rFonts w:hint="eastAsia" w:ascii="宋体" w:hAnsi="宋体" w:cs="宋体"/>
          <w:bCs/>
          <w:color w:val="auto"/>
          <w:kern w:val="0"/>
          <w:sz w:val="24"/>
          <w:highlight w:val="none"/>
        </w:rPr>
      </w:pPr>
      <w:r>
        <w:rPr>
          <w:rFonts w:hint="eastAsia" w:ascii="宋体" w:hAnsi="宋体" w:cs="宋体"/>
          <w:bCs/>
          <w:color w:val="auto"/>
          <w:kern w:val="0"/>
          <w:sz w:val="24"/>
          <w:highlight w:val="none"/>
        </w:rPr>
        <w:t>法律依据：</w:t>
      </w:r>
      <w:r>
        <w:rPr>
          <w:rFonts w:hint="eastAsia" w:ascii="宋体" w:hAnsi="宋体" w:cs="宋体"/>
          <w:color w:val="auto"/>
          <w:kern w:val="0"/>
          <w:sz w:val="24"/>
          <w:highlight w:val="none"/>
        </w:rPr>
        <w:t xml:space="preserve"> </w:t>
      </w:r>
      <w:r>
        <w:rPr>
          <w:rFonts w:hint="eastAsia" w:ascii="宋体" w:hAnsi="宋体" w:cs="宋体"/>
          <w:bCs/>
          <w:color w:val="auto"/>
          <w:kern w:val="0"/>
          <w:sz w:val="24"/>
          <w:highlight w:val="none"/>
        </w:rPr>
        <w:t xml:space="preserve">                                                                                      </w:t>
      </w:r>
    </w:p>
    <w:p w14:paraId="70876AF4">
      <w:pPr>
        <w:spacing w:line="360" w:lineRule="auto"/>
        <w:ind w:left="25" w:leftChars="12" w:firstLine="352" w:firstLineChars="147"/>
        <w:rPr>
          <w:rFonts w:hint="eastAsia" w:ascii="宋体" w:hAnsi="宋体" w:cs="宋体"/>
          <w:bCs/>
          <w:color w:val="auto"/>
          <w:kern w:val="0"/>
          <w:sz w:val="24"/>
          <w:highlight w:val="none"/>
        </w:rPr>
      </w:pPr>
      <w:r>
        <w:rPr>
          <w:rFonts w:hint="eastAsia" w:ascii="宋体" w:hAnsi="宋体" w:cs="宋体"/>
          <w:bCs/>
          <w:color w:val="auto"/>
          <w:kern w:val="0"/>
          <w:sz w:val="24"/>
          <w:highlight w:val="none"/>
        </w:rPr>
        <w:t xml:space="preserve">                                                                                         </w:t>
      </w:r>
    </w:p>
    <w:p w14:paraId="161EFE04">
      <w:pPr>
        <w:spacing w:line="360" w:lineRule="auto"/>
        <w:ind w:left="25" w:leftChars="12" w:firstLine="472" w:firstLineChars="197"/>
        <w:rPr>
          <w:rFonts w:hint="eastAsia" w:ascii="宋体" w:hAnsi="宋体" w:cs="宋体"/>
          <w:bCs/>
          <w:color w:val="auto"/>
          <w:kern w:val="0"/>
          <w:sz w:val="24"/>
          <w:highlight w:val="none"/>
        </w:rPr>
      </w:pPr>
      <w:r>
        <w:rPr>
          <w:rFonts w:hint="eastAsia" w:ascii="宋体" w:hAnsi="宋体" w:cs="宋体"/>
          <w:color w:val="auto"/>
          <w:kern w:val="0"/>
          <w:sz w:val="24"/>
          <w:highlight w:val="none"/>
        </w:rPr>
        <w:t xml:space="preserve">投诉事项2  </w:t>
      </w:r>
      <w:r>
        <w:rPr>
          <w:rFonts w:hint="eastAsia" w:ascii="宋体" w:hAnsi="宋体" w:cs="宋体"/>
          <w:bCs/>
          <w:color w:val="auto"/>
          <w:kern w:val="0"/>
          <w:sz w:val="24"/>
          <w:highlight w:val="none"/>
        </w:rPr>
        <w:t xml:space="preserve">   </w:t>
      </w:r>
    </w:p>
    <w:p w14:paraId="3E039E2B">
      <w:pPr>
        <w:spacing w:line="360" w:lineRule="auto"/>
        <w:ind w:left="25" w:leftChars="12" w:firstLine="472" w:firstLineChars="197"/>
        <w:rPr>
          <w:rFonts w:hint="eastAsia" w:ascii="宋体" w:hAnsi="宋体" w:cs="宋体"/>
          <w:bCs/>
          <w:color w:val="auto"/>
          <w:kern w:val="0"/>
          <w:sz w:val="24"/>
          <w:highlight w:val="none"/>
        </w:rPr>
      </w:pPr>
      <w:r>
        <w:rPr>
          <w:rFonts w:hint="eastAsia" w:ascii="宋体" w:hAnsi="宋体" w:cs="宋体"/>
          <w:bCs/>
          <w:color w:val="auto"/>
          <w:kern w:val="0"/>
          <w:sz w:val="24"/>
          <w:highlight w:val="none"/>
        </w:rPr>
        <w:t>……</w:t>
      </w:r>
    </w:p>
    <w:p w14:paraId="2BD7B2BC">
      <w:pPr>
        <w:spacing w:line="360" w:lineRule="auto"/>
        <w:ind w:left="25" w:leftChars="12" w:firstLine="472" w:firstLineChars="196"/>
        <w:rPr>
          <w:rFonts w:hint="eastAsia" w:ascii="宋体" w:hAnsi="宋体" w:cs="宋体"/>
          <w:b/>
          <w:color w:val="auto"/>
          <w:kern w:val="0"/>
          <w:sz w:val="24"/>
          <w:highlight w:val="none"/>
        </w:rPr>
      </w:pPr>
      <w:r>
        <w:rPr>
          <w:rFonts w:hint="eastAsia" w:ascii="宋体" w:hAnsi="宋体" w:cs="宋体"/>
          <w:b/>
          <w:color w:val="auto"/>
          <w:kern w:val="0"/>
          <w:sz w:val="24"/>
          <w:highlight w:val="none"/>
        </w:rPr>
        <w:t>五、与投诉事项相关的投诉请求：</w:t>
      </w:r>
    </w:p>
    <w:p w14:paraId="0CF0AB58">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请求：</w:t>
      </w:r>
      <w:r>
        <w:rPr>
          <w:rFonts w:hint="eastAsia" w:ascii="宋体" w:hAnsi="宋体" w:cs="宋体"/>
          <w:bCs/>
          <w:color w:val="auto"/>
          <w:kern w:val="0"/>
          <w:sz w:val="24"/>
          <w:highlight w:val="none"/>
        </w:rPr>
        <w:t xml:space="preserve">                                                                                 </w:t>
      </w:r>
    </w:p>
    <w:p w14:paraId="07EA08AB">
      <w:pPr>
        <w:spacing w:line="360" w:lineRule="auto"/>
        <w:ind w:left="25" w:leftChars="12" w:firstLine="352" w:firstLineChars="147"/>
        <w:rPr>
          <w:rFonts w:hint="eastAsia" w:ascii="宋体" w:hAnsi="宋体" w:cs="宋体"/>
          <w:color w:val="auto"/>
          <w:kern w:val="0"/>
          <w:sz w:val="24"/>
          <w:highlight w:val="none"/>
        </w:rPr>
      </w:pPr>
    </w:p>
    <w:p w14:paraId="385B365A">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签字（签章）：                                       公章：</w:t>
      </w:r>
    </w:p>
    <w:p w14:paraId="1E40F74F">
      <w:pPr>
        <w:spacing w:line="360" w:lineRule="auto"/>
        <w:ind w:left="25" w:leftChars="12" w:firstLine="352" w:firstLineChars="147"/>
        <w:rPr>
          <w:rFonts w:hint="eastAsia" w:ascii="宋体" w:hAnsi="宋体" w:cs="宋体"/>
          <w:color w:val="auto"/>
          <w:kern w:val="0"/>
          <w:sz w:val="24"/>
          <w:highlight w:val="none"/>
        </w:rPr>
      </w:pPr>
    </w:p>
    <w:p w14:paraId="3D5C58A8">
      <w:pPr>
        <w:spacing w:line="360" w:lineRule="auto"/>
        <w:ind w:left="25" w:leftChars="12" w:firstLine="472" w:firstLineChars="197"/>
        <w:rPr>
          <w:rFonts w:hint="eastAsia" w:ascii="宋体" w:hAnsi="宋体" w:cs="宋体"/>
          <w:color w:val="auto"/>
          <w:kern w:val="0"/>
          <w:sz w:val="24"/>
          <w:highlight w:val="none"/>
        </w:rPr>
      </w:pPr>
      <w:r>
        <w:rPr>
          <w:rFonts w:hint="eastAsia" w:ascii="宋体" w:hAnsi="宋体" w:cs="宋体"/>
          <w:color w:val="auto"/>
          <w:kern w:val="0"/>
          <w:sz w:val="24"/>
          <w:highlight w:val="none"/>
        </w:rPr>
        <w:t>日期：</w:t>
      </w:r>
    </w:p>
    <w:p w14:paraId="1AC1FF66">
      <w:pPr>
        <w:snapToGrid w:val="0"/>
        <w:spacing w:line="360" w:lineRule="auto"/>
        <w:rPr>
          <w:rFonts w:hint="eastAsia" w:ascii="宋体" w:hAnsi="宋体" w:cs="宋体"/>
          <w:b/>
          <w:color w:val="auto"/>
          <w:kern w:val="0"/>
          <w:sz w:val="24"/>
          <w:highlight w:val="none"/>
        </w:rPr>
      </w:pPr>
      <w:r>
        <w:rPr>
          <w:rFonts w:hint="eastAsia" w:ascii="宋体" w:hAnsi="宋体" w:cs="宋体"/>
          <w:bCs/>
          <w:color w:val="auto"/>
          <w:kern w:val="0"/>
          <w:sz w:val="24"/>
          <w:highlight w:val="none"/>
        </w:rPr>
        <w:t xml:space="preserve"> </w:t>
      </w:r>
      <w:r>
        <w:rPr>
          <w:rFonts w:hint="eastAsia" w:ascii="宋体" w:hAnsi="宋体" w:cs="宋体"/>
          <w:b/>
          <w:color w:val="auto"/>
          <w:kern w:val="0"/>
          <w:sz w:val="24"/>
          <w:highlight w:val="none"/>
        </w:rPr>
        <w:t>说明：</w:t>
      </w:r>
    </w:p>
    <w:p w14:paraId="1F6FA1C8">
      <w:pPr>
        <w:spacing w:line="360" w:lineRule="auto"/>
        <w:ind w:left="25" w:leftChars="12" w:firstLine="354" w:firstLineChars="147"/>
        <w:rPr>
          <w:rFonts w:hint="eastAsia" w:ascii="宋体" w:hAnsi="宋体" w:cs="宋体"/>
          <w:b/>
          <w:bCs/>
          <w:color w:val="auto"/>
          <w:kern w:val="0"/>
          <w:sz w:val="24"/>
          <w:highlight w:val="none"/>
        </w:rPr>
      </w:pPr>
      <w:r>
        <w:rPr>
          <w:rFonts w:hint="eastAsia" w:ascii="宋体" w:hAnsi="宋体" w:cs="宋体"/>
          <w:b/>
          <w:color w:val="auto"/>
          <w:kern w:val="0"/>
          <w:sz w:val="24"/>
          <w:highlight w:val="none"/>
        </w:rPr>
        <w:t>1.投诉人提起投诉时，应当提交投诉书和必要的证明材料，并按照被投诉人和与投诉事项有关的供应商数量提供投诉书副本</w:t>
      </w:r>
      <w:r>
        <w:rPr>
          <w:rFonts w:hint="eastAsia" w:ascii="宋体" w:hAnsi="宋体" w:cs="宋体"/>
          <w:b/>
          <w:bCs/>
          <w:color w:val="auto"/>
          <w:kern w:val="0"/>
          <w:sz w:val="24"/>
          <w:highlight w:val="none"/>
        </w:rPr>
        <w:t>。</w:t>
      </w:r>
    </w:p>
    <w:p w14:paraId="189E3233">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07F89F61">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3.投诉书应简要列明质疑事项，质疑函、质疑答复等作为附件材料提供。</w:t>
      </w:r>
    </w:p>
    <w:p w14:paraId="6806FF56">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4.投诉书的投诉事项应具体、明确，并有必要的事实依据和法律依据。</w:t>
      </w:r>
    </w:p>
    <w:p w14:paraId="6F7E81CC">
      <w:pPr>
        <w:spacing w:line="360" w:lineRule="auto"/>
        <w:ind w:left="25" w:leftChars="12" w:firstLine="354" w:firstLineChars="147"/>
        <w:rPr>
          <w:rFonts w:hint="eastAsia" w:ascii="宋体" w:hAnsi="宋体" w:cs="宋体"/>
          <w:b/>
          <w:color w:val="auto"/>
          <w:kern w:val="0"/>
          <w:sz w:val="24"/>
          <w:highlight w:val="none"/>
        </w:rPr>
      </w:pPr>
      <w:r>
        <w:rPr>
          <w:rFonts w:hint="eastAsia" w:ascii="宋体" w:hAnsi="宋体" w:cs="宋体"/>
          <w:b/>
          <w:color w:val="auto"/>
          <w:kern w:val="0"/>
          <w:sz w:val="24"/>
          <w:highlight w:val="none"/>
        </w:rPr>
        <w:t>5.投诉书的投诉请求应与投诉事项相关。</w:t>
      </w:r>
    </w:p>
    <w:p w14:paraId="63465D1A">
      <w:pPr>
        <w:spacing w:line="360" w:lineRule="auto"/>
        <w:ind w:left="25" w:leftChars="12" w:firstLine="354" w:firstLineChars="147"/>
        <w:rPr>
          <w:rFonts w:hint="eastAsia" w:ascii="宋体" w:hAnsi="宋体" w:cs="宋体"/>
          <w:color w:val="auto"/>
          <w:highlight w:val="none"/>
        </w:rPr>
      </w:pPr>
      <w:r>
        <w:rPr>
          <w:rFonts w:hint="eastAsia" w:ascii="宋体" w:hAnsi="宋体" w:cs="宋体"/>
          <w:b/>
          <w:color w:val="auto"/>
          <w:kern w:val="0"/>
          <w:sz w:val="24"/>
          <w:highlight w:val="none"/>
        </w:rPr>
        <w:t>6.投诉人为法人或者其他组织的，投诉书应由法定代表人、主要负责人，或者其授权代表签字或者盖章，并加盖公章。</w:t>
      </w:r>
    </w:p>
    <w:p w14:paraId="1D6EA12A">
      <w:pPr>
        <w:rPr>
          <w:rFonts w:hint="eastAsia" w:ascii="宋体" w:hAnsi="宋体" w:cs="宋体"/>
          <w:color w:val="auto"/>
          <w:highlight w:val="none"/>
        </w:rPr>
      </w:pPr>
    </w:p>
    <w:p w14:paraId="38297F42">
      <w:pPr>
        <w:rPr>
          <w:rFonts w:hint="eastAsia" w:ascii="宋体" w:hAnsi="宋体" w:cs="宋体"/>
          <w:color w:val="auto"/>
          <w:highlight w:val="none"/>
        </w:rPr>
      </w:pPr>
    </w:p>
    <w:p w14:paraId="2B03C6E4">
      <w:pPr>
        <w:rPr>
          <w:rFonts w:hint="eastAsia" w:ascii="宋体" w:hAnsi="宋体" w:cs="宋体"/>
          <w:color w:val="auto"/>
          <w:highlight w:val="none"/>
        </w:rPr>
      </w:pPr>
    </w:p>
    <w:p w14:paraId="4AF1F058">
      <w:pPr>
        <w:rPr>
          <w:rFonts w:hint="eastAsia" w:ascii="宋体" w:hAnsi="宋体" w:cs="宋体"/>
          <w:color w:val="auto"/>
          <w:highlight w:val="none"/>
        </w:rPr>
      </w:pPr>
    </w:p>
    <w:p w14:paraId="3E9E3FCD">
      <w:pPr>
        <w:rPr>
          <w:rFonts w:hint="eastAsia" w:ascii="宋体" w:hAnsi="宋体" w:cs="宋体"/>
          <w:color w:val="auto"/>
          <w:highlight w:val="none"/>
        </w:rPr>
      </w:pPr>
    </w:p>
    <w:p w14:paraId="58028186">
      <w:pPr>
        <w:rPr>
          <w:rFonts w:hint="eastAsia" w:ascii="宋体" w:hAnsi="宋体" w:cs="宋体"/>
          <w:color w:val="auto"/>
          <w:highlight w:val="none"/>
        </w:rPr>
      </w:pPr>
    </w:p>
    <w:p w14:paraId="732FDAA7">
      <w:pPr>
        <w:rPr>
          <w:rFonts w:hint="eastAsia" w:ascii="宋体" w:hAnsi="宋体" w:cs="宋体"/>
          <w:color w:val="auto"/>
          <w:highlight w:val="none"/>
        </w:rPr>
      </w:pPr>
    </w:p>
    <w:p w14:paraId="0DE424DE">
      <w:pPr>
        <w:rPr>
          <w:rFonts w:hint="eastAsia" w:ascii="宋体" w:hAnsi="宋体" w:cs="宋体"/>
          <w:color w:val="auto"/>
          <w:highlight w:val="none"/>
        </w:rPr>
      </w:pPr>
    </w:p>
    <w:p w14:paraId="04671738">
      <w:pPr>
        <w:rPr>
          <w:rFonts w:hint="eastAsia" w:ascii="宋体" w:hAnsi="宋体" w:cs="宋体"/>
          <w:color w:val="auto"/>
          <w:highlight w:val="none"/>
        </w:rPr>
      </w:pPr>
    </w:p>
    <w:p w14:paraId="01F26629">
      <w:pPr>
        <w:rPr>
          <w:rFonts w:hint="eastAsia" w:ascii="宋体" w:hAnsi="宋体" w:cs="宋体"/>
          <w:color w:val="auto"/>
          <w:highlight w:val="none"/>
        </w:rPr>
      </w:pPr>
    </w:p>
    <w:p w14:paraId="4B45E9D1">
      <w:pPr>
        <w:rPr>
          <w:rFonts w:hint="eastAsia" w:ascii="宋体" w:hAnsi="宋体" w:cs="宋体"/>
          <w:color w:val="auto"/>
          <w:highlight w:val="none"/>
        </w:rPr>
      </w:pPr>
    </w:p>
    <w:p w14:paraId="5427D63C">
      <w:pPr>
        <w:rPr>
          <w:rFonts w:hint="eastAsia" w:ascii="宋体" w:hAnsi="宋体" w:cs="宋体"/>
          <w:color w:val="auto"/>
          <w:highlight w:val="none"/>
        </w:rPr>
      </w:pPr>
    </w:p>
    <w:p w14:paraId="1752AE71">
      <w:pPr>
        <w:rPr>
          <w:rFonts w:hint="eastAsia" w:ascii="宋体" w:hAnsi="宋体" w:cs="宋体"/>
          <w:color w:val="auto"/>
          <w:highlight w:val="none"/>
        </w:rPr>
      </w:pPr>
    </w:p>
    <w:p w14:paraId="59FAD514">
      <w:pPr>
        <w:rPr>
          <w:rFonts w:hint="eastAsia" w:ascii="宋体" w:hAnsi="宋体" w:cs="宋体"/>
          <w:color w:val="auto"/>
          <w:sz w:val="44"/>
          <w:szCs w:val="44"/>
          <w:highlight w:val="none"/>
        </w:rPr>
      </w:pPr>
    </w:p>
    <w:p w14:paraId="06CD4AAB">
      <w:pPr>
        <w:jc w:val="center"/>
        <w:outlineLvl w:val="0"/>
        <w:rPr>
          <w:rFonts w:hint="eastAsia" w:ascii="宋体" w:hAnsi="宋体" w:cs="宋体"/>
          <w:b/>
          <w:bCs/>
          <w:color w:val="auto"/>
          <w:kern w:val="44"/>
          <w:sz w:val="44"/>
          <w:szCs w:val="44"/>
          <w:highlight w:val="none"/>
        </w:rPr>
      </w:pPr>
      <w:bookmarkStart w:id="71" w:name="_Toc8819"/>
      <w:bookmarkStart w:id="72" w:name="_Toc5940"/>
      <w:bookmarkStart w:id="73" w:name="_Toc12838"/>
      <w:bookmarkStart w:id="74" w:name="_Toc28921"/>
      <w:r>
        <w:rPr>
          <w:rFonts w:hint="eastAsia" w:ascii="宋体" w:hAnsi="宋体" w:cs="宋体"/>
          <w:b/>
          <w:bCs/>
          <w:color w:val="auto"/>
          <w:kern w:val="44"/>
          <w:sz w:val="44"/>
          <w:szCs w:val="44"/>
          <w:highlight w:val="none"/>
        </w:rPr>
        <w:t>第八章 政府采购合同验收书范本</w:t>
      </w:r>
      <w:bookmarkEnd w:id="71"/>
      <w:bookmarkEnd w:id="72"/>
      <w:bookmarkEnd w:id="73"/>
      <w:bookmarkEnd w:id="74"/>
    </w:p>
    <w:p w14:paraId="0CB632E7">
      <w:pPr>
        <w:tabs>
          <w:tab w:val="left" w:pos="576"/>
        </w:tabs>
        <w:jc w:val="center"/>
        <w:rPr>
          <w:rFonts w:hint="eastAsia" w:ascii="宋体" w:hAnsi="宋体" w:cs="宋体"/>
          <w:color w:val="auto"/>
          <w:kern w:val="0"/>
          <w:sz w:val="32"/>
          <w:highlight w:val="none"/>
        </w:rPr>
      </w:pPr>
      <w:r>
        <w:rPr>
          <w:rFonts w:hint="eastAsia" w:ascii="宋体" w:hAnsi="宋体" w:cs="宋体"/>
          <w:b/>
          <w:color w:val="auto"/>
          <w:sz w:val="24"/>
          <w:highlight w:val="none"/>
        </w:rPr>
        <w:br w:type="page"/>
      </w:r>
      <w:r>
        <w:rPr>
          <w:rFonts w:hint="eastAsia" w:ascii="宋体" w:hAnsi="宋体" w:cs="宋体"/>
          <w:b/>
          <w:bCs/>
          <w:color w:val="auto"/>
          <w:sz w:val="32"/>
          <w:szCs w:val="32"/>
          <w:highlight w:val="none"/>
        </w:rPr>
        <w:t>广西壮族自治区政府采购项目合同验收书（格式）</w:t>
      </w:r>
    </w:p>
    <w:p w14:paraId="44CB84E9">
      <w:pPr>
        <w:widowControl/>
        <w:snapToGrid w:val="0"/>
        <w:spacing w:before="100" w:beforeAutospacing="1" w:after="100" w:afterAutospacing="1" w:line="320" w:lineRule="exact"/>
        <w:ind w:left="-359" w:leftChars="-171"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根据政府采购项目（采购合同编号：</w:t>
      </w:r>
      <w:r>
        <w:rPr>
          <w:rFonts w:hint="eastAsia" w:ascii="宋体" w:hAnsi="宋体" w:cs="宋体"/>
          <w:color w:val="auto"/>
          <w:kern w:val="0"/>
          <w:sz w:val="24"/>
          <w:highlight w:val="none"/>
        </w:rPr>
        <w:softHyphen/>
      </w:r>
      <w:r>
        <w:rPr>
          <w:rFonts w:hint="eastAsia" w:ascii="宋体" w:hAnsi="宋体" w:cs="宋体"/>
          <w:color w:val="auto"/>
          <w:kern w:val="0"/>
          <w:sz w:val="24"/>
          <w:highlight w:val="none"/>
        </w:rPr>
        <w:t>    ）的约定，我单位对（  项目名称   ）       政府采购项目中标（或成交）供应商（            公司名称              ）       提供的货物（或工程、服务）进行了验收，验收情况如下：</w:t>
      </w:r>
    </w:p>
    <w:tbl>
      <w:tblPr>
        <w:tblStyle w:val="33"/>
        <w:tblW w:w="0" w:type="auto"/>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0" w:type="dxa"/>
          <w:bottom w:w="0" w:type="dxa"/>
          <w:right w:w="0" w:type="dxa"/>
        </w:tblCellMar>
      </w:tblPr>
      <w:tblGrid>
        <w:gridCol w:w="1527"/>
        <w:gridCol w:w="2294"/>
        <w:gridCol w:w="946"/>
        <w:gridCol w:w="2495"/>
        <w:gridCol w:w="205"/>
        <w:gridCol w:w="793"/>
        <w:gridCol w:w="1367"/>
      </w:tblGrid>
      <w:tr w14:paraId="39A856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97" w:hRule="atLeast"/>
          <w:jc w:val="center"/>
        </w:trPr>
        <w:tc>
          <w:tcPr>
            <w:tcW w:w="3821" w:type="dxa"/>
            <w:gridSpan w:val="2"/>
            <w:tcBorders>
              <w:top w:val="single" w:color="auto" w:sz="8" w:space="0"/>
              <w:left w:val="single" w:color="auto" w:sz="8" w:space="0"/>
              <w:bottom w:val="single" w:color="auto" w:sz="8" w:space="0"/>
              <w:right w:val="single" w:color="auto" w:sz="8" w:space="0"/>
            </w:tcBorders>
            <w:vAlign w:val="center"/>
          </w:tcPr>
          <w:p w14:paraId="4EB6B2F0">
            <w:pPr>
              <w:widowControl/>
              <w:snapToGrid w:val="0"/>
              <w:spacing w:before="100" w:beforeAutospacing="1" w:after="100" w:afterAutospacing="1" w:line="320" w:lineRule="exact"/>
              <w:ind w:left="-3" w:firstLine="4" w:firstLineChars="2"/>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验收方式：</w:t>
            </w:r>
          </w:p>
        </w:tc>
        <w:tc>
          <w:tcPr>
            <w:tcW w:w="5806" w:type="dxa"/>
            <w:gridSpan w:val="5"/>
            <w:tcBorders>
              <w:top w:val="single" w:color="auto" w:sz="8" w:space="0"/>
              <w:left w:val="single" w:color="auto" w:sz="8" w:space="0"/>
              <w:bottom w:val="single" w:color="auto" w:sz="8" w:space="0"/>
              <w:right w:val="single" w:color="auto" w:sz="8" w:space="0"/>
            </w:tcBorders>
            <w:vAlign w:val="center"/>
          </w:tcPr>
          <w:p w14:paraId="51FB884A">
            <w:pPr>
              <w:widowControl/>
              <w:snapToGrid w:val="0"/>
              <w:spacing w:before="100" w:beforeAutospacing="1" w:after="100" w:afterAutospacing="1" w:line="320" w:lineRule="exact"/>
              <w:ind w:left="-3" w:firstLine="480" w:firstLineChars="200"/>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□自行验收         □委托验收</w:t>
            </w:r>
          </w:p>
        </w:tc>
      </w:tr>
      <w:tr w14:paraId="36DEFD5F">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22"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0A048705">
            <w:pPr>
              <w:widowControl/>
              <w:snapToGrid w:val="0"/>
              <w:spacing w:before="100" w:beforeAutospacing="1" w:after="100" w:afterAutospacing="1" w:line="320" w:lineRule="exact"/>
              <w:ind w:firstLine="2" w:firstLineChars="1"/>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序号</w:t>
            </w:r>
          </w:p>
        </w:tc>
        <w:tc>
          <w:tcPr>
            <w:tcW w:w="2294" w:type="dxa"/>
            <w:tcBorders>
              <w:top w:val="single" w:color="auto" w:sz="8" w:space="0"/>
              <w:left w:val="single" w:color="auto" w:sz="8" w:space="0"/>
              <w:bottom w:val="single" w:color="auto" w:sz="8" w:space="0"/>
              <w:right w:val="single" w:color="auto" w:sz="8" w:space="0"/>
            </w:tcBorders>
            <w:vAlign w:val="center"/>
          </w:tcPr>
          <w:p w14:paraId="6ABC8EA0">
            <w:pPr>
              <w:widowControl/>
              <w:snapToGrid w:val="0"/>
              <w:spacing w:before="100" w:beforeAutospacing="1" w:after="100" w:afterAutospacing="1" w:line="320" w:lineRule="exact"/>
              <w:ind w:left="-3" w:firstLine="2" w:firstLineChars="1"/>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名  称</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5EB878B9">
            <w:pPr>
              <w:widowControl/>
              <w:snapToGrid w:val="0"/>
              <w:spacing w:before="100" w:beforeAutospacing="1" w:after="100" w:afterAutospacing="1" w:line="320" w:lineRule="exact"/>
              <w:ind w:left="-3" w:firstLine="2" w:firstLineChars="1"/>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货物型号规格、标准及配置等（或服务内容、标准）</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65FC40EC">
            <w:pPr>
              <w:widowControl/>
              <w:snapToGrid w:val="0"/>
              <w:spacing w:before="100" w:beforeAutospacing="1" w:after="100" w:afterAutospacing="1" w:line="320" w:lineRule="exact"/>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数量</w:t>
            </w:r>
          </w:p>
        </w:tc>
        <w:tc>
          <w:tcPr>
            <w:tcW w:w="1367" w:type="dxa"/>
            <w:tcBorders>
              <w:top w:val="single" w:color="auto" w:sz="8" w:space="0"/>
              <w:left w:val="single" w:color="auto" w:sz="8" w:space="0"/>
              <w:bottom w:val="single" w:color="auto" w:sz="8" w:space="0"/>
              <w:right w:val="single" w:color="auto" w:sz="8" w:space="0"/>
            </w:tcBorders>
            <w:vAlign w:val="center"/>
          </w:tcPr>
          <w:p w14:paraId="19539745">
            <w:pPr>
              <w:widowControl/>
              <w:snapToGrid w:val="0"/>
              <w:spacing w:before="100" w:beforeAutospacing="1" w:after="100" w:afterAutospacing="1" w:line="320" w:lineRule="exact"/>
              <w:ind w:left="-3" w:firstLine="2" w:firstLineChars="1"/>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金  额</w:t>
            </w:r>
          </w:p>
        </w:tc>
      </w:tr>
      <w:tr w14:paraId="67A2E7B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23AAEE0B">
            <w:pPr>
              <w:widowControl/>
              <w:snapToGrid w:val="0"/>
              <w:spacing w:before="100" w:beforeAutospacing="1" w:after="100" w:afterAutospacing="1" w:line="320" w:lineRule="exact"/>
              <w:ind w:left="-3" w:firstLine="4" w:firstLineChars="2"/>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2294" w:type="dxa"/>
            <w:tcBorders>
              <w:top w:val="single" w:color="auto" w:sz="8" w:space="0"/>
              <w:left w:val="single" w:color="auto" w:sz="8" w:space="0"/>
              <w:bottom w:val="single" w:color="auto" w:sz="8" w:space="0"/>
              <w:right w:val="single" w:color="auto" w:sz="8" w:space="0"/>
            </w:tcBorders>
            <w:vAlign w:val="center"/>
          </w:tcPr>
          <w:p w14:paraId="6F7AEF3D">
            <w:pPr>
              <w:widowControl/>
              <w:snapToGrid w:val="0"/>
              <w:spacing w:before="100" w:beforeAutospacing="1" w:after="100" w:afterAutospacing="1" w:line="320" w:lineRule="exact"/>
              <w:ind w:left="-3"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5A38EFCB">
            <w:pPr>
              <w:widowControl/>
              <w:snapToGrid w:val="0"/>
              <w:spacing w:before="100" w:beforeAutospacing="1" w:after="100" w:afterAutospacing="1" w:line="320" w:lineRule="exact"/>
              <w:ind w:left="-3"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555429AB">
            <w:pPr>
              <w:widowControl/>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1367" w:type="dxa"/>
            <w:tcBorders>
              <w:top w:val="single" w:color="auto" w:sz="8" w:space="0"/>
              <w:left w:val="single" w:color="auto" w:sz="8" w:space="0"/>
              <w:bottom w:val="single" w:color="auto" w:sz="8" w:space="0"/>
              <w:right w:val="single" w:color="auto" w:sz="8" w:space="0"/>
            </w:tcBorders>
            <w:vAlign w:val="center"/>
          </w:tcPr>
          <w:p w14:paraId="18CF66AE">
            <w:pPr>
              <w:widowControl/>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r>
      <w:tr w14:paraId="67222EC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6FA054C2">
            <w:pPr>
              <w:widowControl/>
              <w:snapToGrid w:val="0"/>
              <w:spacing w:before="100" w:beforeAutospacing="1" w:after="100" w:afterAutospacing="1" w:line="320" w:lineRule="exact"/>
              <w:ind w:left="-3"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2294" w:type="dxa"/>
            <w:tcBorders>
              <w:top w:val="single" w:color="auto" w:sz="8" w:space="0"/>
              <w:left w:val="single" w:color="auto" w:sz="8" w:space="0"/>
              <w:bottom w:val="single" w:color="auto" w:sz="8" w:space="0"/>
              <w:right w:val="single" w:color="auto" w:sz="8" w:space="0"/>
            </w:tcBorders>
            <w:vAlign w:val="center"/>
          </w:tcPr>
          <w:p w14:paraId="74E08B49">
            <w:pPr>
              <w:widowControl/>
              <w:snapToGrid w:val="0"/>
              <w:spacing w:before="100" w:beforeAutospacing="1" w:after="100" w:afterAutospacing="1" w:line="320" w:lineRule="exact"/>
              <w:ind w:left="-3"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654C769D">
            <w:pPr>
              <w:widowControl/>
              <w:snapToGrid w:val="0"/>
              <w:spacing w:before="100" w:beforeAutospacing="1" w:after="100" w:afterAutospacing="1" w:line="320" w:lineRule="exact"/>
              <w:ind w:left="-3"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416F520E">
            <w:pPr>
              <w:widowControl/>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1367" w:type="dxa"/>
            <w:tcBorders>
              <w:top w:val="single" w:color="auto" w:sz="8" w:space="0"/>
              <w:left w:val="single" w:color="auto" w:sz="8" w:space="0"/>
              <w:bottom w:val="single" w:color="auto" w:sz="8" w:space="0"/>
              <w:right w:val="single" w:color="auto" w:sz="8" w:space="0"/>
            </w:tcBorders>
            <w:vAlign w:val="center"/>
          </w:tcPr>
          <w:p w14:paraId="66ABC7F0">
            <w:pPr>
              <w:widowControl/>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r>
      <w:tr w14:paraId="4AD41B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2568A9E3">
            <w:pPr>
              <w:widowControl/>
              <w:snapToGrid w:val="0"/>
              <w:spacing w:before="100" w:beforeAutospacing="1" w:after="100" w:afterAutospacing="1" w:line="320" w:lineRule="exact"/>
              <w:ind w:left="-3"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2294" w:type="dxa"/>
            <w:tcBorders>
              <w:top w:val="single" w:color="auto" w:sz="8" w:space="0"/>
              <w:left w:val="single" w:color="auto" w:sz="8" w:space="0"/>
              <w:bottom w:val="single" w:color="auto" w:sz="8" w:space="0"/>
              <w:right w:val="single" w:color="auto" w:sz="8" w:space="0"/>
            </w:tcBorders>
            <w:vAlign w:val="center"/>
          </w:tcPr>
          <w:p w14:paraId="3B4A2209">
            <w:pPr>
              <w:widowControl/>
              <w:snapToGrid w:val="0"/>
              <w:spacing w:before="100" w:beforeAutospacing="1" w:after="100" w:afterAutospacing="1" w:line="320" w:lineRule="exact"/>
              <w:ind w:left="-3"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3441" w:type="dxa"/>
            <w:gridSpan w:val="2"/>
            <w:tcBorders>
              <w:top w:val="single" w:color="auto" w:sz="8" w:space="0"/>
              <w:left w:val="single" w:color="auto" w:sz="8" w:space="0"/>
              <w:bottom w:val="single" w:color="auto" w:sz="8" w:space="0"/>
              <w:right w:val="single" w:color="auto" w:sz="8" w:space="0"/>
            </w:tcBorders>
            <w:vAlign w:val="center"/>
          </w:tcPr>
          <w:p w14:paraId="2608926E">
            <w:pPr>
              <w:widowControl/>
              <w:snapToGrid w:val="0"/>
              <w:spacing w:before="100" w:beforeAutospacing="1" w:after="100" w:afterAutospacing="1" w:line="320" w:lineRule="exact"/>
              <w:ind w:left="-3"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31E653AA">
            <w:pPr>
              <w:widowControl/>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1367" w:type="dxa"/>
            <w:tcBorders>
              <w:top w:val="single" w:color="auto" w:sz="8" w:space="0"/>
              <w:left w:val="single" w:color="auto" w:sz="8" w:space="0"/>
              <w:bottom w:val="single" w:color="auto" w:sz="8" w:space="0"/>
              <w:right w:val="single" w:color="auto" w:sz="8" w:space="0"/>
            </w:tcBorders>
            <w:vAlign w:val="center"/>
          </w:tcPr>
          <w:p w14:paraId="6C246218">
            <w:pPr>
              <w:widowControl/>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r>
      <w:tr w14:paraId="7AD4AA8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487" w:hRule="atLeast"/>
          <w:jc w:val="center"/>
        </w:trPr>
        <w:tc>
          <w:tcPr>
            <w:tcW w:w="7262" w:type="dxa"/>
            <w:gridSpan w:val="4"/>
            <w:tcBorders>
              <w:top w:val="single" w:color="auto" w:sz="8" w:space="0"/>
              <w:left w:val="single" w:color="auto" w:sz="8" w:space="0"/>
              <w:bottom w:val="single" w:color="auto" w:sz="8" w:space="0"/>
              <w:right w:val="single" w:color="auto" w:sz="8" w:space="0"/>
            </w:tcBorders>
            <w:vAlign w:val="center"/>
          </w:tcPr>
          <w:p w14:paraId="463181D5">
            <w:pPr>
              <w:widowControl/>
              <w:snapToGrid w:val="0"/>
              <w:spacing w:before="100" w:beforeAutospacing="1" w:after="100" w:afterAutospacing="1" w:line="320" w:lineRule="exact"/>
              <w:ind w:left="-3" w:firstLine="4" w:firstLineChars="2"/>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        计</w:t>
            </w:r>
          </w:p>
        </w:tc>
        <w:tc>
          <w:tcPr>
            <w:tcW w:w="998" w:type="dxa"/>
            <w:gridSpan w:val="2"/>
            <w:tcBorders>
              <w:top w:val="single" w:color="auto" w:sz="8" w:space="0"/>
              <w:left w:val="single" w:color="auto" w:sz="8" w:space="0"/>
              <w:bottom w:val="single" w:color="auto" w:sz="8" w:space="0"/>
              <w:right w:val="single" w:color="auto" w:sz="8" w:space="0"/>
            </w:tcBorders>
            <w:vAlign w:val="center"/>
          </w:tcPr>
          <w:p w14:paraId="744E9627">
            <w:pPr>
              <w:widowControl/>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c>
          <w:tcPr>
            <w:tcW w:w="1367" w:type="dxa"/>
            <w:tcBorders>
              <w:top w:val="single" w:color="auto" w:sz="8" w:space="0"/>
              <w:left w:val="single" w:color="auto" w:sz="8" w:space="0"/>
              <w:bottom w:val="single" w:color="auto" w:sz="8" w:space="0"/>
              <w:right w:val="single" w:color="auto" w:sz="8" w:space="0"/>
            </w:tcBorders>
            <w:vAlign w:val="center"/>
          </w:tcPr>
          <w:p w14:paraId="05E344D7">
            <w:pPr>
              <w:widowControl/>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r>
              <w:rPr>
                <w:rFonts w:hint="eastAsia" w:ascii="宋体" w:hAnsi="宋体" w:cs="宋体"/>
                <w:color w:val="auto"/>
                <w:kern w:val="0"/>
                <w:sz w:val="24"/>
                <w:highlight w:val="none"/>
              </w:rPr>
              <w:t> </w:t>
            </w:r>
          </w:p>
        </w:tc>
      </w:tr>
      <w:tr w14:paraId="1DEA3DE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jc w:val="center"/>
        </w:trPr>
        <w:tc>
          <w:tcPr>
            <w:tcW w:w="9627" w:type="dxa"/>
            <w:gridSpan w:val="7"/>
            <w:tcBorders>
              <w:top w:val="single" w:color="auto" w:sz="8" w:space="0"/>
              <w:left w:val="single" w:color="auto" w:sz="8" w:space="0"/>
              <w:bottom w:val="single" w:color="auto" w:sz="8" w:space="0"/>
              <w:right w:val="single" w:color="auto" w:sz="8" w:space="0"/>
            </w:tcBorders>
            <w:vAlign w:val="center"/>
          </w:tcPr>
          <w:p w14:paraId="4B9E95EB">
            <w:pPr>
              <w:widowControl/>
              <w:snapToGrid w:val="0"/>
              <w:spacing w:before="100" w:beforeAutospacing="1" w:after="100" w:afterAutospacing="1" w:line="320" w:lineRule="exact"/>
              <w:ind w:firstLine="2" w:firstLineChars="1"/>
              <w:jc w:val="left"/>
              <w:rPr>
                <w:rFonts w:hint="eastAsia" w:ascii="宋体" w:hAnsi="宋体" w:cs="宋体"/>
                <w:color w:val="auto"/>
                <w:kern w:val="0"/>
                <w:sz w:val="24"/>
                <w:highlight w:val="none"/>
              </w:rPr>
            </w:pPr>
            <w:r>
              <w:rPr>
                <w:rFonts w:hint="eastAsia" w:ascii="宋体" w:hAnsi="宋体" w:cs="宋体"/>
                <w:color w:val="auto"/>
                <w:kern w:val="0"/>
                <w:sz w:val="24"/>
                <w:highlight w:val="none"/>
              </w:rPr>
              <w:t>合计大写金额：   仟    佰    拾    万    仟    佰    拾    元</w:t>
            </w:r>
          </w:p>
        </w:tc>
      </w:tr>
      <w:tr w14:paraId="0110DE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41"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3E557F1D">
            <w:pPr>
              <w:widowControl/>
              <w:snapToGrid w:val="0"/>
              <w:spacing w:before="100" w:beforeAutospacing="1" w:after="100" w:afterAutospacing="1" w:line="320" w:lineRule="exact"/>
              <w:ind w:firstLine="2" w:firstLineChars="1"/>
              <w:jc w:val="left"/>
              <w:rPr>
                <w:rFonts w:hint="eastAsia" w:ascii="宋体" w:hAnsi="宋体" w:cs="宋体"/>
                <w:color w:val="auto"/>
                <w:kern w:val="0"/>
                <w:sz w:val="24"/>
                <w:highlight w:val="none"/>
              </w:rPr>
            </w:pPr>
            <w:r>
              <w:rPr>
                <w:rFonts w:hint="eastAsia" w:ascii="宋体" w:hAnsi="宋体" w:cs="宋体"/>
                <w:color w:val="auto"/>
                <w:kern w:val="0"/>
                <w:sz w:val="24"/>
                <w:highlight w:val="none"/>
              </w:rPr>
              <w:t>实际供货日期</w:t>
            </w:r>
          </w:p>
        </w:tc>
        <w:tc>
          <w:tcPr>
            <w:tcW w:w="3240" w:type="dxa"/>
            <w:gridSpan w:val="2"/>
            <w:tcBorders>
              <w:top w:val="single" w:color="auto" w:sz="8" w:space="0"/>
              <w:left w:val="single" w:color="auto" w:sz="8" w:space="0"/>
              <w:bottom w:val="single" w:color="auto" w:sz="8" w:space="0"/>
              <w:right w:val="single" w:color="auto" w:sz="8" w:space="0"/>
            </w:tcBorders>
            <w:vAlign w:val="center"/>
          </w:tcPr>
          <w:p w14:paraId="70FA5E37">
            <w:pPr>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p>
        </w:tc>
        <w:tc>
          <w:tcPr>
            <w:tcW w:w="2700" w:type="dxa"/>
            <w:gridSpan w:val="2"/>
            <w:tcBorders>
              <w:top w:val="single" w:color="auto" w:sz="8" w:space="0"/>
              <w:left w:val="single" w:color="auto" w:sz="8" w:space="0"/>
              <w:bottom w:val="single" w:color="auto" w:sz="8" w:space="0"/>
              <w:right w:val="single" w:color="auto" w:sz="8" w:space="0"/>
            </w:tcBorders>
            <w:vAlign w:val="center"/>
          </w:tcPr>
          <w:p w14:paraId="4FFD4649">
            <w:pPr>
              <w:snapToGrid w:val="0"/>
              <w:spacing w:before="100" w:beforeAutospacing="1" w:after="100" w:afterAutospacing="1" w:line="320" w:lineRule="exact"/>
              <w:ind w:firstLine="45" w:firstLineChars="19"/>
              <w:jc w:val="center"/>
              <w:rPr>
                <w:rFonts w:hint="eastAsia" w:ascii="宋体" w:hAnsi="宋体" w:cs="宋体"/>
                <w:color w:val="auto"/>
                <w:kern w:val="0"/>
                <w:sz w:val="24"/>
                <w:highlight w:val="none"/>
              </w:rPr>
            </w:pPr>
            <w:r>
              <w:rPr>
                <w:rFonts w:hint="eastAsia" w:ascii="宋体" w:hAnsi="宋体" w:cs="宋体"/>
                <w:color w:val="auto"/>
                <w:kern w:val="0"/>
                <w:sz w:val="24"/>
                <w:highlight w:val="none"/>
              </w:rPr>
              <w:t>合同交货验收日期</w:t>
            </w:r>
          </w:p>
        </w:tc>
        <w:tc>
          <w:tcPr>
            <w:tcW w:w="2160" w:type="dxa"/>
            <w:gridSpan w:val="2"/>
            <w:tcBorders>
              <w:top w:val="single" w:color="auto" w:sz="8" w:space="0"/>
              <w:left w:val="single" w:color="auto" w:sz="8" w:space="0"/>
              <w:bottom w:val="single" w:color="auto" w:sz="8" w:space="0"/>
              <w:right w:val="single" w:color="auto" w:sz="8" w:space="0"/>
            </w:tcBorders>
            <w:vAlign w:val="center"/>
          </w:tcPr>
          <w:p w14:paraId="427E4459">
            <w:pPr>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p>
        </w:tc>
      </w:tr>
      <w:tr w14:paraId="1311151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394" w:hRule="atLeast"/>
          <w:jc w:val="center"/>
        </w:trPr>
        <w:tc>
          <w:tcPr>
            <w:tcW w:w="1527" w:type="dxa"/>
            <w:tcBorders>
              <w:top w:val="single" w:color="auto" w:sz="8" w:space="0"/>
              <w:left w:val="single" w:color="auto" w:sz="8" w:space="0"/>
              <w:bottom w:val="single" w:color="auto" w:sz="8" w:space="0"/>
              <w:right w:val="single" w:color="auto" w:sz="8" w:space="0"/>
            </w:tcBorders>
            <w:vAlign w:val="center"/>
          </w:tcPr>
          <w:p w14:paraId="7F30E79C">
            <w:pPr>
              <w:widowControl/>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p>
        </w:tc>
        <w:tc>
          <w:tcPr>
            <w:tcW w:w="3240" w:type="dxa"/>
            <w:gridSpan w:val="2"/>
            <w:tcBorders>
              <w:top w:val="single" w:color="auto" w:sz="8" w:space="0"/>
              <w:left w:val="single" w:color="auto" w:sz="8" w:space="0"/>
              <w:bottom w:val="single" w:color="auto" w:sz="8" w:space="0"/>
              <w:right w:val="single" w:color="auto" w:sz="8" w:space="0"/>
            </w:tcBorders>
            <w:vAlign w:val="center"/>
          </w:tcPr>
          <w:p w14:paraId="123255D8">
            <w:pPr>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p>
        </w:tc>
        <w:tc>
          <w:tcPr>
            <w:tcW w:w="2700" w:type="dxa"/>
            <w:gridSpan w:val="2"/>
            <w:tcBorders>
              <w:top w:val="single" w:color="auto" w:sz="8" w:space="0"/>
              <w:left w:val="single" w:color="auto" w:sz="8" w:space="0"/>
              <w:bottom w:val="single" w:color="auto" w:sz="8" w:space="0"/>
              <w:right w:val="single" w:color="auto" w:sz="8" w:space="0"/>
            </w:tcBorders>
            <w:vAlign w:val="center"/>
          </w:tcPr>
          <w:p w14:paraId="3013FC63">
            <w:pPr>
              <w:snapToGrid w:val="0"/>
              <w:spacing w:before="100" w:beforeAutospacing="1" w:after="100" w:afterAutospacing="1" w:line="320" w:lineRule="exact"/>
              <w:ind w:left="590" w:firstLine="480" w:firstLineChars="200"/>
              <w:jc w:val="left"/>
              <w:rPr>
                <w:rFonts w:hint="eastAsia" w:ascii="宋体" w:hAnsi="宋体" w:cs="宋体"/>
                <w:color w:val="auto"/>
                <w:kern w:val="0"/>
                <w:sz w:val="24"/>
                <w:highlight w:val="none"/>
              </w:rPr>
            </w:pPr>
          </w:p>
        </w:tc>
        <w:tc>
          <w:tcPr>
            <w:tcW w:w="2160" w:type="dxa"/>
            <w:gridSpan w:val="2"/>
            <w:tcBorders>
              <w:top w:val="single" w:color="auto" w:sz="8" w:space="0"/>
              <w:left w:val="single" w:color="auto" w:sz="8" w:space="0"/>
              <w:bottom w:val="single" w:color="auto" w:sz="8" w:space="0"/>
              <w:right w:val="single" w:color="auto" w:sz="8" w:space="0"/>
            </w:tcBorders>
            <w:vAlign w:val="center"/>
          </w:tcPr>
          <w:p w14:paraId="09C62F4B">
            <w:pPr>
              <w:snapToGrid w:val="0"/>
              <w:spacing w:before="100" w:beforeAutospacing="1" w:after="100" w:afterAutospacing="1" w:line="320" w:lineRule="exact"/>
              <w:ind w:firstLine="480" w:firstLineChars="200"/>
              <w:jc w:val="left"/>
              <w:rPr>
                <w:rFonts w:hint="eastAsia" w:ascii="宋体" w:hAnsi="宋体" w:cs="宋体"/>
                <w:color w:val="auto"/>
                <w:kern w:val="0"/>
                <w:sz w:val="24"/>
                <w:highlight w:val="none"/>
              </w:rPr>
            </w:pPr>
          </w:p>
        </w:tc>
      </w:tr>
      <w:tr w14:paraId="3B0E854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93" w:hRule="atLeast"/>
          <w:jc w:val="center"/>
        </w:trPr>
        <w:tc>
          <w:tcPr>
            <w:tcW w:w="152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16383E1">
            <w:pPr>
              <w:widowControl/>
              <w:snapToGrid w:val="0"/>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验收具体内容</w:t>
            </w:r>
          </w:p>
        </w:tc>
        <w:tc>
          <w:tcPr>
            <w:tcW w:w="8100" w:type="dxa"/>
            <w:gridSpan w:val="6"/>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1C704C3">
            <w:pPr>
              <w:widowControl/>
              <w:snapToGrid w:val="0"/>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sz w:val="24"/>
                <w:highlight w:val="none"/>
              </w:rPr>
              <w:t>（应</w:t>
            </w:r>
            <w:r>
              <w:rPr>
                <w:rFonts w:hint="eastAsia" w:ascii="宋体" w:hAnsi="宋体" w:cs="宋体"/>
                <w:color w:val="auto"/>
                <w:kern w:val="0"/>
                <w:sz w:val="24"/>
                <w:highlight w:val="none"/>
              </w:rPr>
              <w:t>按采购合同、采购文件、投标响应文件及验收方案等进行验收；并核对</w:t>
            </w:r>
            <w:r>
              <w:rPr>
                <w:rFonts w:hint="eastAsia" w:ascii="宋体" w:hAnsi="宋体" w:cs="宋体"/>
                <w:color w:val="auto"/>
                <w:sz w:val="24"/>
                <w:highlight w:val="none"/>
              </w:rPr>
              <w:t>中标或者成交供应商在安装调试等方面是否违反合同约定或服务规范要求、提供的质量保证证明材料是否齐全、应有的配件及附件是否达到合同约定等</w:t>
            </w:r>
            <w:r>
              <w:rPr>
                <w:rFonts w:hint="eastAsia" w:ascii="宋体" w:hAnsi="宋体" w:cs="宋体"/>
                <w:color w:val="auto"/>
                <w:kern w:val="0"/>
                <w:sz w:val="24"/>
                <w:highlight w:val="none"/>
              </w:rPr>
              <w:t>。可附件)</w:t>
            </w:r>
          </w:p>
        </w:tc>
      </w:tr>
      <w:tr w14:paraId="2E3048B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1281" w:hRule="atLeast"/>
          <w:jc w:val="center"/>
        </w:trPr>
        <w:tc>
          <w:tcPr>
            <w:tcW w:w="1527" w:type="dxa"/>
            <w:vMerge w:val="restar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71AF557">
            <w:pPr>
              <w:widowControl/>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验收小组意见</w:t>
            </w:r>
          </w:p>
        </w:tc>
        <w:tc>
          <w:tcPr>
            <w:tcW w:w="8100" w:type="dxa"/>
            <w:gridSpan w:val="6"/>
            <w:tcBorders>
              <w:top w:val="single" w:color="auto" w:sz="8" w:space="0"/>
              <w:left w:val="single" w:color="auto" w:sz="8" w:space="0"/>
              <w:bottom w:val="single" w:color="auto" w:sz="4" w:space="0"/>
              <w:right w:val="single" w:color="auto" w:sz="8" w:space="0"/>
            </w:tcBorders>
            <w:vAlign w:val="center"/>
          </w:tcPr>
          <w:p w14:paraId="2042E592">
            <w:pPr>
              <w:widowControl/>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 验收结论性意见：</w:t>
            </w:r>
          </w:p>
          <w:p w14:paraId="416DD925">
            <w:pPr>
              <w:widowControl/>
              <w:spacing w:before="100" w:beforeAutospacing="1" w:after="100" w:afterAutospacing="1" w:line="320" w:lineRule="exact"/>
              <w:jc w:val="left"/>
              <w:rPr>
                <w:rFonts w:hint="eastAsia" w:ascii="宋体" w:hAnsi="宋体" w:cs="宋体"/>
                <w:color w:val="auto"/>
                <w:kern w:val="0"/>
                <w:sz w:val="24"/>
                <w:highlight w:val="none"/>
              </w:rPr>
            </w:pPr>
          </w:p>
        </w:tc>
      </w:tr>
      <w:tr w14:paraId="696939B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607" w:hRule="atLeast"/>
          <w:jc w:val="center"/>
        </w:trPr>
        <w:tc>
          <w:tcPr>
            <w:tcW w:w="1527" w:type="dxa"/>
            <w:vMerge w:val="continue"/>
            <w:tcBorders>
              <w:top w:val="single" w:color="auto" w:sz="8" w:space="0"/>
              <w:left w:val="single" w:color="auto" w:sz="8" w:space="0"/>
              <w:bottom w:val="single" w:color="auto" w:sz="8" w:space="0"/>
              <w:right w:val="single" w:color="auto" w:sz="8" w:space="0"/>
            </w:tcBorders>
            <w:vAlign w:val="center"/>
          </w:tcPr>
          <w:p w14:paraId="0D6374DF">
            <w:pPr>
              <w:widowControl/>
              <w:spacing w:line="320" w:lineRule="exact"/>
              <w:jc w:val="left"/>
              <w:rPr>
                <w:rFonts w:hint="eastAsia" w:ascii="宋体" w:hAnsi="宋体" w:cs="宋体"/>
                <w:color w:val="auto"/>
                <w:kern w:val="0"/>
                <w:sz w:val="24"/>
                <w:highlight w:val="none"/>
              </w:rPr>
            </w:pPr>
          </w:p>
        </w:tc>
        <w:tc>
          <w:tcPr>
            <w:tcW w:w="8100" w:type="dxa"/>
            <w:gridSpan w:val="6"/>
            <w:tcBorders>
              <w:top w:val="single" w:color="auto" w:sz="4" w:space="0"/>
              <w:left w:val="single" w:color="auto" w:sz="8" w:space="0"/>
              <w:bottom w:val="single" w:color="auto" w:sz="8" w:space="0"/>
              <w:right w:val="single" w:color="auto" w:sz="8" w:space="0"/>
            </w:tcBorders>
            <w:vAlign w:val="center"/>
          </w:tcPr>
          <w:p w14:paraId="3B874C4E">
            <w:pPr>
              <w:spacing w:before="100" w:beforeAutospacing="1" w:after="100" w:afterAutospacing="1" w:line="320" w:lineRule="exact"/>
              <w:ind w:firstLine="96" w:firstLineChars="40"/>
              <w:jc w:val="left"/>
              <w:rPr>
                <w:rFonts w:hint="eastAsia" w:ascii="宋体" w:hAnsi="宋体" w:cs="宋体"/>
                <w:color w:val="auto"/>
                <w:kern w:val="0"/>
                <w:sz w:val="24"/>
                <w:highlight w:val="none"/>
              </w:rPr>
            </w:pPr>
            <w:r>
              <w:rPr>
                <w:rFonts w:hint="eastAsia" w:ascii="宋体" w:hAnsi="宋体" w:cs="宋体"/>
                <w:color w:val="auto"/>
                <w:kern w:val="0"/>
                <w:sz w:val="24"/>
                <w:highlight w:val="none"/>
              </w:rPr>
              <w:t>有异议的意见和说明理由：</w:t>
            </w:r>
          </w:p>
          <w:p w14:paraId="50871624">
            <w:pPr>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 xml:space="preserve">                                      签字：</w:t>
            </w:r>
          </w:p>
        </w:tc>
      </w:tr>
      <w:tr w14:paraId="4FF017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507" w:hRule="atLeast"/>
          <w:jc w:val="center"/>
        </w:trPr>
        <w:tc>
          <w:tcPr>
            <w:tcW w:w="9627" w:type="dxa"/>
            <w:gridSpan w:val="7"/>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4D73A9C">
            <w:pPr>
              <w:widowControl/>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验收小组成员签字：</w:t>
            </w:r>
          </w:p>
        </w:tc>
      </w:tr>
      <w:tr w14:paraId="2612B197">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36" w:hRule="atLeast"/>
          <w:jc w:val="center"/>
        </w:trPr>
        <w:tc>
          <w:tcPr>
            <w:tcW w:w="9627" w:type="dxa"/>
            <w:gridSpan w:val="7"/>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8B28B79">
            <w:pPr>
              <w:widowControl/>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监督人员或其他相关人员签字：</w:t>
            </w:r>
          </w:p>
          <w:p w14:paraId="049D6AB1">
            <w:pPr>
              <w:widowControl/>
              <w:spacing w:before="100" w:beforeAutospacing="1" w:after="100" w:afterAutospacing="1" w:line="320" w:lineRule="exact"/>
              <w:ind w:firstLine="74" w:firstLineChars="31"/>
              <w:jc w:val="left"/>
              <w:rPr>
                <w:rFonts w:hint="eastAsia" w:ascii="宋体" w:hAnsi="宋体" w:cs="宋体"/>
                <w:color w:val="auto"/>
                <w:kern w:val="0"/>
                <w:sz w:val="24"/>
                <w:highlight w:val="none"/>
              </w:rPr>
            </w:pPr>
            <w:r>
              <w:rPr>
                <w:rFonts w:hint="eastAsia" w:ascii="宋体" w:hAnsi="宋体" w:cs="宋体"/>
                <w:color w:val="auto"/>
                <w:kern w:val="0"/>
                <w:sz w:val="24"/>
                <w:highlight w:val="none"/>
              </w:rPr>
              <w:t>或受邀机构的意见（盖章）：</w:t>
            </w:r>
          </w:p>
        </w:tc>
      </w:tr>
      <w:tr w14:paraId="108864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0" w:type="dxa"/>
            <w:bottom w:w="0" w:type="dxa"/>
            <w:right w:w="0" w:type="dxa"/>
          </w:tblCellMar>
        </w:tblPrEx>
        <w:trPr>
          <w:trHeight w:val="758" w:hRule="atLeast"/>
          <w:jc w:val="center"/>
        </w:trPr>
        <w:tc>
          <w:tcPr>
            <w:tcW w:w="4767" w:type="dxa"/>
            <w:gridSpan w:val="3"/>
            <w:tcBorders>
              <w:top w:val="single" w:color="auto" w:sz="8" w:space="0"/>
              <w:left w:val="single" w:color="auto" w:sz="8" w:space="0"/>
              <w:bottom w:val="single" w:color="auto" w:sz="8" w:space="0"/>
              <w:right w:val="nil"/>
            </w:tcBorders>
            <w:tcMar>
              <w:top w:w="0" w:type="dxa"/>
              <w:left w:w="108" w:type="dxa"/>
              <w:bottom w:w="0" w:type="dxa"/>
              <w:right w:w="108" w:type="dxa"/>
            </w:tcMar>
            <w:vAlign w:val="center"/>
          </w:tcPr>
          <w:p w14:paraId="3633A48E">
            <w:pPr>
              <w:widowControl/>
              <w:spacing w:before="100" w:beforeAutospacing="1" w:after="100" w:afterAutospacing="1" w:line="320" w:lineRule="exact"/>
              <w:ind w:firstLine="74" w:firstLineChars="31"/>
              <w:jc w:val="left"/>
              <w:rPr>
                <w:rFonts w:hint="eastAsia" w:ascii="宋体" w:hAnsi="宋体" w:cs="宋体"/>
                <w:color w:val="auto"/>
                <w:kern w:val="0"/>
                <w:sz w:val="24"/>
                <w:highlight w:val="none"/>
              </w:rPr>
            </w:pPr>
            <w:r>
              <w:rPr>
                <w:rFonts w:hint="eastAsia" w:ascii="宋体" w:hAnsi="宋体" w:cs="宋体"/>
                <w:color w:val="auto"/>
                <w:kern w:val="0"/>
                <w:sz w:val="24"/>
                <w:highlight w:val="none"/>
              </w:rPr>
              <w:t>中标或者成交供应商负责人签字或盖章：</w:t>
            </w:r>
          </w:p>
          <w:p w14:paraId="763CA5FD">
            <w:pPr>
              <w:widowControl/>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联系电话：         年 月 日</w:t>
            </w:r>
          </w:p>
        </w:tc>
        <w:tc>
          <w:tcPr>
            <w:tcW w:w="4860" w:type="dxa"/>
            <w:gridSpan w:val="4"/>
            <w:tcBorders>
              <w:top w:val="single" w:color="auto" w:sz="8" w:space="0"/>
              <w:left w:val="nil"/>
              <w:bottom w:val="single" w:color="auto" w:sz="8" w:space="0"/>
              <w:right w:val="single" w:color="auto" w:sz="8" w:space="0"/>
            </w:tcBorders>
            <w:vAlign w:val="center"/>
          </w:tcPr>
          <w:p w14:paraId="0FB8C2EA">
            <w:pPr>
              <w:widowControl/>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 采购人或受托机构的意见（盖章）：</w:t>
            </w:r>
          </w:p>
          <w:p w14:paraId="3E1A42FB">
            <w:pPr>
              <w:widowControl/>
              <w:spacing w:before="100" w:beforeAutospacing="1" w:after="100" w:afterAutospacing="1" w:line="320" w:lineRule="exact"/>
              <w:jc w:val="left"/>
              <w:rPr>
                <w:rFonts w:hint="eastAsia" w:ascii="宋体" w:hAnsi="宋体" w:cs="宋体"/>
                <w:color w:val="auto"/>
                <w:kern w:val="0"/>
                <w:sz w:val="24"/>
                <w:highlight w:val="none"/>
              </w:rPr>
            </w:pPr>
            <w:r>
              <w:rPr>
                <w:rFonts w:hint="eastAsia" w:ascii="宋体" w:hAnsi="宋体" w:cs="宋体"/>
                <w:color w:val="auto"/>
                <w:kern w:val="0"/>
                <w:sz w:val="24"/>
                <w:highlight w:val="none"/>
              </w:rPr>
              <w:t>联系电话：                 年   月   日</w:t>
            </w:r>
          </w:p>
        </w:tc>
      </w:tr>
    </w:tbl>
    <w:p w14:paraId="5B95F9AC">
      <w:pPr>
        <w:pStyle w:val="2"/>
        <w:spacing w:line="360" w:lineRule="auto"/>
        <w:ind w:left="25" w:leftChars="12" w:firstLine="295" w:firstLineChars="147"/>
        <w:rPr>
          <w:rFonts w:hint="eastAsia" w:hAnsi="宋体" w:cs="宋体"/>
          <w:b/>
          <w:color w:val="auto"/>
          <w:highlight w:val="none"/>
        </w:rPr>
      </w:pPr>
    </w:p>
    <w:p w14:paraId="23982031">
      <w:pPr>
        <w:rPr>
          <w:rFonts w:hint="eastAsia" w:ascii="宋体" w:hAnsi="宋体" w:cs="宋体"/>
          <w:color w:val="auto"/>
          <w:highlight w:val="none"/>
        </w:rPr>
      </w:pPr>
    </w:p>
    <w:p w14:paraId="1E17B013">
      <w:pPr>
        <w:rPr>
          <w:rFonts w:hint="eastAsia" w:ascii="宋体" w:hAnsi="宋体" w:cs="宋体"/>
          <w:color w:val="auto"/>
          <w:highlight w:val="none"/>
        </w:rPr>
      </w:pPr>
    </w:p>
    <w:sectPr>
      <w:footerReference r:id="rId12" w:type="first"/>
      <w:footerReference r:id="rId11" w:type="default"/>
      <w:pgSz w:w="11910" w:h="16840"/>
      <w:pgMar w:top="1440" w:right="1080" w:bottom="1440" w:left="108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2BB4EBA-4A17-4CC9-A36E-CC33AB6777E9}"/>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5BDC3886-D7BA-40FB-880B-9F92A4FD44C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方正兰亭细黑简体">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方正楷体_GB2312">
    <w:altName w:val="宋体"/>
    <w:panose1 w:val="02000000000000000000"/>
    <w:charset w:val="86"/>
    <w:family w:val="auto"/>
    <w:pitch w:val="default"/>
    <w:sig w:usb0="00000000" w:usb1="00000000" w:usb2="00000012" w:usb3="00000000" w:csb0="00040001" w:csb1="00000000"/>
  </w:font>
  <w:font w:name="华文新魏">
    <w:panose1 w:val="02010800040101010101"/>
    <w:charset w:val="86"/>
    <w:family w:val="auto"/>
    <w:pitch w:val="default"/>
    <w:sig w:usb0="00000001" w:usb1="080F0000" w:usb2="00000000" w:usb3="00000000" w:csb0="00040000" w:csb1="00000000"/>
    <w:embedRegular r:id="rId3" w:fontKey="{1638F6E8-5658-4BC5-B3EA-437429433175}"/>
  </w:font>
  <w:font w:name="方正小标宋_GBK">
    <w:altName w:val="微软雅黑"/>
    <w:panose1 w:val="02000000000000000000"/>
    <w:charset w:val="86"/>
    <w:family w:val="script"/>
    <w:pitch w:val="default"/>
    <w:sig w:usb0="00000000" w:usb1="00000000" w:usb2="00082016" w:usb3="00000000" w:csb0="00040001" w:csb1="00000000"/>
    <w:embedRegular r:id="rId4" w:fontKey="{11A89770-9C66-42DA-AD0C-A8EAEBF1623E}"/>
  </w:font>
  <w:font w:name="微软雅黑">
    <w:panose1 w:val="020B0503020204020204"/>
    <w:charset w:val="86"/>
    <w:family w:val="auto"/>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embedRegular r:id="rId5" w:fontKey="{7F091CE9-6B11-4712-BCCC-A908D10821A4}"/>
  </w:font>
  <w:font w:name="Segoe UI">
    <w:panose1 w:val="020B0502040204020203"/>
    <w:charset w:val="00"/>
    <w:family w:val="auto"/>
    <w:pitch w:val="default"/>
    <w:sig w:usb0="E4002EFF" w:usb1="C000E47F" w:usb2="00000009" w:usb3="00000000" w:csb0="200001FF" w:csb1="00000000"/>
    <w:embedRegular r:id="rId6" w:fontKey="{19174917-8025-4DC4-AC9A-BEBA092AAFBF}"/>
  </w:font>
  <w:font w:name="Arial Unicode MS">
    <w:altName w:val="宋体"/>
    <w:panose1 w:val="020B0604020202020204"/>
    <w:charset w:val="86"/>
    <w:family w:val="swiss"/>
    <w:pitch w:val="default"/>
    <w:sig w:usb0="00000000" w:usb1="00000000" w:usb2="0000003F" w:usb3="00000000" w:csb0="603F01FF" w:csb1="FFFF0000"/>
    <w:embedRegular r:id="rId7" w:fontKey="{71F3E9E8-32F1-416F-9083-BE849A01E6E7}"/>
  </w:font>
  <w:font w:name="WPSEMBED1">
    <w:panose1 w:val="02010800040101010101"/>
    <w:charset w:val="86"/>
    <w:family w:val="auto"/>
    <w:pitch w:val="default"/>
    <w:sig w:usb0="00000001" w:usb1="080F0000" w:usb2="00000000" w:usb3="00000000" w:csb0="00040000" w:csb1="00000000"/>
  </w:font>
  <w:font w:name="WPSEMBED2">
    <w:panose1 w:val="050201020105070707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04F98">
    <w:pPr>
      <w:pStyle w:val="22"/>
      <w:tabs>
        <w:tab w:val="center" w:pos="4439"/>
        <w:tab w:val="clear" w:pos="4153"/>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1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471A56"/>
                      </w:txbxContent>
                    </wps:txbx>
                    <wps:bodyPr wrap="none" lIns="0" tIns="0" rIns="0" bIns="0">
                      <a:spAutoFit/>
                    </wps:bodyPr>
                  </wps:wsp>
                </a:graphicData>
              </a:graphic>
            </wp:anchor>
          </w:drawing>
        </mc:Choice>
        <mc:Fallback>
          <w:pict>
            <v:shape id="文本框 5124"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laYSsQBAACQAwAADgAAAGRycy9lMm9Eb2MueG1srVNNrtMwEN4jcQfL&#10;e+q04qeKmj6BqoeQECA9OIDr2I0l/8njNukF4Aas2LDnXD0HYyfpg8fmLdg445nxN/N9M9ncDNaQ&#10;k4ygvWvoclFRIp3wrXaHhn75fPtsTQkk7lpuvJMNPUugN9unTzZ9qOXKd960MhIEcVD3oaFdSqFm&#10;DEQnLYeFD9JhUPloecJrPLA28h7RrWGrqnrJeh/bEL2QAOjdjUE6IcbHAHqltJA7L45WujSiRml4&#10;QkrQ6QB0W7pVSor0USmQiZiGItNUTiyC9j6fbLvh9SHy0GkxtcAf08IDTpZrh0WvUDueODlG/Q+U&#10;1SJ68CothLdsJFIUQRbL6oE2dx0PsnBBqSFcRYf/Bys+nD5FotuGvqLEcYsDv3z/dvnx6/LzK3mx&#10;XD3PCvUBaky8C5iahjd+wL2Z/YDOTHxQ0eYvUiIYR33PV33lkIjIj9ar9brCkMDYfEF8dv88REhv&#10;pbckGw2NOMCiKz+9hzSmzim5mvO32pgyROP+ciBm9rDc+9hjttKwHyZCe9+ekU+Ps2+ow1WnxLxz&#10;KG1ek9mIs7GfjFwDwutjwsKln4w6Qk3FcFCF0bRUeRP+vJes+x9p+x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NlaYSsQBAACQAwAADgAAAAAAAAABACAAAAAeAQAAZHJzL2Uyb0RvYy54bWxQ&#10;SwUGAAAAAAYABgBZAQAAVAUAAAAA&#10;">
              <v:fill on="f" focussize="0,0"/>
              <v:stroke on="f"/>
              <v:imagedata o:title=""/>
              <o:lock v:ext="edit" aspectratio="f"/>
              <v:textbox inset="0mm,0mm,0mm,0mm" style="mso-fit-shape-to-text:t;">
                <w:txbxContent>
                  <w:p w14:paraId="1E471A56"/>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C0FA3">
    <w:pPr>
      <w:pStyle w:val="2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898ED7">
                          <w:pPr>
                            <w:pStyle w:val="22"/>
                          </w:pPr>
                          <w:r>
                            <w:fldChar w:fldCharType="begin"/>
                          </w:r>
                          <w:r>
                            <w:instrText xml:space="preserve"> PAGE  \* MERGEFORMAT </w:instrText>
                          </w:r>
                          <w:r>
                            <w:fldChar w:fldCharType="separate"/>
                          </w:r>
                          <w:r>
                            <w:t>1</w:t>
                          </w:r>
                          <w:r>
                            <w:fldChar w:fldCharType="end"/>
                          </w:r>
                        </w:p>
                      </w:txbxContent>
                    </wps:txbx>
                    <wps:bodyPr wrap="none" lIns="0" tIns="0" rIns="0" bIns="0">
                      <a:spAutoFit/>
                    </wps:bodyPr>
                  </wps:wsp>
                </a:graphicData>
              </a:graphic>
            </wp:anchor>
          </w:drawing>
        </mc:Choice>
        <mc:Fallback>
          <w:pict>
            <v:shape id="文本框 22"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eq/BcIBAACOAwAADgAAAGRycy9lMm9Eb2MueG1srVPNjtMwEL4j8Q6W&#10;79TZIKEqaroCVYuQECAtPIDr2I0l/8njNukLwBtw4sKd5+pzMHaSLiyXPXBxxjPjb+b7ZrK5Ha0h&#10;JxlBe9fSm1VFiXTCd9odWvrl892LNSWQuOu48U629CyB3m6fP9sMoZG1773pZCQI4qAZQkv7lELD&#10;GIheWg4rH6TDoPLR8oTXeGBd5AOiW8PqqnrFBh+7EL2QAOjdTUE6I8anAHqltJA7L45WujShRml4&#10;QkrQ6wB0W7pVSor0USmQiZiWItNUTiyC9j6fbLvhzSHy0Gsxt8Cf0sIjTpZrh0WvUDueODlG/Q+U&#10;1SJ68CqthLdsIlIUQRY31SNt7nseZOGCUkO4ig7/D1Z8OH2KRHctfUmJ4xYHfvn+7fLj1+XnV1LX&#10;WZ8hQINp9wET0/jGj7g1ix/QmWmPKtr8RUIE46ju+aquHBMR+dG6Xq8rDAmMLRfEZw/PQ4T0VnpL&#10;stHSiOMrqvLTe0hT6pKSqzl/p40pIzTuLwdiZg/LvU89ZiuN+3EmtPfdGfkMOPmWOlx0Ssw7h8Lm&#10;JVmMuBj72cg1ILw+Jixc+smoE9RcDMdUGM0rlffgz3vJeviNt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G3qvwXCAQAAjgMAAA4AAAAAAAAAAQAgAAAAHgEAAGRycy9lMm9Eb2MueG1sUEsF&#10;BgAAAAAGAAYAWQEAAFIFAAAAAA==&#10;">
              <v:fill on="f" focussize="0,0"/>
              <v:stroke on="f"/>
              <v:imagedata o:title=""/>
              <o:lock v:ext="edit" aspectratio="f"/>
              <v:textbox inset="0mm,0mm,0mm,0mm" style="mso-fit-shape-to-text:t;">
                <w:txbxContent>
                  <w:p w14:paraId="69898ED7">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8768C">
    <w:pPr>
      <w:pStyle w:val="22"/>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AC7309">
                          <w:pPr>
                            <w:pStyle w:val="22"/>
                          </w:pPr>
                          <w:r>
                            <w:fldChar w:fldCharType="begin"/>
                          </w:r>
                          <w:r>
                            <w:instrText xml:space="preserve"> PAGE  \* MERGEFORMAT </w:instrText>
                          </w:r>
                          <w:r>
                            <w:fldChar w:fldCharType="separate"/>
                          </w:r>
                          <w:r>
                            <w:t>49</w:t>
                          </w:r>
                          <w:r>
                            <w:fldChar w:fldCharType="end"/>
                          </w:r>
                        </w:p>
                      </w:txbxContent>
                    </wps:txbx>
                    <wps:bodyPr wrap="none" lIns="0" tIns="0" rIns="0" bIns="0">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USMcMBAACO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UOG5x4OefP86//px/fyfL&#10;11mfPkCNabcBE9Pw3g+4NbMf0JlpDyra/EVCBOOo7umirhwSEfnRarlaVRgSGJsviM/un4cI6YP0&#10;lmSjoRHHV1Tlx0+QxtQ5JVdz/kYbU0Zo3H8OxMwelnsfe8xWGnbDRGjn2xPy6XHyDXW46JSYjw6F&#10;zUsyG3E2dpORa0B4d0hYuPSTUUeoqRiOqTCaVirvwb/3knX/G23+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DL1RIxwwEAAI4DAAAOAAAAAAAAAAEAIAAAAB4BAABkcnMvZTJvRG9jLnhtbFBL&#10;BQYAAAAABgAGAFkBAABTBQAAAAA=&#10;">
              <v:fill on="f" focussize="0,0"/>
              <v:stroke on="f"/>
              <v:imagedata o:title=""/>
              <o:lock v:ext="edit" aspectratio="f"/>
              <v:textbox inset="0mm,0mm,0mm,0mm" style="mso-fit-shape-to-text:t;">
                <w:txbxContent>
                  <w:p w14:paraId="0CAC7309">
                    <w:pPr>
                      <w:pStyle w:val="22"/>
                    </w:pPr>
                    <w:r>
                      <w:fldChar w:fldCharType="begin"/>
                    </w:r>
                    <w:r>
                      <w:instrText xml:space="preserve"> PAGE  \* MERGEFORMAT </w:instrText>
                    </w:r>
                    <w:r>
                      <w:fldChar w:fldCharType="separate"/>
                    </w:r>
                    <w:r>
                      <w:t>49</w:t>
                    </w:r>
                    <w:r>
                      <w:fldChar w:fldCharType="end"/>
                    </w:r>
                  </w:p>
                </w:txbxContent>
              </v:textbox>
            </v:shape>
          </w:pict>
        </mc:Fallback>
      </mc:AlternateContent>
    </w:r>
  </w:p>
  <w:p w14:paraId="5E48D29E">
    <w:pPr>
      <w:pStyle w:val="2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9317B5">
    <w:pPr>
      <w:pStyle w:val="22"/>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1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D39838C">
                          <w:pPr>
                            <w:pStyle w:val="22"/>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文本框 5122"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4MQjsUBAACQAwAADgAAAGRycy9lMm9Eb2MueG1srVNLbtswEN0XyB0I&#10;7mPKAlIYguWghZEiQNAWSHsAmqIsAvyBQ1vyBdobdNVN9z2Xz9EhJTlpusmiG2o4M3wz781ofTsY&#10;TY4ygHK2pstFQYm0wjXK7mv69cvd9YoSiNw2XDsra3qSQG83V2/Wva9k6TqnGxkIglioel/TLkZf&#10;MQaik4bDwnlpMdi6YHjEa9izJvAe0Y1mZVG8Zb0LjQ9OSAD0bscgnRDDawBd2yoht04cjLRxRA1S&#10;84iUoFMe6CZ327ZSxE9tCzISXVNkGvOJRdDepZNt1rzaB+47JaYW+GtaeMHJcGWx6AVqyyMnh6D+&#10;gTJKBAeujQvhDBuJZEWQxbJ4oc1jx73MXFBq8BfR4f/Bio/Hz4GopqY3lFhucODnH9/PP3+ff30j&#10;N8uyTAr1HipMfPSYGof3bsC9mf2AzkR8aINJX6REMI76ni76yiESkR6tytWqwJDA2HxBfPb03AeI&#10;H6QzJBk1DTjArCs/PkAcU+eUVM26O6V1HqK2fzkQM3lY6n3sMVlx2A0ToZ1rTsinx9nX1OKqU6Lv&#10;LUqb1mQ2wmzsJiPVAP/uELFw7iehjlBTMRxUZjQtVdqE5/ec9fQjbf4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zql5uc8AAAAFAQAADwAAAAAAAAABACAAAAAiAAAAZHJzL2Rvd25yZXYueG1sUEsB&#10;AhQAFAAAAAgAh07iQF+DEI7FAQAAkAMAAA4AAAAAAAAAAQAgAAAAHgEAAGRycy9lMm9Eb2MueG1s&#10;UEsFBgAAAAAGAAYAWQEAAFUFAAAAAA==&#10;">
              <v:fill on="f" focussize="0,0"/>
              <v:stroke on="f"/>
              <v:imagedata o:title=""/>
              <o:lock v:ext="edit" aspectratio="f"/>
              <v:textbox inset="0mm,0mm,0mm,0mm" style="mso-fit-shape-to-text:t;">
                <w:txbxContent>
                  <w:p w14:paraId="0D39838C">
                    <w:pPr>
                      <w:pStyle w:val="22"/>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6EB3A">
    <w:pPr>
      <w:wordWrap w:val="0"/>
      <w:snapToGrid w:val="0"/>
      <w:jc w:val="right"/>
      <w:rPr>
        <w:rFonts w:hint="eastAsia" w:ascii="宋体" w:hAnsi="宋体"/>
        <w:sz w:val="28"/>
        <w:szCs w:val="28"/>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81983E3">
                          <w:pPr>
                            <w:pStyle w:val="22"/>
                          </w:pPr>
                          <w:r>
                            <w:fldChar w:fldCharType="begin"/>
                          </w:r>
                          <w:r>
                            <w:instrText xml:space="preserve"> PAGE  \* MERGEFORMAT </w:instrText>
                          </w:r>
                          <w:r>
                            <w:fldChar w:fldCharType="separate"/>
                          </w:r>
                          <w:r>
                            <w:t>100</w:t>
                          </w:r>
                          <w:r>
                            <w:fldChar w:fldCharType="end"/>
                          </w:r>
                        </w:p>
                      </w:txbxContent>
                    </wps:txbx>
                    <wps:bodyPr wrap="none" lIns="0" tIns="0" rIns="0" bIns="0">
                      <a:spAutoFit/>
                    </wps:bodyPr>
                  </wps:wsp>
                </a:graphicData>
              </a:graphic>
            </wp:anchor>
          </w:drawing>
        </mc:Choice>
        <mc:Fallback>
          <w:pict>
            <v:shape id="文本框 24"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IEkE8MBAACOAwAADgAAAGRycy9lMm9Eb2MueG1srVPNjtMwEL4j8Q6W&#10;79TZCq2qqOlqUbUICQHSwgO4jt1Y8p88bpO+ALwBJy7cea4+B2Mn6S7LZQ97ccYz42/m+2ayvhms&#10;IUcZQXvX0KtFRYl0wrfa7Rv67evdmxUlkLhrufFONvQkgd5sXr9a96GWS99508pIEMRB3YeGdimF&#10;mjEQnbQcFj5Ih0Hlo+UJr3HP2sh7RLeGLavqmvU+tiF6IQHQux2DdEKMzwH0Smkht14crHRpRI3S&#10;8ISUoNMB6KZ0q5QU6bNSIBMxDUWmqZxYBO1dPtlmzet95KHTYmqBP6eFJ5ws1w6LXqC2PHFyiPo/&#10;KKtF9OBVWghv2UikKIIsrqon2tx3PMjCBaWGcBEdXg5WfDp+iUS3Db2mxHGLAz///HH+9ef8+ztZ&#10;vs369AFqTLsPmJiGd37ArZn9gM5Me1DR5i8SIhhHdU8XdeWQiMiPVsvVqsKQwNh8QXz28DxESO+l&#10;tyQbDY04vqIqP36ENKbOKbma83famDJC4/5xIGb2sNz72GO20rAbJkI7356QT4+Tb6jDRafEfHAo&#10;bF6S2YizsZuMXAPC7SFh4dJPRh2hpmI4psJoWqm8B4/vJevhN9r8B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ogSQTwwEAAI4DAAAOAAAAAAAAAAEAIAAAAB4BAABkcnMvZTJvRG9jLnhtbFBL&#10;BQYAAAAABgAGAFkBAABTBQAAAAA=&#10;">
              <v:fill on="f" focussize="0,0"/>
              <v:stroke on="f"/>
              <v:imagedata o:title=""/>
              <o:lock v:ext="edit" aspectratio="f"/>
              <v:textbox inset="0mm,0mm,0mm,0mm" style="mso-fit-shape-to-text:t;">
                <w:txbxContent>
                  <w:p w14:paraId="181983E3">
                    <w:pPr>
                      <w:pStyle w:val="22"/>
                    </w:pPr>
                    <w:r>
                      <w:fldChar w:fldCharType="begin"/>
                    </w:r>
                    <w:r>
                      <w:instrText xml:space="preserve"> PAGE  \* MERGEFORMAT </w:instrText>
                    </w:r>
                    <w:r>
                      <w:fldChar w:fldCharType="separate"/>
                    </w:r>
                    <w:r>
                      <w:t>100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AF06F">
    <w:pPr>
      <w:wordWrap w:val="0"/>
      <w:snapToGrid w:val="0"/>
      <w:jc w:val="right"/>
      <w:rPr>
        <w:rFonts w:hint="eastAsia" w:ascii="宋体" w:hAnsi="宋体"/>
        <w:sz w:val="28"/>
        <w:szCs w:val="28"/>
      </w:rPr>
    </w:pPr>
    <w:r>
      <w:rPr>
        <w:sz w:val="2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24063C">
                          <w:pPr>
                            <w:pStyle w:val="22"/>
                          </w:pPr>
                          <w:r>
                            <w:fldChar w:fldCharType="begin"/>
                          </w:r>
                          <w:r>
                            <w:instrText xml:space="preserve"> PAGE  \* MERGEFORMAT </w:instrText>
                          </w:r>
                          <w:r>
                            <w:fldChar w:fldCharType="separate"/>
                          </w:r>
                          <w:r>
                            <w:t>113</w:t>
                          </w:r>
                          <w:r>
                            <w:fldChar w:fldCharType="end"/>
                          </w:r>
                        </w:p>
                      </w:txbxContent>
                    </wps:txbx>
                    <wps:bodyPr wrap="none" lIns="0" tIns="0" rIns="0" bIns="0">
                      <a:spAutoFit/>
                    </wps:bodyPr>
                  </wps:wsp>
                </a:graphicData>
              </a:graphic>
            </wp:anchor>
          </w:drawing>
        </mc:Choice>
        <mc:Fallback>
          <w:pict>
            <v:shape id="文本框 2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wY1MMIBAACOAwAADgAAAGRycy9lMm9Eb2MueG1srVPNjtMwEL6vxDtY&#10;vlNnK4G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cWxO25x4OefP86/Hs8P38ny&#10;TdanD1Bj2l3AxDS89wNuzewHdGbag4o2f5EQwTiqe7qoK4dERH60Wq5WFYYExuYL4rOn5yFC+iC9&#10;JdloaMTxFVX58ROkMXVOydWcv9XGlBEa95cDMbOH5d7HHrOVht0wEdr59oR8epx8Qx0uOiXmo0Nh&#10;85LMRpyN3WTkGhDeHRIWLv1k1BFqKoZjKoymlcp78Oe9ZD39Rp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cGNTDCAQAAjgMAAA4AAAAAAAAAAQAgAAAAHgEAAGRycy9lMm9Eb2MueG1sUEsF&#10;BgAAAAAGAAYAWQEAAFIFAAAAAA==&#10;">
              <v:fill on="f" focussize="0,0"/>
              <v:stroke on="f"/>
              <v:imagedata o:title=""/>
              <o:lock v:ext="edit" aspectratio="f"/>
              <v:textbox inset="0mm,0mm,0mm,0mm" style="mso-fit-shape-to-text:t;">
                <w:txbxContent>
                  <w:p w14:paraId="1B24063C">
                    <w:pPr>
                      <w:pStyle w:val="22"/>
                    </w:pPr>
                    <w:r>
                      <w:fldChar w:fldCharType="begin"/>
                    </w:r>
                    <w:r>
                      <w:instrText xml:space="preserve"> PAGE  \* MERGEFORMAT </w:instrText>
                    </w:r>
                    <w:r>
                      <w:fldChar w:fldCharType="separate"/>
                    </w:r>
                    <w:r>
                      <w:t>113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6B41CC">
    <w:pPr>
      <w:pStyle w:val="2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61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A6575F6">
                          <w:pPr>
                            <w:pStyle w:val="22"/>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wps:txbx>
                    <wps:bodyPr wrap="none" lIns="0" tIns="0" rIns="0" bIns="0">
                      <a:spAutoFit/>
                    </wps:bodyPr>
                  </wps:wsp>
                </a:graphicData>
              </a:graphic>
            </wp:anchor>
          </w:drawing>
        </mc:Choice>
        <mc:Fallback>
          <w:pict>
            <v:shape id="文本框 614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7CIn8QBAACQAwAADgAAAGRycy9lMm9Eb2MueG1srVNLjtswDN0X6B0E&#10;7SdygkEQGHEGUwRTFCjaAtMeQJHlWIB+EJXYuUB7g6666b7nyjlKyXbmt5nFbGSKpB75Hun1TW80&#10;OcoAytmKzmcFJdIKVyu7r+iP73dXK0ogcltz7ays6EkCvdm8f7fufCkXrnW6loEgiIWy8xVtY/Ql&#10;YyBaaTjMnJcWg40Lhke8hj2rA+8Q3Wi2KIol61yofXBCAqB3OwTpiBheA+iaRgm5deJgpI0DapCa&#10;R6QErfJAN7nbppEifm0akJHoiiLTmE8sgvYunWyz5uU+cN8qMbbAX9PCM06GK4tFL1BbHjk5BPUC&#10;yigRHLgmzoQzbCCSFUEW8+KZNvct9zJzQanBX0SHt4MVX47fAlF1RReUWG5w4Offv85//p3//iTL&#10;+fUyKdR5KDHx3mNq7D+4Hvdm8gM6E/G+CSZ9kRLBOOp7uugr+0hEerRarFYFhgTGpgvis4fnPkD8&#10;KJ0hyahowAFmXfnxM8QhdUpJ1ay7U1rnIWr7xIGYycNS70OPyYr9rh8J7Vx9Qj4dzr6iFledEv3J&#10;orRpTSYjTMZuNFIN8LeHiIVzPwl1gBqL4aAyo3Gp0iY8vueshx9p8x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P7CIn8QBAACQAwAADgAAAAAAAAABACAAAAAeAQAAZHJzL2Uyb0RvYy54bWxQ&#10;SwUGAAAAAAYABgBZAQAAVAUAAAAA&#10;">
              <v:fill on="f" focussize="0,0"/>
              <v:stroke on="f"/>
              <v:imagedata o:title=""/>
              <o:lock v:ext="edit" aspectratio="f"/>
              <v:textbox inset="0mm,0mm,0mm,0mm" style="mso-fit-shape-to-text:t;">
                <w:txbxContent>
                  <w:p w14:paraId="6A6575F6">
                    <w:pPr>
                      <w:pStyle w:val="22"/>
                    </w:pPr>
                    <w:r>
                      <w:rPr>
                        <w:rFonts w:hint="eastAsia"/>
                      </w:rPr>
                      <w:fldChar w:fldCharType="begin"/>
                    </w:r>
                    <w:r>
                      <w:rPr>
                        <w:rFonts w:hint="eastAsia"/>
                      </w:rPr>
                      <w:instrText xml:space="preserve"> PAGE  \* MERGEFORMAT </w:instrText>
                    </w:r>
                    <w:r>
                      <w:rPr>
                        <w:rFonts w:hint="eastAsia"/>
                      </w:rPr>
                      <w:fldChar w:fldCharType="separate"/>
                    </w:r>
                    <w:r>
                      <w:t>63</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4B651">
    <w:pPr>
      <w:pStyle w:val="2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411CF5">
    <w:pPr>
      <w:pStyle w:val="2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DA888">
    <w:pPr>
      <w:pStyle w:val="23"/>
      <w:pBdr>
        <w:bottom w:val="none" w:color="auto" w:sz="0" w:space="0"/>
      </w:pBdr>
      <w:tabs>
        <w:tab w:val="center" w:pos="0"/>
        <w:tab w:val="left" w:pos="8306"/>
        <w:tab w:val="clear" w:pos="4153"/>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F9FE59"/>
    <w:multiLevelType w:val="multilevel"/>
    <w:tmpl w:val="D7F9FE59"/>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
    <w:nsid w:val="2470EC97"/>
    <w:multiLevelType w:val="multilevel"/>
    <w:tmpl w:val="2470EC97"/>
    <w:lvl w:ilvl="0" w:tentative="0">
      <w:start w:val="1"/>
      <w:numFmt w:val="decimal"/>
      <w:lvlText w:val="（%1）"/>
      <w:lvlJc w:val="left"/>
      <w:pPr>
        <w:tabs>
          <w:tab w:val="left" w:pos="1140"/>
        </w:tabs>
        <w:ind w:left="1140" w:hanging="72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num w:numId="1">
    <w:abstractNumId w:val="1"/>
    <w:lvlOverride w:ilvl="0">
      <w:startOverride w:val="1"/>
    </w:lvlOverride>
  </w:num>
  <w:num w:numId="2">
    <w:abstractNumId w:val="1"/>
  </w:num>
  <w:num w:numId="3">
    <w:abstractNumId w:val="0"/>
    <w:lvlOverride w:ilvl="0">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5MWE3OGI2Yzk0NTQ5N2IyNTgxZTU4ZTYxMzg3ZGMifQ=="/>
  </w:docVars>
  <w:rsids>
    <w:rsidRoot w:val="00172A27"/>
    <w:rsid w:val="00000672"/>
    <w:rsid w:val="00001013"/>
    <w:rsid w:val="00001799"/>
    <w:rsid w:val="00001AF2"/>
    <w:rsid w:val="00001ECA"/>
    <w:rsid w:val="00002D29"/>
    <w:rsid w:val="00003B93"/>
    <w:rsid w:val="0000474D"/>
    <w:rsid w:val="00005FDF"/>
    <w:rsid w:val="000070B3"/>
    <w:rsid w:val="000076B8"/>
    <w:rsid w:val="0001047A"/>
    <w:rsid w:val="000109DC"/>
    <w:rsid w:val="00010D39"/>
    <w:rsid w:val="0001172C"/>
    <w:rsid w:val="00011BC9"/>
    <w:rsid w:val="00012854"/>
    <w:rsid w:val="00012B5F"/>
    <w:rsid w:val="00012EA6"/>
    <w:rsid w:val="00013359"/>
    <w:rsid w:val="000139CF"/>
    <w:rsid w:val="00013AA4"/>
    <w:rsid w:val="00013DFE"/>
    <w:rsid w:val="000141EA"/>
    <w:rsid w:val="00015094"/>
    <w:rsid w:val="00016ABC"/>
    <w:rsid w:val="000177DB"/>
    <w:rsid w:val="000179C9"/>
    <w:rsid w:val="00017CCC"/>
    <w:rsid w:val="00020227"/>
    <w:rsid w:val="00020263"/>
    <w:rsid w:val="00020455"/>
    <w:rsid w:val="00020527"/>
    <w:rsid w:val="00020813"/>
    <w:rsid w:val="000220B2"/>
    <w:rsid w:val="0002264C"/>
    <w:rsid w:val="00022731"/>
    <w:rsid w:val="00022792"/>
    <w:rsid w:val="00022CD2"/>
    <w:rsid w:val="00024463"/>
    <w:rsid w:val="00025461"/>
    <w:rsid w:val="00025636"/>
    <w:rsid w:val="00025E36"/>
    <w:rsid w:val="00026855"/>
    <w:rsid w:val="00026886"/>
    <w:rsid w:val="00026CF4"/>
    <w:rsid w:val="0002785D"/>
    <w:rsid w:val="000329E0"/>
    <w:rsid w:val="00032DB3"/>
    <w:rsid w:val="00034B50"/>
    <w:rsid w:val="000352E9"/>
    <w:rsid w:val="00035494"/>
    <w:rsid w:val="00036125"/>
    <w:rsid w:val="00036A07"/>
    <w:rsid w:val="0003780B"/>
    <w:rsid w:val="00040571"/>
    <w:rsid w:val="00040973"/>
    <w:rsid w:val="0004156E"/>
    <w:rsid w:val="00041713"/>
    <w:rsid w:val="0004440C"/>
    <w:rsid w:val="00046B5E"/>
    <w:rsid w:val="000470CB"/>
    <w:rsid w:val="000509D9"/>
    <w:rsid w:val="00051ACB"/>
    <w:rsid w:val="000533E7"/>
    <w:rsid w:val="00053E23"/>
    <w:rsid w:val="00055D41"/>
    <w:rsid w:val="00057CD6"/>
    <w:rsid w:val="00060DCE"/>
    <w:rsid w:val="000610E3"/>
    <w:rsid w:val="000614F3"/>
    <w:rsid w:val="000623B4"/>
    <w:rsid w:val="00062405"/>
    <w:rsid w:val="000634A7"/>
    <w:rsid w:val="00063B0B"/>
    <w:rsid w:val="00063F81"/>
    <w:rsid w:val="00064847"/>
    <w:rsid w:val="00065E08"/>
    <w:rsid w:val="000673E2"/>
    <w:rsid w:val="0007063F"/>
    <w:rsid w:val="000707FD"/>
    <w:rsid w:val="00070949"/>
    <w:rsid w:val="000711E4"/>
    <w:rsid w:val="000724D9"/>
    <w:rsid w:val="00072AED"/>
    <w:rsid w:val="00073F47"/>
    <w:rsid w:val="0007492F"/>
    <w:rsid w:val="00074ED8"/>
    <w:rsid w:val="00075B7E"/>
    <w:rsid w:val="00075F83"/>
    <w:rsid w:val="00077ACA"/>
    <w:rsid w:val="00077C70"/>
    <w:rsid w:val="000813B5"/>
    <w:rsid w:val="00081BA3"/>
    <w:rsid w:val="00081D2E"/>
    <w:rsid w:val="00081F89"/>
    <w:rsid w:val="00082619"/>
    <w:rsid w:val="00082D02"/>
    <w:rsid w:val="00082D4B"/>
    <w:rsid w:val="00083871"/>
    <w:rsid w:val="00083B91"/>
    <w:rsid w:val="0008473C"/>
    <w:rsid w:val="0008520B"/>
    <w:rsid w:val="000860BD"/>
    <w:rsid w:val="000871B8"/>
    <w:rsid w:val="000916DA"/>
    <w:rsid w:val="00092442"/>
    <w:rsid w:val="000929EF"/>
    <w:rsid w:val="000933BE"/>
    <w:rsid w:val="00093CD4"/>
    <w:rsid w:val="0009560F"/>
    <w:rsid w:val="0009588E"/>
    <w:rsid w:val="000959EE"/>
    <w:rsid w:val="00097183"/>
    <w:rsid w:val="000972CB"/>
    <w:rsid w:val="00097608"/>
    <w:rsid w:val="000977BD"/>
    <w:rsid w:val="000A13F3"/>
    <w:rsid w:val="000A23B1"/>
    <w:rsid w:val="000A2B0E"/>
    <w:rsid w:val="000A398F"/>
    <w:rsid w:val="000A3BB7"/>
    <w:rsid w:val="000A448C"/>
    <w:rsid w:val="000A509C"/>
    <w:rsid w:val="000A54A7"/>
    <w:rsid w:val="000A6007"/>
    <w:rsid w:val="000A65A6"/>
    <w:rsid w:val="000A70E3"/>
    <w:rsid w:val="000A7275"/>
    <w:rsid w:val="000A7A12"/>
    <w:rsid w:val="000A7A72"/>
    <w:rsid w:val="000B1202"/>
    <w:rsid w:val="000B1801"/>
    <w:rsid w:val="000B1D0C"/>
    <w:rsid w:val="000B2273"/>
    <w:rsid w:val="000B2387"/>
    <w:rsid w:val="000B2585"/>
    <w:rsid w:val="000B2BC6"/>
    <w:rsid w:val="000B2D03"/>
    <w:rsid w:val="000B3815"/>
    <w:rsid w:val="000B3C7B"/>
    <w:rsid w:val="000B4321"/>
    <w:rsid w:val="000B6A6B"/>
    <w:rsid w:val="000B6C95"/>
    <w:rsid w:val="000B7534"/>
    <w:rsid w:val="000B79FC"/>
    <w:rsid w:val="000C02B1"/>
    <w:rsid w:val="000C1679"/>
    <w:rsid w:val="000C1EE3"/>
    <w:rsid w:val="000C3AE7"/>
    <w:rsid w:val="000C3CC9"/>
    <w:rsid w:val="000C6DE4"/>
    <w:rsid w:val="000C7202"/>
    <w:rsid w:val="000D0A89"/>
    <w:rsid w:val="000D1181"/>
    <w:rsid w:val="000D1389"/>
    <w:rsid w:val="000D1798"/>
    <w:rsid w:val="000D2626"/>
    <w:rsid w:val="000D291C"/>
    <w:rsid w:val="000D3FB6"/>
    <w:rsid w:val="000D411D"/>
    <w:rsid w:val="000D4589"/>
    <w:rsid w:val="000D4809"/>
    <w:rsid w:val="000D73DD"/>
    <w:rsid w:val="000E1C51"/>
    <w:rsid w:val="000E28AB"/>
    <w:rsid w:val="000E2E3E"/>
    <w:rsid w:val="000E3583"/>
    <w:rsid w:val="000E3AF0"/>
    <w:rsid w:val="000E4E04"/>
    <w:rsid w:val="000E693B"/>
    <w:rsid w:val="000E6EC9"/>
    <w:rsid w:val="000E70B4"/>
    <w:rsid w:val="000E7B62"/>
    <w:rsid w:val="000F0E1E"/>
    <w:rsid w:val="000F1A1B"/>
    <w:rsid w:val="000F2A95"/>
    <w:rsid w:val="000F3281"/>
    <w:rsid w:val="000F32FD"/>
    <w:rsid w:val="000F3733"/>
    <w:rsid w:val="000F5F8B"/>
    <w:rsid w:val="000F6153"/>
    <w:rsid w:val="000F64AA"/>
    <w:rsid w:val="000F7AF4"/>
    <w:rsid w:val="000F7C33"/>
    <w:rsid w:val="000F7F0C"/>
    <w:rsid w:val="001004D6"/>
    <w:rsid w:val="00102676"/>
    <w:rsid w:val="00103646"/>
    <w:rsid w:val="00103918"/>
    <w:rsid w:val="00104897"/>
    <w:rsid w:val="00104EDE"/>
    <w:rsid w:val="00105CDA"/>
    <w:rsid w:val="00106BEE"/>
    <w:rsid w:val="00107C74"/>
    <w:rsid w:val="0011091C"/>
    <w:rsid w:val="00111266"/>
    <w:rsid w:val="001112EB"/>
    <w:rsid w:val="00112768"/>
    <w:rsid w:val="00112F16"/>
    <w:rsid w:val="00113678"/>
    <w:rsid w:val="00113C3E"/>
    <w:rsid w:val="00115E11"/>
    <w:rsid w:val="00115EEE"/>
    <w:rsid w:val="00115F56"/>
    <w:rsid w:val="00116CA9"/>
    <w:rsid w:val="00116F38"/>
    <w:rsid w:val="001170A4"/>
    <w:rsid w:val="00117AE7"/>
    <w:rsid w:val="00117CBD"/>
    <w:rsid w:val="0012006A"/>
    <w:rsid w:val="00121979"/>
    <w:rsid w:val="00122064"/>
    <w:rsid w:val="00122C12"/>
    <w:rsid w:val="00123A31"/>
    <w:rsid w:val="00124341"/>
    <w:rsid w:val="00124492"/>
    <w:rsid w:val="00124B12"/>
    <w:rsid w:val="001250A0"/>
    <w:rsid w:val="001263B8"/>
    <w:rsid w:val="0012763E"/>
    <w:rsid w:val="00130217"/>
    <w:rsid w:val="00130783"/>
    <w:rsid w:val="00130A47"/>
    <w:rsid w:val="00130D7C"/>
    <w:rsid w:val="001313DA"/>
    <w:rsid w:val="00131A6A"/>
    <w:rsid w:val="00132B47"/>
    <w:rsid w:val="001337F8"/>
    <w:rsid w:val="001348B4"/>
    <w:rsid w:val="001351CB"/>
    <w:rsid w:val="00135530"/>
    <w:rsid w:val="00135947"/>
    <w:rsid w:val="001359A2"/>
    <w:rsid w:val="00135F92"/>
    <w:rsid w:val="00136020"/>
    <w:rsid w:val="00136445"/>
    <w:rsid w:val="00140132"/>
    <w:rsid w:val="00141C9C"/>
    <w:rsid w:val="0014277F"/>
    <w:rsid w:val="001434BE"/>
    <w:rsid w:val="00144050"/>
    <w:rsid w:val="0014479F"/>
    <w:rsid w:val="001452B4"/>
    <w:rsid w:val="00145320"/>
    <w:rsid w:val="001476D3"/>
    <w:rsid w:val="001509CF"/>
    <w:rsid w:val="00150D1D"/>
    <w:rsid w:val="001525AA"/>
    <w:rsid w:val="00152A87"/>
    <w:rsid w:val="00153BB5"/>
    <w:rsid w:val="00154518"/>
    <w:rsid w:val="00156359"/>
    <w:rsid w:val="001568F3"/>
    <w:rsid w:val="00156DD6"/>
    <w:rsid w:val="0016086E"/>
    <w:rsid w:val="00160D0C"/>
    <w:rsid w:val="00161172"/>
    <w:rsid w:val="00161998"/>
    <w:rsid w:val="00161E65"/>
    <w:rsid w:val="00162597"/>
    <w:rsid w:val="001629AF"/>
    <w:rsid w:val="001629FD"/>
    <w:rsid w:val="0016428A"/>
    <w:rsid w:val="001647C9"/>
    <w:rsid w:val="00165627"/>
    <w:rsid w:val="00165929"/>
    <w:rsid w:val="001661A3"/>
    <w:rsid w:val="00167226"/>
    <w:rsid w:val="0016782B"/>
    <w:rsid w:val="0016784D"/>
    <w:rsid w:val="00172A27"/>
    <w:rsid w:val="00172CA8"/>
    <w:rsid w:val="00173256"/>
    <w:rsid w:val="00173B0E"/>
    <w:rsid w:val="00173E03"/>
    <w:rsid w:val="00174182"/>
    <w:rsid w:val="0017512C"/>
    <w:rsid w:val="0017586A"/>
    <w:rsid w:val="00175BA6"/>
    <w:rsid w:val="00176CA7"/>
    <w:rsid w:val="00176F8E"/>
    <w:rsid w:val="001778C5"/>
    <w:rsid w:val="00177E56"/>
    <w:rsid w:val="00177F0A"/>
    <w:rsid w:val="00180DA0"/>
    <w:rsid w:val="00181EAD"/>
    <w:rsid w:val="00182862"/>
    <w:rsid w:val="00184F57"/>
    <w:rsid w:val="00185544"/>
    <w:rsid w:val="00185617"/>
    <w:rsid w:val="00186FE1"/>
    <w:rsid w:val="00187A14"/>
    <w:rsid w:val="0019171E"/>
    <w:rsid w:val="00192368"/>
    <w:rsid w:val="001923A0"/>
    <w:rsid w:val="001928B1"/>
    <w:rsid w:val="00193537"/>
    <w:rsid w:val="00193846"/>
    <w:rsid w:val="00195424"/>
    <w:rsid w:val="001955FF"/>
    <w:rsid w:val="001975B5"/>
    <w:rsid w:val="00197EDD"/>
    <w:rsid w:val="001A02B3"/>
    <w:rsid w:val="001A04BB"/>
    <w:rsid w:val="001A08D0"/>
    <w:rsid w:val="001A1B39"/>
    <w:rsid w:val="001A2120"/>
    <w:rsid w:val="001A28C6"/>
    <w:rsid w:val="001A2E69"/>
    <w:rsid w:val="001A3440"/>
    <w:rsid w:val="001A3C34"/>
    <w:rsid w:val="001A3EDE"/>
    <w:rsid w:val="001A4222"/>
    <w:rsid w:val="001A50EA"/>
    <w:rsid w:val="001A5E24"/>
    <w:rsid w:val="001A6B27"/>
    <w:rsid w:val="001A6D8B"/>
    <w:rsid w:val="001A6DAA"/>
    <w:rsid w:val="001A7717"/>
    <w:rsid w:val="001A793A"/>
    <w:rsid w:val="001B125A"/>
    <w:rsid w:val="001B1EBA"/>
    <w:rsid w:val="001B2142"/>
    <w:rsid w:val="001B2F2B"/>
    <w:rsid w:val="001B327A"/>
    <w:rsid w:val="001B35DE"/>
    <w:rsid w:val="001B3A13"/>
    <w:rsid w:val="001B3F5C"/>
    <w:rsid w:val="001B59FF"/>
    <w:rsid w:val="001B5E60"/>
    <w:rsid w:val="001B6512"/>
    <w:rsid w:val="001B65D7"/>
    <w:rsid w:val="001B6752"/>
    <w:rsid w:val="001B6768"/>
    <w:rsid w:val="001B6F1F"/>
    <w:rsid w:val="001B7ECC"/>
    <w:rsid w:val="001C025B"/>
    <w:rsid w:val="001C115F"/>
    <w:rsid w:val="001C1EAB"/>
    <w:rsid w:val="001C25A7"/>
    <w:rsid w:val="001C2E56"/>
    <w:rsid w:val="001C318C"/>
    <w:rsid w:val="001C35C4"/>
    <w:rsid w:val="001C35E1"/>
    <w:rsid w:val="001C4287"/>
    <w:rsid w:val="001C433C"/>
    <w:rsid w:val="001C4479"/>
    <w:rsid w:val="001C5190"/>
    <w:rsid w:val="001C6081"/>
    <w:rsid w:val="001C7B48"/>
    <w:rsid w:val="001D0CFB"/>
    <w:rsid w:val="001D1A0D"/>
    <w:rsid w:val="001D343C"/>
    <w:rsid w:val="001D34F5"/>
    <w:rsid w:val="001D56FC"/>
    <w:rsid w:val="001D58A1"/>
    <w:rsid w:val="001D58C2"/>
    <w:rsid w:val="001D5A8A"/>
    <w:rsid w:val="001D61CA"/>
    <w:rsid w:val="001D6E87"/>
    <w:rsid w:val="001D735E"/>
    <w:rsid w:val="001D73C8"/>
    <w:rsid w:val="001D7BC6"/>
    <w:rsid w:val="001E129E"/>
    <w:rsid w:val="001E175C"/>
    <w:rsid w:val="001E1B0E"/>
    <w:rsid w:val="001E39BE"/>
    <w:rsid w:val="001E3B63"/>
    <w:rsid w:val="001E5A94"/>
    <w:rsid w:val="001E5F6F"/>
    <w:rsid w:val="001E68B8"/>
    <w:rsid w:val="001F2001"/>
    <w:rsid w:val="001F2A2E"/>
    <w:rsid w:val="001F3356"/>
    <w:rsid w:val="001F3C63"/>
    <w:rsid w:val="001F4460"/>
    <w:rsid w:val="001F5262"/>
    <w:rsid w:val="001F711A"/>
    <w:rsid w:val="001F75B0"/>
    <w:rsid w:val="00200CE5"/>
    <w:rsid w:val="00200F7C"/>
    <w:rsid w:val="002014DB"/>
    <w:rsid w:val="0020150B"/>
    <w:rsid w:val="00201E12"/>
    <w:rsid w:val="00202B13"/>
    <w:rsid w:val="002032DA"/>
    <w:rsid w:val="002033B5"/>
    <w:rsid w:val="0020382C"/>
    <w:rsid w:val="0020437A"/>
    <w:rsid w:val="0020454C"/>
    <w:rsid w:val="00204740"/>
    <w:rsid w:val="00205129"/>
    <w:rsid w:val="0020521F"/>
    <w:rsid w:val="0020532C"/>
    <w:rsid w:val="002114C7"/>
    <w:rsid w:val="0021302C"/>
    <w:rsid w:val="00213B1C"/>
    <w:rsid w:val="00214202"/>
    <w:rsid w:val="002148E3"/>
    <w:rsid w:val="0021552D"/>
    <w:rsid w:val="002156AE"/>
    <w:rsid w:val="00215E99"/>
    <w:rsid w:val="0022054D"/>
    <w:rsid w:val="00223DDB"/>
    <w:rsid w:val="00223FA4"/>
    <w:rsid w:val="00223FB0"/>
    <w:rsid w:val="00224067"/>
    <w:rsid w:val="0022421C"/>
    <w:rsid w:val="00224E83"/>
    <w:rsid w:val="00225664"/>
    <w:rsid w:val="0022663D"/>
    <w:rsid w:val="00227F2D"/>
    <w:rsid w:val="00230179"/>
    <w:rsid w:val="00231851"/>
    <w:rsid w:val="002319FB"/>
    <w:rsid w:val="00231B89"/>
    <w:rsid w:val="00231F11"/>
    <w:rsid w:val="00231F5E"/>
    <w:rsid w:val="002346B4"/>
    <w:rsid w:val="00234F6E"/>
    <w:rsid w:val="002355BE"/>
    <w:rsid w:val="002358EA"/>
    <w:rsid w:val="00236578"/>
    <w:rsid w:val="00236DE9"/>
    <w:rsid w:val="00237342"/>
    <w:rsid w:val="00237D5A"/>
    <w:rsid w:val="002415AE"/>
    <w:rsid w:val="00241D3C"/>
    <w:rsid w:val="00242109"/>
    <w:rsid w:val="00243189"/>
    <w:rsid w:val="002439AB"/>
    <w:rsid w:val="00243C19"/>
    <w:rsid w:val="00244AE8"/>
    <w:rsid w:val="00244DC9"/>
    <w:rsid w:val="00245587"/>
    <w:rsid w:val="00245F2B"/>
    <w:rsid w:val="00247F3A"/>
    <w:rsid w:val="00250122"/>
    <w:rsid w:val="00250755"/>
    <w:rsid w:val="00251043"/>
    <w:rsid w:val="00251C4A"/>
    <w:rsid w:val="0025271C"/>
    <w:rsid w:val="002529E4"/>
    <w:rsid w:val="002533CD"/>
    <w:rsid w:val="002535EA"/>
    <w:rsid w:val="00253805"/>
    <w:rsid w:val="00254EAB"/>
    <w:rsid w:val="002557AF"/>
    <w:rsid w:val="0025589C"/>
    <w:rsid w:val="00255B62"/>
    <w:rsid w:val="002566B1"/>
    <w:rsid w:val="002575E3"/>
    <w:rsid w:val="00257A74"/>
    <w:rsid w:val="002603C1"/>
    <w:rsid w:val="002609A1"/>
    <w:rsid w:val="002612B1"/>
    <w:rsid w:val="00266165"/>
    <w:rsid w:val="002662FE"/>
    <w:rsid w:val="00266F2C"/>
    <w:rsid w:val="00270D48"/>
    <w:rsid w:val="0027125E"/>
    <w:rsid w:val="00271767"/>
    <w:rsid w:val="00272293"/>
    <w:rsid w:val="002723C8"/>
    <w:rsid w:val="002725C1"/>
    <w:rsid w:val="00273C2A"/>
    <w:rsid w:val="00273CBE"/>
    <w:rsid w:val="002746B1"/>
    <w:rsid w:val="00274BAD"/>
    <w:rsid w:val="00282D56"/>
    <w:rsid w:val="002835B0"/>
    <w:rsid w:val="002836F1"/>
    <w:rsid w:val="00283C74"/>
    <w:rsid w:val="0028407E"/>
    <w:rsid w:val="0028410F"/>
    <w:rsid w:val="00284572"/>
    <w:rsid w:val="00285221"/>
    <w:rsid w:val="00286FB5"/>
    <w:rsid w:val="00287763"/>
    <w:rsid w:val="00290606"/>
    <w:rsid w:val="002909B2"/>
    <w:rsid w:val="00291D6D"/>
    <w:rsid w:val="00291FF1"/>
    <w:rsid w:val="00292AA2"/>
    <w:rsid w:val="00292BF7"/>
    <w:rsid w:val="00293361"/>
    <w:rsid w:val="002952B1"/>
    <w:rsid w:val="00295D11"/>
    <w:rsid w:val="00296FB6"/>
    <w:rsid w:val="002A0001"/>
    <w:rsid w:val="002A0BD9"/>
    <w:rsid w:val="002A0C3A"/>
    <w:rsid w:val="002A1130"/>
    <w:rsid w:val="002A1880"/>
    <w:rsid w:val="002A23B7"/>
    <w:rsid w:val="002A3A57"/>
    <w:rsid w:val="002A4B4F"/>
    <w:rsid w:val="002A57A8"/>
    <w:rsid w:val="002A6DEF"/>
    <w:rsid w:val="002A6E42"/>
    <w:rsid w:val="002A770B"/>
    <w:rsid w:val="002B013E"/>
    <w:rsid w:val="002B017B"/>
    <w:rsid w:val="002B058D"/>
    <w:rsid w:val="002B0C16"/>
    <w:rsid w:val="002B2AC5"/>
    <w:rsid w:val="002B3528"/>
    <w:rsid w:val="002B3539"/>
    <w:rsid w:val="002B4532"/>
    <w:rsid w:val="002B5042"/>
    <w:rsid w:val="002B69CC"/>
    <w:rsid w:val="002B6D71"/>
    <w:rsid w:val="002C0C1C"/>
    <w:rsid w:val="002C54C2"/>
    <w:rsid w:val="002C5D34"/>
    <w:rsid w:val="002C60BB"/>
    <w:rsid w:val="002C661A"/>
    <w:rsid w:val="002D0D6F"/>
    <w:rsid w:val="002D25FC"/>
    <w:rsid w:val="002D4AC6"/>
    <w:rsid w:val="002D5BF5"/>
    <w:rsid w:val="002D5E95"/>
    <w:rsid w:val="002D5EE8"/>
    <w:rsid w:val="002D7150"/>
    <w:rsid w:val="002D7360"/>
    <w:rsid w:val="002D7648"/>
    <w:rsid w:val="002E109C"/>
    <w:rsid w:val="002E193E"/>
    <w:rsid w:val="002E1A94"/>
    <w:rsid w:val="002E1D55"/>
    <w:rsid w:val="002E1F3E"/>
    <w:rsid w:val="002E26C4"/>
    <w:rsid w:val="002E30A5"/>
    <w:rsid w:val="002E47E4"/>
    <w:rsid w:val="002E4BF9"/>
    <w:rsid w:val="002E4D61"/>
    <w:rsid w:val="002E5FED"/>
    <w:rsid w:val="002E68A7"/>
    <w:rsid w:val="002E6E6C"/>
    <w:rsid w:val="002F0522"/>
    <w:rsid w:val="002F0B85"/>
    <w:rsid w:val="002F16DD"/>
    <w:rsid w:val="002F199D"/>
    <w:rsid w:val="002F213C"/>
    <w:rsid w:val="002F2453"/>
    <w:rsid w:val="002F352D"/>
    <w:rsid w:val="002F381E"/>
    <w:rsid w:val="002F4084"/>
    <w:rsid w:val="002F4A08"/>
    <w:rsid w:val="002F4ADB"/>
    <w:rsid w:val="002F531E"/>
    <w:rsid w:val="002F548D"/>
    <w:rsid w:val="002F5ACC"/>
    <w:rsid w:val="002F704B"/>
    <w:rsid w:val="002F72C3"/>
    <w:rsid w:val="002F768C"/>
    <w:rsid w:val="002F7D1E"/>
    <w:rsid w:val="00300201"/>
    <w:rsid w:val="0030025A"/>
    <w:rsid w:val="00301ADC"/>
    <w:rsid w:val="00301EC6"/>
    <w:rsid w:val="00302EFC"/>
    <w:rsid w:val="00303243"/>
    <w:rsid w:val="00303BCC"/>
    <w:rsid w:val="00303D4A"/>
    <w:rsid w:val="00303F2B"/>
    <w:rsid w:val="00303F8D"/>
    <w:rsid w:val="0030572D"/>
    <w:rsid w:val="0030586A"/>
    <w:rsid w:val="0030622D"/>
    <w:rsid w:val="00306811"/>
    <w:rsid w:val="00306F32"/>
    <w:rsid w:val="003074C5"/>
    <w:rsid w:val="003078DD"/>
    <w:rsid w:val="00307A3C"/>
    <w:rsid w:val="00307FA4"/>
    <w:rsid w:val="00310290"/>
    <w:rsid w:val="0031083D"/>
    <w:rsid w:val="00310CC1"/>
    <w:rsid w:val="00312504"/>
    <w:rsid w:val="00313026"/>
    <w:rsid w:val="00313913"/>
    <w:rsid w:val="0031421F"/>
    <w:rsid w:val="00314B31"/>
    <w:rsid w:val="00315A65"/>
    <w:rsid w:val="003165D7"/>
    <w:rsid w:val="00317BA7"/>
    <w:rsid w:val="00320BE2"/>
    <w:rsid w:val="00321886"/>
    <w:rsid w:val="00323694"/>
    <w:rsid w:val="00323BE7"/>
    <w:rsid w:val="00324C3A"/>
    <w:rsid w:val="00324D63"/>
    <w:rsid w:val="00324EC2"/>
    <w:rsid w:val="003255AF"/>
    <w:rsid w:val="003256EB"/>
    <w:rsid w:val="003259DB"/>
    <w:rsid w:val="003314D9"/>
    <w:rsid w:val="00331653"/>
    <w:rsid w:val="0033194F"/>
    <w:rsid w:val="00331A48"/>
    <w:rsid w:val="00331BCC"/>
    <w:rsid w:val="003330C9"/>
    <w:rsid w:val="0033364C"/>
    <w:rsid w:val="00334415"/>
    <w:rsid w:val="00335EA1"/>
    <w:rsid w:val="0033691E"/>
    <w:rsid w:val="00336A6A"/>
    <w:rsid w:val="00336CCB"/>
    <w:rsid w:val="003411D1"/>
    <w:rsid w:val="003416BA"/>
    <w:rsid w:val="00342148"/>
    <w:rsid w:val="00342F99"/>
    <w:rsid w:val="0034575A"/>
    <w:rsid w:val="00345F57"/>
    <w:rsid w:val="00346E7F"/>
    <w:rsid w:val="00350458"/>
    <w:rsid w:val="00350E6C"/>
    <w:rsid w:val="003518A6"/>
    <w:rsid w:val="00351E7F"/>
    <w:rsid w:val="00351FCB"/>
    <w:rsid w:val="003525A7"/>
    <w:rsid w:val="00352953"/>
    <w:rsid w:val="00354062"/>
    <w:rsid w:val="0035459E"/>
    <w:rsid w:val="00354A03"/>
    <w:rsid w:val="00355C0D"/>
    <w:rsid w:val="003566A9"/>
    <w:rsid w:val="00356988"/>
    <w:rsid w:val="003569D3"/>
    <w:rsid w:val="00356CE9"/>
    <w:rsid w:val="003570BB"/>
    <w:rsid w:val="00357128"/>
    <w:rsid w:val="0035755E"/>
    <w:rsid w:val="00357A80"/>
    <w:rsid w:val="00361441"/>
    <w:rsid w:val="00361B8B"/>
    <w:rsid w:val="00363F39"/>
    <w:rsid w:val="0036445C"/>
    <w:rsid w:val="00364627"/>
    <w:rsid w:val="00364AB0"/>
    <w:rsid w:val="00364D71"/>
    <w:rsid w:val="003667B0"/>
    <w:rsid w:val="003667DD"/>
    <w:rsid w:val="00366B48"/>
    <w:rsid w:val="00367764"/>
    <w:rsid w:val="00370316"/>
    <w:rsid w:val="00370DC7"/>
    <w:rsid w:val="00371CBD"/>
    <w:rsid w:val="00371F20"/>
    <w:rsid w:val="003721E3"/>
    <w:rsid w:val="00372B98"/>
    <w:rsid w:val="003737B7"/>
    <w:rsid w:val="003740CC"/>
    <w:rsid w:val="003745F4"/>
    <w:rsid w:val="00374E79"/>
    <w:rsid w:val="0037529A"/>
    <w:rsid w:val="00375388"/>
    <w:rsid w:val="00375FB9"/>
    <w:rsid w:val="00376170"/>
    <w:rsid w:val="00376851"/>
    <w:rsid w:val="00376FA2"/>
    <w:rsid w:val="00377A3B"/>
    <w:rsid w:val="00377E3C"/>
    <w:rsid w:val="00380BBE"/>
    <w:rsid w:val="00381D70"/>
    <w:rsid w:val="0038235E"/>
    <w:rsid w:val="003829D0"/>
    <w:rsid w:val="0038326A"/>
    <w:rsid w:val="0038444F"/>
    <w:rsid w:val="003861F0"/>
    <w:rsid w:val="00387051"/>
    <w:rsid w:val="00387ECF"/>
    <w:rsid w:val="0039021B"/>
    <w:rsid w:val="00390429"/>
    <w:rsid w:val="003906A0"/>
    <w:rsid w:val="0039366C"/>
    <w:rsid w:val="00393EC8"/>
    <w:rsid w:val="003950F5"/>
    <w:rsid w:val="0039538F"/>
    <w:rsid w:val="00395E42"/>
    <w:rsid w:val="00396409"/>
    <w:rsid w:val="00396A2D"/>
    <w:rsid w:val="00396FC3"/>
    <w:rsid w:val="003A1A94"/>
    <w:rsid w:val="003A204E"/>
    <w:rsid w:val="003A2D25"/>
    <w:rsid w:val="003A52DA"/>
    <w:rsid w:val="003A5728"/>
    <w:rsid w:val="003A5B2C"/>
    <w:rsid w:val="003A60E7"/>
    <w:rsid w:val="003A7092"/>
    <w:rsid w:val="003A72A1"/>
    <w:rsid w:val="003A7611"/>
    <w:rsid w:val="003A7D1F"/>
    <w:rsid w:val="003B0B6A"/>
    <w:rsid w:val="003B22F7"/>
    <w:rsid w:val="003B29CF"/>
    <w:rsid w:val="003B3A90"/>
    <w:rsid w:val="003B534F"/>
    <w:rsid w:val="003B7A79"/>
    <w:rsid w:val="003C0296"/>
    <w:rsid w:val="003C0FE1"/>
    <w:rsid w:val="003C151A"/>
    <w:rsid w:val="003C350C"/>
    <w:rsid w:val="003C3903"/>
    <w:rsid w:val="003C3BA0"/>
    <w:rsid w:val="003C4580"/>
    <w:rsid w:val="003C5C5E"/>
    <w:rsid w:val="003C6746"/>
    <w:rsid w:val="003C7555"/>
    <w:rsid w:val="003C7898"/>
    <w:rsid w:val="003D0FF5"/>
    <w:rsid w:val="003D11A3"/>
    <w:rsid w:val="003D1537"/>
    <w:rsid w:val="003D183C"/>
    <w:rsid w:val="003D2D1B"/>
    <w:rsid w:val="003D48C7"/>
    <w:rsid w:val="003D4C27"/>
    <w:rsid w:val="003D7109"/>
    <w:rsid w:val="003D7CE8"/>
    <w:rsid w:val="003E0514"/>
    <w:rsid w:val="003E1032"/>
    <w:rsid w:val="003E1904"/>
    <w:rsid w:val="003E285E"/>
    <w:rsid w:val="003E2BE6"/>
    <w:rsid w:val="003E3124"/>
    <w:rsid w:val="003E3300"/>
    <w:rsid w:val="003E43D3"/>
    <w:rsid w:val="003E48E1"/>
    <w:rsid w:val="003E59BB"/>
    <w:rsid w:val="003E6225"/>
    <w:rsid w:val="003E65AC"/>
    <w:rsid w:val="003E66AE"/>
    <w:rsid w:val="003E72B9"/>
    <w:rsid w:val="003E7ED4"/>
    <w:rsid w:val="003F0E52"/>
    <w:rsid w:val="003F0F6B"/>
    <w:rsid w:val="003F1FC6"/>
    <w:rsid w:val="003F1FE3"/>
    <w:rsid w:val="003F2359"/>
    <w:rsid w:val="003F3865"/>
    <w:rsid w:val="003F3D55"/>
    <w:rsid w:val="003F44E2"/>
    <w:rsid w:val="003F4632"/>
    <w:rsid w:val="003F47BA"/>
    <w:rsid w:val="003F4FE6"/>
    <w:rsid w:val="003F5638"/>
    <w:rsid w:val="003F6617"/>
    <w:rsid w:val="00402332"/>
    <w:rsid w:val="004025C2"/>
    <w:rsid w:val="00403195"/>
    <w:rsid w:val="004033A9"/>
    <w:rsid w:val="00403E55"/>
    <w:rsid w:val="0040407C"/>
    <w:rsid w:val="0040416C"/>
    <w:rsid w:val="00404681"/>
    <w:rsid w:val="00405AC1"/>
    <w:rsid w:val="00406923"/>
    <w:rsid w:val="00407001"/>
    <w:rsid w:val="0040763D"/>
    <w:rsid w:val="00410D17"/>
    <w:rsid w:val="00413442"/>
    <w:rsid w:val="00413821"/>
    <w:rsid w:val="00413BA5"/>
    <w:rsid w:val="004141A3"/>
    <w:rsid w:val="00414909"/>
    <w:rsid w:val="0041582F"/>
    <w:rsid w:val="00416112"/>
    <w:rsid w:val="00417AE0"/>
    <w:rsid w:val="00417BAA"/>
    <w:rsid w:val="0042042B"/>
    <w:rsid w:val="00420B45"/>
    <w:rsid w:val="00420D7A"/>
    <w:rsid w:val="00421257"/>
    <w:rsid w:val="00422193"/>
    <w:rsid w:val="004223DE"/>
    <w:rsid w:val="00422A10"/>
    <w:rsid w:val="004249C0"/>
    <w:rsid w:val="00424D17"/>
    <w:rsid w:val="00425DFD"/>
    <w:rsid w:val="004263A3"/>
    <w:rsid w:val="00427713"/>
    <w:rsid w:val="00427CCC"/>
    <w:rsid w:val="0043013A"/>
    <w:rsid w:val="00430421"/>
    <w:rsid w:val="0043049B"/>
    <w:rsid w:val="00430A36"/>
    <w:rsid w:val="00430B4F"/>
    <w:rsid w:val="00431084"/>
    <w:rsid w:val="004310D7"/>
    <w:rsid w:val="004313D9"/>
    <w:rsid w:val="004322D6"/>
    <w:rsid w:val="00432589"/>
    <w:rsid w:val="00432A94"/>
    <w:rsid w:val="00432C95"/>
    <w:rsid w:val="00433827"/>
    <w:rsid w:val="00433A40"/>
    <w:rsid w:val="00434B70"/>
    <w:rsid w:val="004360C8"/>
    <w:rsid w:val="00436FA4"/>
    <w:rsid w:val="004371D5"/>
    <w:rsid w:val="0044006B"/>
    <w:rsid w:val="0044033F"/>
    <w:rsid w:val="00440630"/>
    <w:rsid w:val="00441F0F"/>
    <w:rsid w:val="00442965"/>
    <w:rsid w:val="00444157"/>
    <w:rsid w:val="0044417C"/>
    <w:rsid w:val="00444DB3"/>
    <w:rsid w:val="00444FDD"/>
    <w:rsid w:val="00445617"/>
    <w:rsid w:val="00445A2F"/>
    <w:rsid w:val="0044684E"/>
    <w:rsid w:val="00446F22"/>
    <w:rsid w:val="0045019F"/>
    <w:rsid w:val="004503A4"/>
    <w:rsid w:val="00450555"/>
    <w:rsid w:val="004506FA"/>
    <w:rsid w:val="00450A9F"/>
    <w:rsid w:val="00450DC6"/>
    <w:rsid w:val="004516A5"/>
    <w:rsid w:val="00451E9C"/>
    <w:rsid w:val="0045280F"/>
    <w:rsid w:val="00452C81"/>
    <w:rsid w:val="004535AE"/>
    <w:rsid w:val="0045444D"/>
    <w:rsid w:val="0045463A"/>
    <w:rsid w:val="00454AC9"/>
    <w:rsid w:val="00455050"/>
    <w:rsid w:val="004554A3"/>
    <w:rsid w:val="00455A6E"/>
    <w:rsid w:val="00455EAD"/>
    <w:rsid w:val="004578EB"/>
    <w:rsid w:val="004604D5"/>
    <w:rsid w:val="00460697"/>
    <w:rsid w:val="0046117B"/>
    <w:rsid w:val="00464AB7"/>
    <w:rsid w:val="00465DE5"/>
    <w:rsid w:val="00467EF8"/>
    <w:rsid w:val="00471FC4"/>
    <w:rsid w:val="00472429"/>
    <w:rsid w:val="004725E5"/>
    <w:rsid w:val="00472751"/>
    <w:rsid w:val="00473128"/>
    <w:rsid w:val="00475078"/>
    <w:rsid w:val="00475767"/>
    <w:rsid w:val="004765FB"/>
    <w:rsid w:val="004779A0"/>
    <w:rsid w:val="004808E3"/>
    <w:rsid w:val="00481016"/>
    <w:rsid w:val="0048204C"/>
    <w:rsid w:val="004821BB"/>
    <w:rsid w:val="004826FE"/>
    <w:rsid w:val="004827D5"/>
    <w:rsid w:val="00482AF2"/>
    <w:rsid w:val="004830C9"/>
    <w:rsid w:val="00483347"/>
    <w:rsid w:val="00483E2E"/>
    <w:rsid w:val="00484B69"/>
    <w:rsid w:val="00485406"/>
    <w:rsid w:val="0048590F"/>
    <w:rsid w:val="00486D60"/>
    <w:rsid w:val="00491FA1"/>
    <w:rsid w:val="00492A25"/>
    <w:rsid w:val="004938A3"/>
    <w:rsid w:val="0049558B"/>
    <w:rsid w:val="00496350"/>
    <w:rsid w:val="0049797C"/>
    <w:rsid w:val="00497B25"/>
    <w:rsid w:val="004A0404"/>
    <w:rsid w:val="004A0943"/>
    <w:rsid w:val="004A1405"/>
    <w:rsid w:val="004A1FC6"/>
    <w:rsid w:val="004A2E5F"/>
    <w:rsid w:val="004A38C2"/>
    <w:rsid w:val="004A3C03"/>
    <w:rsid w:val="004A3DB7"/>
    <w:rsid w:val="004A5088"/>
    <w:rsid w:val="004A5255"/>
    <w:rsid w:val="004A6CB0"/>
    <w:rsid w:val="004A70FF"/>
    <w:rsid w:val="004A76D5"/>
    <w:rsid w:val="004A7EDE"/>
    <w:rsid w:val="004B0D93"/>
    <w:rsid w:val="004B1FA4"/>
    <w:rsid w:val="004B29AC"/>
    <w:rsid w:val="004B3470"/>
    <w:rsid w:val="004B35DF"/>
    <w:rsid w:val="004B3627"/>
    <w:rsid w:val="004B4922"/>
    <w:rsid w:val="004B57DF"/>
    <w:rsid w:val="004B5976"/>
    <w:rsid w:val="004B722E"/>
    <w:rsid w:val="004B72E8"/>
    <w:rsid w:val="004C01A5"/>
    <w:rsid w:val="004C0412"/>
    <w:rsid w:val="004C1142"/>
    <w:rsid w:val="004C2138"/>
    <w:rsid w:val="004C3940"/>
    <w:rsid w:val="004C51FD"/>
    <w:rsid w:val="004C65A8"/>
    <w:rsid w:val="004C6689"/>
    <w:rsid w:val="004D139A"/>
    <w:rsid w:val="004D14DC"/>
    <w:rsid w:val="004D17C6"/>
    <w:rsid w:val="004D2858"/>
    <w:rsid w:val="004D2E49"/>
    <w:rsid w:val="004D35BA"/>
    <w:rsid w:val="004D38E5"/>
    <w:rsid w:val="004D3C5A"/>
    <w:rsid w:val="004D449A"/>
    <w:rsid w:val="004D4701"/>
    <w:rsid w:val="004D47C7"/>
    <w:rsid w:val="004D4F35"/>
    <w:rsid w:val="004D5D45"/>
    <w:rsid w:val="004D618D"/>
    <w:rsid w:val="004D62A9"/>
    <w:rsid w:val="004D6EA4"/>
    <w:rsid w:val="004D6FC3"/>
    <w:rsid w:val="004D7476"/>
    <w:rsid w:val="004D7716"/>
    <w:rsid w:val="004E0306"/>
    <w:rsid w:val="004E0572"/>
    <w:rsid w:val="004E06D5"/>
    <w:rsid w:val="004E1641"/>
    <w:rsid w:val="004E1818"/>
    <w:rsid w:val="004E1990"/>
    <w:rsid w:val="004E25A8"/>
    <w:rsid w:val="004E3930"/>
    <w:rsid w:val="004E3ED9"/>
    <w:rsid w:val="004E5866"/>
    <w:rsid w:val="004E6097"/>
    <w:rsid w:val="004E61EF"/>
    <w:rsid w:val="004E63C6"/>
    <w:rsid w:val="004E76A7"/>
    <w:rsid w:val="004E7B03"/>
    <w:rsid w:val="004F0064"/>
    <w:rsid w:val="004F06AC"/>
    <w:rsid w:val="004F1D2A"/>
    <w:rsid w:val="004F243F"/>
    <w:rsid w:val="004F252C"/>
    <w:rsid w:val="004F36A3"/>
    <w:rsid w:val="004F3E0C"/>
    <w:rsid w:val="004F4308"/>
    <w:rsid w:val="004F63EF"/>
    <w:rsid w:val="004F7160"/>
    <w:rsid w:val="00500258"/>
    <w:rsid w:val="00500B2D"/>
    <w:rsid w:val="00501A99"/>
    <w:rsid w:val="00503180"/>
    <w:rsid w:val="005038A4"/>
    <w:rsid w:val="00505450"/>
    <w:rsid w:val="005055C4"/>
    <w:rsid w:val="005100B7"/>
    <w:rsid w:val="005113C9"/>
    <w:rsid w:val="00512050"/>
    <w:rsid w:val="00512055"/>
    <w:rsid w:val="0051280C"/>
    <w:rsid w:val="00512842"/>
    <w:rsid w:val="005128BE"/>
    <w:rsid w:val="0051356F"/>
    <w:rsid w:val="00513E7C"/>
    <w:rsid w:val="005140BB"/>
    <w:rsid w:val="00514FBE"/>
    <w:rsid w:val="00514FD9"/>
    <w:rsid w:val="0051550A"/>
    <w:rsid w:val="0051608F"/>
    <w:rsid w:val="005171C6"/>
    <w:rsid w:val="00520EF8"/>
    <w:rsid w:val="005210F7"/>
    <w:rsid w:val="00521753"/>
    <w:rsid w:val="0052239D"/>
    <w:rsid w:val="005224EE"/>
    <w:rsid w:val="00522879"/>
    <w:rsid w:val="00523BB1"/>
    <w:rsid w:val="00524839"/>
    <w:rsid w:val="0052570E"/>
    <w:rsid w:val="005260CD"/>
    <w:rsid w:val="00526265"/>
    <w:rsid w:val="0052655D"/>
    <w:rsid w:val="005265E0"/>
    <w:rsid w:val="00526BC3"/>
    <w:rsid w:val="00531761"/>
    <w:rsid w:val="00531820"/>
    <w:rsid w:val="0053248F"/>
    <w:rsid w:val="0053332A"/>
    <w:rsid w:val="0053358A"/>
    <w:rsid w:val="00534668"/>
    <w:rsid w:val="00534DDD"/>
    <w:rsid w:val="00535291"/>
    <w:rsid w:val="00535A94"/>
    <w:rsid w:val="00537874"/>
    <w:rsid w:val="0053795F"/>
    <w:rsid w:val="00537D3D"/>
    <w:rsid w:val="00540511"/>
    <w:rsid w:val="00540578"/>
    <w:rsid w:val="00540808"/>
    <w:rsid w:val="0054080E"/>
    <w:rsid w:val="00540EA1"/>
    <w:rsid w:val="0054358E"/>
    <w:rsid w:val="00543AF4"/>
    <w:rsid w:val="00544191"/>
    <w:rsid w:val="0054440C"/>
    <w:rsid w:val="005448EC"/>
    <w:rsid w:val="00544C0A"/>
    <w:rsid w:val="00544F39"/>
    <w:rsid w:val="00546F90"/>
    <w:rsid w:val="00547EFB"/>
    <w:rsid w:val="005522F2"/>
    <w:rsid w:val="005531DF"/>
    <w:rsid w:val="00553874"/>
    <w:rsid w:val="00554577"/>
    <w:rsid w:val="00554AD8"/>
    <w:rsid w:val="00554F78"/>
    <w:rsid w:val="00555DA1"/>
    <w:rsid w:val="00556BF7"/>
    <w:rsid w:val="00557F60"/>
    <w:rsid w:val="00561730"/>
    <w:rsid w:val="00561B97"/>
    <w:rsid w:val="00562149"/>
    <w:rsid w:val="005678D5"/>
    <w:rsid w:val="00567B5D"/>
    <w:rsid w:val="00570757"/>
    <w:rsid w:val="00573733"/>
    <w:rsid w:val="00573E3F"/>
    <w:rsid w:val="00573F8B"/>
    <w:rsid w:val="00574554"/>
    <w:rsid w:val="00574E06"/>
    <w:rsid w:val="005751BB"/>
    <w:rsid w:val="00575840"/>
    <w:rsid w:val="00576089"/>
    <w:rsid w:val="005764B1"/>
    <w:rsid w:val="00576852"/>
    <w:rsid w:val="00576D06"/>
    <w:rsid w:val="005779E4"/>
    <w:rsid w:val="00580EC7"/>
    <w:rsid w:val="00581132"/>
    <w:rsid w:val="0058289C"/>
    <w:rsid w:val="005836C7"/>
    <w:rsid w:val="0058408E"/>
    <w:rsid w:val="00585374"/>
    <w:rsid w:val="005854CA"/>
    <w:rsid w:val="00585FAB"/>
    <w:rsid w:val="00590B77"/>
    <w:rsid w:val="00590D9A"/>
    <w:rsid w:val="005913A3"/>
    <w:rsid w:val="005940D4"/>
    <w:rsid w:val="00594A7B"/>
    <w:rsid w:val="0059580E"/>
    <w:rsid w:val="00595D90"/>
    <w:rsid w:val="00596A6F"/>
    <w:rsid w:val="00596FCE"/>
    <w:rsid w:val="005A11BC"/>
    <w:rsid w:val="005A1525"/>
    <w:rsid w:val="005A1E17"/>
    <w:rsid w:val="005A252B"/>
    <w:rsid w:val="005A2A8F"/>
    <w:rsid w:val="005A3204"/>
    <w:rsid w:val="005A3341"/>
    <w:rsid w:val="005A3C3D"/>
    <w:rsid w:val="005A46EC"/>
    <w:rsid w:val="005A5EAE"/>
    <w:rsid w:val="005A6407"/>
    <w:rsid w:val="005A669C"/>
    <w:rsid w:val="005A726C"/>
    <w:rsid w:val="005B07EC"/>
    <w:rsid w:val="005B2B11"/>
    <w:rsid w:val="005B32A4"/>
    <w:rsid w:val="005B3371"/>
    <w:rsid w:val="005B338D"/>
    <w:rsid w:val="005B36D7"/>
    <w:rsid w:val="005B3BAF"/>
    <w:rsid w:val="005B4DA3"/>
    <w:rsid w:val="005B5BEE"/>
    <w:rsid w:val="005B77D2"/>
    <w:rsid w:val="005C019B"/>
    <w:rsid w:val="005C08D0"/>
    <w:rsid w:val="005C1AED"/>
    <w:rsid w:val="005C203C"/>
    <w:rsid w:val="005C30C7"/>
    <w:rsid w:val="005C30F5"/>
    <w:rsid w:val="005C51A5"/>
    <w:rsid w:val="005C557A"/>
    <w:rsid w:val="005C566F"/>
    <w:rsid w:val="005C5C47"/>
    <w:rsid w:val="005C61DD"/>
    <w:rsid w:val="005C6438"/>
    <w:rsid w:val="005C6B8B"/>
    <w:rsid w:val="005C727F"/>
    <w:rsid w:val="005D02E3"/>
    <w:rsid w:val="005D1F34"/>
    <w:rsid w:val="005D2C1F"/>
    <w:rsid w:val="005D2DE8"/>
    <w:rsid w:val="005D34B2"/>
    <w:rsid w:val="005D3B54"/>
    <w:rsid w:val="005D40CD"/>
    <w:rsid w:val="005D6B59"/>
    <w:rsid w:val="005D784B"/>
    <w:rsid w:val="005E03E4"/>
    <w:rsid w:val="005E0454"/>
    <w:rsid w:val="005E05F6"/>
    <w:rsid w:val="005E2442"/>
    <w:rsid w:val="005E3111"/>
    <w:rsid w:val="005E3F85"/>
    <w:rsid w:val="005E4A5F"/>
    <w:rsid w:val="005E57B0"/>
    <w:rsid w:val="005E5B01"/>
    <w:rsid w:val="005E6D3B"/>
    <w:rsid w:val="005F009E"/>
    <w:rsid w:val="005F0DF1"/>
    <w:rsid w:val="005F1516"/>
    <w:rsid w:val="005F229E"/>
    <w:rsid w:val="005F2564"/>
    <w:rsid w:val="005F3822"/>
    <w:rsid w:val="005F4635"/>
    <w:rsid w:val="005F4900"/>
    <w:rsid w:val="005F4E52"/>
    <w:rsid w:val="005F6D58"/>
    <w:rsid w:val="005F7383"/>
    <w:rsid w:val="0060058E"/>
    <w:rsid w:val="00601C8F"/>
    <w:rsid w:val="00601F77"/>
    <w:rsid w:val="00602A3C"/>
    <w:rsid w:val="00603EFD"/>
    <w:rsid w:val="0060475B"/>
    <w:rsid w:val="00604BED"/>
    <w:rsid w:val="00604FB6"/>
    <w:rsid w:val="00605387"/>
    <w:rsid w:val="00606302"/>
    <w:rsid w:val="006076FD"/>
    <w:rsid w:val="0061143F"/>
    <w:rsid w:val="006114D8"/>
    <w:rsid w:val="00613553"/>
    <w:rsid w:val="00613601"/>
    <w:rsid w:val="00613791"/>
    <w:rsid w:val="006150D6"/>
    <w:rsid w:val="00615245"/>
    <w:rsid w:val="0061590D"/>
    <w:rsid w:val="0061641E"/>
    <w:rsid w:val="00617EEE"/>
    <w:rsid w:val="00620A1F"/>
    <w:rsid w:val="0062169D"/>
    <w:rsid w:val="0062181E"/>
    <w:rsid w:val="0062211B"/>
    <w:rsid w:val="00622BB7"/>
    <w:rsid w:val="00622C1E"/>
    <w:rsid w:val="00623389"/>
    <w:rsid w:val="00623DAA"/>
    <w:rsid w:val="00623FAF"/>
    <w:rsid w:val="006265C4"/>
    <w:rsid w:val="0062678A"/>
    <w:rsid w:val="006270AF"/>
    <w:rsid w:val="00632D04"/>
    <w:rsid w:val="00634367"/>
    <w:rsid w:val="00640082"/>
    <w:rsid w:val="00640291"/>
    <w:rsid w:val="006408B6"/>
    <w:rsid w:val="00640EFE"/>
    <w:rsid w:val="00641D6D"/>
    <w:rsid w:val="00641FAC"/>
    <w:rsid w:val="00643664"/>
    <w:rsid w:val="00643CAA"/>
    <w:rsid w:val="00644F16"/>
    <w:rsid w:val="006455EB"/>
    <w:rsid w:val="006456C2"/>
    <w:rsid w:val="00645A65"/>
    <w:rsid w:val="006477F0"/>
    <w:rsid w:val="006478E4"/>
    <w:rsid w:val="0065171A"/>
    <w:rsid w:val="00652680"/>
    <w:rsid w:val="00653CDE"/>
    <w:rsid w:val="00654585"/>
    <w:rsid w:val="00655AB6"/>
    <w:rsid w:val="00656281"/>
    <w:rsid w:val="0065636A"/>
    <w:rsid w:val="00657003"/>
    <w:rsid w:val="00660238"/>
    <w:rsid w:val="006602EF"/>
    <w:rsid w:val="00661277"/>
    <w:rsid w:val="006619E0"/>
    <w:rsid w:val="00663FEA"/>
    <w:rsid w:val="00664803"/>
    <w:rsid w:val="006657C5"/>
    <w:rsid w:val="006661A4"/>
    <w:rsid w:val="00666AC0"/>
    <w:rsid w:val="006670E0"/>
    <w:rsid w:val="006671B8"/>
    <w:rsid w:val="00667275"/>
    <w:rsid w:val="00667532"/>
    <w:rsid w:val="0066783E"/>
    <w:rsid w:val="00667E53"/>
    <w:rsid w:val="006711C4"/>
    <w:rsid w:val="006713AB"/>
    <w:rsid w:val="00672CA5"/>
    <w:rsid w:val="006735EA"/>
    <w:rsid w:val="00673711"/>
    <w:rsid w:val="00673F82"/>
    <w:rsid w:val="00674F74"/>
    <w:rsid w:val="0067508F"/>
    <w:rsid w:val="00677576"/>
    <w:rsid w:val="0068051E"/>
    <w:rsid w:val="00680B9D"/>
    <w:rsid w:val="00681F13"/>
    <w:rsid w:val="0068231C"/>
    <w:rsid w:val="00682344"/>
    <w:rsid w:val="00682B23"/>
    <w:rsid w:val="00682F28"/>
    <w:rsid w:val="00683515"/>
    <w:rsid w:val="00684842"/>
    <w:rsid w:val="006859AA"/>
    <w:rsid w:val="00685BD6"/>
    <w:rsid w:val="00687116"/>
    <w:rsid w:val="006878A6"/>
    <w:rsid w:val="00687D5F"/>
    <w:rsid w:val="00690437"/>
    <w:rsid w:val="00690DC3"/>
    <w:rsid w:val="00690E65"/>
    <w:rsid w:val="006911B7"/>
    <w:rsid w:val="00691387"/>
    <w:rsid w:val="0069188E"/>
    <w:rsid w:val="00691974"/>
    <w:rsid w:val="00692BF6"/>
    <w:rsid w:val="00692CE6"/>
    <w:rsid w:val="00693186"/>
    <w:rsid w:val="00693381"/>
    <w:rsid w:val="00693B6C"/>
    <w:rsid w:val="006942AE"/>
    <w:rsid w:val="00695421"/>
    <w:rsid w:val="00697BD3"/>
    <w:rsid w:val="00697DFA"/>
    <w:rsid w:val="006A15AD"/>
    <w:rsid w:val="006A16D5"/>
    <w:rsid w:val="006A1772"/>
    <w:rsid w:val="006A1780"/>
    <w:rsid w:val="006A21DD"/>
    <w:rsid w:val="006A26C6"/>
    <w:rsid w:val="006A3302"/>
    <w:rsid w:val="006A3B28"/>
    <w:rsid w:val="006A4FEE"/>
    <w:rsid w:val="006A703E"/>
    <w:rsid w:val="006A7BE3"/>
    <w:rsid w:val="006A7D32"/>
    <w:rsid w:val="006B01D1"/>
    <w:rsid w:val="006B0DF4"/>
    <w:rsid w:val="006B0E2B"/>
    <w:rsid w:val="006B16EA"/>
    <w:rsid w:val="006B1780"/>
    <w:rsid w:val="006B224E"/>
    <w:rsid w:val="006B376E"/>
    <w:rsid w:val="006B4589"/>
    <w:rsid w:val="006B610E"/>
    <w:rsid w:val="006B6805"/>
    <w:rsid w:val="006B6DE0"/>
    <w:rsid w:val="006C16C3"/>
    <w:rsid w:val="006C2187"/>
    <w:rsid w:val="006C32F4"/>
    <w:rsid w:val="006C3C54"/>
    <w:rsid w:val="006C4B6B"/>
    <w:rsid w:val="006C4F9F"/>
    <w:rsid w:val="006C71A2"/>
    <w:rsid w:val="006C73EC"/>
    <w:rsid w:val="006D0C1D"/>
    <w:rsid w:val="006D1430"/>
    <w:rsid w:val="006D2E9D"/>
    <w:rsid w:val="006D4A4E"/>
    <w:rsid w:val="006D4C42"/>
    <w:rsid w:val="006D5389"/>
    <w:rsid w:val="006D5809"/>
    <w:rsid w:val="006D607E"/>
    <w:rsid w:val="006D6E12"/>
    <w:rsid w:val="006D70CB"/>
    <w:rsid w:val="006D715C"/>
    <w:rsid w:val="006D7363"/>
    <w:rsid w:val="006D774E"/>
    <w:rsid w:val="006E0754"/>
    <w:rsid w:val="006E2668"/>
    <w:rsid w:val="006E2D39"/>
    <w:rsid w:val="006E32B0"/>
    <w:rsid w:val="006E348E"/>
    <w:rsid w:val="006E396A"/>
    <w:rsid w:val="006E3D63"/>
    <w:rsid w:val="006E58BF"/>
    <w:rsid w:val="006E5DD8"/>
    <w:rsid w:val="006E5EA1"/>
    <w:rsid w:val="006E6DEE"/>
    <w:rsid w:val="006E7D4B"/>
    <w:rsid w:val="006F0760"/>
    <w:rsid w:val="006F11E2"/>
    <w:rsid w:val="006F2574"/>
    <w:rsid w:val="006F3221"/>
    <w:rsid w:val="006F3231"/>
    <w:rsid w:val="006F3DE3"/>
    <w:rsid w:val="006F4787"/>
    <w:rsid w:val="006F61D8"/>
    <w:rsid w:val="006F62B7"/>
    <w:rsid w:val="006F70BC"/>
    <w:rsid w:val="006F7E7C"/>
    <w:rsid w:val="0070174E"/>
    <w:rsid w:val="007018DB"/>
    <w:rsid w:val="00701DE6"/>
    <w:rsid w:val="00702740"/>
    <w:rsid w:val="0070381B"/>
    <w:rsid w:val="0070796C"/>
    <w:rsid w:val="007109BB"/>
    <w:rsid w:val="00710EBF"/>
    <w:rsid w:val="007110B8"/>
    <w:rsid w:val="0071209F"/>
    <w:rsid w:val="007125A2"/>
    <w:rsid w:val="00712BAE"/>
    <w:rsid w:val="00713DD9"/>
    <w:rsid w:val="00713F79"/>
    <w:rsid w:val="007148A8"/>
    <w:rsid w:val="0071569F"/>
    <w:rsid w:val="00716AC8"/>
    <w:rsid w:val="00716E54"/>
    <w:rsid w:val="00717421"/>
    <w:rsid w:val="0072033C"/>
    <w:rsid w:val="00720B1B"/>
    <w:rsid w:val="00720B9C"/>
    <w:rsid w:val="00721062"/>
    <w:rsid w:val="00721E5D"/>
    <w:rsid w:val="007229D4"/>
    <w:rsid w:val="007230F8"/>
    <w:rsid w:val="007233F4"/>
    <w:rsid w:val="00724044"/>
    <w:rsid w:val="007248D3"/>
    <w:rsid w:val="00724DF8"/>
    <w:rsid w:val="00725137"/>
    <w:rsid w:val="00725378"/>
    <w:rsid w:val="00727A43"/>
    <w:rsid w:val="00727F2A"/>
    <w:rsid w:val="00727FF2"/>
    <w:rsid w:val="00730550"/>
    <w:rsid w:val="00730C2A"/>
    <w:rsid w:val="00731434"/>
    <w:rsid w:val="00731E59"/>
    <w:rsid w:val="007323E0"/>
    <w:rsid w:val="00732911"/>
    <w:rsid w:val="00733721"/>
    <w:rsid w:val="00733DE2"/>
    <w:rsid w:val="007352EA"/>
    <w:rsid w:val="0073792F"/>
    <w:rsid w:val="00740C81"/>
    <w:rsid w:val="00740DA6"/>
    <w:rsid w:val="00741B4B"/>
    <w:rsid w:val="00741D1E"/>
    <w:rsid w:val="00741DD6"/>
    <w:rsid w:val="00741EE2"/>
    <w:rsid w:val="0074207F"/>
    <w:rsid w:val="00742272"/>
    <w:rsid w:val="00742367"/>
    <w:rsid w:val="00742EAA"/>
    <w:rsid w:val="00743360"/>
    <w:rsid w:val="00743818"/>
    <w:rsid w:val="00743857"/>
    <w:rsid w:val="007441FB"/>
    <w:rsid w:val="00744517"/>
    <w:rsid w:val="0074522A"/>
    <w:rsid w:val="00747295"/>
    <w:rsid w:val="00747829"/>
    <w:rsid w:val="00747DE2"/>
    <w:rsid w:val="007504BF"/>
    <w:rsid w:val="007506CD"/>
    <w:rsid w:val="0075267F"/>
    <w:rsid w:val="007526EC"/>
    <w:rsid w:val="00753C48"/>
    <w:rsid w:val="00754250"/>
    <w:rsid w:val="007547D1"/>
    <w:rsid w:val="00754FE4"/>
    <w:rsid w:val="00755216"/>
    <w:rsid w:val="00756236"/>
    <w:rsid w:val="00756271"/>
    <w:rsid w:val="00756348"/>
    <w:rsid w:val="00756521"/>
    <w:rsid w:val="00756AB7"/>
    <w:rsid w:val="00757E5C"/>
    <w:rsid w:val="0076106D"/>
    <w:rsid w:val="007623FB"/>
    <w:rsid w:val="00762517"/>
    <w:rsid w:val="00763240"/>
    <w:rsid w:val="0076376A"/>
    <w:rsid w:val="007648AD"/>
    <w:rsid w:val="0076504E"/>
    <w:rsid w:val="00767BFD"/>
    <w:rsid w:val="00767EA0"/>
    <w:rsid w:val="0077068F"/>
    <w:rsid w:val="00771EDF"/>
    <w:rsid w:val="00772A90"/>
    <w:rsid w:val="00772F8D"/>
    <w:rsid w:val="0077408D"/>
    <w:rsid w:val="00774270"/>
    <w:rsid w:val="007743F6"/>
    <w:rsid w:val="00775679"/>
    <w:rsid w:val="0077574F"/>
    <w:rsid w:val="00775823"/>
    <w:rsid w:val="007777CC"/>
    <w:rsid w:val="00777B32"/>
    <w:rsid w:val="0078051E"/>
    <w:rsid w:val="00781089"/>
    <w:rsid w:val="007838F3"/>
    <w:rsid w:val="007856FE"/>
    <w:rsid w:val="00785F46"/>
    <w:rsid w:val="007865F4"/>
    <w:rsid w:val="00786D5C"/>
    <w:rsid w:val="00786E96"/>
    <w:rsid w:val="0078798A"/>
    <w:rsid w:val="00787DFF"/>
    <w:rsid w:val="00787F93"/>
    <w:rsid w:val="00791E6D"/>
    <w:rsid w:val="00791EB5"/>
    <w:rsid w:val="00791FF2"/>
    <w:rsid w:val="00793696"/>
    <w:rsid w:val="007955DA"/>
    <w:rsid w:val="00796F65"/>
    <w:rsid w:val="007A11C2"/>
    <w:rsid w:val="007A18BB"/>
    <w:rsid w:val="007A27DD"/>
    <w:rsid w:val="007A41BF"/>
    <w:rsid w:val="007A490A"/>
    <w:rsid w:val="007A7B95"/>
    <w:rsid w:val="007B0297"/>
    <w:rsid w:val="007B02FA"/>
    <w:rsid w:val="007B0F53"/>
    <w:rsid w:val="007B21AE"/>
    <w:rsid w:val="007B2570"/>
    <w:rsid w:val="007B3113"/>
    <w:rsid w:val="007B3304"/>
    <w:rsid w:val="007B4CD7"/>
    <w:rsid w:val="007B7490"/>
    <w:rsid w:val="007C0525"/>
    <w:rsid w:val="007C13F7"/>
    <w:rsid w:val="007C218D"/>
    <w:rsid w:val="007C2D28"/>
    <w:rsid w:val="007C3E22"/>
    <w:rsid w:val="007C49EE"/>
    <w:rsid w:val="007C5B90"/>
    <w:rsid w:val="007C6218"/>
    <w:rsid w:val="007C6484"/>
    <w:rsid w:val="007C67C6"/>
    <w:rsid w:val="007C78BE"/>
    <w:rsid w:val="007C7E59"/>
    <w:rsid w:val="007D0476"/>
    <w:rsid w:val="007D0B91"/>
    <w:rsid w:val="007D1452"/>
    <w:rsid w:val="007D3DCB"/>
    <w:rsid w:val="007D460C"/>
    <w:rsid w:val="007D4996"/>
    <w:rsid w:val="007D4AD3"/>
    <w:rsid w:val="007D4C58"/>
    <w:rsid w:val="007D5D19"/>
    <w:rsid w:val="007D5FDC"/>
    <w:rsid w:val="007D6176"/>
    <w:rsid w:val="007D6D68"/>
    <w:rsid w:val="007E32DA"/>
    <w:rsid w:val="007E4998"/>
    <w:rsid w:val="007E4A9C"/>
    <w:rsid w:val="007E6914"/>
    <w:rsid w:val="007E7F78"/>
    <w:rsid w:val="007F0179"/>
    <w:rsid w:val="007F19A7"/>
    <w:rsid w:val="007F2C13"/>
    <w:rsid w:val="007F2CEC"/>
    <w:rsid w:val="007F3435"/>
    <w:rsid w:val="007F55DE"/>
    <w:rsid w:val="007F564B"/>
    <w:rsid w:val="007F762D"/>
    <w:rsid w:val="007F78F0"/>
    <w:rsid w:val="007F78FF"/>
    <w:rsid w:val="008001C5"/>
    <w:rsid w:val="00800F6C"/>
    <w:rsid w:val="00801065"/>
    <w:rsid w:val="00802C0B"/>
    <w:rsid w:val="008051FC"/>
    <w:rsid w:val="008055A9"/>
    <w:rsid w:val="008056C4"/>
    <w:rsid w:val="008057FD"/>
    <w:rsid w:val="00805D8B"/>
    <w:rsid w:val="0080773A"/>
    <w:rsid w:val="00810BB6"/>
    <w:rsid w:val="00810E8E"/>
    <w:rsid w:val="00812C44"/>
    <w:rsid w:val="008135E1"/>
    <w:rsid w:val="00813779"/>
    <w:rsid w:val="00813E26"/>
    <w:rsid w:val="0081481D"/>
    <w:rsid w:val="00814BE8"/>
    <w:rsid w:val="00814C20"/>
    <w:rsid w:val="00814F6E"/>
    <w:rsid w:val="00815363"/>
    <w:rsid w:val="00815B84"/>
    <w:rsid w:val="00816BE9"/>
    <w:rsid w:val="0082027C"/>
    <w:rsid w:val="00822518"/>
    <w:rsid w:val="008226F5"/>
    <w:rsid w:val="00823FC6"/>
    <w:rsid w:val="00824306"/>
    <w:rsid w:val="00825C74"/>
    <w:rsid w:val="00825CFA"/>
    <w:rsid w:val="00826AB9"/>
    <w:rsid w:val="00826E0E"/>
    <w:rsid w:val="00827D11"/>
    <w:rsid w:val="00827E0F"/>
    <w:rsid w:val="00827F6E"/>
    <w:rsid w:val="00831758"/>
    <w:rsid w:val="008317D9"/>
    <w:rsid w:val="0083279F"/>
    <w:rsid w:val="008334DB"/>
    <w:rsid w:val="00833A1A"/>
    <w:rsid w:val="00833B7F"/>
    <w:rsid w:val="00833E8E"/>
    <w:rsid w:val="00834906"/>
    <w:rsid w:val="00836075"/>
    <w:rsid w:val="00836417"/>
    <w:rsid w:val="00836A3E"/>
    <w:rsid w:val="00837526"/>
    <w:rsid w:val="00837CE8"/>
    <w:rsid w:val="008407A7"/>
    <w:rsid w:val="00841177"/>
    <w:rsid w:val="0084322B"/>
    <w:rsid w:val="00843F81"/>
    <w:rsid w:val="00844087"/>
    <w:rsid w:val="00844526"/>
    <w:rsid w:val="008448F1"/>
    <w:rsid w:val="0084519E"/>
    <w:rsid w:val="00845CAE"/>
    <w:rsid w:val="00846370"/>
    <w:rsid w:val="008477E7"/>
    <w:rsid w:val="00847C2B"/>
    <w:rsid w:val="00850272"/>
    <w:rsid w:val="008506B9"/>
    <w:rsid w:val="00851822"/>
    <w:rsid w:val="008532BF"/>
    <w:rsid w:val="008539B2"/>
    <w:rsid w:val="00853BF4"/>
    <w:rsid w:val="00854294"/>
    <w:rsid w:val="0085572E"/>
    <w:rsid w:val="00857104"/>
    <w:rsid w:val="0085788B"/>
    <w:rsid w:val="00857A9E"/>
    <w:rsid w:val="00857DE2"/>
    <w:rsid w:val="00863A8E"/>
    <w:rsid w:val="0086407F"/>
    <w:rsid w:val="008645E3"/>
    <w:rsid w:val="00864E79"/>
    <w:rsid w:val="0086661F"/>
    <w:rsid w:val="00866A0D"/>
    <w:rsid w:val="00866DB5"/>
    <w:rsid w:val="0086701D"/>
    <w:rsid w:val="0086702B"/>
    <w:rsid w:val="008672E2"/>
    <w:rsid w:val="0086784E"/>
    <w:rsid w:val="0087121C"/>
    <w:rsid w:val="00871FD2"/>
    <w:rsid w:val="00872084"/>
    <w:rsid w:val="00872827"/>
    <w:rsid w:val="00872A32"/>
    <w:rsid w:val="00874911"/>
    <w:rsid w:val="008749EE"/>
    <w:rsid w:val="008754E4"/>
    <w:rsid w:val="00876EAE"/>
    <w:rsid w:val="00880106"/>
    <w:rsid w:val="00880F95"/>
    <w:rsid w:val="00882B44"/>
    <w:rsid w:val="008838AD"/>
    <w:rsid w:val="008864B3"/>
    <w:rsid w:val="008865E5"/>
    <w:rsid w:val="008871B0"/>
    <w:rsid w:val="00890B57"/>
    <w:rsid w:val="008916BA"/>
    <w:rsid w:val="0089217C"/>
    <w:rsid w:val="00892790"/>
    <w:rsid w:val="00893671"/>
    <w:rsid w:val="00895838"/>
    <w:rsid w:val="00895A1E"/>
    <w:rsid w:val="00895A72"/>
    <w:rsid w:val="00895CDF"/>
    <w:rsid w:val="00896679"/>
    <w:rsid w:val="00896D8C"/>
    <w:rsid w:val="008A0836"/>
    <w:rsid w:val="008A0FC9"/>
    <w:rsid w:val="008A17D6"/>
    <w:rsid w:val="008A1956"/>
    <w:rsid w:val="008A1A7C"/>
    <w:rsid w:val="008A2CE2"/>
    <w:rsid w:val="008A40D3"/>
    <w:rsid w:val="008A469C"/>
    <w:rsid w:val="008A51D1"/>
    <w:rsid w:val="008A5DCE"/>
    <w:rsid w:val="008A6AB1"/>
    <w:rsid w:val="008A75D3"/>
    <w:rsid w:val="008B05DD"/>
    <w:rsid w:val="008B07B8"/>
    <w:rsid w:val="008B17E8"/>
    <w:rsid w:val="008B2E7C"/>
    <w:rsid w:val="008B399A"/>
    <w:rsid w:val="008B45F0"/>
    <w:rsid w:val="008B4A70"/>
    <w:rsid w:val="008B502F"/>
    <w:rsid w:val="008B6DFC"/>
    <w:rsid w:val="008B7227"/>
    <w:rsid w:val="008C02FB"/>
    <w:rsid w:val="008C04E0"/>
    <w:rsid w:val="008C191C"/>
    <w:rsid w:val="008C1DA4"/>
    <w:rsid w:val="008C29B0"/>
    <w:rsid w:val="008C2CD5"/>
    <w:rsid w:val="008C3618"/>
    <w:rsid w:val="008C39E7"/>
    <w:rsid w:val="008C43AD"/>
    <w:rsid w:val="008C6118"/>
    <w:rsid w:val="008C6341"/>
    <w:rsid w:val="008C731F"/>
    <w:rsid w:val="008C74D9"/>
    <w:rsid w:val="008D3B2D"/>
    <w:rsid w:val="008D58D9"/>
    <w:rsid w:val="008D5AD4"/>
    <w:rsid w:val="008D695E"/>
    <w:rsid w:val="008D6DD5"/>
    <w:rsid w:val="008D6E59"/>
    <w:rsid w:val="008D7155"/>
    <w:rsid w:val="008D76E0"/>
    <w:rsid w:val="008E0B29"/>
    <w:rsid w:val="008E141A"/>
    <w:rsid w:val="008E1A44"/>
    <w:rsid w:val="008E28E6"/>
    <w:rsid w:val="008E3232"/>
    <w:rsid w:val="008E3674"/>
    <w:rsid w:val="008E3B6C"/>
    <w:rsid w:val="008E3DE7"/>
    <w:rsid w:val="008E562C"/>
    <w:rsid w:val="008E6540"/>
    <w:rsid w:val="008E77D4"/>
    <w:rsid w:val="008E7ADD"/>
    <w:rsid w:val="008F091F"/>
    <w:rsid w:val="008F17B2"/>
    <w:rsid w:val="008F22B3"/>
    <w:rsid w:val="008F357B"/>
    <w:rsid w:val="008F44CA"/>
    <w:rsid w:val="008F49D3"/>
    <w:rsid w:val="008F5DFC"/>
    <w:rsid w:val="008F6519"/>
    <w:rsid w:val="008F7012"/>
    <w:rsid w:val="008F7ADA"/>
    <w:rsid w:val="008F7B17"/>
    <w:rsid w:val="00900042"/>
    <w:rsid w:val="0090034B"/>
    <w:rsid w:val="00901121"/>
    <w:rsid w:val="00902623"/>
    <w:rsid w:val="00902A67"/>
    <w:rsid w:val="00902C5E"/>
    <w:rsid w:val="00904BE4"/>
    <w:rsid w:val="0090504A"/>
    <w:rsid w:val="009051F5"/>
    <w:rsid w:val="00905221"/>
    <w:rsid w:val="00905A7C"/>
    <w:rsid w:val="00905D7E"/>
    <w:rsid w:val="0090652E"/>
    <w:rsid w:val="00907037"/>
    <w:rsid w:val="0091112C"/>
    <w:rsid w:val="0091160A"/>
    <w:rsid w:val="00912E04"/>
    <w:rsid w:val="00913258"/>
    <w:rsid w:val="00913851"/>
    <w:rsid w:val="00913BB0"/>
    <w:rsid w:val="0091456C"/>
    <w:rsid w:val="00914C58"/>
    <w:rsid w:val="0091564D"/>
    <w:rsid w:val="009156DA"/>
    <w:rsid w:val="00915774"/>
    <w:rsid w:val="00916BC5"/>
    <w:rsid w:val="0091726A"/>
    <w:rsid w:val="00917C01"/>
    <w:rsid w:val="00920184"/>
    <w:rsid w:val="00920EA4"/>
    <w:rsid w:val="00921792"/>
    <w:rsid w:val="00921BEA"/>
    <w:rsid w:val="009227BE"/>
    <w:rsid w:val="009238FD"/>
    <w:rsid w:val="00923998"/>
    <w:rsid w:val="00923DB4"/>
    <w:rsid w:val="0092420B"/>
    <w:rsid w:val="0092430E"/>
    <w:rsid w:val="00926112"/>
    <w:rsid w:val="0092625F"/>
    <w:rsid w:val="00926B28"/>
    <w:rsid w:val="00926D9C"/>
    <w:rsid w:val="00927028"/>
    <w:rsid w:val="00927763"/>
    <w:rsid w:val="00927A2D"/>
    <w:rsid w:val="00927B37"/>
    <w:rsid w:val="00930EC8"/>
    <w:rsid w:val="009321B1"/>
    <w:rsid w:val="00932ED7"/>
    <w:rsid w:val="0093422D"/>
    <w:rsid w:val="0093483B"/>
    <w:rsid w:val="00934CF9"/>
    <w:rsid w:val="00934DD7"/>
    <w:rsid w:val="009369A9"/>
    <w:rsid w:val="00936CF7"/>
    <w:rsid w:val="00937783"/>
    <w:rsid w:val="00937EAD"/>
    <w:rsid w:val="00937F28"/>
    <w:rsid w:val="00940FE1"/>
    <w:rsid w:val="00942306"/>
    <w:rsid w:val="00942384"/>
    <w:rsid w:val="009424B8"/>
    <w:rsid w:val="00944668"/>
    <w:rsid w:val="00944DC6"/>
    <w:rsid w:val="009458B0"/>
    <w:rsid w:val="00945B52"/>
    <w:rsid w:val="00945B7A"/>
    <w:rsid w:val="00945F05"/>
    <w:rsid w:val="00946348"/>
    <w:rsid w:val="009463E5"/>
    <w:rsid w:val="00947797"/>
    <w:rsid w:val="009478A2"/>
    <w:rsid w:val="00953808"/>
    <w:rsid w:val="009539A6"/>
    <w:rsid w:val="00954032"/>
    <w:rsid w:val="00954537"/>
    <w:rsid w:val="0095472D"/>
    <w:rsid w:val="00955098"/>
    <w:rsid w:val="00955FBB"/>
    <w:rsid w:val="0095694B"/>
    <w:rsid w:val="00956BD5"/>
    <w:rsid w:val="00956D84"/>
    <w:rsid w:val="009577B5"/>
    <w:rsid w:val="009608E6"/>
    <w:rsid w:val="00960F57"/>
    <w:rsid w:val="00961C90"/>
    <w:rsid w:val="00962AD6"/>
    <w:rsid w:val="00962E03"/>
    <w:rsid w:val="00965443"/>
    <w:rsid w:val="00965954"/>
    <w:rsid w:val="00965A21"/>
    <w:rsid w:val="00965E55"/>
    <w:rsid w:val="0096608E"/>
    <w:rsid w:val="00966522"/>
    <w:rsid w:val="00966C33"/>
    <w:rsid w:val="00970F18"/>
    <w:rsid w:val="00971CF1"/>
    <w:rsid w:val="00971F5D"/>
    <w:rsid w:val="009721E9"/>
    <w:rsid w:val="00973772"/>
    <w:rsid w:val="0097560A"/>
    <w:rsid w:val="00975E1E"/>
    <w:rsid w:val="00975E70"/>
    <w:rsid w:val="009761DE"/>
    <w:rsid w:val="009766FA"/>
    <w:rsid w:val="00976E1C"/>
    <w:rsid w:val="0097789E"/>
    <w:rsid w:val="00977CD6"/>
    <w:rsid w:val="0098048B"/>
    <w:rsid w:val="00980DF9"/>
    <w:rsid w:val="0098243D"/>
    <w:rsid w:val="00982D26"/>
    <w:rsid w:val="00983B6E"/>
    <w:rsid w:val="00983FE5"/>
    <w:rsid w:val="009849E9"/>
    <w:rsid w:val="009859E4"/>
    <w:rsid w:val="00987812"/>
    <w:rsid w:val="00990225"/>
    <w:rsid w:val="00992A13"/>
    <w:rsid w:val="00992B2E"/>
    <w:rsid w:val="00992C78"/>
    <w:rsid w:val="00994AAD"/>
    <w:rsid w:val="00994DE1"/>
    <w:rsid w:val="00995150"/>
    <w:rsid w:val="00995D67"/>
    <w:rsid w:val="009A013B"/>
    <w:rsid w:val="009A02F4"/>
    <w:rsid w:val="009A06BF"/>
    <w:rsid w:val="009A0D17"/>
    <w:rsid w:val="009A2494"/>
    <w:rsid w:val="009A32B1"/>
    <w:rsid w:val="009A33A3"/>
    <w:rsid w:val="009A36F2"/>
    <w:rsid w:val="009A40C3"/>
    <w:rsid w:val="009A40D5"/>
    <w:rsid w:val="009A57D0"/>
    <w:rsid w:val="009A6559"/>
    <w:rsid w:val="009A68FC"/>
    <w:rsid w:val="009A6CE4"/>
    <w:rsid w:val="009A7514"/>
    <w:rsid w:val="009A7E7A"/>
    <w:rsid w:val="009B1584"/>
    <w:rsid w:val="009B18F0"/>
    <w:rsid w:val="009B1F4C"/>
    <w:rsid w:val="009B2471"/>
    <w:rsid w:val="009B314F"/>
    <w:rsid w:val="009B439C"/>
    <w:rsid w:val="009B46BC"/>
    <w:rsid w:val="009B49A1"/>
    <w:rsid w:val="009B4A6C"/>
    <w:rsid w:val="009B4DA8"/>
    <w:rsid w:val="009B519A"/>
    <w:rsid w:val="009B620C"/>
    <w:rsid w:val="009B6753"/>
    <w:rsid w:val="009B676C"/>
    <w:rsid w:val="009B6A26"/>
    <w:rsid w:val="009C079D"/>
    <w:rsid w:val="009C0D70"/>
    <w:rsid w:val="009C13D1"/>
    <w:rsid w:val="009C2913"/>
    <w:rsid w:val="009C2BD4"/>
    <w:rsid w:val="009C5AFE"/>
    <w:rsid w:val="009C6606"/>
    <w:rsid w:val="009C6CE5"/>
    <w:rsid w:val="009C6D50"/>
    <w:rsid w:val="009C7547"/>
    <w:rsid w:val="009D05EC"/>
    <w:rsid w:val="009D18D4"/>
    <w:rsid w:val="009D2F60"/>
    <w:rsid w:val="009D3A2E"/>
    <w:rsid w:val="009D5ADE"/>
    <w:rsid w:val="009D5BAC"/>
    <w:rsid w:val="009D5C56"/>
    <w:rsid w:val="009D6265"/>
    <w:rsid w:val="009D64BD"/>
    <w:rsid w:val="009D6CB1"/>
    <w:rsid w:val="009E0286"/>
    <w:rsid w:val="009E153F"/>
    <w:rsid w:val="009E2C5B"/>
    <w:rsid w:val="009E322A"/>
    <w:rsid w:val="009E393E"/>
    <w:rsid w:val="009E444E"/>
    <w:rsid w:val="009E4968"/>
    <w:rsid w:val="009E5B14"/>
    <w:rsid w:val="009E663C"/>
    <w:rsid w:val="009E684A"/>
    <w:rsid w:val="009E6BB1"/>
    <w:rsid w:val="009E6E14"/>
    <w:rsid w:val="009E794A"/>
    <w:rsid w:val="009E7C14"/>
    <w:rsid w:val="009F0494"/>
    <w:rsid w:val="009F0CD9"/>
    <w:rsid w:val="009F1A79"/>
    <w:rsid w:val="009F1F57"/>
    <w:rsid w:val="009F2DDD"/>
    <w:rsid w:val="009F3447"/>
    <w:rsid w:val="009F65F4"/>
    <w:rsid w:val="009F676B"/>
    <w:rsid w:val="009F6D2D"/>
    <w:rsid w:val="009F6D54"/>
    <w:rsid w:val="009F7CBA"/>
    <w:rsid w:val="00A0010C"/>
    <w:rsid w:val="00A004DF"/>
    <w:rsid w:val="00A00FD5"/>
    <w:rsid w:val="00A012C0"/>
    <w:rsid w:val="00A019A8"/>
    <w:rsid w:val="00A01B03"/>
    <w:rsid w:val="00A01B89"/>
    <w:rsid w:val="00A02C66"/>
    <w:rsid w:val="00A02C84"/>
    <w:rsid w:val="00A0464C"/>
    <w:rsid w:val="00A050BB"/>
    <w:rsid w:val="00A054E0"/>
    <w:rsid w:val="00A05D91"/>
    <w:rsid w:val="00A0740B"/>
    <w:rsid w:val="00A07ED3"/>
    <w:rsid w:val="00A10CA8"/>
    <w:rsid w:val="00A11042"/>
    <w:rsid w:val="00A12579"/>
    <w:rsid w:val="00A133D8"/>
    <w:rsid w:val="00A15655"/>
    <w:rsid w:val="00A160B0"/>
    <w:rsid w:val="00A1740C"/>
    <w:rsid w:val="00A20069"/>
    <w:rsid w:val="00A22330"/>
    <w:rsid w:val="00A2244D"/>
    <w:rsid w:val="00A2253D"/>
    <w:rsid w:val="00A2267F"/>
    <w:rsid w:val="00A22CDB"/>
    <w:rsid w:val="00A247B8"/>
    <w:rsid w:val="00A2495A"/>
    <w:rsid w:val="00A24C7A"/>
    <w:rsid w:val="00A24D8F"/>
    <w:rsid w:val="00A25B8B"/>
    <w:rsid w:val="00A25C5D"/>
    <w:rsid w:val="00A2689F"/>
    <w:rsid w:val="00A26C1A"/>
    <w:rsid w:val="00A26ECA"/>
    <w:rsid w:val="00A27461"/>
    <w:rsid w:val="00A27D67"/>
    <w:rsid w:val="00A30ABC"/>
    <w:rsid w:val="00A32415"/>
    <w:rsid w:val="00A33B74"/>
    <w:rsid w:val="00A3467F"/>
    <w:rsid w:val="00A34B4C"/>
    <w:rsid w:val="00A35030"/>
    <w:rsid w:val="00A3551A"/>
    <w:rsid w:val="00A366A0"/>
    <w:rsid w:val="00A37209"/>
    <w:rsid w:val="00A37584"/>
    <w:rsid w:val="00A376E8"/>
    <w:rsid w:val="00A37F8E"/>
    <w:rsid w:val="00A41537"/>
    <w:rsid w:val="00A41737"/>
    <w:rsid w:val="00A42B8F"/>
    <w:rsid w:val="00A42D8E"/>
    <w:rsid w:val="00A43254"/>
    <w:rsid w:val="00A43896"/>
    <w:rsid w:val="00A43A26"/>
    <w:rsid w:val="00A447A0"/>
    <w:rsid w:val="00A459F5"/>
    <w:rsid w:val="00A45FC0"/>
    <w:rsid w:val="00A46B74"/>
    <w:rsid w:val="00A47ECC"/>
    <w:rsid w:val="00A50171"/>
    <w:rsid w:val="00A504FA"/>
    <w:rsid w:val="00A5102E"/>
    <w:rsid w:val="00A5132E"/>
    <w:rsid w:val="00A51375"/>
    <w:rsid w:val="00A51533"/>
    <w:rsid w:val="00A531D4"/>
    <w:rsid w:val="00A54572"/>
    <w:rsid w:val="00A575B8"/>
    <w:rsid w:val="00A61C60"/>
    <w:rsid w:val="00A61ECB"/>
    <w:rsid w:val="00A62B3C"/>
    <w:rsid w:val="00A637EC"/>
    <w:rsid w:val="00A6410C"/>
    <w:rsid w:val="00A647B1"/>
    <w:rsid w:val="00A64DEF"/>
    <w:rsid w:val="00A654D2"/>
    <w:rsid w:val="00A665DF"/>
    <w:rsid w:val="00A671E0"/>
    <w:rsid w:val="00A67FCC"/>
    <w:rsid w:val="00A7064F"/>
    <w:rsid w:val="00A70AA5"/>
    <w:rsid w:val="00A70C03"/>
    <w:rsid w:val="00A71256"/>
    <w:rsid w:val="00A7217B"/>
    <w:rsid w:val="00A73861"/>
    <w:rsid w:val="00A739A6"/>
    <w:rsid w:val="00A740ED"/>
    <w:rsid w:val="00A74C29"/>
    <w:rsid w:val="00A74C62"/>
    <w:rsid w:val="00A75DF5"/>
    <w:rsid w:val="00A75EF9"/>
    <w:rsid w:val="00A8311C"/>
    <w:rsid w:val="00A835D0"/>
    <w:rsid w:val="00A84C5F"/>
    <w:rsid w:val="00A857A7"/>
    <w:rsid w:val="00A85930"/>
    <w:rsid w:val="00A863F7"/>
    <w:rsid w:val="00A86604"/>
    <w:rsid w:val="00A87519"/>
    <w:rsid w:val="00A92040"/>
    <w:rsid w:val="00A9246D"/>
    <w:rsid w:val="00A92CCA"/>
    <w:rsid w:val="00A93BD0"/>
    <w:rsid w:val="00A93CC2"/>
    <w:rsid w:val="00A974CC"/>
    <w:rsid w:val="00AA2001"/>
    <w:rsid w:val="00AA2B5C"/>
    <w:rsid w:val="00AA32D2"/>
    <w:rsid w:val="00AA4016"/>
    <w:rsid w:val="00AA4C1F"/>
    <w:rsid w:val="00AA5328"/>
    <w:rsid w:val="00AA5393"/>
    <w:rsid w:val="00AA63D4"/>
    <w:rsid w:val="00AA796E"/>
    <w:rsid w:val="00AB03FD"/>
    <w:rsid w:val="00AB2000"/>
    <w:rsid w:val="00AB38CB"/>
    <w:rsid w:val="00AB3BEC"/>
    <w:rsid w:val="00AB44E4"/>
    <w:rsid w:val="00AB4AEB"/>
    <w:rsid w:val="00AB4E5F"/>
    <w:rsid w:val="00AB5352"/>
    <w:rsid w:val="00AB56AE"/>
    <w:rsid w:val="00AB5B8F"/>
    <w:rsid w:val="00AB62D5"/>
    <w:rsid w:val="00AB65B5"/>
    <w:rsid w:val="00AB6DCD"/>
    <w:rsid w:val="00AB6EE0"/>
    <w:rsid w:val="00AB775A"/>
    <w:rsid w:val="00AB7871"/>
    <w:rsid w:val="00AC17A2"/>
    <w:rsid w:val="00AC40B7"/>
    <w:rsid w:val="00AC531F"/>
    <w:rsid w:val="00AC5B36"/>
    <w:rsid w:val="00AC6377"/>
    <w:rsid w:val="00AC66A4"/>
    <w:rsid w:val="00AC6A4E"/>
    <w:rsid w:val="00AC6CB1"/>
    <w:rsid w:val="00AC7D6D"/>
    <w:rsid w:val="00AD0091"/>
    <w:rsid w:val="00AD23EF"/>
    <w:rsid w:val="00AD2662"/>
    <w:rsid w:val="00AD307B"/>
    <w:rsid w:val="00AD4014"/>
    <w:rsid w:val="00AD41B3"/>
    <w:rsid w:val="00AD5721"/>
    <w:rsid w:val="00AD69F0"/>
    <w:rsid w:val="00AD7127"/>
    <w:rsid w:val="00AD730C"/>
    <w:rsid w:val="00AE123A"/>
    <w:rsid w:val="00AE1539"/>
    <w:rsid w:val="00AE28A7"/>
    <w:rsid w:val="00AE2A98"/>
    <w:rsid w:val="00AE2CF2"/>
    <w:rsid w:val="00AE3012"/>
    <w:rsid w:val="00AE33A6"/>
    <w:rsid w:val="00AE3729"/>
    <w:rsid w:val="00AE4138"/>
    <w:rsid w:val="00AE4CCE"/>
    <w:rsid w:val="00AE5C6A"/>
    <w:rsid w:val="00AE6317"/>
    <w:rsid w:val="00AE7280"/>
    <w:rsid w:val="00AF033A"/>
    <w:rsid w:val="00AF0696"/>
    <w:rsid w:val="00AF1699"/>
    <w:rsid w:val="00AF1FD3"/>
    <w:rsid w:val="00AF2910"/>
    <w:rsid w:val="00AF34B8"/>
    <w:rsid w:val="00AF3896"/>
    <w:rsid w:val="00AF3FC2"/>
    <w:rsid w:val="00B0098A"/>
    <w:rsid w:val="00B00A5F"/>
    <w:rsid w:val="00B00F89"/>
    <w:rsid w:val="00B029B8"/>
    <w:rsid w:val="00B02F60"/>
    <w:rsid w:val="00B032B8"/>
    <w:rsid w:val="00B04721"/>
    <w:rsid w:val="00B04B15"/>
    <w:rsid w:val="00B04B46"/>
    <w:rsid w:val="00B0534D"/>
    <w:rsid w:val="00B05685"/>
    <w:rsid w:val="00B05F9F"/>
    <w:rsid w:val="00B06368"/>
    <w:rsid w:val="00B068DA"/>
    <w:rsid w:val="00B06A00"/>
    <w:rsid w:val="00B06FC6"/>
    <w:rsid w:val="00B074C9"/>
    <w:rsid w:val="00B07D9D"/>
    <w:rsid w:val="00B11AE5"/>
    <w:rsid w:val="00B12FE6"/>
    <w:rsid w:val="00B1303F"/>
    <w:rsid w:val="00B1364A"/>
    <w:rsid w:val="00B13761"/>
    <w:rsid w:val="00B13859"/>
    <w:rsid w:val="00B13EC9"/>
    <w:rsid w:val="00B14319"/>
    <w:rsid w:val="00B14A06"/>
    <w:rsid w:val="00B1581D"/>
    <w:rsid w:val="00B158E1"/>
    <w:rsid w:val="00B16715"/>
    <w:rsid w:val="00B1768E"/>
    <w:rsid w:val="00B17910"/>
    <w:rsid w:val="00B20F18"/>
    <w:rsid w:val="00B21516"/>
    <w:rsid w:val="00B21669"/>
    <w:rsid w:val="00B21A37"/>
    <w:rsid w:val="00B21D23"/>
    <w:rsid w:val="00B21F62"/>
    <w:rsid w:val="00B22CE0"/>
    <w:rsid w:val="00B23738"/>
    <w:rsid w:val="00B23BEF"/>
    <w:rsid w:val="00B247BB"/>
    <w:rsid w:val="00B2504A"/>
    <w:rsid w:val="00B25EE6"/>
    <w:rsid w:val="00B266DF"/>
    <w:rsid w:val="00B3115A"/>
    <w:rsid w:val="00B31825"/>
    <w:rsid w:val="00B31A5C"/>
    <w:rsid w:val="00B33B06"/>
    <w:rsid w:val="00B33C19"/>
    <w:rsid w:val="00B35A15"/>
    <w:rsid w:val="00B35B45"/>
    <w:rsid w:val="00B36A99"/>
    <w:rsid w:val="00B42264"/>
    <w:rsid w:val="00B434B2"/>
    <w:rsid w:val="00B43D45"/>
    <w:rsid w:val="00B45B3F"/>
    <w:rsid w:val="00B468F2"/>
    <w:rsid w:val="00B469DE"/>
    <w:rsid w:val="00B47286"/>
    <w:rsid w:val="00B50234"/>
    <w:rsid w:val="00B51BF4"/>
    <w:rsid w:val="00B52C68"/>
    <w:rsid w:val="00B5372B"/>
    <w:rsid w:val="00B542FE"/>
    <w:rsid w:val="00B55A1B"/>
    <w:rsid w:val="00B561DB"/>
    <w:rsid w:val="00B56DF9"/>
    <w:rsid w:val="00B600BD"/>
    <w:rsid w:val="00B61274"/>
    <w:rsid w:val="00B61DCE"/>
    <w:rsid w:val="00B62188"/>
    <w:rsid w:val="00B62F79"/>
    <w:rsid w:val="00B62F82"/>
    <w:rsid w:val="00B6306A"/>
    <w:rsid w:val="00B635E3"/>
    <w:rsid w:val="00B65381"/>
    <w:rsid w:val="00B662FF"/>
    <w:rsid w:val="00B66679"/>
    <w:rsid w:val="00B67136"/>
    <w:rsid w:val="00B70145"/>
    <w:rsid w:val="00B71A92"/>
    <w:rsid w:val="00B721D8"/>
    <w:rsid w:val="00B730CA"/>
    <w:rsid w:val="00B747C5"/>
    <w:rsid w:val="00B74F2F"/>
    <w:rsid w:val="00B753ED"/>
    <w:rsid w:val="00B769BC"/>
    <w:rsid w:val="00B77349"/>
    <w:rsid w:val="00B7761E"/>
    <w:rsid w:val="00B80A3D"/>
    <w:rsid w:val="00B80B04"/>
    <w:rsid w:val="00B8127B"/>
    <w:rsid w:val="00B819E5"/>
    <w:rsid w:val="00B821E4"/>
    <w:rsid w:val="00B823E0"/>
    <w:rsid w:val="00B8260D"/>
    <w:rsid w:val="00B82B78"/>
    <w:rsid w:val="00B845B4"/>
    <w:rsid w:val="00B84662"/>
    <w:rsid w:val="00B84C74"/>
    <w:rsid w:val="00B85191"/>
    <w:rsid w:val="00B858A1"/>
    <w:rsid w:val="00B85FEC"/>
    <w:rsid w:val="00B864A3"/>
    <w:rsid w:val="00B8667D"/>
    <w:rsid w:val="00B86C2A"/>
    <w:rsid w:val="00B878BE"/>
    <w:rsid w:val="00B902A5"/>
    <w:rsid w:val="00B90420"/>
    <w:rsid w:val="00B90848"/>
    <w:rsid w:val="00B91146"/>
    <w:rsid w:val="00B913E4"/>
    <w:rsid w:val="00B91DB9"/>
    <w:rsid w:val="00B91FF3"/>
    <w:rsid w:val="00B93B29"/>
    <w:rsid w:val="00B93EFE"/>
    <w:rsid w:val="00B944B9"/>
    <w:rsid w:val="00B94956"/>
    <w:rsid w:val="00B94C7F"/>
    <w:rsid w:val="00B94E93"/>
    <w:rsid w:val="00B956B5"/>
    <w:rsid w:val="00B96DF2"/>
    <w:rsid w:val="00B96E18"/>
    <w:rsid w:val="00B96F5A"/>
    <w:rsid w:val="00BA0B39"/>
    <w:rsid w:val="00BA0CB2"/>
    <w:rsid w:val="00BA0E26"/>
    <w:rsid w:val="00BA138B"/>
    <w:rsid w:val="00BA13F3"/>
    <w:rsid w:val="00BA305B"/>
    <w:rsid w:val="00BA31BF"/>
    <w:rsid w:val="00BA3FC7"/>
    <w:rsid w:val="00BA478B"/>
    <w:rsid w:val="00BA5224"/>
    <w:rsid w:val="00BA575E"/>
    <w:rsid w:val="00BA76B7"/>
    <w:rsid w:val="00BA7BAB"/>
    <w:rsid w:val="00BA7E3B"/>
    <w:rsid w:val="00BB078D"/>
    <w:rsid w:val="00BB079C"/>
    <w:rsid w:val="00BB0D7A"/>
    <w:rsid w:val="00BB10E1"/>
    <w:rsid w:val="00BB2471"/>
    <w:rsid w:val="00BB3035"/>
    <w:rsid w:val="00BB39C1"/>
    <w:rsid w:val="00BB3DF5"/>
    <w:rsid w:val="00BB5D16"/>
    <w:rsid w:val="00BB6180"/>
    <w:rsid w:val="00BB69E6"/>
    <w:rsid w:val="00BB7BE5"/>
    <w:rsid w:val="00BC08BD"/>
    <w:rsid w:val="00BC11E8"/>
    <w:rsid w:val="00BC1B7A"/>
    <w:rsid w:val="00BC2C17"/>
    <w:rsid w:val="00BC3ACD"/>
    <w:rsid w:val="00BC3B20"/>
    <w:rsid w:val="00BC3EE4"/>
    <w:rsid w:val="00BC588C"/>
    <w:rsid w:val="00BC6E73"/>
    <w:rsid w:val="00BC74D3"/>
    <w:rsid w:val="00BC7A0F"/>
    <w:rsid w:val="00BD0014"/>
    <w:rsid w:val="00BD01D8"/>
    <w:rsid w:val="00BD191B"/>
    <w:rsid w:val="00BD255F"/>
    <w:rsid w:val="00BD2895"/>
    <w:rsid w:val="00BD4236"/>
    <w:rsid w:val="00BD483B"/>
    <w:rsid w:val="00BD5CD4"/>
    <w:rsid w:val="00BD65D9"/>
    <w:rsid w:val="00BD6DF3"/>
    <w:rsid w:val="00BD6E09"/>
    <w:rsid w:val="00BD6EF9"/>
    <w:rsid w:val="00BD7616"/>
    <w:rsid w:val="00BE0ACB"/>
    <w:rsid w:val="00BE2260"/>
    <w:rsid w:val="00BE3917"/>
    <w:rsid w:val="00BE50FD"/>
    <w:rsid w:val="00BE51CA"/>
    <w:rsid w:val="00BE537F"/>
    <w:rsid w:val="00BE5D77"/>
    <w:rsid w:val="00BE6D47"/>
    <w:rsid w:val="00BE7032"/>
    <w:rsid w:val="00BE7330"/>
    <w:rsid w:val="00BF01C5"/>
    <w:rsid w:val="00BF061A"/>
    <w:rsid w:val="00BF066A"/>
    <w:rsid w:val="00BF14CC"/>
    <w:rsid w:val="00BF1821"/>
    <w:rsid w:val="00BF245A"/>
    <w:rsid w:val="00BF4342"/>
    <w:rsid w:val="00BF4704"/>
    <w:rsid w:val="00BF4FFC"/>
    <w:rsid w:val="00BF5050"/>
    <w:rsid w:val="00BF50D1"/>
    <w:rsid w:val="00BF5422"/>
    <w:rsid w:val="00BF59B1"/>
    <w:rsid w:val="00BF6A78"/>
    <w:rsid w:val="00BF7695"/>
    <w:rsid w:val="00BF79B4"/>
    <w:rsid w:val="00BF7C61"/>
    <w:rsid w:val="00C01427"/>
    <w:rsid w:val="00C014C7"/>
    <w:rsid w:val="00C047AB"/>
    <w:rsid w:val="00C058AF"/>
    <w:rsid w:val="00C075B6"/>
    <w:rsid w:val="00C124C1"/>
    <w:rsid w:val="00C128AE"/>
    <w:rsid w:val="00C12BA8"/>
    <w:rsid w:val="00C136D6"/>
    <w:rsid w:val="00C13902"/>
    <w:rsid w:val="00C13D5B"/>
    <w:rsid w:val="00C141D7"/>
    <w:rsid w:val="00C1711B"/>
    <w:rsid w:val="00C17AE2"/>
    <w:rsid w:val="00C17E00"/>
    <w:rsid w:val="00C20140"/>
    <w:rsid w:val="00C20F27"/>
    <w:rsid w:val="00C215CF"/>
    <w:rsid w:val="00C2244B"/>
    <w:rsid w:val="00C22711"/>
    <w:rsid w:val="00C2280A"/>
    <w:rsid w:val="00C22B0D"/>
    <w:rsid w:val="00C22BFF"/>
    <w:rsid w:val="00C23522"/>
    <w:rsid w:val="00C240C1"/>
    <w:rsid w:val="00C2421F"/>
    <w:rsid w:val="00C24AED"/>
    <w:rsid w:val="00C250D0"/>
    <w:rsid w:val="00C252AC"/>
    <w:rsid w:val="00C25C0F"/>
    <w:rsid w:val="00C26567"/>
    <w:rsid w:val="00C26923"/>
    <w:rsid w:val="00C27214"/>
    <w:rsid w:val="00C27597"/>
    <w:rsid w:val="00C27E5E"/>
    <w:rsid w:val="00C30382"/>
    <w:rsid w:val="00C30772"/>
    <w:rsid w:val="00C30D6F"/>
    <w:rsid w:val="00C31063"/>
    <w:rsid w:val="00C31B7E"/>
    <w:rsid w:val="00C322D1"/>
    <w:rsid w:val="00C3242A"/>
    <w:rsid w:val="00C33201"/>
    <w:rsid w:val="00C33A39"/>
    <w:rsid w:val="00C33B57"/>
    <w:rsid w:val="00C34619"/>
    <w:rsid w:val="00C35D01"/>
    <w:rsid w:val="00C360B3"/>
    <w:rsid w:val="00C37027"/>
    <w:rsid w:val="00C37653"/>
    <w:rsid w:val="00C37B19"/>
    <w:rsid w:val="00C413CB"/>
    <w:rsid w:val="00C42752"/>
    <w:rsid w:val="00C42973"/>
    <w:rsid w:val="00C445E8"/>
    <w:rsid w:val="00C44C69"/>
    <w:rsid w:val="00C4712A"/>
    <w:rsid w:val="00C5034F"/>
    <w:rsid w:val="00C50830"/>
    <w:rsid w:val="00C52479"/>
    <w:rsid w:val="00C5266E"/>
    <w:rsid w:val="00C528D4"/>
    <w:rsid w:val="00C52C59"/>
    <w:rsid w:val="00C5349E"/>
    <w:rsid w:val="00C539FF"/>
    <w:rsid w:val="00C544BD"/>
    <w:rsid w:val="00C54D3D"/>
    <w:rsid w:val="00C55A30"/>
    <w:rsid w:val="00C56384"/>
    <w:rsid w:val="00C60F8C"/>
    <w:rsid w:val="00C61794"/>
    <w:rsid w:val="00C62A48"/>
    <w:rsid w:val="00C62AC4"/>
    <w:rsid w:val="00C62B59"/>
    <w:rsid w:val="00C62F96"/>
    <w:rsid w:val="00C631E1"/>
    <w:rsid w:val="00C638D8"/>
    <w:rsid w:val="00C63AE7"/>
    <w:rsid w:val="00C63D26"/>
    <w:rsid w:val="00C6540A"/>
    <w:rsid w:val="00C668A1"/>
    <w:rsid w:val="00C66DEC"/>
    <w:rsid w:val="00C67223"/>
    <w:rsid w:val="00C707B8"/>
    <w:rsid w:val="00C712AC"/>
    <w:rsid w:val="00C71C15"/>
    <w:rsid w:val="00C71F3D"/>
    <w:rsid w:val="00C72F53"/>
    <w:rsid w:val="00C7313D"/>
    <w:rsid w:val="00C74035"/>
    <w:rsid w:val="00C748EA"/>
    <w:rsid w:val="00C77818"/>
    <w:rsid w:val="00C8063F"/>
    <w:rsid w:val="00C80D55"/>
    <w:rsid w:val="00C81282"/>
    <w:rsid w:val="00C827B4"/>
    <w:rsid w:val="00C83214"/>
    <w:rsid w:val="00C8329F"/>
    <w:rsid w:val="00C84F8A"/>
    <w:rsid w:val="00C85603"/>
    <w:rsid w:val="00C85BA4"/>
    <w:rsid w:val="00C8618F"/>
    <w:rsid w:val="00C8625D"/>
    <w:rsid w:val="00C8753A"/>
    <w:rsid w:val="00C90372"/>
    <w:rsid w:val="00C9041F"/>
    <w:rsid w:val="00C9166B"/>
    <w:rsid w:val="00C91A45"/>
    <w:rsid w:val="00C91FB4"/>
    <w:rsid w:val="00C92150"/>
    <w:rsid w:val="00C92328"/>
    <w:rsid w:val="00C92D42"/>
    <w:rsid w:val="00C938C2"/>
    <w:rsid w:val="00C93F8A"/>
    <w:rsid w:val="00C94EA1"/>
    <w:rsid w:val="00C9511B"/>
    <w:rsid w:val="00C95745"/>
    <w:rsid w:val="00C95902"/>
    <w:rsid w:val="00C962E3"/>
    <w:rsid w:val="00C978E2"/>
    <w:rsid w:val="00C97997"/>
    <w:rsid w:val="00CA10A2"/>
    <w:rsid w:val="00CA1D83"/>
    <w:rsid w:val="00CA25C0"/>
    <w:rsid w:val="00CA3451"/>
    <w:rsid w:val="00CA35C6"/>
    <w:rsid w:val="00CA4948"/>
    <w:rsid w:val="00CA52F9"/>
    <w:rsid w:val="00CA5368"/>
    <w:rsid w:val="00CA568B"/>
    <w:rsid w:val="00CA573A"/>
    <w:rsid w:val="00CA5C58"/>
    <w:rsid w:val="00CB0901"/>
    <w:rsid w:val="00CB19D7"/>
    <w:rsid w:val="00CB19FE"/>
    <w:rsid w:val="00CB1C3F"/>
    <w:rsid w:val="00CB21F6"/>
    <w:rsid w:val="00CB2364"/>
    <w:rsid w:val="00CB304C"/>
    <w:rsid w:val="00CB3933"/>
    <w:rsid w:val="00CB53E8"/>
    <w:rsid w:val="00CB594A"/>
    <w:rsid w:val="00CB5CB2"/>
    <w:rsid w:val="00CB6979"/>
    <w:rsid w:val="00CB6E7D"/>
    <w:rsid w:val="00CB7DDE"/>
    <w:rsid w:val="00CC0A3D"/>
    <w:rsid w:val="00CC0E22"/>
    <w:rsid w:val="00CC1585"/>
    <w:rsid w:val="00CC3C53"/>
    <w:rsid w:val="00CC3D24"/>
    <w:rsid w:val="00CC3F91"/>
    <w:rsid w:val="00CC4ACD"/>
    <w:rsid w:val="00CC4B0A"/>
    <w:rsid w:val="00CC544A"/>
    <w:rsid w:val="00CC57EA"/>
    <w:rsid w:val="00CC5954"/>
    <w:rsid w:val="00CC629B"/>
    <w:rsid w:val="00CC6C4E"/>
    <w:rsid w:val="00CD009D"/>
    <w:rsid w:val="00CD05A2"/>
    <w:rsid w:val="00CD29D4"/>
    <w:rsid w:val="00CD2B5C"/>
    <w:rsid w:val="00CD2FF3"/>
    <w:rsid w:val="00CD3323"/>
    <w:rsid w:val="00CD38F5"/>
    <w:rsid w:val="00CD437E"/>
    <w:rsid w:val="00CD5DAD"/>
    <w:rsid w:val="00CD72C5"/>
    <w:rsid w:val="00CD79A7"/>
    <w:rsid w:val="00CE0789"/>
    <w:rsid w:val="00CE0E8D"/>
    <w:rsid w:val="00CE1A03"/>
    <w:rsid w:val="00CE2346"/>
    <w:rsid w:val="00CE25B2"/>
    <w:rsid w:val="00CE3529"/>
    <w:rsid w:val="00CE35C8"/>
    <w:rsid w:val="00CE3962"/>
    <w:rsid w:val="00CE3B31"/>
    <w:rsid w:val="00CE4D1A"/>
    <w:rsid w:val="00CE4E8A"/>
    <w:rsid w:val="00CE5105"/>
    <w:rsid w:val="00CE56BD"/>
    <w:rsid w:val="00CE5EC0"/>
    <w:rsid w:val="00CE6F9F"/>
    <w:rsid w:val="00CE781A"/>
    <w:rsid w:val="00CE7B08"/>
    <w:rsid w:val="00CE7D52"/>
    <w:rsid w:val="00CF1D74"/>
    <w:rsid w:val="00CF2646"/>
    <w:rsid w:val="00CF2BE2"/>
    <w:rsid w:val="00CF3DEB"/>
    <w:rsid w:val="00CF55F9"/>
    <w:rsid w:val="00CF7074"/>
    <w:rsid w:val="00CF7495"/>
    <w:rsid w:val="00D0033D"/>
    <w:rsid w:val="00D01CF9"/>
    <w:rsid w:val="00D0334D"/>
    <w:rsid w:val="00D0374D"/>
    <w:rsid w:val="00D03A2D"/>
    <w:rsid w:val="00D06D7B"/>
    <w:rsid w:val="00D06DA5"/>
    <w:rsid w:val="00D07191"/>
    <w:rsid w:val="00D07F1D"/>
    <w:rsid w:val="00D10558"/>
    <w:rsid w:val="00D106EB"/>
    <w:rsid w:val="00D114EB"/>
    <w:rsid w:val="00D11D4D"/>
    <w:rsid w:val="00D126DC"/>
    <w:rsid w:val="00D129E1"/>
    <w:rsid w:val="00D12B03"/>
    <w:rsid w:val="00D13CEB"/>
    <w:rsid w:val="00D13E70"/>
    <w:rsid w:val="00D15FCD"/>
    <w:rsid w:val="00D16C58"/>
    <w:rsid w:val="00D17019"/>
    <w:rsid w:val="00D17FC8"/>
    <w:rsid w:val="00D20B44"/>
    <w:rsid w:val="00D21168"/>
    <w:rsid w:val="00D2438C"/>
    <w:rsid w:val="00D2585A"/>
    <w:rsid w:val="00D259B0"/>
    <w:rsid w:val="00D26C3F"/>
    <w:rsid w:val="00D27185"/>
    <w:rsid w:val="00D30EF8"/>
    <w:rsid w:val="00D32518"/>
    <w:rsid w:val="00D33488"/>
    <w:rsid w:val="00D33AB3"/>
    <w:rsid w:val="00D33F24"/>
    <w:rsid w:val="00D34160"/>
    <w:rsid w:val="00D346B8"/>
    <w:rsid w:val="00D34DCA"/>
    <w:rsid w:val="00D35AC8"/>
    <w:rsid w:val="00D36F87"/>
    <w:rsid w:val="00D37E4E"/>
    <w:rsid w:val="00D40DEF"/>
    <w:rsid w:val="00D417D8"/>
    <w:rsid w:val="00D41F78"/>
    <w:rsid w:val="00D42E6C"/>
    <w:rsid w:val="00D4351C"/>
    <w:rsid w:val="00D43B80"/>
    <w:rsid w:val="00D44988"/>
    <w:rsid w:val="00D45B4C"/>
    <w:rsid w:val="00D45BA4"/>
    <w:rsid w:val="00D465D0"/>
    <w:rsid w:val="00D471AF"/>
    <w:rsid w:val="00D4724F"/>
    <w:rsid w:val="00D50519"/>
    <w:rsid w:val="00D51601"/>
    <w:rsid w:val="00D51ECB"/>
    <w:rsid w:val="00D522B9"/>
    <w:rsid w:val="00D5264C"/>
    <w:rsid w:val="00D52BBC"/>
    <w:rsid w:val="00D537FE"/>
    <w:rsid w:val="00D53CC9"/>
    <w:rsid w:val="00D54A6A"/>
    <w:rsid w:val="00D54B8F"/>
    <w:rsid w:val="00D55951"/>
    <w:rsid w:val="00D559F0"/>
    <w:rsid w:val="00D57EB6"/>
    <w:rsid w:val="00D608C0"/>
    <w:rsid w:val="00D60D6D"/>
    <w:rsid w:val="00D6128C"/>
    <w:rsid w:val="00D66D8B"/>
    <w:rsid w:val="00D70849"/>
    <w:rsid w:val="00D72297"/>
    <w:rsid w:val="00D72A1C"/>
    <w:rsid w:val="00D7308F"/>
    <w:rsid w:val="00D7313E"/>
    <w:rsid w:val="00D73580"/>
    <w:rsid w:val="00D73802"/>
    <w:rsid w:val="00D73C2C"/>
    <w:rsid w:val="00D73D52"/>
    <w:rsid w:val="00D745E7"/>
    <w:rsid w:val="00D774ED"/>
    <w:rsid w:val="00D777C3"/>
    <w:rsid w:val="00D7797C"/>
    <w:rsid w:val="00D77C44"/>
    <w:rsid w:val="00D77F88"/>
    <w:rsid w:val="00D807E5"/>
    <w:rsid w:val="00D81AFA"/>
    <w:rsid w:val="00D81EAA"/>
    <w:rsid w:val="00D81FE2"/>
    <w:rsid w:val="00D8259F"/>
    <w:rsid w:val="00D825F2"/>
    <w:rsid w:val="00D8285C"/>
    <w:rsid w:val="00D828B1"/>
    <w:rsid w:val="00D82A55"/>
    <w:rsid w:val="00D83D49"/>
    <w:rsid w:val="00D84181"/>
    <w:rsid w:val="00D846AD"/>
    <w:rsid w:val="00D84754"/>
    <w:rsid w:val="00D84F27"/>
    <w:rsid w:val="00D853F0"/>
    <w:rsid w:val="00D85862"/>
    <w:rsid w:val="00D86782"/>
    <w:rsid w:val="00D86D47"/>
    <w:rsid w:val="00D8710C"/>
    <w:rsid w:val="00D873C6"/>
    <w:rsid w:val="00D9074A"/>
    <w:rsid w:val="00D9099E"/>
    <w:rsid w:val="00D9193A"/>
    <w:rsid w:val="00D923B2"/>
    <w:rsid w:val="00D92463"/>
    <w:rsid w:val="00D93E64"/>
    <w:rsid w:val="00D93F64"/>
    <w:rsid w:val="00D94CA4"/>
    <w:rsid w:val="00D95E99"/>
    <w:rsid w:val="00D965D5"/>
    <w:rsid w:val="00D97DA2"/>
    <w:rsid w:val="00DA1A3A"/>
    <w:rsid w:val="00DA2351"/>
    <w:rsid w:val="00DA249E"/>
    <w:rsid w:val="00DA2D3D"/>
    <w:rsid w:val="00DA4C30"/>
    <w:rsid w:val="00DB145E"/>
    <w:rsid w:val="00DB1A94"/>
    <w:rsid w:val="00DB1D52"/>
    <w:rsid w:val="00DB1E2B"/>
    <w:rsid w:val="00DB1F62"/>
    <w:rsid w:val="00DB21E7"/>
    <w:rsid w:val="00DB2E03"/>
    <w:rsid w:val="00DB3742"/>
    <w:rsid w:val="00DB3E9B"/>
    <w:rsid w:val="00DB3F4B"/>
    <w:rsid w:val="00DB5375"/>
    <w:rsid w:val="00DB67C1"/>
    <w:rsid w:val="00DB6C0B"/>
    <w:rsid w:val="00DB70F4"/>
    <w:rsid w:val="00DB748A"/>
    <w:rsid w:val="00DC1056"/>
    <w:rsid w:val="00DC1442"/>
    <w:rsid w:val="00DC21D8"/>
    <w:rsid w:val="00DC282A"/>
    <w:rsid w:val="00DC34DC"/>
    <w:rsid w:val="00DC3780"/>
    <w:rsid w:val="00DC3ADA"/>
    <w:rsid w:val="00DC3CC6"/>
    <w:rsid w:val="00DC3F55"/>
    <w:rsid w:val="00DC4782"/>
    <w:rsid w:val="00DC514A"/>
    <w:rsid w:val="00DC67B1"/>
    <w:rsid w:val="00DC7FBC"/>
    <w:rsid w:val="00DD0019"/>
    <w:rsid w:val="00DD132B"/>
    <w:rsid w:val="00DD1725"/>
    <w:rsid w:val="00DD2159"/>
    <w:rsid w:val="00DD218B"/>
    <w:rsid w:val="00DD2A18"/>
    <w:rsid w:val="00DD3044"/>
    <w:rsid w:val="00DD3985"/>
    <w:rsid w:val="00DD61E8"/>
    <w:rsid w:val="00DD62C0"/>
    <w:rsid w:val="00DD64DE"/>
    <w:rsid w:val="00DD7859"/>
    <w:rsid w:val="00DD7B41"/>
    <w:rsid w:val="00DE0784"/>
    <w:rsid w:val="00DE085A"/>
    <w:rsid w:val="00DE0A1D"/>
    <w:rsid w:val="00DE15B2"/>
    <w:rsid w:val="00DE1A9A"/>
    <w:rsid w:val="00DE3D2C"/>
    <w:rsid w:val="00DE5E82"/>
    <w:rsid w:val="00DE5F9B"/>
    <w:rsid w:val="00DE5FA6"/>
    <w:rsid w:val="00DE660A"/>
    <w:rsid w:val="00DE6792"/>
    <w:rsid w:val="00DE6AA1"/>
    <w:rsid w:val="00DE7AAB"/>
    <w:rsid w:val="00DE7EF7"/>
    <w:rsid w:val="00DF015B"/>
    <w:rsid w:val="00DF02EC"/>
    <w:rsid w:val="00DF10FC"/>
    <w:rsid w:val="00DF1185"/>
    <w:rsid w:val="00DF1299"/>
    <w:rsid w:val="00DF1A70"/>
    <w:rsid w:val="00DF1E5F"/>
    <w:rsid w:val="00DF23A8"/>
    <w:rsid w:val="00DF2F27"/>
    <w:rsid w:val="00DF36B6"/>
    <w:rsid w:val="00DF4296"/>
    <w:rsid w:val="00DF53F0"/>
    <w:rsid w:val="00DF5F38"/>
    <w:rsid w:val="00DF637F"/>
    <w:rsid w:val="00DF6608"/>
    <w:rsid w:val="00DF6CCC"/>
    <w:rsid w:val="00DF6D0C"/>
    <w:rsid w:val="00DF6F64"/>
    <w:rsid w:val="00DF721E"/>
    <w:rsid w:val="00DF7B8A"/>
    <w:rsid w:val="00DF7C87"/>
    <w:rsid w:val="00E009B0"/>
    <w:rsid w:val="00E00A12"/>
    <w:rsid w:val="00E00C49"/>
    <w:rsid w:val="00E00E9A"/>
    <w:rsid w:val="00E01C9C"/>
    <w:rsid w:val="00E0219D"/>
    <w:rsid w:val="00E04C0F"/>
    <w:rsid w:val="00E0570B"/>
    <w:rsid w:val="00E10913"/>
    <w:rsid w:val="00E10B87"/>
    <w:rsid w:val="00E121CE"/>
    <w:rsid w:val="00E1478B"/>
    <w:rsid w:val="00E14FAC"/>
    <w:rsid w:val="00E15007"/>
    <w:rsid w:val="00E16277"/>
    <w:rsid w:val="00E16BDE"/>
    <w:rsid w:val="00E16EC7"/>
    <w:rsid w:val="00E219CE"/>
    <w:rsid w:val="00E24071"/>
    <w:rsid w:val="00E24EBC"/>
    <w:rsid w:val="00E2522C"/>
    <w:rsid w:val="00E2552F"/>
    <w:rsid w:val="00E2599B"/>
    <w:rsid w:val="00E2710C"/>
    <w:rsid w:val="00E27428"/>
    <w:rsid w:val="00E305B4"/>
    <w:rsid w:val="00E31AFA"/>
    <w:rsid w:val="00E31CB7"/>
    <w:rsid w:val="00E324EE"/>
    <w:rsid w:val="00E34DB1"/>
    <w:rsid w:val="00E35931"/>
    <w:rsid w:val="00E359FF"/>
    <w:rsid w:val="00E370F1"/>
    <w:rsid w:val="00E402C5"/>
    <w:rsid w:val="00E402F4"/>
    <w:rsid w:val="00E405F1"/>
    <w:rsid w:val="00E417DB"/>
    <w:rsid w:val="00E43054"/>
    <w:rsid w:val="00E43655"/>
    <w:rsid w:val="00E44440"/>
    <w:rsid w:val="00E46013"/>
    <w:rsid w:val="00E47099"/>
    <w:rsid w:val="00E47284"/>
    <w:rsid w:val="00E4730A"/>
    <w:rsid w:val="00E477C3"/>
    <w:rsid w:val="00E51E16"/>
    <w:rsid w:val="00E530D0"/>
    <w:rsid w:val="00E53730"/>
    <w:rsid w:val="00E5438D"/>
    <w:rsid w:val="00E54511"/>
    <w:rsid w:val="00E54E50"/>
    <w:rsid w:val="00E55288"/>
    <w:rsid w:val="00E55332"/>
    <w:rsid w:val="00E57577"/>
    <w:rsid w:val="00E62043"/>
    <w:rsid w:val="00E626B9"/>
    <w:rsid w:val="00E627C9"/>
    <w:rsid w:val="00E630F3"/>
    <w:rsid w:val="00E6332F"/>
    <w:rsid w:val="00E637C9"/>
    <w:rsid w:val="00E6402D"/>
    <w:rsid w:val="00E658BE"/>
    <w:rsid w:val="00E6680A"/>
    <w:rsid w:val="00E66F0D"/>
    <w:rsid w:val="00E70615"/>
    <w:rsid w:val="00E7161E"/>
    <w:rsid w:val="00E7207B"/>
    <w:rsid w:val="00E7347A"/>
    <w:rsid w:val="00E75A47"/>
    <w:rsid w:val="00E75BB6"/>
    <w:rsid w:val="00E75D8C"/>
    <w:rsid w:val="00E777F2"/>
    <w:rsid w:val="00E802C9"/>
    <w:rsid w:val="00E80BFB"/>
    <w:rsid w:val="00E80F0A"/>
    <w:rsid w:val="00E815D4"/>
    <w:rsid w:val="00E8291B"/>
    <w:rsid w:val="00E82E70"/>
    <w:rsid w:val="00E82F92"/>
    <w:rsid w:val="00E8395F"/>
    <w:rsid w:val="00E8410F"/>
    <w:rsid w:val="00E849D7"/>
    <w:rsid w:val="00E85E41"/>
    <w:rsid w:val="00E85EA1"/>
    <w:rsid w:val="00E86703"/>
    <w:rsid w:val="00E91044"/>
    <w:rsid w:val="00E910D3"/>
    <w:rsid w:val="00E92154"/>
    <w:rsid w:val="00E923CF"/>
    <w:rsid w:val="00E93685"/>
    <w:rsid w:val="00E93B65"/>
    <w:rsid w:val="00E93C8C"/>
    <w:rsid w:val="00E95111"/>
    <w:rsid w:val="00E95E1F"/>
    <w:rsid w:val="00E95FDF"/>
    <w:rsid w:val="00EA14C8"/>
    <w:rsid w:val="00EA2110"/>
    <w:rsid w:val="00EA283A"/>
    <w:rsid w:val="00EA2C90"/>
    <w:rsid w:val="00EA2E07"/>
    <w:rsid w:val="00EA383B"/>
    <w:rsid w:val="00EA48F3"/>
    <w:rsid w:val="00EA511B"/>
    <w:rsid w:val="00EA60BF"/>
    <w:rsid w:val="00EA7365"/>
    <w:rsid w:val="00EA763F"/>
    <w:rsid w:val="00EA77E9"/>
    <w:rsid w:val="00EB05D0"/>
    <w:rsid w:val="00EB1151"/>
    <w:rsid w:val="00EB12E0"/>
    <w:rsid w:val="00EB1D49"/>
    <w:rsid w:val="00EB234C"/>
    <w:rsid w:val="00EB23D9"/>
    <w:rsid w:val="00EB39A0"/>
    <w:rsid w:val="00EB4507"/>
    <w:rsid w:val="00EB559F"/>
    <w:rsid w:val="00EB566C"/>
    <w:rsid w:val="00EB5F3D"/>
    <w:rsid w:val="00EB6D01"/>
    <w:rsid w:val="00EC1CEB"/>
    <w:rsid w:val="00EC1DC0"/>
    <w:rsid w:val="00EC1DC2"/>
    <w:rsid w:val="00EC21EC"/>
    <w:rsid w:val="00EC24B8"/>
    <w:rsid w:val="00EC268C"/>
    <w:rsid w:val="00EC3753"/>
    <w:rsid w:val="00EC4E71"/>
    <w:rsid w:val="00EC5F1C"/>
    <w:rsid w:val="00ED0365"/>
    <w:rsid w:val="00ED0865"/>
    <w:rsid w:val="00ED1C60"/>
    <w:rsid w:val="00ED2084"/>
    <w:rsid w:val="00ED2EB9"/>
    <w:rsid w:val="00ED3722"/>
    <w:rsid w:val="00ED3A31"/>
    <w:rsid w:val="00ED4469"/>
    <w:rsid w:val="00ED5424"/>
    <w:rsid w:val="00ED5F23"/>
    <w:rsid w:val="00ED6DC0"/>
    <w:rsid w:val="00ED7A7A"/>
    <w:rsid w:val="00EE0327"/>
    <w:rsid w:val="00EE038C"/>
    <w:rsid w:val="00EE2243"/>
    <w:rsid w:val="00EE28C5"/>
    <w:rsid w:val="00EE2F09"/>
    <w:rsid w:val="00EE2F13"/>
    <w:rsid w:val="00EE3654"/>
    <w:rsid w:val="00EE46C0"/>
    <w:rsid w:val="00EE47C5"/>
    <w:rsid w:val="00EE490C"/>
    <w:rsid w:val="00EE4E57"/>
    <w:rsid w:val="00EE5738"/>
    <w:rsid w:val="00EE58BD"/>
    <w:rsid w:val="00EE5E59"/>
    <w:rsid w:val="00EE6549"/>
    <w:rsid w:val="00EE73D0"/>
    <w:rsid w:val="00EE7CB0"/>
    <w:rsid w:val="00EF08A8"/>
    <w:rsid w:val="00EF167B"/>
    <w:rsid w:val="00EF41A8"/>
    <w:rsid w:val="00EF44FB"/>
    <w:rsid w:val="00EF4895"/>
    <w:rsid w:val="00EF5122"/>
    <w:rsid w:val="00EF5554"/>
    <w:rsid w:val="00EF5AD8"/>
    <w:rsid w:val="00EF6B90"/>
    <w:rsid w:val="00EF7807"/>
    <w:rsid w:val="00EF79F7"/>
    <w:rsid w:val="00F006C0"/>
    <w:rsid w:val="00F0125F"/>
    <w:rsid w:val="00F019AA"/>
    <w:rsid w:val="00F0267E"/>
    <w:rsid w:val="00F02686"/>
    <w:rsid w:val="00F028B7"/>
    <w:rsid w:val="00F030C0"/>
    <w:rsid w:val="00F03291"/>
    <w:rsid w:val="00F0459B"/>
    <w:rsid w:val="00F04E15"/>
    <w:rsid w:val="00F05DF3"/>
    <w:rsid w:val="00F069EA"/>
    <w:rsid w:val="00F070E5"/>
    <w:rsid w:val="00F07DDE"/>
    <w:rsid w:val="00F11675"/>
    <w:rsid w:val="00F12557"/>
    <w:rsid w:val="00F13599"/>
    <w:rsid w:val="00F13B28"/>
    <w:rsid w:val="00F13DB6"/>
    <w:rsid w:val="00F14E01"/>
    <w:rsid w:val="00F156A0"/>
    <w:rsid w:val="00F15730"/>
    <w:rsid w:val="00F164B0"/>
    <w:rsid w:val="00F176A6"/>
    <w:rsid w:val="00F202C2"/>
    <w:rsid w:val="00F212F6"/>
    <w:rsid w:val="00F22756"/>
    <w:rsid w:val="00F23248"/>
    <w:rsid w:val="00F23890"/>
    <w:rsid w:val="00F2504D"/>
    <w:rsid w:val="00F2637F"/>
    <w:rsid w:val="00F268F7"/>
    <w:rsid w:val="00F30B83"/>
    <w:rsid w:val="00F30BDB"/>
    <w:rsid w:val="00F30CF8"/>
    <w:rsid w:val="00F31EDF"/>
    <w:rsid w:val="00F32CDE"/>
    <w:rsid w:val="00F32D4C"/>
    <w:rsid w:val="00F3327E"/>
    <w:rsid w:val="00F338C3"/>
    <w:rsid w:val="00F34B14"/>
    <w:rsid w:val="00F34F58"/>
    <w:rsid w:val="00F35634"/>
    <w:rsid w:val="00F35D17"/>
    <w:rsid w:val="00F35DA7"/>
    <w:rsid w:val="00F36A6A"/>
    <w:rsid w:val="00F40101"/>
    <w:rsid w:val="00F404F7"/>
    <w:rsid w:val="00F40CCA"/>
    <w:rsid w:val="00F41069"/>
    <w:rsid w:val="00F42D97"/>
    <w:rsid w:val="00F436B2"/>
    <w:rsid w:val="00F43813"/>
    <w:rsid w:val="00F43FEE"/>
    <w:rsid w:val="00F45A72"/>
    <w:rsid w:val="00F46723"/>
    <w:rsid w:val="00F4706D"/>
    <w:rsid w:val="00F476E1"/>
    <w:rsid w:val="00F47D1D"/>
    <w:rsid w:val="00F47F29"/>
    <w:rsid w:val="00F50016"/>
    <w:rsid w:val="00F5118A"/>
    <w:rsid w:val="00F51A21"/>
    <w:rsid w:val="00F52614"/>
    <w:rsid w:val="00F5276E"/>
    <w:rsid w:val="00F52E9F"/>
    <w:rsid w:val="00F53304"/>
    <w:rsid w:val="00F539EA"/>
    <w:rsid w:val="00F53B81"/>
    <w:rsid w:val="00F540FE"/>
    <w:rsid w:val="00F556FF"/>
    <w:rsid w:val="00F55D12"/>
    <w:rsid w:val="00F5687F"/>
    <w:rsid w:val="00F56D3F"/>
    <w:rsid w:val="00F575C7"/>
    <w:rsid w:val="00F57FD0"/>
    <w:rsid w:val="00F60305"/>
    <w:rsid w:val="00F61B12"/>
    <w:rsid w:val="00F63264"/>
    <w:rsid w:val="00F634E4"/>
    <w:rsid w:val="00F6379E"/>
    <w:rsid w:val="00F64047"/>
    <w:rsid w:val="00F65171"/>
    <w:rsid w:val="00F6560D"/>
    <w:rsid w:val="00F67844"/>
    <w:rsid w:val="00F70799"/>
    <w:rsid w:val="00F70A8B"/>
    <w:rsid w:val="00F70B8D"/>
    <w:rsid w:val="00F71936"/>
    <w:rsid w:val="00F724FB"/>
    <w:rsid w:val="00F726B8"/>
    <w:rsid w:val="00F72A26"/>
    <w:rsid w:val="00F733C3"/>
    <w:rsid w:val="00F746A1"/>
    <w:rsid w:val="00F74820"/>
    <w:rsid w:val="00F756DD"/>
    <w:rsid w:val="00F77F4E"/>
    <w:rsid w:val="00F80047"/>
    <w:rsid w:val="00F800C7"/>
    <w:rsid w:val="00F8104D"/>
    <w:rsid w:val="00F81587"/>
    <w:rsid w:val="00F8288F"/>
    <w:rsid w:val="00F84033"/>
    <w:rsid w:val="00F84802"/>
    <w:rsid w:val="00F85B72"/>
    <w:rsid w:val="00F86540"/>
    <w:rsid w:val="00F865CE"/>
    <w:rsid w:val="00F8766F"/>
    <w:rsid w:val="00F91082"/>
    <w:rsid w:val="00F9116D"/>
    <w:rsid w:val="00F91A9A"/>
    <w:rsid w:val="00F91C67"/>
    <w:rsid w:val="00F9203B"/>
    <w:rsid w:val="00F93251"/>
    <w:rsid w:val="00F93ABB"/>
    <w:rsid w:val="00F94D79"/>
    <w:rsid w:val="00F9658C"/>
    <w:rsid w:val="00F97A7F"/>
    <w:rsid w:val="00FA0889"/>
    <w:rsid w:val="00FA16E7"/>
    <w:rsid w:val="00FA31C7"/>
    <w:rsid w:val="00FA472D"/>
    <w:rsid w:val="00FB0CBF"/>
    <w:rsid w:val="00FB18F6"/>
    <w:rsid w:val="00FB23E5"/>
    <w:rsid w:val="00FB2A52"/>
    <w:rsid w:val="00FB3F92"/>
    <w:rsid w:val="00FB52C7"/>
    <w:rsid w:val="00FB57DC"/>
    <w:rsid w:val="00FB6E19"/>
    <w:rsid w:val="00FB71F6"/>
    <w:rsid w:val="00FC0AF8"/>
    <w:rsid w:val="00FC1483"/>
    <w:rsid w:val="00FC1C47"/>
    <w:rsid w:val="00FC3102"/>
    <w:rsid w:val="00FC39ED"/>
    <w:rsid w:val="00FC4419"/>
    <w:rsid w:val="00FC47E2"/>
    <w:rsid w:val="00FC4AA5"/>
    <w:rsid w:val="00FC4B88"/>
    <w:rsid w:val="00FC4BB8"/>
    <w:rsid w:val="00FC5148"/>
    <w:rsid w:val="00FC6524"/>
    <w:rsid w:val="00FC75AC"/>
    <w:rsid w:val="00FD01BF"/>
    <w:rsid w:val="00FD022A"/>
    <w:rsid w:val="00FD0525"/>
    <w:rsid w:val="00FD0AB7"/>
    <w:rsid w:val="00FD297D"/>
    <w:rsid w:val="00FD2D13"/>
    <w:rsid w:val="00FD374D"/>
    <w:rsid w:val="00FD6071"/>
    <w:rsid w:val="00FD633B"/>
    <w:rsid w:val="00FE0794"/>
    <w:rsid w:val="00FE1041"/>
    <w:rsid w:val="00FE24CB"/>
    <w:rsid w:val="00FE323F"/>
    <w:rsid w:val="00FE3473"/>
    <w:rsid w:val="00FE4049"/>
    <w:rsid w:val="00FE4794"/>
    <w:rsid w:val="00FE480F"/>
    <w:rsid w:val="00FE4998"/>
    <w:rsid w:val="00FE57DE"/>
    <w:rsid w:val="00FE7A68"/>
    <w:rsid w:val="00FF0231"/>
    <w:rsid w:val="00FF0AE8"/>
    <w:rsid w:val="00FF1C9B"/>
    <w:rsid w:val="00FF1D49"/>
    <w:rsid w:val="00FF203B"/>
    <w:rsid w:val="00FF2562"/>
    <w:rsid w:val="00FF3A41"/>
    <w:rsid w:val="00FF3E5B"/>
    <w:rsid w:val="00FF57E4"/>
    <w:rsid w:val="00FF68DB"/>
    <w:rsid w:val="00FF72B5"/>
    <w:rsid w:val="00FF78E5"/>
    <w:rsid w:val="01055032"/>
    <w:rsid w:val="010853C2"/>
    <w:rsid w:val="013A2222"/>
    <w:rsid w:val="01635C49"/>
    <w:rsid w:val="01AF3D99"/>
    <w:rsid w:val="021F63F6"/>
    <w:rsid w:val="024F3740"/>
    <w:rsid w:val="02511F9D"/>
    <w:rsid w:val="02994018"/>
    <w:rsid w:val="02A641F7"/>
    <w:rsid w:val="02BE115D"/>
    <w:rsid w:val="02D512E1"/>
    <w:rsid w:val="02F538E8"/>
    <w:rsid w:val="02F91864"/>
    <w:rsid w:val="032E6179"/>
    <w:rsid w:val="03875055"/>
    <w:rsid w:val="03A314B8"/>
    <w:rsid w:val="03B460EC"/>
    <w:rsid w:val="03B81543"/>
    <w:rsid w:val="03D82B98"/>
    <w:rsid w:val="03F83E8B"/>
    <w:rsid w:val="042B5143"/>
    <w:rsid w:val="045525AB"/>
    <w:rsid w:val="04884CFD"/>
    <w:rsid w:val="048B3475"/>
    <w:rsid w:val="04D31678"/>
    <w:rsid w:val="053713A0"/>
    <w:rsid w:val="053B2AF7"/>
    <w:rsid w:val="055D6A67"/>
    <w:rsid w:val="058202BB"/>
    <w:rsid w:val="05A52CD4"/>
    <w:rsid w:val="05C56868"/>
    <w:rsid w:val="05C6713A"/>
    <w:rsid w:val="05D435B9"/>
    <w:rsid w:val="062A142B"/>
    <w:rsid w:val="06406019"/>
    <w:rsid w:val="065369F6"/>
    <w:rsid w:val="06606919"/>
    <w:rsid w:val="06CE3597"/>
    <w:rsid w:val="07021B8C"/>
    <w:rsid w:val="072668A0"/>
    <w:rsid w:val="074B7895"/>
    <w:rsid w:val="0764271A"/>
    <w:rsid w:val="077D6C7C"/>
    <w:rsid w:val="07B72767"/>
    <w:rsid w:val="07CD206E"/>
    <w:rsid w:val="080109C6"/>
    <w:rsid w:val="08077E72"/>
    <w:rsid w:val="08414028"/>
    <w:rsid w:val="085140BA"/>
    <w:rsid w:val="08755979"/>
    <w:rsid w:val="08882DD0"/>
    <w:rsid w:val="088F43F2"/>
    <w:rsid w:val="08A106B0"/>
    <w:rsid w:val="08F772DC"/>
    <w:rsid w:val="09321D03"/>
    <w:rsid w:val="09541612"/>
    <w:rsid w:val="097E5D15"/>
    <w:rsid w:val="099B68C7"/>
    <w:rsid w:val="099F3C31"/>
    <w:rsid w:val="09CC2AAC"/>
    <w:rsid w:val="09D26E76"/>
    <w:rsid w:val="09EA36B9"/>
    <w:rsid w:val="0A2C39C3"/>
    <w:rsid w:val="0A4122E5"/>
    <w:rsid w:val="0A463FB5"/>
    <w:rsid w:val="0A652D3E"/>
    <w:rsid w:val="0AAA637B"/>
    <w:rsid w:val="0AD84844"/>
    <w:rsid w:val="0B246F6B"/>
    <w:rsid w:val="0B313E50"/>
    <w:rsid w:val="0B326F2A"/>
    <w:rsid w:val="0BFF2A12"/>
    <w:rsid w:val="0C025E57"/>
    <w:rsid w:val="0C1E2888"/>
    <w:rsid w:val="0C5405A3"/>
    <w:rsid w:val="0C68594B"/>
    <w:rsid w:val="0C785D11"/>
    <w:rsid w:val="0C92213C"/>
    <w:rsid w:val="0CBC1AF2"/>
    <w:rsid w:val="0CE66CAF"/>
    <w:rsid w:val="0CE86665"/>
    <w:rsid w:val="0CFE01B9"/>
    <w:rsid w:val="0D1129FD"/>
    <w:rsid w:val="0D7306ED"/>
    <w:rsid w:val="0D7D3EA1"/>
    <w:rsid w:val="0D84032B"/>
    <w:rsid w:val="0D8A0758"/>
    <w:rsid w:val="0D93340D"/>
    <w:rsid w:val="0D984A85"/>
    <w:rsid w:val="0DA46163"/>
    <w:rsid w:val="0DB76679"/>
    <w:rsid w:val="0E1D3FEE"/>
    <w:rsid w:val="0E217982"/>
    <w:rsid w:val="0E673325"/>
    <w:rsid w:val="0E812F2D"/>
    <w:rsid w:val="0E820056"/>
    <w:rsid w:val="0EA67017"/>
    <w:rsid w:val="0EE62C1A"/>
    <w:rsid w:val="0F151A8F"/>
    <w:rsid w:val="0F2A74C4"/>
    <w:rsid w:val="0F473B4B"/>
    <w:rsid w:val="0F501BE7"/>
    <w:rsid w:val="0F503DD2"/>
    <w:rsid w:val="0F8B2F3A"/>
    <w:rsid w:val="0F9333D8"/>
    <w:rsid w:val="0FA56CBE"/>
    <w:rsid w:val="0FF87EA4"/>
    <w:rsid w:val="1004447E"/>
    <w:rsid w:val="10172A20"/>
    <w:rsid w:val="10420285"/>
    <w:rsid w:val="106E78D2"/>
    <w:rsid w:val="107D4DC4"/>
    <w:rsid w:val="10A27F31"/>
    <w:rsid w:val="10A8619F"/>
    <w:rsid w:val="10C347AE"/>
    <w:rsid w:val="10C73288"/>
    <w:rsid w:val="10D95F27"/>
    <w:rsid w:val="10E24DDC"/>
    <w:rsid w:val="10ED6A09"/>
    <w:rsid w:val="11156B59"/>
    <w:rsid w:val="11397FAD"/>
    <w:rsid w:val="11412FB1"/>
    <w:rsid w:val="11520C04"/>
    <w:rsid w:val="117D4B05"/>
    <w:rsid w:val="11927058"/>
    <w:rsid w:val="11CC5DAA"/>
    <w:rsid w:val="11DD5922"/>
    <w:rsid w:val="11E4797A"/>
    <w:rsid w:val="11FF19BD"/>
    <w:rsid w:val="12023D15"/>
    <w:rsid w:val="123152ED"/>
    <w:rsid w:val="123D6A4D"/>
    <w:rsid w:val="1252649B"/>
    <w:rsid w:val="1299596E"/>
    <w:rsid w:val="12B72298"/>
    <w:rsid w:val="12F232D0"/>
    <w:rsid w:val="13304B67"/>
    <w:rsid w:val="138F0A28"/>
    <w:rsid w:val="13936861"/>
    <w:rsid w:val="1395444A"/>
    <w:rsid w:val="13AA7707"/>
    <w:rsid w:val="13AF4F03"/>
    <w:rsid w:val="13BA2040"/>
    <w:rsid w:val="13DF28E2"/>
    <w:rsid w:val="14193258"/>
    <w:rsid w:val="142A2578"/>
    <w:rsid w:val="146538E7"/>
    <w:rsid w:val="146A5814"/>
    <w:rsid w:val="14736E66"/>
    <w:rsid w:val="1478030D"/>
    <w:rsid w:val="147F458F"/>
    <w:rsid w:val="14874526"/>
    <w:rsid w:val="14D958EC"/>
    <w:rsid w:val="152A1E6B"/>
    <w:rsid w:val="1534169A"/>
    <w:rsid w:val="15451DDD"/>
    <w:rsid w:val="15475B55"/>
    <w:rsid w:val="155C2C83"/>
    <w:rsid w:val="155E6049"/>
    <w:rsid w:val="159348F7"/>
    <w:rsid w:val="15C03E03"/>
    <w:rsid w:val="15DA76FE"/>
    <w:rsid w:val="15E91814"/>
    <w:rsid w:val="15F64E85"/>
    <w:rsid w:val="162A25EB"/>
    <w:rsid w:val="162B1BB9"/>
    <w:rsid w:val="163C5193"/>
    <w:rsid w:val="164B1ECD"/>
    <w:rsid w:val="165A18B8"/>
    <w:rsid w:val="167A1613"/>
    <w:rsid w:val="16A101DA"/>
    <w:rsid w:val="16A27DED"/>
    <w:rsid w:val="16C03AD7"/>
    <w:rsid w:val="16E276A1"/>
    <w:rsid w:val="16FD2A55"/>
    <w:rsid w:val="17067C1A"/>
    <w:rsid w:val="17072F54"/>
    <w:rsid w:val="1708720F"/>
    <w:rsid w:val="170A508C"/>
    <w:rsid w:val="17366761"/>
    <w:rsid w:val="174A0545"/>
    <w:rsid w:val="17533D91"/>
    <w:rsid w:val="176E136D"/>
    <w:rsid w:val="177C01F0"/>
    <w:rsid w:val="177E3384"/>
    <w:rsid w:val="17BF5E77"/>
    <w:rsid w:val="17CE6630"/>
    <w:rsid w:val="1817425C"/>
    <w:rsid w:val="18265850"/>
    <w:rsid w:val="18375B7B"/>
    <w:rsid w:val="188373D4"/>
    <w:rsid w:val="18A0464F"/>
    <w:rsid w:val="18A5274D"/>
    <w:rsid w:val="18BC3B0A"/>
    <w:rsid w:val="18D3325C"/>
    <w:rsid w:val="19866520"/>
    <w:rsid w:val="19E7147B"/>
    <w:rsid w:val="19EC5329"/>
    <w:rsid w:val="1A495ECC"/>
    <w:rsid w:val="1A6052CB"/>
    <w:rsid w:val="1A672D8D"/>
    <w:rsid w:val="1A89276C"/>
    <w:rsid w:val="1ADA4D76"/>
    <w:rsid w:val="1AF7686E"/>
    <w:rsid w:val="1AFF0AFE"/>
    <w:rsid w:val="1B003AD9"/>
    <w:rsid w:val="1B42403D"/>
    <w:rsid w:val="1B4F19F8"/>
    <w:rsid w:val="1B5E09DF"/>
    <w:rsid w:val="1B707488"/>
    <w:rsid w:val="1B742AD4"/>
    <w:rsid w:val="1BCC7D2A"/>
    <w:rsid w:val="1BF54E46"/>
    <w:rsid w:val="1BF811D0"/>
    <w:rsid w:val="1C226F03"/>
    <w:rsid w:val="1C4F3C15"/>
    <w:rsid w:val="1C630856"/>
    <w:rsid w:val="1C6A3ED7"/>
    <w:rsid w:val="1CCC5846"/>
    <w:rsid w:val="1CD04E42"/>
    <w:rsid w:val="1D086257"/>
    <w:rsid w:val="1D0915DF"/>
    <w:rsid w:val="1D3544E5"/>
    <w:rsid w:val="1D6233D8"/>
    <w:rsid w:val="1D7C2684"/>
    <w:rsid w:val="1DA37B70"/>
    <w:rsid w:val="1DBA49EB"/>
    <w:rsid w:val="1DBF0627"/>
    <w:rsid w:val="1DEB09F8"/>
    <w:rsid w:val="1E114F52"/>
    <w:rsid w:val="1E320A25"/>
    <w:rsid w:val="1E391DB3"/>
    <w:rsid w:val="1ECC44FA"/>
    <w:rsid w:val="1EF27198"/>
    <w:rsid w:val="1F063325"/>
    <w:rsid w:val="1F8009B1"/>
    <w:rsid w:val="1F9112B9"/>
    <w:rsid w:val="1FBC5DF5"/>
    <w:rsid w:val="1FDC333E"/>
    <w:rsid w:val="1FF84581"/>
    <w:rsid w:val="1FF90588"/>
    <w:rsid w:val="1FF93EF0"/>
    <w:rsid w:val="1FFD5425"/>
    <w:rsid w:val="20031B14"/>
    <w:rsid w:val="20053A10"/>
    <w:rsid w:val="20195FD9"/>
    <w:rsid w:val="203006A6"/>
    <w:rsid w:val="204D1B46"/>
    <w:rsid w:val="2052571F"/>
    <w:rsid w:val="2067604C"/>
    <w:rsid w:val="20C3623F"/>
    <w:rsid w:val="20F428E8"/>
    <w:rsid w:val="20FF19E4"/>
    <w:rsid w:val="210547F4"/>
    <w:rsid w:val="21195035"/>
    <w:rsid w:val="212925B3"/>
    <w:rsid w:val="213D4DA8"/>
    <w:rsid w:val="2174289F"/>
    <w:rsid w:val="21781212"/>
    <w:rsid w:val="21A03638"/>
    <w:rsid w:val="21B83F86"/>
    <w:rsid w:val="21D210D2"/>
    <w:rsid w:val="21DF0EC4"/>
    <w:rsid w:val="21E12E8E"/>
    <w:rsid w:val="221178A8"/>
    <w:rsid w:val="221213CF"/>
    <w:rsid w:val="22173BAC"/>
    <w:rsid w:val="22244B28"/>
    <w:rsid w:val="22327A92"/>
    <w:rsid w:val="22350C23"/>
    <w:rsid w:val="22361208"/>
    <w:rsid w:val="2264713A"/>
    <w:rsid w:val="22BC5927"/>
    <w:rsid w:val="22C35300"/>
    <w:rsid w:val="23045086"/>
    <w:rsid w:val="231D53A2"/>
    <w:rsid w:val="236D5383"/>
    <w:rsid w:val="23773763"/>
    <w:rsid w:val="238A780F"/>
    <w:rsid w:val="23A21055"/>
    <w:rsid w:val="23B7504C"/>
    <w:rsid w:val="23D3143E"/>
    <w:rsid w:val="23EB3467"/>
    <w:rsid w:val="23EB3B50"/>
    <w:rsid w:val="23F014BA"/>
    <w:rsid w:val="24497549"/>
    <w:rsid w:val="24571307"/>
    <w:rsid w:val="2464585F"/>
    <w:rsid w:val="24B465DA"/>
    <w:rsid w:val="24FD4667"/>
    <w:rsid w:val="25110A2A"/>
    <w:rsid w:val="2559445E"/>
    <w:rsid w:val="255B6AB3"/>
    <w:rsid w:val="256C0944"/>
    <w:rsid w:val="25706289"/>
    <w:rsid w:val="25707940"/>
    <w:rsid w:val="25AA3D30"/>
    <w:rsid w:val="25C428AA"/>
    <w:rsid w:val="25F25669"/>
    <w:rsid w:val="26143832"/>
    <w:rsid w:val="26184792"/>
    <w:rsid w:val="26446DE3"/>
    <w:rsid w:val="26656BF3"/>
    <w:rsid w:val="267603D9"/>
    <w:rsid w:val="269669E7"/>
    <w:rsid w:val="269F17F0"/>
    <w:rsid w:val="26C30864"/>
    <w:rsid w:val="26D7699F"/>
    <w:rsid w:val="270B7843"/>
    <w:rsid w:val="271C1585"/>
    <w:rsid w:val="272F6658"/>
    <w:rsid w:val="275163C0"/>
    <w:rsid w:val="276230D8"/>
    <w:rsid w:val="277014A0"/>
    <w:rsid w:val="278A4EBF"/>
    <w:rsid w:val="278B1ED4"/>
    <w:rsid w:val="27DB3EDB"/>
    <w:rsid w:val="27F8557E"/>
    <w:rsid w:val="27FE586C"/>
    <w:rsid w:val="280E42B1"/>
    <w:rsid w:val="28290FF3"/>
    <w:rsid w:val="283755B5"/>
    <w:rsid w:val="286D547B"/>
    <w:rsid w:val="288B5901"/>
    <w:rsid w:val="28AD35CD"/>
    <w:rsid w:val="291D0C4F"/>
    <w:rsid w:val="29523776"/>
    <w:rsid w:val="299E3412"/>
    <w:rsid w:val="29A5061B"/>
    <w:rsid w:val="29DF5F05"/>
    <w:rsid w:val="29FD45DD"/>
    <w:rsid w:val="2A2B3537"/>
    <w:rsid w:val="2A585A8F"/>
    <w:rsid w:val="2A69324B"/>
    <w:rsid w:val="2A6F6D2F"/>
    <w:rsid w:val="2A7A067B"/>
    <w:rsid w:val="2A95129A"/>
    <w:rsid w:val="2ADF75F6"/>
    <w:rsid w:val="2B0B531B"/>
    <w:rsid w:val="2B1772E8"/>
    <w:rsid w:val="2B1C6CE5"/>
    <w:rsid w:val="2B3A6011"/>
    <w:rsid w:val="2B774624"/>
    <w:rsid w:val="2B785FB3"/>
    <w:rsid w:val="2B836D64"/>
    <w:rsid w:val="2BA54578"/>
    <w:rsid w:val="2C153E60"/>
    <w:rsid w:val="2C161986"/>
    <w:rsid w:val="2C7A72BE"/>
    <w:rsid w:val="2C7E38F2"/>
    <w:rsid w:val="2C93215D"/>
    <w:rsid w:val="2C9A7D75"/>
    <w:rsid w:val="2C9E3E55"/>
    <w:rsid w:val="2CC17412"/>
    <w:rsid w:val="2CCE2260"/>
    <w:rsid w:val="2CDC78D4"/>
    <w:rsid w:val="2D03764D"/>
    <w:rsid w:val="2D045543"/>
    <w:rsid w:val="2D151C3D"/>
    <w:rsid w:val="2D1C2FCC"/>
    <w:rsid w:val="2D1C6441"/>
    <w:rsid w:val="2D2315B8"/>
    <w:rsid w:val="2D2E5700"/>
    <w:rsid w:val="2D2F7878"/>
    <w:rsid w:val="2D5A6F34"/>
    <w:rsid w:val="2D5F7D0F"/>
    <w:rsid w:val="2D964E60"/>
    <w:rsid w:val="2DE56085"/>
    <w:rsid w:val="2DFC043E"/>
    <w:rsid w:val="2E015254"/>
    <w:rsid w:val="2E0929AB"/>
    <w:rsid w:val="2E2079BE"/>
    <w:rsid w:val="2E5A1512"/>
    <w:rsid w:val="2E5B7B24"/>
    <w:rsid w:val="2E631F6D"/>
    <w:rsid w:val="2E6C73C2"/>
    <w:rsid w:val="2E8F2F08"/>
    <w:rsid w:val="2E976059"/>
    <w:rsid w:val="2E9976CE"/>
    <w:rsid w:val="2EB77450"/>
    <w:rsid w:val="2EC01994"/>
    <w:rsid w:val="2EC4391B"/>
    <w:rsid w:val="2EE07F26"/>
    <w:rsid w:val="2EF22236"/>
    <w:rsid w:val="2F285C58"/>
    <w:rsid w:val="2F326BE3"/>
    <w:rsid w:val="2F401D3C"/>
    <w:rsid w:val="2F5B24E1"/>
    <w:rsid w:val="2F713006"/>
    <w:rsid w:val="2F7971AB"/>
    <w:rsid w:val="2F8C4439"/>
    <w:rsid w:val="2F956FA1"/>
    <w:rsid w:val="2FA95C88"/>
    <w:rsid w:val="2FB73DB2"/>
    <w:rsid w:val="2FCC14E6"/>
    <w:rsid w:val="302B45C9"/>
    <w:rsid w:val="3041370F"/>
    <w:rsid w:val="30420F9B"/>
    <w:rsid w:val="304D13E0"/>
    <w:rsid w:val="30652D46"/>
    <w:rsid w:val="30BF720F"/>
    <w:rsid w:val="30C145B6"/>
    <w:rsid w:val="30C42384"/>
    <w:rsid w:val="30C42A83"/>
    <w:rsid w:val="30FD4EC2"/>
    <w:rsid w:val="31200A1B"/>
    <w:rsid w:val="312B50A3"/>
    <w:rsid w:val="318D33AD"/>
    <w:rsid w:val="31904592"/>
    <w:rsid w:val="31A30D46"/>
    <w:rsid w:val="31F962AC"/>
    <w:rsid w:val="321A6AEF"/>
    <w:rsid w:val="321D568F"/>
    <w:rsid w:val="32384404"/>
    <w:rsid w:val="32453A27"/>
    <w:rsid w:val="3263064A"/>
    <w:rsid w:val="326B5445"/>
    <w:rsid w:val="328928BD"/>
    <w:rsid w:val="32907567"/>
    <w:rsid w:val="32987720"/>
    <w:rsid w:val="32A43132"/>
    <w:rsid w:val="32AC0C06"/>
    <w:rsid w:val="32B32F2B"/>
    <w:rsid w:val="32C442A7"/>
    <w:rsid w:val="32C8029F"/>
    <w:rsid w:val="32CD220D"/>
    <w:rsid w:val="332D3685"/>
    <w:rsid w:val="33344EF5"/>
    <w:rsid w:val="33407870"/>
    <w:rsid w:val="33737CBA"/>
    <w:rsid w:val="33860250"/>
    <w:rsid w:val="33B863A9"/>
    <w:rsid w:val="3408616B"/>
    <w:rsid w:val="340A09C8"/>
    <w:rsid w:val="34265721"/>
    <w:rsid w:val="344E43B3"/>
    <w:rsid w:val="34555CF1"/>
    <w:rsid w:val="34601A23"/>
    <w:rsid w:val="347956AD"/>
    <w:rsid w:val="34A31595"/>
    <w:rsid w:val="35034D2A"/>
    <w:rsid w:val="3537750C"/>
    <w:rsid w:val="3537798C"/>
    <w:rsid w:val="357070B5"/>
    <w:rsid w:val="35C13FC9"/>
    <w:rsid w:val="35F76384"/>
    <w:rsid w:val="364257B6"/>
    <w:rsid w:val="364D77A6"/>
    <w:rsid w:val="36651757"/>
    <w:rsid w:val="36B403D8"/>
    <w:rsid w:val="36BD75CE"/>
    <w:rsid w:val="36D33C30"/>
    <w:rsid w:val="374B7C00"/>
    <w:rsid w:val="376C1703"/>
    <w:rsid w:val="37873738"/>
    <w:rsid w:val="37BA1D5F"/>
    <w:rsid w:val="37DF5322"/>
    <w:rsid w:val="37EA5922"/>
    <w:rsid w:val="38276B93"/>
    <w:rsid w:val="385A0CB8"/>
    <w:rsid w:val="38741EE3"/>
    <w:rsid w:val="38934A8A"/>
    <w:rsid w:val="389F39A9"/>
    <w:rsid w:val="38AC3431"/>
    <w:rsid w:val="38BB3F20"/>
    <w:rsid w:val="38BB5D8F"/>
    <w:rsid w:val="392F2E16"/>
    <w:rsid w:val="394467E3"/>
    <w:rsid w:val="394C5A0D"/>
    <w:rsid w:val="395C1320"/>
    <w:rsid w:val="39B527DE"/>
    <w:rsid w:val="39CB4D8C"/>
    <w:rsid w:val="39E00529"/>
    <w:rsid w:val="39EA57C5"/>
    <w:rsid w:val="3A0B64A7"/>
    <w:rsid w:val="3A1C3502"/>
    <w:rsid w:val="3A2E012B"/>
    <w:rsid w:val="3A4D59F3"/>
    <w:rsid w:val="3A574DDA"/>
    <w:rsid w:val="3A965FE2"/>
    <w:rsid w:val="3AB605BC"/>
    <w:rsid w:val="3AD15F10"/>
    <w:rsid w:val="3AD3075A"/>
    <w:rsid w:val="3AF74C02"/>
    <w:rsid w:val="3B044115"/>
    <w:rsid w:val="3B1D4ADF"/>
    <w:rsid w:val="3B31058A"/>
    <w:rsid w:val="3B3A18D7"/>
    <w:rsid w:val="3B4215E4"/>
    <w:rsid w:val="3B8F013A"/>
    <w:rsid w:val="3B921E2F"/>
    <w:rsid w:val="3BC77F23"/>
    <w:rsid w:val="3BCB13E3"/>
    <w:rsid w:val="3BD11D17"/>
    <w:rsid w:val="3BE64ED1"/>
    <w:rsid w:val="3BED2ABB"/>
    <w:rsid w:val="3BED644A"/>
    <w:rsid w:val="3C0059A5"/>
    <w:rsid w:val="3C134E78"/>
    <w:rsid w:val="3C214660"/>
    <w:rsid w:val="3C4F5745"/>
    <w:rsid w:val="3C575DCE"/>
    <w:rsid w:val="3C727817"/>
    <w:rsid w:val="3CB369B7"/>
    <w:rsid w:val="3CE753A4"/>
    <w:rsid w:val="3D1E0CAF"/>
    <w:rsid w:val="3D24737C"/>
    <w:rsid w:val="3D314198"/>
    <w:rsid w:val="3D5564E7"/>
    <w:rsid w:val="3DC33C11"/>
    <w:rsid w:val="3DEC7285"/>
    <w:rsid w:val="3DF14966"/>
    <w:rsid w:val="3DF6345D"/>
    <w:rsid w:val="3E043CA7"/>
    <w:rsid w:val="3E2B5515"/>
    <w:rsid w:val="3E3A6F92"/>
    <w:rsid w:val="3E4D4F28"/>
    <w:rsid w:val="3E633736"/>
    <w:rsid w:val="3E696641"/>
    <w:rsid w:val="3E6F38A3"/>
    <w:rsid w:val="3E74181E"/>
    <w:rsid w:val="3E8B7547"/>
    <w:rsid w:val="3E8E5630"/>
    <w:rsid w:val="3E8F14E6"/>
    <w:rsid w:val="3E9FE05E"/>
    <w:rsid w:val="3EC85FF7"/>
    <w:rsid w:val="3EDE5F8E"/>
    <w:rsid w:val="3EE13701"/>
    <w:rsid w:val="3EFD2706"/>
    <w:rsid w:val="3F0D119A"/>
    <w:rsid w:val="3F1A4BB3"/>
    <w:rsid w:val="3F6235EE"/>
    <w:rsid w:val="3F743064"/>
    <w:rsid w:val="3F850EA5"/>
    <w:rsid w:val="3FB1448E"/>
    <w:rsid w:val="3FF53C7D"/>
    <w:rsid w:val="40192BA6"/>
    <w:rsid w:val="401E584A"/>
    <w:rsid w:val="40353A25"/>
    <w:rsid w:val="40472C6E"/>
    <w:rsid w:val="40482E02"/>
    <w:rsid w:val="40581501"/>
    <w:rsid w:val="407D2C03"/>
    <w:rsid w:val="4084679A"/>
    <w:rsid w:val="40BA0DD8"/>
    <w:rsid w:val="40E67721"/>
    <w:rsid w:val="40FE2CBD"/>
    <w:rsid w:val="41713901"/>
    <w:rsid w:val="41714787"/>
    <w:rsid w:val="41766EA9"/>
    <w:rsid w:val="417E33BD"/>
    <w:rsid w:val="419F5091"/>
    <w:rsid w:val="41A14394"/>
    <w:rsid w:val="41A878FC"/>
    <w:rsid w:val="41F35752"/>
    <w:rsid w:val="42115251"/>
    <w:rsid w:val="42227B4D"/>
    <w:rsid w:val="42392ED1"/>
    <w:rsid w:val="42550A18"/>
    <w:rsid w:val="429D496A"/>
    <w:rsid w:val="42AF004C"/>
    <w:rsid w:val="42D9229A"/>
    <w:rsid w:val="42F473A1"/>
    <w:rsid w:val="430A1B48"/>
    <w:rsid w:val="431404E4"/>
    <w:rsid w:val="43194A98"/>
    <w:rsid w:val="431E31A2"/>
    <w:rsid w:val="43342AB5"/>
    <w:rsid w:val="43364D33"/>
    <w:rsid w:val="43401AD4"/>
    <w:rsid w:val="43751264"/>
    <w:rsid w:val="43777D57"/>
    <w:rsid w:val="439C40F3"/>
    <w:rsid w:val="43AD2DF3"/>
    <w:rsid w:val="43B9736F"/>
    <w:rsid w:val="43D577BA"/>
    <w:rsid w:val="43E45962"/>
    <w:rsid w:val="43EA520C"/>
    <w:rsid w:val="43FD7F0B"/>
    <w:rsid w:val="44031A50"/>
    <w:rsid w:val="441E62C0"/>
    <w:rsid w:val="44267FD3"/>
    <w:rsid w:val="44443A85"/>
    <w:rsid w:val="447029B0"/>
    <w:rsid w:val="44915F04"/>
    <w:rsid w:val="44C71617"/>
    <w:rsid w:val="45247F2C"/>
    <w:rsid w:val="45325D14"/>
    <w:rsid w:val="457C4F0E"/>
    <w:rsid w:val="45811C7C"/>
    <w:rsid w:val="45906116"/>
    <w:rsid w:val="45E50AF9"/>
    <w:rsid w:val="4605689B"/>
    <w:rsid w:val="46102182"/>
    <w:rsid w:val="46600AD8"/>
    <w:rsid w:val="46737CA9"/>
    <w:rsid w:val="467A1037"/>
    <w:rsid w:val="46843C64"/>
    <w:rsid w:val="468B3EFB"/>
    <w:rsid w:val="4693757A"/>
    <w:rsid w:val="46B53E1D"/>
    <w:rsid w:val="46C54FF8"/>
    <w:rsid w:val="470A6193"/>
    <w:rsid w:val="47121270"/>
    <w:rsid w:val="47264BB4"/>
    <w:rsid w:val="472A6206"/>
    <w:rsid w:val="472F66E6"/>
    <w:rsid w:val="47385210"/>
    <w:rsid w:val="475A0F90"/>
    <w:rsid w:val="478A0E65"/>
    <w:rsid w:val="47BD3DCF"/>
    <w:rsid w:val="47CB0CFB"/>
    <w:rsid w:val="47DC4F5C"/>
    <w:rsid w:val="47ED75E7"/>
    <w:rsid w:val="48036E0A"/>
    <w:rsid w:val="480E5EDB"/>
    <w:rsid w:val="48110B52"/>
    <w:rsid w:val="48271FC2"/>
    <w:rsid w:val="48591E73"/>
    <w:rsid w:val="485A1120"/>
    <w:rsid w:val="488F7DAC"/>
    <w:rsid w:val="48B40671"/>
    <w:rsid w:val="48FA020D"/>
    <w:rsid w:val="4907150C"/>
    <w:rsid w:val="4936271F"/>
    <w:rsid w:val="497179F9"/>
    <w:rsid w:val="498054FB"/>
    <w:rsid w:val="499B5738"/>
    <w:rsid w:val="499F244D"/>
    <w:rsid w:val="49CE2729"/>
    <w:rsid w:val="4A141C2F"/>
    <w:rsid w:val="4A407431"/>
    <w:rsid w:val="4A6E264C"/>
    <w:rsid w:val="4A8300A4"/>
    <w:rsid w:val="4A9208C9"/>
    <w:rsid w:val="4A973F3F"/>
    <w:rsid w:val="4AA30431"/>
    <w:rsid w:val="4AB34088"/>
    <w:rsid w:val="4AD827D0"/>
    <w:rsid w:val="4AF907AF"/>
    <w:rsid w:val="4AF96BC7"/>
    <w:rsid w:val="4B016424"/>
    <w:rsid w:val="4B41375A"/>
    <w:rsid w:val="4B49670E"/>
    <w:rsid w:val="4B5A416B"/>
    <w:rsid w:val="4B79144C"/>
    <w:rsid w:val="4B862A85"/>
    <w:rsid w:val="4B8B7B12"/>
    <w:rsid w:val="4B966700"/>
    <w:rsid w:val="4BB84D1D"/>
    <w:rsid w:val="4BF7304C"/>
    <w:rsid w:val="4C1550E2"/>
    <w:rsid w:val="4C3D2721"/>
    <w:rsid w:val="4C432592"/>
    <w:rsid w:val="4C4B128A"/>
    <w:rsid w:val="4C653BF0"/>
    <w:rsid w:val="4C8B2B22"/>
    <w:rsid w:val="4CC327C5"/>
    <w:rsid w:val="4CEF36E2"/>
    <w:rsid w:val="4CEF4DC5"/>
    <w:rsid w:val="4D1B28FA"/>
    <w:rsid w:val="4D2726E5"/>
    <w:rsid w:val="4D2E321F"/>
    <w:rsid w:val="4D3F6B37"/>
    <w:rsid w:val="4D6F430E"/>
    <w:rsid w:val="4D893963"/>
    <w:rsid w:val="4D9962E4"/>
    <w:rsid w:val="4DAF312E"/>
    <w:rsid w:val="4DB76C0A"/>
    <w:rsid w:val="4DBB0EAD"/>
    <w:rsid w:val="4DC06C0C"/>
    <w:rsid w:val="4DDA0E3C"/>
    <w:rsid w:val="4E257655"/>
    <w:rsid w:val="4E2B70BB"/>
    <w:rsid w:val="4E8A5B90"/>
    <w:rsid w:val="4E8E7871"/>
    <w:rsid w:val="4EB80BAD"/>
    <w:rsid w:val="4ED17C62"/>
    <w:rsid w:val="4F2B7BF3"/>
    <w:rsid w:val="4F372380"/>
    <w:rsid w:val="4F372FFB"/>
    <w:rsid w:val="4F637D7D"/>
    <w:rsid w:val="4F8A1A46"/>
    <w:rsid w:val="4F95122F"/>
    <w:rsid w:val="4FB56C3C"/>
    <w:rsid w:val="4FD03A76"/>
    <w:rsid w:val="50051AD4"/>
    <w:rsid w:val="500F04FF"/>
    <w:rsid w:val="50236F51"/>
    <w:rsid w:val="5025116D"/>
    <w:rsid w:val="50505BA2"/>
    <w:rsid w:val="50645371"/>
    <w:rsid w:val="506C19F7"/>
    <w:rsid w:val="506C4815"/>
    <w:rsid w:val="507B2BDD"/>
    <w:rsid w:val="50C14189"/>
    <w:rsid w:val="510908E9"/>
    <w:rsid w:val="51136417"/>
    <w:rsid w:val="512419C7"/>
    <w:rsid w:val="515D6ECE"/>
    <w:rsid w:val="51A90378"/>
    <w:rsid w:val="51CF2AEB"/>
    <w:rsid w:val="51DC1685"/>
    <w:rsid w:val="52395ECD"/>
    <w:rsid w:val="525437EA"/>
    <w:rsid w:val="52631FDE"/>
    <w:rsid w:val="527577BA"/>
    <w:rsid w:val="52896623"/>
    <w:rsid w:val="52A20D70"/>
    <w:rsid w:val="52A2289B"/>
    <w:rsid w:val="52C10D75"/>
    <w:rsid w:val="53651073"/>
    <w:rsid w:val="538452A3"/>
    <w:rsid w:val="53B34CEC"/>
    <w:rsid w:val="53C27FF8"/>
    <w:rsid w:val="53C51418"/>
    <w:rsid w:val="53E61B04"/>
    <w:rsid w:val="540D3D5D"/>
    <w:rsid w:val="54382594"/>
    <w:rsid w:val="54444A0C"/>
    <w:rsid w:val="546B0211"/>
    <w:rsid w:val="546B1C50"/>
    <w:rsid w:val="54743D5A"/>
    <w:rsid w:val="549529A9"/>
    <w:rsid w:val="549E1A80"/>
    <w:rsid w:val="54AA6F8B"/>
    <w:rsid w:val="54B92328"/>
    <w:rsid w:val="54C658F4"/>
    <w:rsid w:val="54F6036C"/>
    <w:rsid w:val="55001F8F"/>
    <w:rsid w:val="55020B76"/>
    <w:rsid w:val="550C4BD7"/>
    <w:rsid w:val="55131E44"/>
    <w:rsid w:val="551C775D"/>
    <w:rsid w:val="55465E74"/>
    <w:rsid w:val="554C1D56"/>
    <w:rsid w:val="55572986"/>
    <w:rsid w:val="55682E04"/>
    <w:rsid w:val="55844C19"/>
    <w:rsid w:val="55872E29"/>
    <w:rsid w:val="55A97243"/>
    <w:rsid w:val="55C062DD"/>
    <w:rsid w:val="565340FA"/>
    <w:rsid w:val="5659021B"/>
    <w:rsid w:val="566678D0"/>
    <w:rsid w:val="56A151E3"/>
    <w:rsid w:val="56C67C92"/>
    <w:rsid w:val="571B5397"/>
    <w:rsid w:val="57210072"/>
    <w:rsid w:val="5723343E"/>
    <w:rsid w:val="573D7EAB"/>
    <w:rsid w:val="574249AC"/>
    <w:rsid w:val="574F7976"/>
    <w:rsid w:val="577C1C7B"/>
    <w:rsid w:val="57C00874"/>
    <w:rsid w:val="57D342A4"/>
    <w:rsid w:val="57DF1C7A"/>
    <w:rsid w:val="57E31B3E"/>
    <w:rsid w:val="57E919C7"/>
    <w:rsid w:val="57F31EBC"/>
    <w:rsid w:val="58013658"/>
    <w:rsid w:val="58117322"/>
    <w:rsid w:val="581E4545"/>
    <w:rsid w:val="585969EE"/>
    <w:rsid w:val="58935F89"/>
    <w:rsid w:val="58A9755A"/>
    <w:rsid w:val="58AC2FBC"/>
    <w:rsid w:val="58E07AA6"/>
    <w:rsid w:val="58F55C6B"/>
    <w:rsid w:val="590D47E9"/>
    <w:rsid w:val="592E5F1F"/>
    <w:rsid w:val="594916FE"/>
    <w:rsid w:val="597C07CB"/>
    <w:rsid w:val="59A96428"/>
    <w:rsid w:val="59FC5C54"/>
    <w:rsid w:val="59FD5DAF"/>
    <w:rsid w:val="5A2F2CC8"/>
    <w:rsid w:val="5A310B61"/>
    <w:rsid w:val="5A7A11AE"/>
    <w:rsid w:val="5A8A7A33"/>
    <w:rsid w:val="5A8B35CF"/>
    <w:rsid w:val="5A8E41F8"/>
    <w:rsid w:val="5AF75D59"/>
    <w:rsid w:val="5B0E18F6"/>
    <w:rsid w:val="5B4B66A7"/>
    <w:rsid w:val="5BA26962"/>
    <w:rsid w:val="5BB200D1"/>
    <w:rsid w:val="5C101AFE"/>
    <w:rsid w:val="5C10702D"/>
    <w:rsid w:val="5C152601"/>
    <w:rsid w:val="5C2A0AF4"/>
    <w:rsid w:val="5C591F03"/>
    <w:rsid w:val="5C677ECC"/>
    <w:rsid w:val="5C887B24"/>
    <w:rsid w:val="5C8A1B2F"/>
    <w:rsid w:val="5C971851"/>
    <w:rsid w:val="5CA47E6E"/>
    <w:rsid w:val="5CDA7BA2"/>
    <w:rsid w:val="5D5262C2"/>
    <w:rsid w:val="5D537EA4"/>
    <w:rsid w:val="5D5C103F"/>
    <w:rsid w:val="5D6C6AD3"/>
    <w:rsid w:val="5D7874FB"/>
    <w:rsid w:val="5D851E35"/>
    <w:rsid w:val="5D914004"/>
    <w:rsid w:val="5DC12387"/>
    <w:rsid w:val="5DD50584"/>
    <w:rsid w:val="5DD9463D"/>
    <w:rsid w:val="5DEA231E"/>
    <w:rsid w:val="5E174F66"/>
    <w:rsid w:val="5E4C7487"/>
    <w:rsid w:val="5EB645D0"/>
    <w:rsid w:val="5EC3769A"/>
    <w:rsid w:val="5ECC7E12"/>
    <w:rsid w:val="5F304531"/>
    <w:rsid w:val="5F561B72"/>
    <w:rsid w:val="5F993E84"/>
    <w:rsid w:val="5FC75AE9"/>
    <w:rsid w:val="5FCD17E3"/>
    <w:rsid w:val="5FDE10E6"/>
    <w:rsid w:val="601C4AB5"/>
    <w:rsid w:val="60266E30"/>
    <w:rsid w:val="606007BB"/>
    <w:rsid w:val="608B51BB"/>
    <w:rsid w:val="609552DE"/>
    <w:rsid w:val="60AC7F66"/>
    <w:rsid w:val="60BA0C74"/>
    <w:rsid w:val="60EC15B2"/>
    <w:rsid w:val="60F35816"/>
    <w:rsid w:val="617402B3"/>
    <w:rsid w:val="61BD3AAA"/>
    <w:rsid w:val="61BF10D9"/>
    <w:rsid w:val="61D54F1C"/>
    <w:rsid w:val="61DA3D4C"/>
    <w:rsid w:val="620A1335"/>
    <w:rsid w:val="620B688D"/>
    <w:rsid w:val="620F5019"/>
    <w:rsid w:val="62754546"/>
    <w:rsid w:val="62AC22DC"/>
    <w:rsid w:val="62AF662D"/>
    <w:rsid w:val="62B72874"/>
    <w:rsid w:val="62B75646"/>
    <w:rsid w:val="62BC6F4F"/>
    <w:rsid w:val="62F67840"/>
    <w:rsid w:val="633C4503"/>
    <w:rsid w:val="634023E1"/>
    <w:rsid w:val="63770981"/>
    <w:rsid w:val="637833E8"/>
    <w:rsid w:val="6381291D"/>
    <w:rsid w:val="63EB0A27"/>
    <w:rsid w:val="63F723BA"/>
    <w:rsid w:val="64281C7B"/>
    <w:rsid w:val="64601415"/>
    <w:rsid w:val="647D600E"/>
    <w:rsid w:val="64BE5197"/>
    <w:rsid w:val="64E45EF7"/>
    <w:rsid w:val="64EF09EB"/>
    <w:rsid w:val="6543628E"/>
    <w:rsid w:val="65493C57"/>
    <w:rsid w:val="658302B0"/>
    <w:rsid w:val="658562A7"/>
    <w:rsid w:val="658660A3"/>
    <w:rsid w:val="65971DE7"/>
    <w:rsid w:val="65D10497"/>
    <w:rsid w:val="660E221D"/>
    <w:rsid w:val="661D0229"/>
    <w:rsid w:val="6691014E"/>
    <w:rsid w:val="66C87CCE"/>
    <w:rsid w:val="66CD0BAC"/>
    <w:rsid w:val="66D32372"/>
    <w:rsid w:val="66EB0BE4"/>
    <w:rsid w:val="66F811B9"/>
    <w:rsid w:val="672030DD"/>
    <w:rsid w:val="67294314"/>
    <w:rsid w:val="672F50CE"/>
    <w:rsid w:val="67615E4B"/>
    <w:rsid w:val="677435B2"/>
    <w:rsid w:val="679462E1"/>
    <w:rsid w:val="67BB3C84"/>
    <w:rsid w:val="67CA1E0A"/>
    <w:rsid w:val="67CD705D"/>
    <w:rsid w:val="67D4338C"/>
    <w:rsid w:val="67EF75F1"/>
    <w:rsid w:val="67F325A0"/>
    <w:rsid w:val="680447AD"/>
    <w:rsid w:val="68092F4C"/>
    <w:rsid w:val="68440000"/>
    <w:rsid w:val="68503046"/>
    <w:rsid w:val="68706BEB"/>
    <w:rsid w:val="689A7298"/>
    <w:rsid w:val="68B406B1"/>
    <w:rsid w:val="68B41D2F"/>
    <w:rsid w:val="68D44FA0"/>
    <w:rsid w:val="68ED5241"/>
    <w:rsid w:val="68F6059A"/>
    <w:rsid w:val="69124F16"/>
    <w:rsid w:val="691D7358"/>
    <w:rsid w:val="694A5205"/>
    <w:rsid w:val="696279DD"/>
    <w:rsid w:val="699F29DF"/>
    <w:rsid w:val="69BB37F8"/>
    <w:rsid w:val="69CD5C14"/>
    <w:rsid w:val="69CF0D33"/>
    <w:rsid w:val="69E613ED"/>
    <w:rsid w:val="69EE301F"/>
    <w:rsid w:val="69EF11DB"/>
    <w:rsid w:val="69FA77D7"/>
    <w:rsid w:val="6A261876"/>
    <w:rsid w:val="6A51725F"/>
    <w:rsid w:val="6A624B72"/>
    <w:rsid w:val="6A763138"/>
    <w:rsid w:val="6A7A16B8"/>
    <w:rsid w:val="6AB81493"/>
    <w:rsid w:val="6AD01D32"/>
    <w:rsid w:val="6AD14E1A"/>
    <w:rsid w:val="6ADE7537"/>
    <w:rsid w:val="6AE61F48"/>
    <w:rsid w:val="6B0845B4"/>
    <w:rsid w:val="6B142D91"/>
    <w:rsid w:val="6B2F0D8E"/>
    <w:rsid w:val="6B8B79FD"/>
    <w:rsid w:val="6B9515D1"/>
    <w:rsid w:val="6B9946B3"/>
    <w:rsid w:val="6BB00113"/>
    <w:rsid w:val="6BEF3FA4"/>
    <w:rsid w:val="6C1F74D7"/>
    <w:rsid w:val="6C2C29A8"/>
    <w:rsid w:val="6C374C4E"/>
    <w:rsid w:val="6C471E85"/>
    <w:rsid w:val="6C64691A"/>
    <w:rsid w:val="6C662189"/>
    <w:rsid w:val="6C684279"/>
    <w:rsid w:val="6C7007C7"/>
    <w:rsid w:val="6C78345C"/>
    <w:rsid w:val="6C967D37"/>
    <w:rsid w:val="6CA75594"/>
    <w:rsid w:val="6CAD4EAB"/>
    <w:rsid w:val="6D0E072E"/>
    <w:rsid w:val="6D0E1C7F"/>
    <w:rsid w:val="6D974888"/>
    <w:rsid w:val="6DA53A5B"/>
    <w:rsid w:val="6DBB2864"/>
    <w:rsid w:val="6DE26606"/>
    <w:rsid w:val="6DE76850"/>
    <w:rsid w:val="6DF5282A"/>
    <w:rsid w:val="6E170447"/>
    <w:rsid w:val="6E2332D3"/>
    <w:rsid w:val="6E266B82"/>
    <w:rsid w:val="6E441940"/>
    <w:rsid w:val="6E521BF7"/>
    <w:rsid w:val="6E547C21"/>
    <w:rsid w:val="6E590390"/>
    <w:rsid w:val="6E5A4318"/>
    <w:rsid w:val="6E6115D3"/>
    <w:rsid w:val="6E732CC4"/>
    <w:rsid w:val="6EA74ABF"/>
    <w:rsid w:val="6EB2543D"/>
    <w:rsid w:val="6EB41C0A"/>
    <w:rsid w:val="6F150254"/>
    <w:rsid w:val="6F2F54CD"/>
    <w:rsid w:val="6F303077"/>
    <w:rsid w:val="6F3430E2"/>
    <w:rsid w:val="6F637728"/>
    <w:rsid w:val="6F705EA0"/>
    <w:rsid w:val="6F8413C6"/>
    <w:rsid w:val="6FAB1BDB"/>
    <w:rsid w:val="6FAD1747"/>
    <w:rsid w:val="6FB20BD4"/>
    <w:rsid w:val="6FB650F7"/>
    <w:rsid w:val="6FBA59BE"/>
    <w:rsid w:val="70231E48"/>
    <w:rsid w:val="70296B3E"/>
    <w:rsid w:val="70324462"/>
    <w:rsid w:val="70585F62"/>
    <w:rsid w:val="70611204"/>
    <w:rsid w:val="707A0720"/>
    <w:rsid w:val="70BE153E"/>
    <w:rsid w:val="70D87F60"/>
    <w:rsid w:val="70ED4030"/>
    <w:rsid w:val="71096990"/>
    <w:rsid w:val="71197AAA"/>
    <w:rsid w:val="711C370C"/>
    <w:rsid w:val="712024D2"/>
    <w:rsid w:val="7121017E"/>
    <w:rsid w:val="716F2578"/>
    <w:rsid w:val="7176608D"/>
    <w:rsid w:val="71814B45"/>
    <w:rsid w:val="71AC120D"/>
    <w:rsid w:val="71B3672D"/>
    <w:rsid w:val="71B82AA1"/>
    <w:rsid w:val="71C62D26"/>
    <w:rsid w:val="71C64881"/>
    <w:rsid w:val="71CE1C96"/>
    <w:rsid w:val="71D60F68"/>
    <w:rsid w:val="71FC02A3"/>
    <w:rsid w:val="72094DAC"/>
    <w:rsid w:val="72655E48"/>
    <w:rsid w:val="727B0735"/>
    <w:rsid w:val="72D276AC"/>
    <w:rsid w:val="72E9199F"/>
    <w:rsid w:val="72EB459F"/>
    <w:rsid w:val="72FF44EF"/>
    <w:rsid w:val="73412411"/>
    <w:rsid w:val="734325A8"/>
    <w:rsid w:val="73445350"/>
    <w:rsid w:val="7354110E"/>
    <w:rsid w:val="73C21122"/>
    <w:rsid w:val="73CF5C6F"/>
    <w:rsid w:val="73D07DFC"/>
    <w:rsid w:val="740D4274"/>
    <w:rsid w:val="740D49E9"/>
    <w:rsid w:val="74512859"/>
    <w:rsid w:val="74A41C84"/>
    <w:rsid w:val="74DD52D1"/>
    <w:rsid w:val="74E514C2"/>
    <w:rsid w:val="74FA2C30"/>
    <w:rsid w:val="752B7B0B"/>
    <w:rsid w:val="75347801"/>
    <w:rsid w:val="75475CD9"/>
    <w:rsid w:val="754D5C4B"/>
    <w:rsid w:val="75C60D14"/>
    <w:rsid w:val="75EB1FFB"/>
    <w:rsid w:val="76397D18"/>
    <w:rsid w:val="7662631E"/>
    <w:rsid w:val="76695ABC"/>
    <w:rsid w:val="76C240A7"/>
    <w:rsid w:val="76C9067E"/>
    <w:rsid w:val="76D03143"/>
    <w:rsid w:val="76D67314"/>
    <w:rsid w:val="771F50BF"/>
    <w:rsid w:val="775246B7"/>
    <w:rsid w:val="775275D0"/>
    <w:rsid w:val="779F1D78"/>
    <w:rsid w:val="77B567BC"/>
    <w:rsid w:val="780C47C0"/>
    <w:rsid w:val="781B0367"/>
    <w:rsid w:val="781E69D1"/>
    <w:rsid w:val="783A38AC"/>
    <w:rsid w:val="784327AD"/>
    <w:rsid w:val="789A0AEB"/>
    <w:rsid w:val="78B82F4A"/>
    <w:rsid w:val="78DB5DFD"/>
    <w:rsid w:val="79220421"/>
    <w:rsid w:val="79451C25"/>
    <w:rsid w:val="79C5638A"/>
    <w:rsid w:val="7A263B6B"/>
    <w:rsid w:val="7A2B52B2"/>
    <w:rsid w:val="7A383EA6"/>
    <w:rsid w:val="7AD7365B"/>
    <w:rsid w:val="7AF46346"/>
    <w:rsid w:val="7B0F2CE9"/>
    <w:rsid w:val="7B0F5EBF"/>
    <w:rsid w:val="7B130FB9"/>
    <w:rsid w:val="7B1B3CA1"/>
    <w:rsid w:val="7B3F4237"/>
    <w:rsid w:val="7B591077"/>
    <w:rsid w:val="7B6312FE"/>
    <w:rsid w:val="7B7A3121"/>
    <w:rsid w:val="7B7C3896"/>
    <w:rsid w:val="7BA75723"/>
    <w:rsid w:val="7BD93B41"/>
    <w:rsid w:val="7BF64EDE"/>
    <w:rsid w:val="7BF86ADA"/>
    <w:rsid w:val="7C036DFE"/>
    <w:rsid w:val="7C354ADD"/>
    <w:rsid w:val="7C400C1E"/>
    <w:rsid w:val="7C4E0CFD"/>
    <w:rsid w:val="7C4F617E"/>
    <w:rsid w:val="7C7B2E38"/>
    <w:rsid w:val="7C8673BE"/>
    <w:rsid w:val="7CA926BD"/>
    <w:rsid w:val="7D0C1CE2"/>
    <w:rsid w:val="7D273CDC"/>
    <w:rsid w:val="7D4D7FE7"/>
    <w:rsid w:val="7D5C493C"/>
    <w:rsid w:val="7D6B786F"/>
    <w:rsid w:val="7DAD1146"/>
    <w:rsid w:val="7DB7370F"/>
    <w:rsid w:val="7DD11708"/>
    <w:rsid w:val="7DFA6951"/>
    <w:rsid w:val="7E131C9F"/>
    <w:rsid w:val="7EBD579E"/>
    <w:rsid w:val="7EC167BD"/>
    <w:rsid w:val="7F013DD8"/>
    <w:rsid w:val="7F043070"/>
    <w:rsid w:val="7F272D9E"/>
    <w:rsid w:val="7F2B002F"/>
    <w:rsid w:val="7F461A2A"/>
    <w:rsid w:val="7F6841F9"/>
    <w:rsid w:val="7F73649E"/>
    <w:rsid w:val="7F9E0BEB"/>
    <w:rsid w:val="7FA719B8"/>
    <w:rsid w:val="7FA74399"/>
    <w:rsid w:val="7FB1621E"/>
    <w:rsid w:val="7FC70142"/>
    <w:rsid w:val="7FE623F5"/>
    <w:rsid w:val="BFEFA9C0"/>
    <w:rsid w:val="F2BFF2E6"/>
    <w:rsid w:val="FDB39035"/>
    <w:rsid w:val="FFF24F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9" w:semiHidden="0" w:name="heading 5"/>
    <w:lsdException w:qFormat="1" w:uiPriority="9" w:name="heading 6"/>
    <w:lsdException w:qFormat="1" w:uiPriority="9" w:name="heading 7"/>
    <w:lsdException w:qFormat="1" w:unhideWhenUsed="0" w:uiPriority="9" w:semiHidden="0" w:name="heading 8"/>
    <w:lsdException w:qFormat="1" w:unhideWhenUsed="0"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99" w:semiHidden="0"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qFormat="1" w:unhideWhenUsed="0" w:uiPriority="0" w:semiHidden="0" w:name="List Number"/>
    <w:lsdException w:qFormat="1" w:uiPriority="99"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iPriority="99" w:semiHidden="0"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45"/>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46"/>
    <w:qFormat/>
    <w:uiPriority w:val="9"/>
    <w:pPr>
      <w:keepNext/>
      <w:keepLines/>
      <w:spacing w:before="260" w:after="260" w:line="416" w:lineRule="auto"/>
      <w:outlineLvl w:val="1"/>
    </w:pPr>
    <w:rPr>
      <w:rFonts w:ascii="Cambria" w:hAnsi="Cambria"/>
      <w:b/>
      <w:bCs/>
      <w:sz w:val="32"/>
      <w:szCs w:val="32"/>
    </w:rPr>
  </w:style>
  <w:style w:type="paragraph" w:styleId="5">
    <w:name w:val="heading 3"/>
    <w:basedOn w:val="1"/>
    <w:next w:val="1"/>
    <w:link w:val="47"/>
    <w:qFormat/>
    <w:uiPriority w:val="9"/>
    <w:pPr>
      <w:keepNext/>
      <w:keepLines/>
      <w:spacing w:before="260" w:after="260" w:line="416" w:lineRule="auto"/>
      <w:outlineLvl w:val="2"/>
    </w:pPr>
    <w:rPr>
      <w:b/>
      <w:bCs/>
      <w:sz w:val="32"/>
      <w:szCs w:val="32"/>
    </w:rPr>
  </w:style>
  <w:style w:type="paragraph" w:styleId="6">
    <w:name w:val="heading 4"/>
    <w:basedOn w:val="1"/>
    <w:next w:val="1"/>
    <w:qFormat/>
    <w:uiPriority w:val="0"/>
    <w:pPr>
      <w:tabs>
        <w:tab w:val="left" w:pos="2155"/>
      </w:tabs>
      <w:adjustRightInd w:val="0"/>
      <w:spacing w:before="120" w:line="360" w:lineRule="auto"/>
      <w:ind w:left="2155" w:hanging="1078"/>
      <w:textAlignment w:val="baseline"/>
      <w:outlineLvl w:val="3"/>
    </w:pPr>
    <w:rPr>
      <w:rFonts w:ascii="Arial" w:eastAsia="黑体"/>
      <w:kern w:val="0"/>
      <w:sz w:val="28"/>
      <w:szCs w:val="20"/>
    </w:rPr>
  </w:style>
  <w:style w:type="paragraph" w:styleId="7">
    <w:name w:val="heading 5"/>
    <w:basedOn w:val="1"/>
    <w:next w:val="8"/>
    <w:link w:val="48"/>
    <w:qFormat/>
    <w:uiPriority w:val="9"/>
    <w:pPr>
      <w:keepNext/>
      <w:keepLines/>
      <w:spacing w:before="280" w:after="290" w:line="376" w:lineRule="auto"/>
      <w:outlineLvl w:val="4"/>
    </w:pPr>
    <w:rPr>
      <w:b/>
      <w:bCs/>
      <w:sz w:val="28"/>
      <w:szCs w:val="28"/>
    </w:rPr>
  </w:style>
  <w:style w:type="paragraph" w:styleId="9">
    <w:name w:val="heading 8"/>
    <w:basedOn w:val="1"/>
    <w:next w:val="1"/>
    <w:link w:val="49"/>
    <w:qFormat/>
    <w:uiPriority w:val="9"/>
    <w:pPr>
      <w:keepNext/>
      <w:keepLines/>
      <w:spacing w:before="240" w:after="64" w:line="320" w:lineRule="auto"/>
      <w:outlineLvl w:val="7"/>
    </w:pPr>
    <w:rPr>
      <w:rFonts w:ascii="等线 Light" w:hAnsi="等线 Light" w:eastAsia="等线 Light"/>
      <w:sz w:val="24"/>
    </w:rPr>
  </w:style>
  <w:style w:type="paragraph" w:styleId="10">
    <w:name w:val="heading 9"/>
    <w:basedOn w:val="1"/>
    <w:next w:val="1"/>
    <w:link w:val="50"/>
    <w:qFormat/>
    <w:uiPriority w:val="9"/>
    <w:pPr>
      <w:keepNext/>
      <w:keepLines/>
      <w:spacing w:before="240" w:after="64" w:line="320" w:lineRule="auto"/>
      <w:outlineLvl w:val="8"/>
    </w:pPr>
    <w:rPr>
      <w:rFonts w:ascii="Cambria" w:hAnsi="Cambria"/>
      <w:szCs w:val="21"/>
    </w:rPr>
  </w:style>
  <w:style w:type="character" w:default="1" w:styleId="35">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55"/>
    <w:qFormat/>
    <w:uiPriority w:val="0"/>
    <w:rPr>
      <w:rFonts w:ascii="宋体" w:hAnsi="Courier New"/>
      <w:kern w:val="0"/>
      <w:sz w:val="20"/>
      <w:szCs w:val="21"/>
    </w:rPr>
  </w:style>
  <w:style w:type="paragraph" w:styleId="8">
    <w:name w:val="Normal Indent"/>
    <w:basedOn w:val="1"/>
    <w:qFormat/>
    <w:uiPriority w:val="0"/>
    <w:pPr>
      <w:ind w:firstLine="420"/>
    </w:pPr>
    <w:rPr>
      <w:szCs w:val="20"/>
    </w:rPr>
  </w:style>
  <w:style w:type="paragraph" w:styleId="11">
    <w:name w:val="List Number"/>
    <w:basedOn w:val="1"/>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12">
    <w:name w:val="annotation text"/>
    <w:basedOn w:val="1"/>
    <w:link w:val="51"/>
    <w:qFormat/>
    <w:uiPriority w:val="0"/>
    <w:pPr>
      <w:jc w:val="left"/>
    </w:pPr>
  </w:style>
  <w:style w:type="paragraph" w:styleId="13">
    <w:name w:val="Body Text 3"/>
    <w:basedOn w:val="1"/>
    <w:link w:val="52"/>
    <w:unhideWhenUsed/>
    <w:qFormat/>
    <w:uiPriority w:val="99"/>
    <w:pPr>
      <w:spacing w:after="120"/>
    </w:pPr>
    <w:rPr>
      <w:sz w:val="16"/>
      <w:szCs w:val="16"/>
    </w:rPr>
  </w:style>
  <w:style w:type="paragraph" w:styleId="14">
    <w:name w:val="Body Text"/>
    <w:basedOn w:val="1"/>
    <w:next w:val="15"/>
    <w:link w:val="53"/>
    <w:unhideWhenUsed/>
    <w:qFormat/>
    <w:uiPriority w:val="0"/>
    <w:pPr>
      <w:spacing w:after="120"/>
    </w:pPr>
  </w:style>
  <w:style w:type="paragraph" w:styleId="15">
    <w:name w:val="Body Text First Indent 2"/>
    <w:basedOn w:val="16"/>
    <w:next w:val="1"/>
    <w:link w:val="61"/>
    <w:unhideWhenUsed/>
    <w:qFormat/>
    <w:uiPriority w:val="99"/>
    <w:pPr>
      <w:spacing w:after="120"/>
      <w:ind w:left="420" w:leftChars="200" w:firstLine="420" w:firstLineChars="200"/>
    </w:pPr>
    <w:rPr>
      <w:rFonts w:ascii="Times New Roman" w:eastAsia="宋体"/>
      <w:kern w:val="2"/>
      <w:sz w:val="21"/>
      <w:szCs w:val="24"/>
    </w:rPr>
  </w:style>
  <w:style w:type="paragraph" w:styleId="16">
    <w:name w:val="Body Text Indent"/>
    <w:basedOn w:val="1"/>
    <w:link w:val="54"/>
    <w:qFormat/>
    <w:uiPriority w:val="0"/>
    <w:pPr>
      <w:ind w:firstLine="830" w:firstLineChars="352"/>
    </w:pPr>
    <w:rPr>
      <w:rFonts w:ascii="仿宋_GB2312" w:eastAsia="仿宋_GB2312"/>
      <w:kern w:val="0"/>
      <w:sz w:val="32"/>
      <w:szCs w:val="20"/>
    </w:rPr>
  </w:style>
  <w:style w:type="paragraph" w:styleId="17">
    <w:name w:val="List 2"/>
    <w:basedOn w:val="1"/>
    <w:unhideWhenUsed/>
    <w:qFormat/>
    <w:uiPriority w:val="99"/>
    <w:pPr>
      <w:ind w:left="100" w:leftChars="200" w:hanging="200" w:hangingChars="200"/>
      <w:contextualSpacing/>
    </w:pPr>
  </w:style>
  <w:style w:type="paragraph" w:styleId="18">
    <w:name w:val="toc 3"/>
    <w:basedOn w:val="1"/>
    <w:next w:val="1"/>
    <w:unhideWhenUsed/>
    <w:qFormat/>
    <w:uiPriority w:val="39"/>
    <w:pPr>
      <w:ind w:left="840" w:leftChars="400"/>
    </w:pPr>
  </w:style>
  <w:style w:type="paragraph" w:styleId="19">
    <w:name w:val="Date"/>
    <w:basedOn w:val="1"/>
    <w:next w:val="1"/>
    <w:link w:val="56"/>
    <w:unhideWhenUsed/>
    <w:qFormat/>
    <w:uiPriority w:val="99"/>
    <w:pPr>
      <w:ind w:left="100" w:leftChars="2500"/>
    </w:pPr>
  </w:style>
  <w:style w:type="paragraph" w:styleId="20">
    <w:name w:val="Body Text Indent 2"/>
    <w:basedOn w:val="1"/>
    <w:qFormat/>
    <w:uiPriority w:val="0"/>
    <w:pPr>
      <w:ind w:firstLine="412" w:firstLineChars="196"/>
    </w:pPr>
    <w:rPr>
      <w:kern w:val="0"/>
      <w:sz w:val="20"/>
    </w:rPr>
  </w:style>
  <w:style w:type="paragraph" w:styleId="21">
    <w:name w:val="Balloon Text"/>
    <w:basedOn w:val="1"/>
    <w:link w:val="57"/>
    <w:semiHidden/>
    <w:qFormat/>
    <w:uiPriority w:val="0"/>
    <w:rPr>
      <w:sz w:val="18"/>
      <w:szCs w:val="18"/>
    </w:rPr>
  </w:style>
  <w:style w:type="paragraph" w:styleId="22">
    <w:name w:val="footer"/>
    <w:basedOn w:val="1"/>
    <w:next w:val="1"/>
    <w:link w:val="44"/>
    <w:unhideWhenUsed/>
    <w:qFormat/>
    <w:uiPriority w:val="0"/>
    <w:pPr>
      <w:tabs>
        <w:tab w:val="center" w:pos="4153"/>
        <w:tab w:val="right" w:pos="8306"/>
      </w:tabs>
      <w:snapToGrid w:val="0"/>
      <w:jc w:val="left"/>
    </w:pPr>
    <w:rPr>
      <w:kern w:val="0"/>
      <w:sz w:val="18"/>
      <w:szCs w:val="18"/>
    </w:rPr>
  </w:style>
  <w:style w:type="paragraph" w:styleId="23">
    <w:name w:val="header"/>
    <w:basedOn w:val="1"/>
    <w:link w:val="58"/>
    <w:unhideWhenUsed/>
    <w:qFormat/>
    <w:uiPriority w:val="0"/>
    <w:pPr>
      <w:pBdr>
        <w:bottom w:val="single" w:color="auto" w:sz="6" w:space="1"/>
      </w:pBdr>
      <w:tabs>
        <w:tab w:val="center" w:pos="4153"/>
        <w:tab w:val="right" w:pos="8306"/>
      </w:tabs>
      <w:snapToGrid w:val="0"/>
      <w:jc w:val="center"/>
    </w:pPr>
    <w:rPr>
      <w:kern w:val="0"/>
      <w:sz w:val="18"/>
      <w:szCs w:val="18"/>
    </w:rPr>
  </w:style>
  <w:style w:type="paragraph" w:styleId="24">
    <w:name w:val="toc 1"/>
    <w:basedOn w:val="1"/>
    <w:next w:val="1"/>
    <w:unhideWhenUsed/>
    <w:qFormat/>
    <w:uiPriority w:val="39"/>
  </w:style>
  <w:style w:type="paragraph" w:styleId="25">
    <w:name w:val="List"/>
    <w:basedOn w:val="1"/>
    <w:unhideWhenUsed/>
    <w:qFormat/>
    <w:uiPriority w:val="99"/>
    <w:pPr>
      <w:ind w:left="200" w:hanging="200" w:hangingChars="200"/>
      <w:contextualSpacing/>
    </w:pPr>
  </w:style>
  <w:style w:type="paragraph" w:styleId="26">
    <w:name w:val="footnote text"/>
    <w:basedOn w:val="1"/>
    <w:unhideWhenUsed/>
    <w:qFormat/>
    <w:uiPriority w:val="99"/>
    <w:pPr>
      <w:snapToGrid w:val="0"/>
      <w:jc w:val="left"/>
    </w:pPr>
    <w:rPr>
      <w:sz w:val="18"/>
      <w:szCs w:val="18"/>
    </w:rPr>
  </w:style>
  <w:style w:type="paragraph" w:styleId="27">
    <w:name w:val="toc 2"/>
    <w:basedOn w:val="1"/>
    <w:next w:val="1"/>
    <w:unhideWhenUsed/>
    <w:qFormat/>
    <w:uiPriority w:val="39"/>
    <w:pPr>
      <w:tabs>
        <w:tab w:val="right" w:leader="dot" w:pos="8296"/>
      </w:tabs>
      <w:ind w:left="420" w:leftChars="200"/>
    </w:pPr>
  </w:style>
  <w:style w:type="paragraph" w:styleId="28">
    <w:name w:val="Body Text 2"/>
    <w:basedOn w:val="1"/>
    <w:next w:val="14"/>
    <w:qFormat/>
    <w:uiPriority w:val="0"/>
    <w:pPr>
      <w:spacing w:after="120" w:line="480" w:lineRule="auto"/>
    </w:pPr>
    <w:rPr>
      <w:kern w:val="0"/>
      <w:sz w:val="20"/>
    </w:rPr>
  </w:style>
  <w:style w:type="paragraph" w:styleId="29">
    <w:name w:val="Normal (Web)"/>
    <w:basedOn w:val="1"/>
    <w:unhideWhenUsed/>
    <w:qFormat/>
    <w:uiPriority w:val="99"/>
    <w:rPr>
      <w:rFonts w:ascii="Calibri" w:hAnsi="Calibri"/>
      <w:kern w:val="0"/>
      <w:sz w:val="24"/>
    </w:rPr>
  </w:style>
  <w:style w:type="paragraph" w:styleId="30">
    <w:name w:val="Title"/>
    <w:basedOn w:val="1"/>
    <w:next w:val="1"/>
    <w:link w:val="59"/>
    <w:qFormat/>
    <w:uiPriority w:val="0"/>
    <w:pPr>
      <w:widowControl/>
      <w:overflowPunct w:val="0"/>
      <w:autoSpaceDE w:val="0"/>
      <w:autoSpaceDN w:val="0"/>
      <w:adjustRightInd w:val="0"/>
      <w:jc w:val="center"/>
      <w:textAlignment w:val="baseline"/>
    </w:pPr>
    <w:rPr>
      <w:rFonts w:ascii="Cambria" w:hAnsi="Cambria"/>
      <w:b/>
      <w:bCs/>
      <w:sz w:val="32"/>
      <w:szCs w:val="32"/>
    </w:rPr>
  </w:style>
  <w:style w:type="paragraph" w:styleId="31">
    <w:name w:val="annotation subject"/>
    <w:basedOn w:val="12"/>
    <w:next w:val="12"/>
    <w:link w:val="60"/>
    <w:qFormat/>
    <w:uiPriority w:val="99"/>
    <w:rPr>
      <w:b/>
      <w:bCs/>
    </w:rPr>
  </w:style>
  <w:style w:type="paragraph" w:styleId="32">
    <w:name w:val="Body Text First Indent"/>
    <w:basedOn w:val="14"/>
    <w:qFormat/>
    <w:uiPriority w:val="0"/>
    <w:pPr>
      <w:ind w:firstLine="420" w:firstLineChars="100"/>
    </w:pPr>
  </w:style>
  <w:style w:type="table" w:styleId="34">
    <w:name w:val="Table Grid"/>
    <w:basedOn w:val="3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6">
    <w:name w:val="Strong"/>
    <w:basedOn w:val="35"/>
    <w:qFormat/>
    <w:uiPriority w:val="22"/>
    <w:rPr>
      <w:b/>
    </w:rPr>
  </w:style>
  <w:style w:type="character" w:styleId="37">
    <w:name w:val="endnote reference"/>
    <w:unhideWhenUsed/>
    <w:qFormat/>
    <w:uiPriority w:val="99"/>
    <w:rPr>
      <w:vertAlign w:val="superscript"/>
    </w:rPr>
  </w:style>
  <w:style w:type="character" w:styleId="38">
    <w:name w:val="page number"/>
    <w:qFormat/>
    <w:uiPriority w:val="0"/>
    <w:rPr>
      <w:rFonts w:ascii="Arial" w:hAnsi="Arial" w:eastAsia="黑体" w:cs="Arial"/>
      <w:snapToGrid w:val="0"/>
      <w:kern w:val="0"/>
      <w:szCs w:val="21"/>
    </w:rPr>
  </w:style>
  <w:style w:type="character" w:styleId="39">
    <w:name w:val="FollowedHyperlink"/>
    <w:unhideWhenUsed/>
    <w:qFormat/>
    <w:uiPriority w:val="99"/>
    <w:rPr>
      <w:color w:val="800080"/>
      <w:u w:val="single"/>
    </w:rPr>
  </w:style>
  <w:style w:type="character" w:styleId="40">
    <w:name w:val="Emphasis"/>
    <w:basedOn w:val="35"/>
    <w:qFormat/>
    <w:uiPriority w:val="20"/>
    <w:rPr>
      <w:i/>
    </w:rPr>
  </w:style>
  <w:style w:type="character" w:styleId="41">
    <w:name w:val="Hyperlink"/>
    <w:unhideWhenUsed/>
    <w:qFormat/>
    <w:uiPriority w:val="99"/>
    <w:rPr>
      <w:color w:val="0000FF"/>
      <w:u w:val="single"/>
    </w:rPr>
  </w:style>
  <w:style w:type="character" w:styleId="42">
    <w:name w:val="annotation reference"/>
    <w:qFormat/>
    <w:uiPriority w:val="99"/>
    <w:rPr>
      <w:sz w:val="21"/>
      <w:szCs w:val="21"/>
    </w:rPr>
  </w:style>
  <w:style w:type="paragraph" w:customStyle="1" w:styleId="43">
    <w:name w:val="目录 81"/>
    <w:basedOn w:val="1"/>
    <w:next w:val="1"/>
    <w:qFormat/>
    <w:uiPriority w:val="0"/>
    <w:pPr>
      <w:ind w:left="1470"/>
    </w:pPr>
    <w:rPr>
      <w:sz w:val="18"/>
    </w:rPr>
  </w:style>
  <w:style w:type="character" w:customStyle="1" w:styleId="44">
    <w:name w:val="页脚 字符"/>
    <w:link w:val="22"/>
    <w:qFormat/>
    <w:uiPriority w:val="0"/>
    <w:rPr>
      <w:sz w:val="18"/>
      <w:szCs w:val="18"/>
    </w:rPr>
  </w:style>
  <w:style w:type="character" w:customStyle="1" w:styleId="45">
    <w:name w:val="标题 1 字符"/>
    <w:link w:val="3"/>
    <w:qFormat/>
    <w:uiPriority w:val="9"/>
    <w:rPr>
      <w:b/>
      <w:bCs/>
      <w:kern w:val="44"/>
      <w:sz w:val="44"/>
      <w:szCs w:val="44"/>
    </w:rPr>
  </w:style>
  <w:style w:type="character" w:customStyle="1" w:styleId="46">
    <w:name w:val="标题 2 字符"/>
    <w:link w:val="4"/>
    <w:qFormat/>
    <w:uiPriority w:val="9"/>
    <w:rPr>
      <w:rFonts w:ascii="Cambria" w:hAnsi="Cambria" w:eastAsia="宋体" w:cs="Times New Roman"/>
      <w:b/>
      <w:bCs/>
      <w:kern w:val="2"/>
      <w:sz w:val="32"/>
      <w:szCs w:val="32"/>
    </w:rPr>
  </w:style>
  <w:style w:type="character" w:customStyle="1" w:styleId="47">
    <w:name w:val="标题 3 字符"/>
    <w:link w:val="5"/>
    <w:qFormat/>
    <w:uiPriority w:val="9"/>
    <w:rPr>
      <w:b/>
      <w:bCs/>
      <w:kern w:val="2"/>
      <w:sz w:val="32"/>
      <w:szCs w:val="32"/>
    </w:rPr>
  </w:style>
  <w:style w:type="character" w:customStyle="1" w:styleId="48">
    <w:name w:val="标题 5 字符"/>
    <w:link w:val="7"/>
    <w:qFormat/>
    <w:uiPriority w:val="9"/>
    <w:rPr>
      <w:rFonts w:ascii="Times New Roman" w:hAnsi="Times New Roman"/>
      <w:b/>
      <w:bCs/>
      <w:kern w:val="2"/>
      <w:sz w:val="28"/>
      <w:szCs w:val="28"/>
    </w:rPr>
  </w:style>
  <w:style w:type="character" w:customStyle="1" w:styleId="49">
    <w:name w:val="标题 8 字符"/>
    <w:link w:val="9"/>
    <w:qFormat/>
    <w:uiPriority w:val="9"/>
    <w:rPr>
      <w:rFonts w:ascii="等线 Light" w:hAnsi="等线 Light" w:eastAsia="等线 Light" w:cs="Times New Roman"/>
      <w:kern w:val="2"/>
      <w:sz w:val="24"/>
      <w:szCs w:val="24"/>
    </w:rPr>
  </w:style>
  <w:style w:type="character" w:customStyle="1" w:styleId="50">
    <w:name w:val="标题 9 字符"/>
    <w:link w:val="10"/>
    <w:qFormat/>
    <w:uiPriority w:val="9"/>
    <w:rPr>
      <w:rFonts w:ascii="Cambria" w:hAnsi="Cambria" w:eastAsia="宋体" w:cs="Times New Roman"/>
      <w:kern w:val="2"/>
      <w:sz w:val="21"/>
      <w:szCs w:val="21"/>
    </w:rPr>
  </w:style>
  <w:style w:type="character" w:customStyle="1" w:styleId="51">
    <w:name w:val="批注文字 字符2"/>
    <w:link w:val="12"/>
    <w:qFormat/>
    <w:uiPriority w:val="0"/>
    <w:rPr>
      <w:rFonts w:ascii="Times New Roman" w:hAnsi="Times New Roman"/>
      <w:kern w:val="2"/>
      <w:sz w:val="21"/>
      <w:szCs w:val="24"/>
    </w:rPr>
  </w:style>
  <w:style w:type="character" w:customStyle="1" w:styleId="52">
    <w:name w:val="正文文本 3 字符"/>
    <w:link w:val="13"/>
    <w:qFormat/>
    <w:uiPriority w:val="99"/>
    <w:rPr>
      <w:kern w:val="2"/>
      <w:sz w:val="16"/>
      <w:szCs w:val="16"/>
    </w:rPr>
  </w:style>
  <w:style w:type="character" w:customStyle="1" w:styleId="53">
    <w:name w:val="正文文本 字符1"/>
    <w:link w:val="14"/>
    <w:qFormat/>
    <w:uiPriority w:val="0"/>
    <w:rPr>
      <w:rFonts w:ascii="Times New Roman" w:hAnsi="Times New Roman"/>
      <w:kern w:val="2"/>
      <w:sz w:val="21"/>
      <w:szCs w:val="24"/>
    </w:rPr>
  </w:style>
  <w:style w:type="character" w:customStyle="1" w:styleId="54">
    <w:name w:val="正文文本缩进 字符1"/>
    <w:link w:val="16"/>
    <w:qFormat/>
    <w:uiPriority w:val="0"/>
    <w:rPr>
      <w:rFonts w:ascii="仿宋_GB2312" w:hAnsi="Times New Roman" w:eastAsia="仿宋_GB2312" w:cs="Times New Roman"/>
      <w:sz w:val="32"/>
      <w:szCs w:val="20"/>
    </w:rPr>
  </w:style>
  <w:style w:type="character" w:customStyle="1" w:styleId="55">
    <w:name w:val="纯文本 字符3"/>
    <w:link w:val="2"/>
    <w:qFormat/>
    <w:uiPriority w:val="0"/>
    <w:rPr>
      <w:rFonts w:ascii="宋体" w:hAnsi="Courier New" w:eastAsia="宋体" w:cs="Courier New"/>
      <w:szCs w:val="21"/>
    </w:rPr>
  </w:style>
  <w:style w:type="character" w:customStyle="1" w:styleId="56">
    <w:name w:val="日期 字符"/>
    <w:link w:val="19"/>
    <w:qFormat/>
    <w:uiPriority w:val="99"/>
    <w:rPr>
      <w:rFonts w:ascii="Times New Roman" w:hAnsi="Times New Roman"/>
      <w:kern w:val="2"/>
      <w:sz w:val="21"/>
      <w:szCs w:val="24"/>
    </w:rPr>
  </w:style>
  <w:style w:type="character" w:customStyle="1" w:styleId="57">
    <w:name w:val="批注框文本 字符"/>
    <w:link w:val="21"/>
    <w:semiHidden/>
    <w:qFormat/>
    <w:uiPriority w:val="0"/>
    <w:rPr>
      <w:kern w:val="2"/>
      <w:sz w:val="18"/>
      <w:szCs w:val="18"/>
    </w:rPr>
  </w:style>
  <w:style w:type="character" w:customStyle="1" w:styleId="58">
    <w:name w:val="页眉 字符"/>
    <w:link w:val="23"/>
    <w:qFormat/>
    <w:uiPriority w:val="0"/>
    <w:rPr>
      <w:sz w:val="18"/>
      <w:szCs w:val="18"/>
    </w:rPr>
  </w:style>
  <w:style w:type="character" w:customStyle="1" w:styleId="59">
    <w:name w:val="标题 字符"/>
    <w:link w:val="30"/>
    <w:qFormat/>
    <w:uiPriority w:val="0"/>
    <w:rPr>
      <w:rFonts w:ascii="Cambria" w:hAnsi="Cambria" w:cs="Times New Roman"/>
      <w:b/>
      <w:bCs/>
      <w:kern w:val="2"/>
      <w:sz w:val="32"/>
      <w:szCs w:val="32"/>
    </w:rPr>
  </w:style>
  <w:style w:type="character" w:customStyle="1" w:styleId="60">
    <w:name w:val="批注主题 字符"/>
    <w:link w:val="31"/>
    <w:qFormat/>
    <w:uiPriority w:val="99"/>
    <w:rPr>
      <w:rFonts w:ascii="Times New Roman" w:hAnsi="Times New Roman"/>
      <w:b/>
      <w:bCs/>
      <w:kern w:val="2"/>
      <w:sz w:val="21"/>
      <w:szCs w:val="24"/>
    </w:rPr>
  </w:style>
  <w:style w:type="character" w:customStyle="1" w:styleId="61">
    <w:name w:val="正文文本首行缩进 2 字符"/>
    <w:link w:val="15"/>
    <w:semiHidden/>
    <w:qFormat/>
    <w:uiPriority w:val="99"/>
    <w:rPr>
      <w:kern w:val="2"/>
      <w:sz w:val="21"/>
      <w:szCs w:val="24"/>
    </w:rPr>
  </w:style>
  <w:style w:type="character" w:customStyle="1" w:styleId="62">
    <w:name w:val="页眉 Char"/>
    <w:qFormat/>
    <w:uiPriority w:val="99"/>
    <w:rPr>
      <w:lang w:eastAsia="zh-CN"/>
    </w:rPr>
  </w:style>
  <w:style w:type="character" w:customStyle="1" w:styleId="63">
    <w:name w:val="正文首行缩进 2 字符"/>
    <w:qFormat/>
    <w:uiPriority w:val="99"/>
    <w:rPr>
      <w:kern w:val="2"/>
      <w:sz w:val="21"/>
      <w:szCs w:val="24"/>
    </w:rPr>
  </w:style>
  <w:style w:type="character" w:customStyle="1" w:styleId="64">
    <w:name w:val="批注文字 字符"/>
    <w:qFormat/>
    <w:uiPriority w:val="0"/>
    <w:rPr>
      <w:rFonts w:ascii="Times New Roman" w:hAnsi="Times New Roman"/>
      <w:kern w:val="2"/>
      <w:sz w:val="21"/>
      <w:szCs w:val="24"/>
    </w:rPr>
  </w:style>
  <w:style w:type="character" w:customStyle="1" w:styleId="65">
    <w:name w:val="纯文本 字符1"/>
    <w:qFormat/>
    <w:uiPriority w:val="0"/>
    <w:rPr>
      <w:rFonts w:ascii="宋体" w:hAnsi="Courier New"/>
    </w:rPr>
  </w:style>
  <w:style w:type="character" w:customStyle="1" w:styleId="66">
    <w:name w:val="正文文本 字符"/>
    <w:qFormat/>
    <w:uiPriority w:val="0"/>
    <w:rPr>
      <w:rFonts w:ascii="Times New Roman" w:hAnsi="Times New Roman"/>
      <w:kern w:val="2"/>
      <w:sz w:val="21"/>
      <w:szCs w:val="24"/>
    </w:rPr>
  </w:style>
  <w:style w:type="character" w:customStyle="1" w:styleId="67">
    <w:name w:val="标题 1 字符1"/>
    <w:qFormat/>
    <w:uiPriority w:val="0"/>
    <w:rPr>
      <w:b/>
      <w:bCs/>
      <w:kern w:val="44"/>
      <w:sz w:val="44"/>
      <w:szCs w:val="44"/>
    </w:rPr>
  </w:style>
  <w:style w:type="character" w:customStyle="1" w:styleId="68">
    <w:name w:val="正文2 Char Char"/>
    <w:link w:val="69"/>
    <w:qFormat/>
    <w:uiPriority w:val="0"/>
    <w:rPr>
      <w:sz w:val="24"/>
    </w:rPr>
  </w:style>
  <w:style w:type="paragraph" w:customStyle="1" w:styleId="69">
    <w:name w:val="正文2"/>
    <w:basedOn w:val="1"/>
    <w:link w:val="68"/>
    <w:qFormat/>
    <w:uiPriority w:val="0"/>
    <w:pPr>
      <w:adjustRightInd w:val="0"/>
      <w:spacing w:before="156" w:line="360" w:lineRule="auto"/>
      <w:ind w:firstLine="510" w:firstLineChars="200"/>
    </w:pPr>
    <w:rPr>
      <w:kern w:val="0"/>
      <w:sz w:val="24"/>
      <w:szCs w:val="20"/>
    </w:rPr>
  </w:style>
  <w:style w:type="character" w:customStyle="1" w:styleId="70">
    <w:name w:val="纯文本 Char"/>
    <w:qFormat/>
    <w:uiPriority w:val="0"/>
    <w:rPr>
      <w:rFonts w:ascii="宋体" w:hAnsi="Courier New" w:eastAsia="宋体" w:cs="Courier New"/>
      <w:szCs w:val="21"/>
    </w:rPr>
  </w:style>
  <w:style w:type="character" w:customStyle="1" w:styleId="71">
    <w:name w:val="标题 2 Char"/>
    <w:qFormat/>
    <w:uiPriority w:val="9"/>
    <w:rPr>
      <w:rFonts w:ascii="Cambria" w:hAnsi="Cambria" w:eastAsia="宋体" w:cs="Times New Roman"/>
      <w:b/>
      <w:bCs/>
      <w:kern w:val="2"/>
      <w:sz w:val="32"/>
      <w:szCs w:val="32"/>
    </w:rPr>
  </w:style>
  <w:style w:type="character" w:customStyle="1" w:styleId="72">
    <w:name w:val="正文文本 Char"/>
    <w:qFormat/>
    <w:uiPriority w:val="0"/>
    <w:rPr>
      <w:rFonts w:ascii="Times New Roman" w:hAnsi="Times New Roman"/>
      <w:kern w:val="2"/>
      <w:sz w:val="21"/>
      <w:szCs w:val="24"/>
    </w:rPr>
  </w:style>
  <w:style w:type="character" w:customStyle="1" w:styleId="73">
    <w:name w:val="纯文本 字符2"/>
    <w:qFormat/>
    <w:uiPriority w:val="0"/>
    <w:rPr>
      <w:rFonts w:ascii="宋体" w:hAnsi="Courier New" w:eastAsia="宋体" w:cs="Courier New"/>
      <w:szCs w:val="21"/>
    </w:rPr>
  </w:style>
  <w:style w:type="character" w:customStyle="1" w:styleId="74">
    <w:name w:val="textcontents"/>
    <w:qFormat/>
    <w:uiPriority w:val="0"/>
  </w:style>
  <w:style w:type="character" w:customStyle="1" w:styleId="75">
    <w:name w:val="标题 Char"/>
    <w:qFormat/>
    <w:uiPriority w:val="10"/>
    <w:rPr>
      <w:rFonts w:ascii="Cambria" w:hAnsi="Cambria" w:cs="Times New Roman"/>
      <w:b/>
      <w:bCs/>
      <w:kern w:val="2"/>
      <w:sz w:val="32"/>
      <w:szCs w:val="32"/>
    </w:rPr>
  </w:style>
  <w:style w:type="character" w:customStyle="1" w:styleId="76">
    <w:name w:val="apple-style-span"/>
    <w:qFormat/>
    <w:uiPriority w:val="0"/>
  </w:style>
  <w:style w:type="character" w:customStyle="1" w:styleId="77">
    <w:name w:val="正文文本 (26) + 间距 0 pt"/>
    <w:qFormat/>
    <w:uiPriority w:val="0"/>
    <w:rPr>
      <w:rFonts w:ascii="宋体" w:hAnsi="宋体" w:eastAsia="宋体" w:cs="宋体"/>
      <w:color w:val="000000"/>
      <w:spacing w:val="0"/>
      <w:w w:val="100"/>
      <w:position w:val="0"/>
      <w:sz w:val="22"/>
      <w:szCs w:val="22"/>
      <w:u w:val="none"/>
      <w:lang w:val="zh-CN" w:eastAsia="zh-CN" w:bidi="zh-CN"/>
    </w:rPr>
  </w:style>
  <w:style w:type="character" w:customStyle="1" w:styleId="78">
    <w:name w:val="标题 8 Char"/>
    <w:qFormat/>
    <w:uiPriority w:val="0"/>
    <w:rPr>
      <w:rFonts w:ascii="Arial" w:hAnsi="Arial" w:eastAsia="黑体"/>
      <w:kern w:val="2"/>
      <w:sz w:val="24"/>
      <w:szCs w:val="24"/>
    </w:rPr>
  </w:style>
  <w:style w:type="character" w:customStyle="1" w:styleId="79">
    <w:name w:val="正文文本缩进 字符"/>
    <w:qFormat/>
    <w:uiPriority w:val="0"/>
    <w:rPr>
      <w:rFonts w:ascii="仿宋_GB2312" w:hAnsi="Times New Roman" w:eastAsia="仿宋_GB2312" w:cs="Times New Roman"/>
      <w:sz w:val="32"/>
      <w:szCs w:val="20"/>
    </w:rPr>
  </w:style>
  <w:style w:type="character" w:customStyle="1" w:styleId="80">
    <w:name w:val="批注文字 Char"/>
    <w:qFormat/>
    <w:uiPriority w:val="0"/>
    <w:rPr>
      <w:rFonts w:ascii="Times New Roman" w:hAnsi="Times New Roman"/>
      <w:kern w:val="2"/>
      <w:sz w:val="21"/>
      <w:szCs w:val="24"/>
    </w:rPr>
  </w:style>
  <w:style w:type="character" w:customStyle="1" w:styleId="81">
    <w:name w:val="批注文字 字符1"/>
    <w:qFormat/>
    <w:uiPriority w:val="0"/>
    <w:rPr>
      <w:rFonts w:ascii="Times New Roman" w:hAnsi="Times New Roman"/>
      <w:kern w:val="2"/>
      <w:sz w:val="21"/>
      <w:szCs w:val="24"/>
    </w:rPr>
  </w:style>
  <w:style w:type="character" w:customStyle="1" w:styleId="82">
    <w:name w:val="纯文本 字符"/>
    <w:qFormat/>
    <w:uiPriority w:val="0"/>
    <w:rPr>
      <w:rFonts w:ascii="宋体" w:hAnsi="Courier New" w:eastAsia="宋体" w:cs="Courier New"/>
      <w:szCs w:val="21"/>
    </w:rPr>
  </w:style>
  <w:style w:type="character" w:customStyle="1" w:styleId="83">
    <w:name w:val="标题 英文"/>
    <w:qFormat/>
    <w:uiPriority w:val="99"/>
    <w:rPr>
      <w:rFonts w:ascii="Times" w:hAnsi="Times" w:cs="Times"/>
      <w:sz w:val="40"/>
      <w:szCs w:val="40"/>
    </w:rPr>
  </w:style>
  <w:style w:type="character" w:customStyle="1" w:styleId="84">
    <w:name w:val="纯文本 Char2"/>
    <w:qFormat/>
    <w:uiPriority w:val="0"/>
    <w:rPr>
      <w:rFonts w:ascii="宋体" w:hAnsi="Courier New" w:cs="Arial"/>
      <w:snapToGrid w:val="0"/>
      <w:szCs w:val="21"/>
    </w:rPr>
  </w:style>
  <w:style w:type="character" w:customStyle="1" w:styleId="85">
    <w:name w:val="标题 Char1"/>
    <w:qFormat/>
    <w:uiPriority w:val="10"/>
    <w:rPr>
      <w:rFonts w:ascii="Calibri" w:hAnsi="Calibri"/>
      <w:b/>
      <w:sz w:val="24"/>
      <w:lang w:val="en-GB"/>
    </w:rPr>
  </w:style>
  <w:style w:type="character" w:customStyle="1" w:styleId="86">
    <w:name w:val="_Style 83"/>
    <w:unhideWhenUsed/>
    <w:qFormat/>
    <w:uiPriority w:val="99"/>
    <w:rPr>
      <w:color w:val="605E5C"/>
      <w:shd w:val="clear" w:color="auto" w:fill="E1DFDD"/>
    </w:rPr>
  </w:style>
  <w:style w:type="character" w:customStyle="1" w:styleId="87">
    <w:name w:val="NormalCharacter"/>
    <w:qFormat/>
    <w:uiPriority w:val="0"/>
  </w:style>
  <w:style w:type="paragraph" w:styleId="88">
    <w:name w:val="List Paragraph"/>
    <w:basedOn w:val="1"/>
    <w:qFormat/>
    <w:uiPriority w:val="34"/>
    <w:pPr>
      <w:ind w:firstLine="420" w:firstLineChars="200"/>
    </w:pPr>
  </w:style>
  <w:style w:type="paragraph" w:customStyle="1" w:styleId="89">
    <w:name w:val="[基本段落]"/>
    <w:basedOn w:val="1"/>
    <w:qFormat/>
    <w:uiPriority w:val="99"/>
    <w:pPr>
      <w:autoSpaceDE w:val="0"/>
      <w:autoSpaceDN w:val="0"/>
      <w:adjustRightInd w:val="0"/>
      <w:spacing w:line="288" w:lineRule="auto"/>
      <w:textAlignment w:val="center"/>
    </w:pPr>
    <w:rPr>
      <w:rFonts w:ascii="方正兰亭细黑简体" w:eastAsia="方正兰亭细黑简体"/>
      <w:color w:val="000000"/>
      <w:kern w:val="0"/>
      <w:sz w:val="24"/>
      <w:lang w:val="zh-CN"/>
    </w:rPr>
  </w:style>
  <w:style w:type="paragraph" w:customStyle="1" w:styleId="90">
    <w:name w:val="Table Paragraph"/>
    <w:basedOn w:val="1"/>
    <w:qFormat/>
    <w:uiPriority w:val="1"/>
    <w:pPr>
      <w:jc w:val="left"/>
    </w:pPr>
    <w:rPr>
      <w:rFonts w:ascii="Calibri" w:hAnsi="Calibri"/>
      <w:kern w:val="0"/>
      <w:sz w:val="22"/>
      <w:szCs w:val="22"/>
      <w:lang w:eastAsia="en-US"/>
    </w:rPr>
  </w:style>
  <w:style w:type="paragraph" w:customStyle="1" w:styleId="91">
    <w:name w:val="表格文字"/>
    <w:basedOn w:val="1"/>
    <w:qFormat/>
    <w:uiPriority w:val="0"/>
    <w:pPr>
      <w:adjustRightInd w:val="0"/>
      <w:spacing w:line="420" w:lineRule="atLeast"/>
      <w:jc w:val="left"/>
      <w:textAlignment w:val="baseline"/>
    </w:pPr>
    <w:rPr>
      <w:kern w:val="0"/>
    </w:rPr>
  </w:style>
  <w:style w:type="paragraph" w:customStyle="1" w:styleId="92">
    <w:name w:val="正文缩进1"/>
    <w:basedOn w:val="1"/>
    <w:next w:val="16"/>
    <w:qFormat/>
    <w:uiPriority w:val="0"/>
    <w:pPr>
      <w:autoSpaceDE w:val="0"/>
      <w:autoSpaceDN w:val="0"/>
      <w:adjustRightInd w:val="0"/>
      <w:snapToGrid w:val="0"/>
      <w:spacing w:after="120" w:line="360" w:lineRule="auto"/>
      <w:ind w:left="420" w:leftChars="200" w:firstLine="480" w:firstLineChars="200"/>
    </w:pPr>
    <w:rPr>
      <w:sz w:val="24"/>
      <w:szCs w:val="21"/>
    </w:rPr>
  </w:style>
  <w:style w:type="paragraph" w:customStyle="1" w:styleId="93">
    <w:name w:val="样式5"/>
    <w:basedOn w:val="1"/>
    <w:qFormat/>
    <w:uiPriority w:val="0"/>
    <w:pPr>
      <w:adjustRightInd w:val="0"/>
      <w:spacing w:line="440" w:lineRule="exact"/>
      <w:ind w:left="2" w:firstLine="480" w:firstLineChars="200"/>
    </w:pPr>
    <w:rPr>
      <w:rFonts w:ascii="仿宋_GB2312" w:hAnsi="仿宋" w:eastAsia="仿宋_GB2312"/>
      <w:sz w:val="24"/>
    </w:rPr>
  </w:style>
  <w:style w:type="paragraph" w:customStyle="1" w:styleId="94">
    <w:name w:val="Char Char Char Char"/>
    <w:basedOn w:val="1"/>
    <w:qFormat/>
    <w:uiPriority w:val="0"/>
    <w:pPr>
      <w:widowControl/>
      <w:spacing w:after="160" w:line="240" w:lineRule="exact"/>
      <w:jc w:val="left"/>
    </w:pPr>
  </w:style>
  <w:style w:type="paragraph" w:customStyle="1" w:styleId="95">
    <w:name w:val="列表段落1"/>
    <w:basedOn w:val="1"/>
    <w:qFormat/>
    <w:uiPriority w:val="34"/>
    <w:pPr>
      <w:ind w:firstLine="420" w:firstLineChars="200"/>
    </w:pPr>
    <w:rPr>
      <w:rFonts w:ascii="Calibri" w:hAnsi="Calibri"/>
      <w:szCs w:val="22"/>
    </w:rPr>
  </w:style>
  <w:style w:type="paragraph" w:customStyle="1" w:styleId="96">
    <w:name w:val="默认段落字体 Para Char Char Char Char Char Char Char Char Char1 Char Char Char Char"/>
    <w:basedOn w:val="1"/>
    <w:qFormat/>
    <w:uiPriority w:val="0"/>
    <w:rPr>
      <w:rFonts w:ascii="Tahoma" w:hAnsi="Tahoma"/>
      <w:sz w:val="24"/>
      <w:szCs w:val="20"/>
    </w:rPr>
  </w:style>
  <w:style w:type="paragraph" w:customStyle="1" w:styleId="97">
    <w:name w:val="_Style 92"/>
    <w:unhideWhenUsed/>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98">
    <w:name w:val="List Paragraph_1e495830-d550-450c-9fed-5b2a0c1aa591"/>
    <w:basedOn w:val="1"/>
    <w:qFormat/>
    <w:uiPriority w:val="34"/>
    <w:pPr>
      <w:ind w:firstLine="420" w:firstLineChars="200"/>
    </w:pPr>
  </w:style>
  <w:style w:type="paragraph" w:customStyle="1" w:styleId="99">
    <w:name w:val="正文段"/>
    <w:basedOn w:val="1"/>
    <w:qFormat/>
    <w:uiPriority w:val="0"/>
    <w:pPr>
      <w:widowControl/>
      <w:snapToGrid w:val="0"/>
      <w:spacing w:after="50" w:afterLines="50"/>
      <w:ind w:firstLine="200" w:firstLineChars="200"/>
    </w:pPr>
    <w:rPr>
      <w:kern w:val="0"/>
      <w:sz w:val="24"/>
      <w:szCs w:val="20"/>
    </w:rPr>
  </w:style>
  <w:style w:type="paragraph" w:customStyle="1" w:styleId="100">
    <w:name w:val="_Style 97"/>
    <w:basedOn w:val="3"/>
    <w:next w:val="1"/>
    <w:qFormat/>
    <w:uiPriority w:val="39"/>
    <w:pPr>
      <w:widowControl/>
      <w:spacing w:before="240" w:after="0" w:line="259" w:lineRule="auto"/>
      <w:jc w:val="left"/>
      <w:outlineLvl w:val="9"/>
    </w:pPr>
    <w:rPr>
      <w:rFonts w:ascii="等线 Light" w:hAnsi="等线 Light" w:eastAsia="等线 Light"/>
      <w:b w:val="0"/>
      <w:bCs w:val="0"/>
      <w:color w:val="2F5496"/>
      <w:kern w:val="0"/>
      <w:sz w:val="32"/>
      <w:szCs w:val="32"/>
    </w:rPr>
  </w:style>
  <w:style w:type="paragraph" w:customStyle="1" w:styleId="101">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02">
    <w:name w:val="列出段落1"/>
    <w:basedOn w:val="1"/>
    <w:qFormat/>
    <w:uiPriority w:val="0"/>
    <w:pPr>
      <w:ind w:firstLine="420" w:firstLineChars="200"/>
    </w:pPr>
    <w:rPr>
      <w:rFonts w:ascii="Calibri" w:hAnsi="Calibri"/>
      <w:szCs w:val="22"/>
    </w:rPr>
  </w:style>
  <w:style w:type="character" w:customStyle="1" w:styleId="103">
    <w:name w:val="font01"/>
    <w:qFormat/>
    <w:uiPriority w:val="0"/>
    <w:rPr>
      <w:rFonts w:hint="default" w:ascii="Times New Roman" w:hAnsi="Times New Roman" w:cs="Times New Roman"/>
      <w:color w:val="000000"/>
      <w:sz w:val="24"/>
      <w:szCs w:val="24"/>
      <w:u w:val="none"/>
    </w:rPr>
  </w:style>
  <w:style w:type="character" w:customStyle="1" w:styleId="104">
    <w:name w:val="font31"/>
    <w:basedOn w:val="35"/>
    <w:qFormat/>
    <w:uiPriority w:val="0"/>
    <w:rPr>
      <w:rFonts w:hint="default" w:ascii="Times New Roman" w:hAnsi="Times New Roman" w:cs="Times New Roman"/>
      <w:color w:val="000000"/>
      <w:sz w:val="22"/>
      <w:szCs w:val="22"/>
      <w:u w:val="none"/>
    </w:rPr>
  </w:style>
  <w:style w:type="paragraph" w:customStyle="1" w:styleId="105">
    <w:name w:val="_Style 102"/>
    <w:hidden/>
    <w:unhideWhenUsed/>
    <w:qFormat/>
    <w:uiPriority w:val="99"/>
    <w:rPr>
      <w:rFonts w:ascii="Times New Roman" w:hAnsi="Times New Roman" w:eastAsia="宋体" w:cs="Times New Roman"/>
      <w:kern w:val="2"/>
      <w:sz w:val="21"/>
      <w:szCs w:val="24"/>
      <w:lang w:val="en-US" w:eastAsia="zh-CN" w:bidi="ar-SA"/>
    </w:rPr>
  </w:style>
  <w:style w:type="character" w:customStyle="1" w:styleId="106">
    <w:name w:val="font21"/>
    <w:basedOn w:val="35"/>
    <w:qFormat/>
    <w:uiPriority w:val="0"/>
    <w:rPr>
      <w:rFonts w:hint="default" w:ascii="方正楷体_GB2312" w:hAnsi="方正楷体_GB2312" w:eastAsia="方正楷体_GB2312" w:cs="方正楷体_GB2312"/>
      <w:color w:val="000000"/>
      <w:sz w:val="18"/>
      <w:szCs w:val="18"/>
      <w:u w:val="none"/>
    </w:rPr>
  </w:style>
  <w:style w:type="character" w:customStyle="1" w:styleId="107">
    <w:name w:val="font41"/>
    <w:basedOn w:val="35"/>
    <w:qFormat/>
    <w:uiPriority w:val="0"/>
    <w:rPr>
      <w:rFonts w:hint="default" w:ascii="方正楷体_GB2312" w:hAnsi="方正楷体_GB2312" w:eastAsia="方正楷体_GB2312" w:cs="方正楷体_GB2312"/>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96</Pages>
  <Words>5717</Words>
  <Characters>6706</Characters>
  <Lines>566</Lines>
  <Paragraphs>159</Paragraphs>
  <TotalTime>13</TotalTime>
  <ScaleCrop>false</ScaleCrop>
  <LinksUpToDate>false</LinksUpToDate>
  <CharactersWithSpaces>7259</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2025-08-06T09:20:00Z</dcterms:created>
  <dc:creator>huangjw</dc:creator>
  <cp:lastModifiedBy>代理</cp:lastModifiedBy>
  <cp:lastPrinted>2024-03-16T16:51:00Z</cp:lastPrinted>
  <dcterms:modified xsi:type="dcterms:W3CDTF">2026-11-02T08:17:57Z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85F7BCA2159142679E337451A0988910_13</vt:lpwstr>
  </property>
  <property fmtid="{D5CDD505-2E9C-101B-9397-08002B2CF9AE}" pid="4" name="KSOTemplateDocerSaveRecord">
    <vt:lpwstr>eyJoZGlkIjoiZGQzZGIyMmU3MWMyNjYxOTVjMDE4Yzc1MThmMjM5NWMiLCJ1c2VySWQiOiI0OTA5MjA5NDQifQ==</vt:lpwstr>
  </property>
</Properties>
</file>