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CC61EA">
      <w:pPr>
        <w:keepNext/>
        <w:keepLines/>
        <w:widowControl w:val="0"/>
        <w:spacing w:before="340" w:after="330" w:line="578" w:lineRule="auto"/>
        <w:jc w:val="center"/>
        <w:outlineLvl w:val="0"/>
        <w:rPr>
          <w:rFonts w:hint="eastAsia" w:ascii="Times New Roman" w:hAnsi="Times New Roman" w:eastAsia="宋体" w:cs="Times New Roman"/>
          <w:b/>
          <w:bCs/>
          <w:i/>
          <w:iCs/>
          <w:color w:val="auto"/>
          <w:kern w:val="44"/>
          <w:sz w:val="32"/>
          <w:szCs w:val="32"/>
          <w:highlight w:val="none"/>
          <w:lang w:val="en-US" w:eastAsia="zh-CN" w:bidi="ar-SA"/>
        </w:rPr>
      </w:pPr>
      <w:r>
        <w:rPr>
          <w:rFonts w:hint="eastAsia" w:ascii="Cambria" w:hAnsi="Cambria" w:eastAsia="宋体" w:cs="Times New Roman"/>
          <w:b/>
          <w:bCs w:val="0"/>
          <w:color w:val="auto"/>
          <w:kern w:val="44"/>
          <w:sz w:val="32"/>
          <w:szCs w:val="32"/>
          <w:highlight w:val="none"/>
          <w:lang w:val="en-US" w:eastAsia="zh-CN" w:bidi="ar-SA"/>
        </w:rPr>
        <w:t>采购需求</w:t>
      </w:r>
    </w:p>
    <w:p w14:paraId="46849D81">
      <w:pPr>
        <w:spacing w:line="420" w:lineRule="exact"/>
        <w:jc w:val="left"/>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说明：</w:t>
      </w:r>
    </w:p>
    <w:p w14:paraId="66AADBBA">
      <w:pPr>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1. 为落实政府采购政策需满足的要求：</w:t>
      </w:r>
    </w:p>
    <w:p w14:paraId="68657E76">
      <w:pPr>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（1）本竞争性磋商文件所称中小企业必须符合《政府采购促进中小企业发展管理办法》（财库〔2020〕46号）的规定。</w:t>
      </w:r>
    </w:p>
    <w:p w14:paraId="410D1B92">
      <w:pPr>
        <w:spacing w:line="420" w:lineRule="exact"/>
        <w:ind w:firstLine="413" w:firstLineChars="196"/>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2.“实质性要求”是指磋商文件中已经指明不满足则响应文件按无效响应处理的条款，或者不能负偏离的条款，或者采购需求中带“▲”的条款。</w:t>
      </w:r>
    </w:p>
    <w:p w14:paraId="40AAE06F">
      <w:pPr>
        <w:widowControl w:val="0"/>
        <w:spacing w:line="420" w:lineRule="exact"/>
        <w:ind w:firstLine="420" w:firstLineChars="200"/>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3. </w:t>
      </w:r>
      <w:r>
        <w:rPr>
          <w:rFonts w:hint="eastAsia" w:ascii="宋体" w:hAnsi="宋体" w:eastAsia="宋体" w:cs="宋体"/>
          <w:color w:val="auto"/>
          <w:kern w:val="2"/>
          <w:sz w:val="21"/>
          <w:szCs w:val="24"/>
          <w:highlight w:val="none"/>
          <w:lang w:val="en-US" w:eastAsia="zh-CN" w:bidi="ar-SA"/>
        </w:rPr>
        <w:t>如竞标产品存在侵犯他人的知识产权或者专利成果行为的，应承担相应法律责任。</w:t>
      </w:r>
    </w:p>
    <w:p w14:paraId="71EFA873">
      <w:pPr>
        <w:tabs>
          <w:tab w:val="left" w:pos="180"/>
          <w:tab w:val="left" w:pos="1620"/>
        </w:tabs>
        <w:spacing w:line="420" w:lineRule="exact"/>
        <w:ind w:firstLine="420" w:firstLineChars="200"/>
        <w:rPr>
          <w:rFonts w:hint="eastAsia" w:ascii="Times New Roman" w:hAnsi="Times New Roman" w:eastAsia="宋体" w:cs="宋体"/>
          <w:b/>
          <w:bCs/>
          <w:color w:val="auto"/>
          <w:sz w:val="24"/>
          <w:highlight w:val="none"/>
        </w:rPr>
      </w:pPr>
      <w:r>
        <w:rPr>
          <w:rFonts w:hint="eastAsia" w:ascii="宋体" w:hAnsi="宋体" w:eastAsia="宋体" w:cs="宋体"/>
          <w:color w:val="auto"/>
          <w:highlight w:val="none"/>
          <w:lang w:val="en-US" w:eastAsia="zh-CN"/>
        </w:rPr>
        <w:t>4.采购标的对应的中小企业划分标准所属行业名称：</w:t>
      </w:r>
      <w:r>
        <w:rPr>
          <w:rFonts w:hint="eastAsia" w:ascii="宋体" w:hAnsi="宋体" w:eastAsia="宋体" w:cs="宋体"/>
          <w:color w:val="auto"/>
          <w:highlight w:val="none"/>
          <w:u w:val="single"/>
          <w:lang w:val="en-US" w:eastAsia="zh-CN"/>
        </w:rPr>
        <w:t xml:space="preserve"> 其他未列明行业 </w:t>
      </w:r>
    </w:p>
    <w:tbl>
      <w:tblPr>
        <w:tblStyle w:val="11"/>
        <w:tblW w:w="10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1419"/>
        <w:gridCol w:w="35"/>
        <w:gridCol w:w="845"/>
        <w:gridCol w:w="6159"/>
        <w:gridCol w:w="1147"/>
      </w:tblGrid>
      <w:tr w14:paraId="68F5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105" w:type="dxa"/>
            <w:gridSpan w:val="6"/>
            <w:tcBorders>
              <w:top w:val="single" w:color="auto" w:sz="4" w:space="0"/>
              <w:left w:val="single" w:color="auto" w:sz="4" w:space="0"/>
              <w:bottom w:val="single" w:color="auto" w:sz="4" w:space="0"/>
              <w:right w:val="single" w:color="auto" w:sz="4" w:space="0"/>
            </w:tcBorders>
            <w:noWrap w:val="0"/>
            <w:vAlign w:val="center"/>
          </w:tcPr>
          <w:p w14:paraId="7FEA93A2">
            <w:pPr>
              <w:spacing w:line="320" w:lineRule="exact"/>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一、</w:t>
            </w:r>
            <w:r>
              <w:rPr>
                <w:rFonts w:hint="eastAsia" w:ascii="宋体" w:hAnsi="宋体" w:eastAsia="宋体" w:cs="宋体"/>
                <w:b/>
                <w:bCs/>
                <w:color w:val="auto"/>
                <w:sz w:val="21"/>
                <w:szCs w:val="21"/>
                <w:highlight w:val="none"/>
                <w:lang w:val="en-US" w:eastAsia="zh-CN"/>
              </w:rPr>
              <w:t>需求一览表</w:t>
            </w:r>
          </w:p>
        </w:tc>
      </w:tr>
      <w:tr w14:paraId="1CA1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 w:type="dxa"/>
            <w:tcBorders>
              <w:top w:val="single" w:color="auto" w:sz="4" w:space="0"/>
            </w:tcBorders>
            <w:noWrap w:val="0"/>
            <w:vAlign w:val="center"/>
          </w:tcPr>
          <w:p w14:paraId="684B49E7">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454" w:type="dxa"/>
            <w:gridSpan w:val="2"/>
            <w:tcBorders>
              <w:top w:val="single" w:color="auto" w:sz="4" w:space="0"/>
            </w:tcBorders>
            <w:noWrap w:val="0"/>
            <w:vAlign w:val="center"/>
          </w:tcPr>
          <w:p w14:paraId="0B8A70C4">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845" w:type="dxa"/>
            <w:tcBorders>
              <w:top w:val="single" w:color="auto" w:sz="4" w:space="0"/>
            </w:tcBorders>
            <w:noWrap w:val="0"/>
            <w:vAlign w:val="center"/>
          </w:tcPr>
          <w:p w14:paraId="19D58D2A">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数量及单位</w:t>
            </w:r>
          </w:p>
          <w:p w14:paraId="14D3FFFA">
            <w:pPr>
              <w:spacing w:line="320" w:lineRule="exact"/>
              <w:jc w:val="center"/>
              <w:rPr>
                <w:rFonts w:hint="eastAsia" w:ascii="宋体" w:hAnsi="宋体" w:eastAsia="宋体" w:cs="宋体"/>
                <w:color w:val="auto"/>
                <w:sz w:val="21"/>
                <w:szCs w:val="21"/>
                <w:highlight w:val="none"/>
              </w:rPr>
            </w:pPr>
          </w:p>
        </w:tc>
        <w:tc>
          <w:tcPr>
            <w:tcW w:w="6159" w:type="dxa"/>
            <w:tcBorders>
              <w:top w:val="single" w:color="auto" w:sz="4" w:space="0"/>
            </w:tcBorders>
            <w:noWrap w:val="0"/>
            <w:vAlign w:val="center"/>
          </w:tcPr>
          <w:p w14:paraId="28594E1F">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服务参数</w:t>
            </w:r>
          </w:p>
          <w:p w14:paraId="76956EDB">
            <w:pPr>
              <w:spacing w:line="320" w:lineRule="exact"/>
              <w:jc w:val="center"/>
              <w:rPr>
                <w:rFonts w:hint="eastAsia" w:ascii="宋体" w:hAnsi="宋体" w:eastAsia="宋体" w:cs="宋体"/>
                <w:color w:val="auto"/>
                <w:sz w:val="21"/>
                <w:szCs w:val="21"/>
                <w:highlight w:val="none"/>
              </w:rPr>
            </w:pPr>
          </w:p>
          <w:p w14:paraId="613271E8">
            <w:pPr>
              <w:spacing w:line="320" w:lineRule="exact"/>
              <w:jc w:val="center"/>
              <w:rPr>
                <w:rFonts w:hint="eastAsia" w:ascii="宋体" w:hAnsi="宋体" w:eastAsia="宋体" w:cs="宋体"/>
                <w:color w:val="auto"/>
                <w:sz w:val="21"/>
                <w:szCs w:val="21"/>
                <w:highlight w:val="none"/>
              </w:rPr>
            </w:pPr>
          </w:p>
        </w:tc>
        <w:tc>
          <w:tcPr>
            <w:tcW w:w="1147" w:type="dxa"/>
            <w:tcBorders>
              <w:top w:val="single" w:color="auto" w:sz="4" w:space="0"/>
            </w:tcBorders>
            <w:noWrap w:val="0"/>
            <w:vAlign w:val="center"/>
          </w:tcPr>
          <w:p w14:paraId="1F9A20BB">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中小企业划分标准所属行业名称（行业名称及划分见本章附件</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p>
        </w:tc>
      </w:tr>
      <w:tr w14:paraId="2278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00" w:type="dxa"/>
            <w:noWrap w:val="0"/>
            <w:vAlign w:val="center"/>
          </w:tcPr>
          <w:p w14:paraId="5970CC1C">
            <w:pPr>
              <w:spacing w:line="2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54" w:type="dxa"/>
            <w:gridSpan w:val="2"/>
            <w:noWrap w:val="0"/>
            <w:vAlign w:val="center"/>
          </w:tcPr>
          <w:p w14:paraId="7CB7165C">
            <w:pPr>
              <w:spacing w:line="32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中国海监1117船、1125艇运行维护(中期维修服务)</w:t>
            </w:r>
          </w:p>
        </w:tc>
        <w:tc>
          <w:tcPr>
            <w:tcW w:w="845" w:type="dxa"/>
            <w:noWrap w:val="0"/>
            <w:vAlign w:val="center"/>
          </w:tcPr>
          <w:p w14:paraId="67893B8D">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w:t>
            </w:r>
          </w:p>
        </w:tc>
        <w:tc>
          <w:tcPr>
            <w:tcW w:w="6159" w:type="dxa"/>
            <w:noWrap w:val="0"/>
            <w:vAlign w:val="center"/>
          </w:tcPr>
          <w:p w14:paraId="08FB9516">
            <w:pPr>
              <w:widowControl w:val="0"/>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一、项目概况：</w:t>
            </w:r>
          </w:p>
          <w:p w14:paraId="78516BEE">
            <w:pPr>
              <w:widowControl w:val="0"/>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通过对中国海监1117船、1125艇</w:t>
            </w:r>
            <w:r>
              <w:rPr>
                <w:rFonts w:hint="eastAsia" w:ascii="宋体" w:hAnsi="宋体" w:eastAsia="宋体" w:cs="宋体"/>
                <w:color w:val="auto"/>
                <w:kern w:val="0"/>
                <w:sz w:val="21"/>
                <w:szCs w:val="21"/>
                <w:highlight w:val="none"/>
                <w:lang w:val="en-US" w:eastAsia="zh-CN" w:bidi="ar-SA"/>
              </w:rPr>
              <w:t>进行</w:t>
            </w:r>
            <w:r>
              <w:rPr>
                <w:rFonts w:hint="eastAsia" w:ascii="宋体" w:hAnsi="宋体" w:eastAsia="宋体" w:cs="宋体"/>
                <w:color w:val="auto"/>
                <w:kern w:val="0"/>
                <w:sz w:val="21"/>
                <w:szCs w:val="21"/>
                <w:highlight w:val="none"/>
                <w:lang w:val="en-US" w:eastAsia="zh-CN" w:bidi="ar"/>
              </w:rPr>
              <w:t>中期维修，对船体、轮机、电气及通导设备进行系统性检修，全面消除安全隐患，确保机械动力系统、执法取证设备及消防救生设施始终处于良好技术状态，提升船舶在复杂海况下的安全航行能力与任务执行可靠性；进而有效降低船艇故障率，提高出航率。</w:t>
            </w:r>
          </w:p>
          <w:p w14:paraId="1123A067">
            <w:pPr>
              <w:widowControl w:val="0"/>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二、服务范围及内容：</w:t>
            </w:r>
          </w:p>
          <w:p w14:paraId="6FA7D02D">
            <w:pPr>
              <w:widowControl w:val="0"/>
              <w:numPr>
                <w:ilvl w:val="0"/>
                <w:numId w:val="0"/>
              </w:num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1.中国海监1117船船舶尺寸：船长65m，船宽9m，前吃水2.5m，尾吃水：2.7m，具体维修项目及要求见附表1内容</w:t>
            </w:r>
          </w:p>
          <w:p w14:paraId="4E1B71C9">
            <w:pPr>
              <w:widowControl w:val="0"/>
              <w:numPr>
                <w:ilvl w:val="0"/>
                <w:numId w:val="0"/>
              </w:num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中国海监1125艇船舶尺寸：船艇总长：18.77米，宽：4.78米船艇净长16.71米，宽：4.78米；型深：2.70米前吃水：0.8米；后吃水：1.41米空载吃水：0.94米；满载吃水：1.01米空载排水量：26.89吨；满载排水量：30.53吨；吨位总吨：53吨；净吨：15吨；航速：40节，具体维修项目及要求见附表2内容。</w:t>
            </w:r>
          </w:p>
        </w:tc>
        <w:tc>
          <w:tcPr>
            <w:tcW w:w="1147" w:type="dxa"/>
            <w:noWrap w:val="0"/>
            <w:vAlign w:val="center"/>
          </w:tcPr>
          <w:p w14:paraId="07F52554">
            <w:pPr>
              <w:spacing w:line="3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其他未列明行业 </w:t>
            </w:r>
          </w:p>
        </w:tc>
      </w:tr>
      <w:tr w14:paraId="3C8D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105" w:type="dxa"/>
            <w:gridSpan w:val="6"/>
            <w:noWrap w:val="0"/>
            <w:vAlign w:val="center"/>
          </w:tcPr>
          <w:p w14:paraId="0CDD02D7">
            <w:pPr>
              <w:spacing w:line="32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二、</w:t>
            </w:r>
            <w:r>
              <w:rPr>
                <w:rFonts w:hint="eastAsia" w:ascii="宋体" w:hAnsi="宋体" w:eastAsia="宋体" w:cs="宋体"/>
                <w:b/>
                <w:color w:val="auto"/>
                <w:sz w:val="21"/>
                <w:szCs w:val="21"/>
                <w:highlight w:val="none"/>
                <w:lang w:val="en-US" w:eastAsia="zh-CN"/>
              </w:rPr>
              <w:t>商务</w:t>
            </w:r>
            <w:r>
              <w:rPr>
                <w:rFonts w:hint="eastAsia" w:ascii="宋体" w:hAnsi="宋体" w:eastAsia="宋体" w:cs="宋体"/>
                <w:b/>
                <w:color w:val="auto"/>
                <w:sz w:val="21"/>
                <w:szCs w:val="21"/>
                <w:highlight w:val="none"/>
              </w:rPr>
              <w:t>要求</w:t>
            </w:r>
          </w:p>
        </w:tc>
      </w:tr>
      <w:tr w14:paraId="6B03F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19" w:type="dxa"/>
            <w:gridSpan w:val="2"/>
            <w:noWrap w:val="0"/>
            <w:vAlign w:val="center"/>
          </w:tcPr>
          <w:p w14:paraId="62F46612">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响应报价要求</w:t>
            </w:r>
          </w:p>
        </w:tc>
        <w:tc>
          <w:tcPr>
            <w:tcW w:w="8186" w:type="dxa"/>
            <w:gridSpan w:val="4"/>
            <w:noWrap w:val="0"/>
            <w:vAlign w:val="center"/>
          </w:tcPr>
          <w:p w14:paraId="51F19534">
            <w:pPr>
              <w:spacing w:line="360" w:lineRule="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响应报价应包括本次采购范围内服务价款、人员劳务费、差旅费、税金、保险及与本服务项目实施过程中所发生的各项费用等所有成本费用的总和；供应商综合考虑在报价中。供应商报价时应对所有维修项目及内容（附表1、附表2）进行一一报价，结算时，按实际发生的维修保养内容进行结算。成交供应商最终磋商报价为本项目预估合同金额。</w:t>
            </w:r>
          </w:p>
        </w:tc>
      </w:tr>
      <w:tr w14:paraId="05132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19" w:type="dxa"/>
            <w:gridSpan w:val="2"/>
            <w:noWrap w:val="0"/>
            <w:vAlign w:val="center"/>
          </w:tcPr>
          <w:p w14:paraId="6BFC1FD4">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服务标准</w:t>
            </w:r>
          </w:p>
        </w:tc>
        <w:tc>
          <w:tcPr>
            <w:tcW w:w="8186" w:type="dxa"/>
            <w:gridSpan w:val="4"/>
            <w:noWrap w:val="0"/>
            <w:vAlign w:val="center"/>
          </w:tcPr>
          <w:p w14:paraId="593D2285">
            <w:pPr>
              <w:spacing w:line="36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符合国家规定的标准、政策和现行技术规范、规程要求。</w:t>
            </w:r>
          </w:p>
        </w:tc>
      </w:tr>
      <w:tr w14:paraId="4CBF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19" w:type="dxa"/>
            <w:gridSpan w:val="2"/>
            <w:noWrap w:val="0"/>
            <w:vAlign w:val="center"/>
          </w:tcPr>
          <w:p w14:paraId="339ED5F6">
            <w:pPr>
              <w:snapToGrid w:val="0"/>
              <w:spacing w:line="360" w:lineRule="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付款方式</w:t>
            </w:r>
          </w:p>
        </w:tc>
        <w:tc>
          <w:tcPr>
            <w:tcW w:w="8186" w:type="dxa"/>
            <w:gridSpan w:val="4"/>
            <w:noWrap w:val="0"/>
            <w:vAlign w:val="center"/>
          </w:tcPr>
          <w:p w14:paraId="74FEAFBD">
            <w:pPr>
              <w:snapToGrid w:val="0"/>
              <w:spacing w:line="36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在签订合同后5个工作日内，采购人向市财政局申请拨付预估合同金额总额的30%给成交供应商作为项目工作启动经费；项目服务全部结束，采购人验收项目合格后5个工作日内，进行实际发生费用结算，采购人向市财政局申请一次性付清剩余的服务费总额，具体按实际发生的维修保养内容进行结算，但结算金额不得超过本项目预估合同金额。</w:t>
            </w:r>
          </w:p>
        </w:tc>
      </w:tr>
      <w:tr w14:paraId="0CDA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19" w:type="dxa"/>
            <w:gridSpan w:val="2"/>
            <w:noWrap w:val="0"/>
            <w:vAlign w:val="center"/>
          </w:tcPr>
          <w:p w14:paraId="09D4EA2D">
            <w:pPr>
              <w:snapToGrid w:val="0"/>
              <w:spacing w:line="360" w:lineRule="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合同签订时间</w:t>
            </w:r>
          </w:p>
        </w:tc>
        <w:tc>
          <w:tcPr>
            <w:tcW w:w="8186" w:type="dxa"/>
            <w:gridSpan w:val="4"/>
            <w:noWrap w:val="0"/>
            <w:vAlign w:val="center"/>
          </w:tcPr>
          <w:p w14:paraId="67114F6E">
            <w:pPr>
              <w:snapToGrid w:val="0"/>
              <w:spacing w:line="36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合同签订时间：自成交通知书发出之日起25日内。</w:t>
            </w:r>
          </w:p>
        </w:tc>
      </w:tr>
      <w:tr w14:paraId="14CA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19" w:type="dxa"/>
            <w:gridSpan w:val="2"/>
            <w:noWrap w:val="0"/>
            <w:vAlign w:val="center"/>
          </w:tcPr>
          <w:p w14:paraId="769A1DCA">
            <w:pPr>
              <w:snapToGrid w:val="0"/>
              <w:spacing w:line="360" w:lineRule="auto"/>
              <w:rPr>
                <w:rFonts w:hint="default" w:ascii="宋体" w:hAnsi="宋体" w:eastAsia="宋体" w:cs="宋体"/>
                <w:color w:val="auto"/>
                <w:sz w:val="21"/>
                <w:szCs w:val="21"/>
                <w:highlight w:val="none"/>
                <w:lang w:val="en-US"/>
              </w:rPr>
            </w:pPr>
            <w:r>
              <w:rPr>
                <w:rFonts w:hint="eastAsia" w:ascii="宋体" w:hAnsi="宋体" w:eastAsia="宋体" w:cs="宋体"/>
                <w:b/>
                <w:color w:val="auto"/>
                <w:sz w:val="21"/>
                <w:szCs w:val="21"/>
                <w:highlight w:val="none"/>
                <w:lang w:eastAsia="zh-CN"/>
              </w:rPr>
              <w:t>服务</w:t>
            </w:r>
            <w:r>
              <w:rPr>
                <w:rFonts w:hint="eastAsia" w:ascii="宋体" w:hAnsi="宋体" w:eastAsia="宋体" w:cs="宋体"/>
                <w:b/>
                <w:color w:val="auto"/>
                <w:sz w:val="21"/>
                <w:szCs w:val="21"/>
                <w:highlight w:val="none"/>
                <w:lang w:val="en-US" w:eastAsia="zh-CN"/>
              </w:rPr>
              <w:t>期限及服务地点</w:t>
            </w:r>
          </w:p>
        </w:tc>
        <w:tc>
          <w:tcPr>
            <w:tcW w:w="8186" w:type="dxa"/>
            <w:gridSpan w:val="4"/>
            <w:noWrap w:val="0"/>
            <w:vAlign w:val="center"/>
          </w:tcPr>
          <w:p w14:paraId="0C672390">
            <w:pPr>
              <w:widowControl w:val="0"/>
              <w:spacing w:before="25" w:after="25" w:line="360" w:lineRule="auto"/>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1.服务时间：</w:t>
            </w:r>
            <w:r>
              <w:rPr>
                <w:rFonts w:hint="eastAsia" w:ascii="Times New Roman" w:hAnsi="Times New Roman" w:eastAsia="宋体" w:cs="Times New Roman"/>
                <w:color w:val="auto"/>
                <w:szCs w:val="21"/>
                <w:highlight w:val="none"/>
                <w:lang w:val="en-US" w:eastAsia="zh-CN"/>
              </w:rPr>
              <w:t>自采购人书面通知成交供应商船舶可开始维修之日（以《船舶进厂维修通知书》日期为准）起算，成交供应商需在60天内完成两艘船舶的全部维修工作并完成验收交付采购人。若采购人追加修理项目或补充隐蔽项目，追加周期协商另定；如因不可抗力的自然灾害影响项目进度，经双方商定可顺延工期，但顺延工期不得超过灾害周期的天数。</w:t>
            </w:r>
          </w:p>
          <w:p w14:paraId="20B2186F">
            <w:pPr>
              <w:widowControl w:val="0"/>
              <w:spacing w:before="25" w:after="25" w:line="360" w:lineRule="auto"/>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2.维修地点：</w:t>
            </w:r>
            <w:r>
              <w:rPr>
                <w:rFonts w:hint="eastAsia" w:ascii="宋体" w:hAnsi="宋体" w:eastAsia="宋体" w:cs="Times New Roman"/>
                <w:color w:val="auto"/>
                <w:szCs w:val="21"/>
                <w:highlight w:val="none"/>
              </w:rPr>
              <w:t>因船舶目前不适航，维修地点要求在广西沿海地区</w:t>
            </w:r>
            <w:r>
              <w:rPr>
                <w:rFonts w:hint="eastAsia" w:ascii="宋体" w:hAnsi="宋体" w:eastAsia="宋体" w:cs="Times New Roman"/>
                <w:color w:val="auto"/>
                <w:szCs w:val="21"/>
                <w:highlight w:val="none"/>
                <w:lang w:eastAsia="zh-CN"/>
              </w:rPr>
              <w:t>。</w:t>
            </w:r>
          </w:p>
        </w:tc>
      </w:tr>
      <w:tr w14:paraId="40D9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19" w:type="dxa"/>
            <w:gridSpan w:val="2"/>
            <w:noWrap w:val="0"/>
            <w:vAlign w:val="center"/>
          </w:tcPr>
          <w:p w14:paraId="494147DF">
            <w:pPr>
              <w:snapToGrid w:val="0"/>
              <w:spacing w:line="360" w:lineRule="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其他要求</w:t>
            </w:r>
          </w:p>
          <w:p w14:paraId="3179E2DF">
            <w:pPr>
              <w:widowControl w:val="0"/>
              <w:spacing w:before="25" w:after="25" w:line="360" w:lineRule="auto"/>
              <w:jc w:val="left"/>
              <w:rPr>
                <w:rFonts w:hint="eastAsia" w:ascii="宋体" w:hAnsi="宋体" w:eastAsia="宋体" w:cs="宋体"/>
                <w:b/>
                <w:bCs/>
                <w:color w:val="auto"/>
                <w:spacing w:val="10"/>
                <w:kern w:val="0"/>
                <w:sz w:val="21"/>
                <w:szCs w:val="21"/>
                <w:highlight w:val="none"/>
                <w:lang w:val="en-US" w:eastAsia="zh-CN" w:bidi="ar-SA"/>
              </w:rPr>
            </w:pPr>
          </w:p>
        </w:tc>
        <w:tc>
          <w:tcPr>
            <w:tcW w:w="8186" w:type="dxa"/>
            <w:gridSpan w:val="4"/>
            <w:noWrap w:val="0"/>
            <w:vAlign w:val="center"/>
          </w:tcPr>
          <w:p w14:paraId="4CCCB44B">
            <w:pPr>
              <w:widowControl w:val="0"/>
              <w:numPr>
                <w:ilvl w:val="0"/>
                <w:numId w:val="0"/>
              </w:numPr>
              <w:spacing w:before="25" w:after="25" w:line="360" w:lineRule="auto"/>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1.成交供应商在接收维修船只后、维保期间，应严格遵守安全规程操作，成交供应商因实施项目过程中造成人员伤亡、财产安全事故责任，由成交供应商承担，采购人概不负责。</w:t>
            </w:r>
          </w:p>
          <w:p w14:paraId="46DBFEC9">
            <w:pPr>
              <w:widowControl w:val="0"/>
              <w:numPr>
                <w:ilvl w:val="0"/>
                <w:numId w:val="0"/>
              </w:numPr>
              <w:spacing w:before="25" w:after="25" w:line="360" w:lineRule="auto"/>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2.成交供应商在服务期限内不定期为采购人提供技术咨询与指导服务。</w:t>
            </w:r>
          </w:p>
          <w:p w14:paraId="35EDB57E">
            <w:pPr>
              <w:widowControl w:val="0"/>
              <w:numPr>
                <w:ilvl w:val="0"/>
                <w:numId w:val="0"/>
              </w:numPr>
              <w:spacing w:before="25" w:after="25" w:line="360" w:lineRule="auto"/>
              <w:jc w:val="both"/>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3.船舶修理所需设备、配件或材料由成交供应商负责，供货时要求提供相应有效的产品质量证书；若验船师要求提供渔检证书的，则成交供应商要无条件提供渔检证书原件，否则不予验收。 </w:t>
            </w:r>
          </w:p>
          <w:p w14:paraId="0753CFEE">
            <w:pPr>
              <w:widowControl w:val="0"/>
              <w:numPr>
                <w:ilvl w:val="0"/>
                <w:numId w:val="0"/>
              </w:numPr>
              <w:spacing w:before="25" w:after="25" w:line="360" w:lineRule="auto"/>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成交供应商提供的产品必须保证是原厂全新正品，按国家有关规定实行“三包”，质保期一年（自项目验收合格之日起计），一年内免费定期回访及维护。保修期内，如属成交供应商修理范围内出现的质量问题由成交供应商负责修复或更换，不得额外收取任何费用。</w:t>
            </w:r>
          </w:p>
          <w:p w14:paraId="2A19102E">
            <w:pPr>
              <w:widowControl w:val="0"/>
              <w:numPr>
                <w:ilvl w:val="0"/>
                <w:numId w:val="0"/>
              </w:numPr>
              <w:spacing w:before="25" w:after="25" w:line="360" w:lineRule="auto"/>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5.在合同期间，出现任何维护保养问题，接到采购人通知后，成交供应商在两小时内到达解决，若维修工期长，或需更换零配件的，则应及时通知采购人，并提供处理方案及工期。</w:t>
            </w:r>
          </w:p>
          <w:p w14:paraId="69448A9F">
            <w:pPr>
              <w:widowControl w:val="0"/>
              <w:numPr>
                <w:ilvl w:val="0"/>
                <w:numId w:val="0"/>
              </w:numPr>
              <w:spacing w:before="25" w:after="25" w:line="360" w:lineRule="auto"/>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维修合格后若出现故障，到船响应时间应在接到故障通知书后24小时内到达故障现场，一般问题应在到船后48小时内解决，重大问题或其他无法迅速解决的问题应在一周内解决。维修检验合格后6个月内出现掉漆情况，由成交供应商负责修复，不得额外收取任何费用。</w:t>
            </w:r>
          </w:p>
          <w:p w14:paraId="44FDDE14">
            <w:pPr>
              <w:wordWrap w:val="0"/>
              <w:spacing w:line="400" w:lineRule="exact"/>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成交供应商自行联系船舶维修所在地有权限的渔业船舶检验机构对承修船舶进行检验，如成交供应商不能完成船舶检验工作，采购人有权依法停止该合同，并上报监管部门。成交供应商的维保成果必须通过渔业船舶检验机构的检验，获得船检证书，方可视为项目验收合格。</w:t>
            </w:r>
          </w:p>
          <w:p w14:paraId="78B581B9">
            <w:pPr>
              <w:widowControl w:val="0"/>
              <w:numPr>
                <w:ilvl w:val="0"/>
                <w:numId w:val="0"/>
              </w:numPr>
              <w:spacing w:before="25" w:after="25" w:line="360" w:lineRule="auto"/>
              <w:jc w:val="both"/>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供应商应具备船舶修理所需要的停坞场地及人员设备，并在维修工作开始前取得行政管理部门颁发的排污许可证、安全生产许可证以及环保批文，确保维修服务合法合规正常进行。船坞到达成交供应商维修场地前，成交供应商应指派专业人员或引航艇引导船只进入停坞场地，以确保维修服务安全进行。</w:t>
            </w:r>
          </w:p>
          <w:p w14:paraId="35B035E1">
            <w:pPr>
              <w:wordWrap w:val="0"/>
              <w:spacing w:line="400" w:lineRule="exac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安全消防及其他约定：成交供应商应在合同签订后2日内，为本项目维保期限内的相关作业购买安全责任保险；船舶在修理期间修理工程的安全由成交供应商负责，确保船舶安全。成交供应商在施工期间要做好船舶的防火安全工作，要做好防盗及防台等工作。成交供应商人员应遵守采购人的各项规章制度，如因成交供应商操作不当而造成船上财产损失或人员伤害，成交供应商负全责并赔偿采购人损失。船方人员及个人财物的安全防范以采购人为主。</w:t>
            </w:r>
          </w:p>
          <w:p w14:paraId="2B04607B">
            <w:pPr>
              <w:wordWrap w:val="0"/>
              <w:spacing w:line="400" w:lineRule="exact"/>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val="en-US" w:eastAsia="zh-CN" w:bidi="ar-SA"/>
              </w:rPr>
              <w:t>10.</w:t>
            </w:r>
            <w:r>
              <w:rPr>
                <w:rFonts w:hint="eastAsia" w:ascii="宋体" w:hAnsi="宋体" w:eastAsia="宋体" w:cs="宋体"/>
                <w:color w:val="auto"/>
                <w:szCs w:val="21"/>
                <w:highlight w:val="none"/>
              </w:rPr>
              <w:t>追加项目：船舶进厂后，成交供应商按照双方核定的修理范围进行施工。在修理过程中，如发现隐蔽部位需要追加修理项目，则采购人应在4天内报送成交供应商立项修理。费用另定。追加修理项目由采购人书面提出，成交供应商报价，经采购人主管领导批准后，方可实施。凡未经采购人主管领导批准、成交供应商擅自增加的修理服务项目，发生的费用由成交供应商负责。</w:t>
            </w:r>
          </w:p>
          <w:p w14:paraId="52012B53">
            <w:pPr>
              <w:wordWrap w:val="0"/>
              <w:spacing w:line="40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11.</w:t>
            </w:r>
            <w:r>
              <w:rPr>
                <w:rFonts w:hint="eastAsia" w:ascii="宋体" w:hAnsi="宋体" w:eastAsia="宋体" w:cs="宋体"/>
                <w:color w:val="auto"/>
                <w:szCs w:val="21"/>
                <w:highlight w:val="none"/>
              </w:rPr>
              <w:t>项目施工需拆装影响作业的，视为此项目内容，不得以此为由要求采购人追加服务内容，并在完工后对拆卸的设备或部件回装（密封件、紧固件换新）测试，恢复其功能。</w:t>
            </w:r>
            <w:r>
              <w:rPr>
                <w:rFonts w:hint="eastAsia" w:ascii="宋体" w:hAnsi="宋体" w:eastAsia="宋体" w:cs="Times New Roman"/>
                <w:color w:val="auto"/>
                <w:szCs w:val="21"/>
                <w:highlight w:val="none"/>
              </w:rPr>
              <w:t>项目中更换下的</w:t>
            </w:r>
            <w:r>
              <w:rPr>
                <w:rFonts w:hint="eastAsia" w:ascii="宋体" w:hAnsi="宋体" w:eastAsia="宋体" w:cs="Times New Roman"/>
                <w:color w:val="auto"/>
                <w:szCs w:val="21"/>
                <w:highlight w:val="none"/>
                <w:lang w:eastAsia="zh-CN"/>
              </w:rPr>
              <w:t>旧</w:t>
            </w:r>
            <w:r>
              <w:rPr>
                <w:rFonts w:hint="eastAsia" w:ascii="宋体" w:hAnsi="宋体" w:eastAsia="宋体" w:cs="Times New Roman"/>
                <w:color w:val="auto"/>
                <w:szCs w:val="21"/>
                <w:highlight w:val="none"/>
              </w:rPr>
              <w:t>部件装箱打包，贴标签，集中放置于后甲板，固定稳妥</w:t>
            </w:r>
            <w:r>
              <w:rPr>
                <w:rFonts w:hint="eastAsia" w:ascii="宋体" w:hAnsi="宋体" w:eastAsia="宋体" w:cs="Times New Roman"/>
                <w:color w:val="auto"/>
                <w:szCs w:val="21"/>
                <w:highlight w:val="none"/>
                <w:lang w:eastAsia="zh-CN"/>
              </w:rPr>
              <w:t>。</w:t>
            </w:r>
          </w:p>
          <w:p w14:paraId="4EFA0E27">
            <w:pPr>
              <w:wordWrap w:val="0"/>
              <w:spacing w:line="40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12.</w:t>
            </w:r>
            <w:r>
              <w:rPr>
                <w:rFonts w:hint="eastAsia" w:ascii="宋体" w:hAnsi="宋体" w:eastAsia="宋体" w:cs="宋体"/>
                <w:color w:val="auto"/>
                <w:szCs w:val="21"/>
                <w:highlight w:val="none"/>
              </w:rPr>
              <w:t>成交供应商自行联系船舶维修所在地有权限的渔业船舶检验机构对承修船舶进行检验，如成交供应商不能完成船舶检验工作，采购人有权依法停止该合同，并上报监管部门</w:t>
            </w:r>
            <w:r>
              <w:rPr>
                <w:rFonts w:hint="eastAsia" w:ascii="宋体" w:hAnsi="宋体" w:eastAsia="宋体" w:cs="宋体"/>
                <w:color w:val="auto"/>
                <w:szCs w:val="21"/>
                <w:highlight w:val="none"/>
                <w:lang w:eastAsia="zh-CN"/>
              </w:rPr>
              <w:t>。</w:t>
            </w:r>
          </w:p>
          <w:p w14:paraId="503BDD27">
            <w:pPr>
              <w:wordWrap w:val="0"/>
              <w:spacing w:line="400" w:lineRule="exac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13.成交供应商需负责维修期间采购人监工</w:t>
            </w:r>
            <w:r>
              <w:rPr>
                <w:rFonts w:hint="eastAsia" w:ascii="宋体" w:hAnsi="宋体" w:eastAsia="宋体" w:cs="Times New Roman"/>
                <w:color w:val="auto"/>
                <w:szCs w:val="21"/>
                <w:highlight w:val="none"/>
              </w:rPr>
              <w:t>人员（按3人计）</w:t>
            </w:r>
            <w:r>
              <w:rPr>
                <w:rFonts w:hint="eastAsia" w:ascii="宋体" w:hAnsi="宋体" w:eastAsia="宋体" w:cs="Times New Roman"/>
                <w:color w:val="auto"/>
                <w:szCs w:val="21"/>
                <w:highlight w:val="none"/>
                <w:lang w:eastAsia="zh-CN"/>
              </w:rPr>
              <w:t>的</w:t>
            </w:r>
            <w:r>
              <w:rPr>
                <w:rFonts w:hint="eastAsia" w:ascii="宋体" w:hAnsi="宋体" w:eastAsia="宋体" w:cs="宋体"/>
                <w:color w:val="auto"/>
                <w:szCs w:val="21"/>
                <w:highlight w:val="none"/>
                <w:lang w:val="en-US" w:eastAsia="zh-CN"/>
              </w:rPr>
              <w:t>伙食与住宿费用。</w:t>
            </w:r>
          </w:p>
        </w:tc>
      </w:tr>
      <w:tr w14:paraId="2BAB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19" w:type="dxa"/>
            <w:gridSpan w:val="2"/>
            <w:noWrap w:val="0"/>
            <w:vAlign w:val="center"/>
          </w:tcPr>
          <w:p w14:paraId="37E2B7B9">
            <w:pPr>
              <w:wordWrap w:val="0"/>
              <w:spacing w:line="400" w:lineRule="exact"/>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验收方式</w:t>
            </w:r>
          </w:p>
        </w:tc>
        <w:tc>
          <w:tcPr>
            <w:tcW w:w="8186" w:type="dxa"/>
            <w:gridSpan w:val="4"/>
            <w:noWrap w:val="0"/>
            <w:vAlign w:val="center"/>
          </w:tcPr>
          <w:p w14:paraId="677680E3">
            <w:pPr>
              <w:spacing w:line="300" w:lineRule="exact"/>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严格按照采购合同开展履约验收。采购人成立验收小组，按照采购合同的约定对</w:t>
            </w:r>
            <w:r>
              <w:rPr>
                <w:rFonts w:hint="eastAsia" w:ascii="宋体" w:hAnsi="宋体" w:eastAsia="宋体" w:cs="宋体"/>
                <w:color w:val="auto"/>
                <w:kern w:val="0"/>
                <w:sz w:val="21"/>
                <w:szCs w:val="21"/>
                <w:highlight w:val="none"/>
                <w:lang w:val="en-US" w:eastAsia="zh-CN" w:bidi="ar-SA"/>
              </w:rPr>
              <w:t>成交</w:t>
            </w:r>
            <w:r>
              <w:rPr>
                <w:rFonts w:hint="default" w:ascii="宋体" w:hAnsi="宋体" w:eastAsia="宋体" w:cs="宋体"/>
                <w:color w:val="auto"/>
                <w:kern w:val="0"/>
                <w:sz w:val="21"/>
                <w:szCs w:val="21"/>
                <w:highlight w:val="none"/>
                <w:lang w:val="en-US" w:eastAsia="zh-CN" w:bidi="ar-SA"/>
              </w:rPr>
              <w:t>供应商履约情况进行验收。验收时，按照采购合同的约定对每一项技术、服务、安全标准的履约情况进行确认。验收结束后，应当出具验收书，列明各项标准的验收情况及项目总体评价，由验收双方共同签署。验收合格的项目，</w:t>
            </w:r>
            <w:r>
              <w:rPr>
                <w:rFonts w:hint="eastAsia" w:ascii="宋体" w:hAnsi="宋体" w:eastAsia="宋体" w:cs="宋体"/>
                <w:color w:val="auto"/>
                <w:kern w:val="0"/>
                <w:sz w:val="21"/>
                <w:szCs w:val="21"/>
                <w:highlight w:val="none"/>
                <w:lang w:val="en-US" w:eastAsia="zh-CN" w:bidi="ar-SA"/>
              </w:rPr>
              <w:t>采购人</w:t>
            </w:r>
            <w:r>
              <w:rPr>
                <w:rFonts w:hint="default" w:ascii="宋体" w:hAnsi="宋体" w:eastAsia="宋体" w:cs="宋体"/>
                <w:color w:val="auto"/>
                <w:kern w:val="0"/>
                <w:sz w:val="21"/>
                <w:szCs w:val="21"/>
                <w:highlight w:val="none"/>
                <w:lang w:val="en-US" w:eastAsia="zh-CN" w:bidi="ar-SA"/>
              </w:rPr>
              <w:t>将根据采购合同的约定及时向</w:t>
            </w:r>
            <w:r>
              <w:rPr>
                <w:rFonts w:hint="eastAsia" w:ascii="宋体" w:hAnsi="宋体" w:eastAsia="宋体" w:cs="宋体"/>
                <w:color w:val="auto"/>
                <w:kern w:val="0"/>
                <w:sz w:val="21"/>
                <w:szCs w:val="21"/>
                <w:highlight w:val="none"/>
                <w:lang w:val="en-US" w:eastAsia="zh-CN" w:bidi="ar-SA"/>
              </w:rPr>
              <w:t>成交</w:t>
            </w:r>
            <w:r>
              <w:rPr>
                <w:rFonts w:hint="default" w:ascii="宋体" w:hAnsi="宋体" w:eastAsia="宋体" w:cs="宋体"/>
                <w:color w:val="auto"/>
                <w:kern w:val="0"/>
                <w:sz w:val="21"/>
                <w:szCs w:val="21"/>
                <w:highlight w:val="none"/>
                <w:lang w:val="en-US" w:eastAsia="zh-CN" w:bidi="ar-SA"/>
              </w:rPr>
              <w:t>供应商支付采购资金。</w:t>
            </w:r>
          </w:p>
          <w:p w14:paraId="0C6F807D">
            <w:pPr>
              <w:spacing w:line="300" w:lineRule="exact"/>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验收标准：</w:t>
            </w:r>
          </w:p>
          <w:p w14:paraId="07DBEDA8">
            <w:pPr>
              <w:spacing w:line="300" w:lineRule="exact"/>
              <w:rPr>
                <w:rFonts w:hint="eastAsia" w:ascii="宋体" w:hAnsi="宋体" w:eastAsia="宋体" w:cs="Courier New"/>
                <w:bCs/>
                <w:color w:val="auto"/>
                <w:szCs w:val="21"/>
                <w:highlight w:val="none"/>
                <w:lang w:eastAsia="zh-CN"/>
              </w:rPr>
            </w:pPr>
            <w:r>
              <w:rPr>
                <w:rFonts w:hint="eastAsia" w:ascii="宋体" w:hAnsi="宋体" w:eastAsia="宋体" w:cs="Times New Roman"/>
                <w:color w:val="auto"/>
                <w:szCs w:val="21"/>
                <w:highlight w:val="none"/>
              </w:rPr>
              <w:t>（1）</w:t>
            </w:r>
            <w:r>
              <w:rPr>
                <w:rFonts w:hint="eastAsia" w:ascii="宋体" w:hAnsi="宋体" w:eastAsia="宋体" w:cs="Courier New"/>
                <w:bCs/>
                <w:color w:val="auto"/>
                <w:szCs w:val="21"/>
                <w:highlight w:val="none"/>
              </w:rPr>
              <w:t>船舶验收按中华人民共和国海事局《国内航行海船法定检验技术规则》执行，规范未明确部分应参考图纸要求、设备使用说明书和历次修船技术状况验收，并由验船师检验认可</w:t>
            </w:r>
            <w:r>
              <w:rPr>
                <w:rFonts w:hint="eastAsia" w:ascii="宋体" w:hAnsi="宋体" w:eastAsia="宋体" w:cs="Courier New"/>
                <w:bCs/>
                <w:color w:val="auto"/>
                <w:szCs w:val="21"/>
                <w:highlight w:val="none"/>
                <w:lang w:eastAsia="zh-CN"/>
              </w:rPr>
              <w:t>。</w:t>
            </w:r>
          </w:p>
          <w:p w14:paraId="50E739C0">
            <w:pPr>
              <w:spacing w:line="3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（2）其他未尽事宜应严格按照《关于印发广西壮族自治区政府采购项目履约验收管理办法的通知》[桂财采﹝2015﹞22号] 以及《财政部关于进一步加强政府采购需求和履约验收管理的指导意见》[财库﹝2016﹞205号]规定执行。</w:t>
            </w:r>
          </w:p>
          <w:p w14:paraId="0B015968">
            <w:pPr>
              <w:wordWrap w:val="0"/>
              <w:spacing w:line="400" w:lineRule="exact"/>
              <w:rPr>
                <w:rFonts w:hint="default" w:ascii="宋体" w:hAnsi="宋体" w:eastAsia="宋体" w:cs="宋体"/>
                <w:color w:val="auto"/>
                <w:kern w:val="0"/>
                <w:sz w:val="21"/>
                <w:szCs w:val="21"/>
                <w:highlight w:val="none"/>
                <w:lang w:val="en-US" w:eastAsia="zh-CN" w:bidi="ar-SA"/>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）验收产生的费用由</w:t>
            </w:r>
            <w:r>
              <w:rPr>
                <w:rFonts w:hint="eastAsia" w:ascii="宋体" w:hAnsi="宋体" w:eastAsia="宋体" w:cs="Times New Roman"/>
                <w:color w:val="auto"/>
                <w:szCs w:val="21"/>
                <w:highlight w:val="none"/>
                <w:lang w:val="en-US" w:eastAsia="zh-CN"/>
              </w:rPr>
              <w:t>成交人</w:t>
            </w:r>
            <w:r>
              <w:rPr>
                <w:rFonts w:hint="eastAsia" w:ascii="宋体" w:hAnsi="宋体" w:eastAsia="宋体" w:cs="Times New Roman"/>
                <w:color w:val="auto"/>
                <w:szCs w:val="21"/>
                <w:highlight w:val="none"/>
              </w:rPr>
              <w:t>负责。</w:t>
            </w:r>
          </w:p>
        </w:tc>
      </w:tr>
    </w:tbl>
    <w:p w14:paraId="5961A02A">
      <w:pPr>
        <w:bidi w:val="0"/>
        <w:rPr>
          <w:rFonts w:hint="eastAsia" w:ascii="Arial Unicode MS" w:hAnsi="Arial Unicode MS" w:eastAsia="Arial Unicode MS" w:cs="Arial Unicode MS"/>
          <w:color w:val="auto"/>
          <w:sz w:val="32"/>
          <w:szCs w:val="32"/>
          <w:highlight w:val="none"/>
        </w:rPr>
      </w:pPr>
      <w:r>
        <w:rPr>
          <w:rFonts w:hint="eastAsia" w:ascii="Arial Unicode MS" w:hAnsi="Arial Unicode MS" w:eastAsia="Arial Unicode MS" w:cs="Arial Unicode MS"/>
          <w:color w:val="auto"/>
          <w:sz w:val="32"/>
          <w:szCs w:val="32"/>
          <w:highlight w:val="none"/>
        </w:rPr>
        <w:br w:type="page"/>
      </w:r>
      <w:r>
        <w:rPr>
          <w:rFonts w:hint="eastAsia" w:ascii="Arial Unicode MS" w:hAnsi="Arial Unicode MS" w:eastAsia="Arial Unicode MS" w:cs="Arial Unicode MS"/>
          <w:color w:val="auto"/>
          <w:sz w:val="32"/>
          <w:szCs w:val="32"/>
          <w:highlight w:val="none"/>
          <w:lang w:val="en-US" w:eastAsia="zh-CN"/>
        </w:rPr>
        <w:t>附表1：</w:t>
      </w:r>
    </w:p>
    <w:tbl>
      <w:tblPr>
        <w:tblStyle w:val="11"/>
        <w:tblW w:w="90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76"/>
        <w:gridCol w:w="2311"/>
        <w:gridCol w:w="3179"/>
        <w:gridCol w:w="962"/>
        <w:gridCol w:w="1072"/>
      </w:tblGrid>
      <w:tr w14:paraId="73704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411" w:type="dxa"/>
          <w:wAfter w:w="535" w:type="dxa"/>
          <w:trHeight w:val="337" w:hRule="atLeast"/>
        </w:trPr>
        <w:tc>
          <w:tcPr>
            <w:tcW w:w="9000" w:type="dxa"/>
            <w:gridSpan w:val="3"/>
            <w:tcBorders>
              <w:top w:val="nil"/>
              <w:left w:val="nil"/>
              <w:bottom w:val="nil"/>
              <w:right w:val="nil"/>
            </w:tcBorders>
            <w:noWrap w:val="0"/>
            <w:vAlign w:val="center"/>
          </w:tcPr>
          <w:p w14:paraId="6BCA3A49">
            <w:pPr>
              <w:keepNext w:val="0"/>
              <w:keepLines w:val="0"/>
              <w:widowControl/>
              <w:suppressLineNumbers w:val="0"/>
              <w:jc w:val="center"/>
              <w:textAlignment w:val="center"/>
              <w:rPr>
                <w:rFonts w:hint="eastAsia" w:ascii="宋体" w:hAnsi="宋体" w:eastAsia="宋体" w:cs="宋体"/>
                <w:b/>
                <w:bCs/>
                <w:i w:val="0"/>
                <w:iCs w:val="0"/>
                <w:color w:val="auto"/>
                <w:kern w:val="0"/>
                <w:sz w:val="36"/>
                <w:szCs w:val="36"/>
                <w:highlight w:val="none"/>
                <w:u w:val="none"/>
                <w:lang w:val="en-US" w:eastAsia="zh-CN" w:bidi="ar"/>
              </w:rPr>
            </w:pPr>
            <w:r>
              <w:rPr>
                <w:rFonts w:hint="eastAsia" w:ascii="宋体" w:hAnsi="宋体" w:eastAsia="宋体" w:cs="宋体"/>
                <w:b/>
                <w:bCs/>
                <w:i w:val="0"/>
                <w:iCs w:val="0"/>
                <w:color w:val="auto"/>
                <w:kern w:val="0"/>
                <w:sz w:val="36"/>
                <w:szCs w:val="36"/>
                <w:highlight w:val="none"/>
                <w:u w:val="none"/>
                <w:lang w:val="en-US" w:eastAsia="zh-CN" w:bidi="ar"/>
              </w:rPr>
              <w:t>中国海监1117船运行维护（中期维修服务）项目维修明细表</w:t>
            </w:r>
          </w:p>
          <w:p w14:paraId="42197721">
            <w:pPr>
              <w:keepNext w:val="0"/>
              <w:keepLines w:val="0"/>
              <w:widowControl/>
              <w:suppressLineNumbers w:val="0"/>
              <w:jc w:val="center"/>
              <w:textAlignment w:val="center"/>
              <w:rPr>
                <w:rFonts w:hint="eastAsia" w:ascii="宋体" w:hAnsi="宋体" w:eastAsia="宋体" w:cs="宋体"/>
                <w:b/>
                <w:bCs/>
                <w:i w:val="0"/>
                <w:iCs w:val="0"/>
                <w:color w:val="auto"/>
                <w:kern w:val="0"/>
                <w:sz w:val="36"/>
                <w:szCs w:val="36"/>
                <w:highlight w:val="none"/>
                <w:u w:val="none"/>
                <w:lang w:val="en-US" w:eastAsia="zh-CN" w:bidi="ar"/>
              </w:rPr>
            </w:pPr>
          </w:p>
        </w:tc>
      </w:tr>
      <w:tr w14:paraId="3CE12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457" w:type="pct"/>
            <w:tcBorders>
              <w:top w:val="single" w:color="000000" w:sz="4" w:space="0"/>
              <w:left w:val="single" w:color="000000" w:sz="4" w:space="0"/>
              <w:bottom w:val="single" w:color="000000" w:sz="4" w:space="0"/>
              <w:right w:val="single" w:color="000000" w:sz="4" w:space="0"/>
            </w:tcBorders>
            <w:noWrap/>
            <w:vAlign w:val="center"/>
          </w:tcPr>
          <w:p w14:paraId="2BF807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3412" w:type="pct"/>
            <w:gridSpan w:val="2"/>
            <w:tcBorders>
              <w:top w:val="single" w:color="000000" w:sz="4" w:space="0"/>
              <w:left w:val="single" w:color="000000" w:sz="4" w:space="0"/>
              <w:bottom w:val="single" w:color="000000" w:sz="4" w:space="0"/>
              <w:right w:val="single" w:color="000000" w:sz="4" w:space="0"/>
            </w:tcBorders>
            <w:noWrap/>
            <w:vAlign w:val="center"/>
          </w:tcPr>
          <w:p w14:paraId="095A3C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内容</w:t>
            </w: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1C6F6A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单位</w:t>
            </w:r>
          </w:p>
        </w:tc>
        <w:tc>
          <w:tcPr>
            <w:tcW w:w="595" w:type="pct"/>
            <w:tcBorders>
              <w:top w:val="single" w:color="000000" w:sz="4" w:space="0"/>
              <w:left w:val="single" w:color="000000" w:sz="4" w:space="0"/>
              <w:bottom w:val="single" w:color="000000" w:sz="4" w:space="0"/>
              <w:right w:val="single" w:color="000000" w:sz="4" w:space="0"/>
            </w:tcBorders>
            <w:noWrap/>
            <w:vAlign w:val="center"/>
          </w:tcPr>
          <w:p w14:paraId="743030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数量</w:t>
            </w:r>
          </w:p>
        </w:tc>
      </w:tr>
      <w:tr w14:paraId="657E4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57" w:type="pct"/>
            <w:tcBorders>
              <w:top w:val="single" w:color="000000" w:sz="4" w:space="0"/>
              <w:left w:val="single" w:color="000000" w:sz="4" w:space="0"/>
              <w:bottom w:val="single" w:color="000000" w:sz="4" w:space="0"/>
              <w:right w:val="single" w:color="000000" w:sz="4" w:space="0"/>
            </w:tcBorders>
            <w:noWrap/>
            <w:vAlign w:val="center"/>
          </w:tcPr>
          <w:p w14:paraId="4B2695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两台主机项目</w:t>
            </w:r>
          </w:p>
        </w:tc>
        <w:tc>
          <w:tcPr>
            <w:tcW w:w="3412" w:type="pct"/>
            <w:gridSpan w:val="2"/>
            <w:tcBorders>
              <w:top w:val="single" w:color="000000" w:sz="4" w:space="0"/>
              <w:left w:val="single" w:color="000000" w:sz="4" w:space="0"/>
              <w:bottom w:val="single" w:color="000000" w:sz="4" w:space="0"/>
              <w:right w:val="single" w:color="000000" w:sz="4" w:space="0"/>
            </w:tcBorders>
            <w:noWrap w:val="0"/>
            <w:vAlign w:val="center"/>
          </w:tcPr>
          <w:p w14:paraId="115DBD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工程项目</w:t>
            </w: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4B428F02">
            <w:pPr>
              <w:jc w:val="center"/>
              <w:rPr>
                <w:rFonts w:hint="eastAsia" w:ascii="宋体" w:hAnsi="宋体" w:eastAsia="宋体" w:cs="宋体"/>
                <w:i w:val="0"/>
                <w:iCs w:val="0"/>
                <w:color w:val="auto"/>
                <w:sz w:val="21"/>
                <w:szCs w:val="21"/>
                <w:highlight w:val="none"/>
                <w:u w:val="none"/>
              </w:rPr>
            </w:pPr>
          </w:p>
        </w:tc>
        <w:tc>
          <w:tcPr>
            <w:tcW w:w="595" w:type="pct"/>
            <w:tcBorders>
              <w:top w:val="single" w:color="000000" w:sz="4" w:space="0"/>
              <w:left w:val="single" w:color="000000" w:sz="4" w:space="0"/>
              <w:bottom w:val="single" w:color="000000" w:sz="4" w:space="0"/>
              <w:right w:val="single" w:color="000000" w:sz="4" w:space="0"/>
            </w:tcBorders>
            <w:noWrap/>
            <w:vAlign w:val="center"/>
          </w:tcPr>
          <w:p w14:paraId="2B972653">
            <w:pPr>
              <w:jc w:val="center"/>
              <w:rPr>
                <w:rFonts w:hint="eastAsia" w:ascii="宋体" w:hAnsi="宋体" w:eastAsia="宋体" w:cs="宋体"/>
                <w:i w:val="0"/>
                <w:iCs w:val="0"/>
                <w:color w:val="auto"/>
                <w:sz w:val="21"/>
                <w:szCs w:val="21"/>
                <w:highlight w:val="none"/>
                <w:u w:val="none"/>
              </w:rPr>
            </w:pPr>
          </w:p>
        </w:tc>
      </w:tr>
      <w:tr w14:paraId="35B0B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0F7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6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FDCE6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发动机机油过滤器</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06949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检查</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736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B226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r>
      <w:tr w14:paraId="121F4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C70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6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0EE79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离心式机油过滤器</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AEB87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检查残油层的厚度。清洁，更换滤纸。</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9A0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B61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r>
      <w:tr w14:paraId="3BFEE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11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26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F6C19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燃油过滤器</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929DE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检查</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892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14B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r>
      <w:tr w14:paraId="36BDA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58B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26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BDAC7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油水分离器</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4C63F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更换</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7E1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E94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r>
      <w:tr w14:paraId="1619B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D59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26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9DDE1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曲轴箱通风装置</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83A5C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更换滤芯</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D97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0A18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r>
      <w:tr w14:paraId="4592A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63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26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8AE62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发动机支座</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63827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检查弹性支座的间隙</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BA7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572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r>
      <w:tr w14:paraId="24940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CAA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26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48F9A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配气机构</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1709B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调整气阀间隙</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B54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BDB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r>
      <w:tr w14:paraId="70963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9EE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26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CB973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空气过滤器</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9CDDE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检查</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56B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800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r>
      <w:tr w14:paraId="5F159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1D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26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39CA1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喷油器</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86420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拆检，上平台测试，</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108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949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r>
      <w:tr w14:paraId="0626A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E5E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26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5B911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燃烧室</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C8C2E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检查，清洁</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60C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DF7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r>
      <w:tr w14:paraId="302D3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CB2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26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9EEE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气缸头</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CD880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拆卸、清洁，试压，检查、研磨气阀及阀座；检查摇臂、阀桥、转阀机构等</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306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D9A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r>
      <w:tr w14:paraId="44D0B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1A13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12</w:t>
            </w:r>
          </w:p>
        </w:tc>
        <w:tc>
          <w:tcPr>
            <w:tcW w:w="26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AC094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热交换器</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6C722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拆装，清洗，检查，更换密封件，如需更换胶条，价格另计</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6B2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134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r>
      <w:tr w14:paraId="56E9B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91A4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13</w:t>
            </w:r>
          </w:p>
        </w:tc>
        <w:tc>
          <w:tcPr>
            <w:tcW w:w="26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E31B8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空气管路</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6A1A3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清洁，检查，更换密封件</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472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379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r>
      <w:tr w14:paraId="64AB2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0F5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26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3D59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发动冷却液</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C5078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更换</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2E6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65AC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r>
    </w:tbl>
    <w:p w14:paraId="6C71570D">
      <w:pPr>
        <w:bidi w:val="0"/>
        <w:rPr>
          <w:rFonts w:hint="eastAsia" w:ascii="Arial Unicode MS" w:hAnsi="Arial Unicode MS" w:eastAsia="Arial Unicode MS" w:cs="Arial Unicode MS"/>
          <w:color w:val="auto"/>
          <w:sz w:val="32"/>
          <w:szCs w:val="32"/>
          <w:highlight w:val="none"/>
        </w:rPr>
      </w:pPr>
    </w:p>
    <w:p w14:paraId="3C564326">
      <w:pPr>
        <w:bidi w:val="0"/>
        <w:rPr>
          <w:rFonts w:hint="eastAsia" w:ascii="Arial Unicode MS" w:hAnsi="Arial Unicode MS" w:eastAsia="Arial Unicode MS" w:cs="Arial Unicode MS"/>
          <w:color w:val="auto"/>
          <w:sz w:val="32"/>
          <w:szCs w:val="32"/>
          <w:highlight w:val="none"/>
        </w:rPr>
      </w:pPr>
    </w:p>
    <w:p w14:paraId="13BAB627">
      <w:pPr>
        <w:bidi w:val="0"/>
        <w:rPr>
          <w:rFonts w:hint="eastAsia" w:ascii="Arial Unicode MS" w:hAnsi="Arial Unicode MS" w:eastAsia="Arial Unicode MS" w:cs="Arial Unicode MS"/>
          <w:color w:val="auto"/>
          <w:sz w:val="32"/>
          <w:szCs w:val="32"/>
          <w:highlight w:val="none"/>
          <w:lang w:val="en-US" w:eastAsia="zh-CN"/>
        </w:rPr>
      </w:pPr>
      <w:r>
        <w:rPr>
          <w:rFonts w:hint="eastAsia" w:ascii="Arial Unicode MS" w:hAnsi="Arial Unicode MS" w:eastAsia="Arial Unicode MS" w:cs="Arial Unicode MS"/>
          <w:color w:val="auto"/>
          <w:sz w:val="32"/>
          <w:szCs w:val="32"/>
          <w:highlight w:val="none"/>
          <w:lang w:val="en-US" w:eastAsia="zh-CN"/>
        </w:rPr>
        <w:br w:type="page"/>
      </w:r>
      <w:r>
        <w:rPr>
          <w:rFonts w:hint="eastAsia" w:ascii="Arial Unicode MS" w:hAnsi="Arial Unicode MS" w:eastAsia="Arial Unicode MS" w:cs="Arial Unicode MS"/>
          <w:color w:val="auto"/>
          <w:sz w:val="32"/>
          <w:szCs w:val="32"/>
          <w:highlight w:val="none"/>
          <w:lang w:val="en-US" w:eastAsia="zh-CN"/>
        </w:rPr>
        <w:t>附表2：中国海监1125艇</w:t>
      </w:r>
      <w:r>
        <w:rPr>
          <w:rFonts w:hint="eastAsia" w:ascii="Arial Unicode MS" w:hAnsi="Arial Unicode MS" w:eastAsia="Arial Unicode MS" w:cs="Arial Unicode MS"/>
          <w:color w:val="auto"/>
          <w:sz w:val="32"/>
          <w:szCs w:val="32"/>
          <w:highlight w:val="none"/>
        </w:rPr>
        <w:t>中期维修项目</w:t>
      </w:r>
      <w:r>
        <w:rPr>
          <w:rFonts w:hint="eastAsia" w:ascii="Arial Unicode MS" w:hAnsi="Arial Unicode MS" w:eastAsia="Arial Unicode MS" w:cs="Arial Unicode MS"/>
          <w:color w:val="auto"/>
          <w:sz w:val="32"/>
          <w:szCs w:val="32"/>
          <w:highlight w:val="none"/>
          <w:lang w:val="en-US" w:eastAsia="zh-CN"/>
        </w:rPr>
        <w:t>表</w:t>
      </w:r>
    </w:p>
    <w:tbl>
      <w:tblPr>
        <w:tblStyle w:val="11"/>
        <w:tblW w:w="498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7"/>
        <w:gridCol w:w="4972"/>
        <w:gridCol w:w="1519"/>
        <w:gridCol w:w="1005"/>
      </w:tblGrid>
      <w:tr w14:paraId="09E04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87" w:type="pct"/>
            <w:vMerge w:val="restart"/>
            <w:tcBorders>
              <w:top w:val="single" w:color="000000" w:sz="4" w:space="0"/>
              <w:left w:val="single" w:color="000000" w:sz="4" w:space="0"/>
              <w:bottom w:val="single" w:color="000000" w:sz="4" w:space="0"/>
              <w:right w:val="single" w:color="000000" w:sz="4" w:space="0"/>
            </w:tcBorders>
            <w:noWrap w:val="0"/>
            <w:vAlign w:val="center"/>
          </w:tcPr>
          <w:p w14:paraId="26695FD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2926" w:type="pct"/>
            <w:vMerge w:val="restart"/>
            <w:tcBorders>
              <w:top w:val="single" w:color="000000" w:sz="4" w:space="0"/>
              <w:left w:val="single" w:color="000000" w:sz="4" w:space="0"/>
              <w:bottom w:val="single" w:color="000000" w:sz="4" w:space="0"/>
              <w:right w:val="single" w:color="000000" w:sz="4" w:space="0"/>
            </w:tcBorders>
            <w:noWrap w:val="0"/>
            <w:vAlign w:val="center"/>
          </w:tcPr>
          <w:p w14:paraId="72B1D8A8">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工程项目内容</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140D4DF3">
            <w:pPr>
              <w:rPr>
                <w:rFonts w:hint="eastAsia" w:ascii="宋体" w:hAnsi="宋体" w:eastAsia="宋体" w:cs="宋体"/>
                <w:b/>
                <w:bCs/>
                <w:i w:val="0"/>
                <w:iCs w:val="0"/>
                <w:color w:val="auto"/>
                <w:sz w:val="21"/>
                <w:szCs w:val="21"/>
                <w:highlight w:val="none"/>
                <w:u w:val="none"/>
              </w:rPr>
            </w:pP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1E801248">
            <w:pPr>
              <w:rPr>
                <w:rFonts w:hint="eastAsia" w:ascii="宋体" w:hAnsi="宋体" w:eastAsia="宋体" w:cs="宋体"/>
                <w:b/>
                <w:bCs/>
                <w:i w:val="0"/>
                <w:iCs w:val="0"/>
                <w:color w:val="auto"/>
                <w:sz w:val="21"/>
                <w:szCs w:val="21"/>
                <w:highlight w:val="none"/>
                <w:u w:val="none"/>
              </w:rPr>
            </w:pPr>
          </w:p>
        </w:tc>
      </w:tr>
      <w:tr w14:paraId="23CEA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87" w:type="pct"/>
            <w:vMerge w:val="continue"/>
            <w:tcBorders>
              <w:top w:val="single" w:color="000000" w:sz="4" w:space="0"/>
              <w:left w:val="single" w:color="000000" w:sz="4" w:space="0"/>
              <w:bottom w:val="single" w:color="000000" w:sz="4" w:space="0"/>
              <w:right w:val="single" w:color="000000" w:sz="4" w:space="0"/>
            </w:tcBorders>
            <w:noWrap w:val="0"/>
            <w:vAlign w:val="center"/>
          </w:tcPr>
          <w:p w14:paraId="52CC3304">
            <w:pPr>
              <w:jc w:val="center"/>
              <w:rPr>
                <w:rFonts w:hint="eastAsia" w:ascii="宋体" w:hAnsi="宋体" w:eastAsia="宋体" w:cs="宋体"/>
                <w:b/>
                <w:bCs/>
                <w:i w:val="0"/>
                <w:iCs w:val="0"/>
                <w:color w:val="auto"/>
                <w:sz w:val="21"/>
                <w:szCs w:val="21"/>
                <w:highlight w:val="none"/>
                <w:u w:val="none"/>
              </w:rPr>
            </w:pPr>
          </w:p>
        </w:tc>
        <w:tc>
          <w:tcPr>
            <w:tcW w:w="2926" w:type="pct"/>
            <w:vMerge w:val="continue"/>
            <w:tcBorders>
              <w:top w:val="single" w:color="000000" w:sz="4" w:space="0"/>
              <w:left w:val="single" w:color="000000" w:sz="4" w:space="0"/>
              <w:bottom w:val="single" w:color="000000" w:sz="4" w:space="0"/>
              <w:right w:val="single" w:color="000000" w:sz="4" w:space="0"/>
            </w:tcBorders>
            <w:noWrap w:val="0"/>
            <w:vAlign w:val="center"/>
          </w:tcPr>
          <w:p w14:paraId="7D187C84">
            <w:pPr>
              <w:jc w:val="center"/>
              <w:rPr>
                <w:rFonts w:hint="eastAsia" w:ascii="宋体" w:hAnsi="宋体" w:eastAsia="宋体" w:cs="宋体"/>
                <w:b/>
                <w:bCs/>
                <w:i w:val="0"/>
                <w:iCs w:val="0"/>
                <w:color w:val="auto"/>
                <w:sz w:val="21"/>
                <w:szCs w:val="21"/>
                <w:highlight w:val="none"/>
                <w:u w:val="none"/>
              </w:rPr>
            </w:pP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5355C6B1">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数量</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06478736">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单位</w:t>
            </w:r>
          </w:p>
        </w:tc>
      </w:tr>
      <w:tr w14:paraId="1074B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C7C3C3">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一</w:t>
            </w:r>
          </w:p>
        </w:tc>
        <w:tc>
          <w:tcPr>
            <w:tcW w:w="29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614EB7">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MTU8V2000主机维修工程</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50937427">
            <w:pPr>
              <w:jc w:val="center"/>
              <w:rPr>
                <w:rFonts w:hint="eastAsia" w:ascii="宋体" w:hAnsi="宋体" w:eastAsia="宋体" w:cs="宋体"/>
                <w:i w:val="0"/>
                <w:iCs w:val="0"/>
                <w:color w:val="auto"/>
                <w:sz w:val="21"/>
                <w:szCs w:val="21"/>
                <w:highlight w:val="none"/>
                <w:u w:val="none"/>
              </w:rPr>
            </w:pP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6B5EA16D">
            <w:pPr>
              <w:jc w:val="center"/>
              <w:rPr>
                <w:rFonts w:hint="eastAsia" w:ascii="宋体" w:hAnsi="宋体" w:eastAsia="宋体" w:cs="宋体"/>
                <w:i w:val="0"/>
                <w:iCs w:val="0"/>
                <w:color w:val="auto"/>
                <w:sz w:val="21"/>
                <w:szCs w:val="21"/>
                <w:highlight w:val="none"/>
                <w:u w:val="none"/>
              </w:rPr>
            </w:pPr>
          </w:p>
        </w:tc>
      </w:tr>
      <w:tr w14:paraId="22EA9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206483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2A90E5E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两台主机常规保养（更换滤器，机油，冷却液，皮带）</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2A74CA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 </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0BB357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72B92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1FDEA0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 </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6AD10A4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左主机热交换器盖板修饰腐烂，更换左主机热交换器盖板</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110689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71E15B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6441F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17B4A8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 </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289FDF3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清洗左右主机热交换器</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185DC9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 </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227277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43678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8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23D9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 </w:t>
            </w:r>
          </w:p>
        </w:tc>
        <w:tc>
          <w:tcPr>
            <w:tcW w:w="29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BAB8B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清洗左右主机海水过滤器和进水格栅</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206F3F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3076FD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39C3B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8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D49E0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二</w:t>
            </w:r>
          </w:p>
        </w:tc>
        <w:tc>
          <w:tcPr>
            <w:tcW w:w="29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E2B882">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Kohler 25EFOZD发电机维修工程</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5D3FA4AB">
            <w:pPr>
              <w:jc w:val="center"/>
              <w:rPr>
                <w:rFonts w:hint="eastAsia" w:ascii="宋体" w:hAnsi="宋体" w:eastAsia="宋体" w:cs="宋体"/>
                <w:i w:val="0"/>
                <w:iCs w:val="0"/>
                <w:color w:val="auto"/>
                <w:sz w:val="21"/>
                <w:szCs w:val="21"/>
                <w:highlight w:val="none"/>
                <w:u w:val="none"/>
              </w:rPr>
            </w:pP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33D1C2B1">
            <w:pPr>
              <w:jc w:val="center"/>
              <w:rPr>
                <w:rFonts w:hint="eastAsia" w:ascii="宋体" w:hAnsi="宋体" w:eastAsia="宋体" w:cs="宋体"/>
                <w:i w:val="0"/>
                <w:iCs w:val="0"/>
                <w:color w:val="auto"/>
                <w:sz w:val="21"/>
                <w:szCs w:val="21"/>
                <w:highlight w:val="none"/>
                <w:u w:val="none"/>
              </w:rPr>
            </w:pPr>
          </w:p>
        </w:tc>
      </w:tr>
      <w:tr w14:paraId="3065F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11B90E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2DFA239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常规保养（更换滤器，机油，冷却液，皮带）</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6002AD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41490A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263C2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18A09B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 </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39A68E5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发电机维修工程</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63839B1A">
            <w:pPr>
              <w:jc w:val="center"/>
              <w:rPr>
                <w:rFonts w:hint="eastAsia" w:ascii="宋体" w:hAnsi="宋体" w:eastAsia="宋体" w:cs="宋体"/>
                <w:i w:val="0"/>
                <w:iCs w:val="0"/>
                <w:color w:val="auto"/>
                <w:sz w:val="21"/>
                <w:szCs w:val="21"/>
                <w:highlight w:val="none"/>
                <w:u w:val="none"/>
              </w:rPr>
            </w:pP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0FCF289C">
            <w:pPr>
              <w:jc w:val="center"/>
              <w:rPr>
                <w:rFonts w:hint="eastAsia" w:ascii="宋体" w:hAnsi="宋体" w:eastAsia="宋体" w:cs="宋体"/>
                <w:i w:val="0"/>
                <w:iCs w:val="0"/>
                <w:color w:val="auto"/>
                <w:sz w:val="21"/>
                <w:szCs w:val="21"/>
                <w:highlight w:val="none"/>
                <w:u w:val="none"/>
              </w:rPr>
            </w:pPr>
          </w:p>
        </w:tc>
      </w:tr>
      <w:tr w14:paraId="0FFA9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5D8C0E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2.1 </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71D113D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更换发电机海水泵总成</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0F8F8F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7A64A9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59F39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51EB8E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2.2 </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0130641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发电机发电球绝缘低故障排查；现场拆装清洗发电机定子线圈、励磁线圈、转子、烘烤，涂刷绝缘漆，绝缘合格以后回装，动机负荷试验2小时</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59E4A1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0F58AA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00421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5A1C87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 </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1E908D5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发电机LOC输出报警停机故障排查</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099BB1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4EA99B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19873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8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6C44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55986DF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拆卸保养发电机海底阀门，清除海生物阀芯打磨；清洗海水过滤器</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1292FE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7E164A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17741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1AAAAD">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三</w:t>
            </w:r>
          </w:p>
        </w:tc>
        <w:tc>
          <w:tcPr>
            <w:tcW w:w="29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781FD3">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TWIN DISC齿轮箱维修工程</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1DDA6A94">
            <w:pPr>
              <w:jc w:val="center"/>
              <w:rPr>
                <w:rFonts w:hint="eastAsia" w:ascii="宋体" w:hAnsi="宋体" w:eastAsia="宋体" w:cs="宋体"/>
                <w:i w:val="0"/>
                <w:iCs w:val="0"/>
                <w:color w:val="auto"/>
                <w:sz w:val="21"/>
                <w:szCs w:val="21"/>
                <w:highlight w:val="none"/>
                <w:u w:val="none"/>
              </w:rPr>
            </w:pP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7232E9B2">
            <w:pPr>
              <w:jc w:val="center"/>
              <w:rPr>
                <w:rFonts w:hint="eastAsia" w:ascii="宋体" w:hAnsi="宋体" w:eastAsia="宋体" w:cs="宋体"/>
                <w:i w:val="0"/>
                <w:iCs w:val="0"/>
                <w:color w:val="auto"/>
                <w:sz w:val="21"/>
                <w:szCs w:val="21"/>
                <w:highlight w:val="none"/>
                <w:u w:val="none"/>
              </w:rPr>
            </w:pPr>
          </w:p>
        </w:tc>
      </w:tr>
      <w:tr w14:paraId="4EFDD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2DBB8D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3CC5AE2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两台齿轮箱常规保养项目（更换滤器、机油）</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0EFA7D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 </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608075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6EDC1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19880A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 </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444A4DE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清洗疏通油冷器，更换锌棒及密封圈</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0823BA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 </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60D3AE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71D3F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63C0EC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w:t>
            </w:r>
          </w:p>
        </w:tc>
        <w:tc>
          <w:tcPr>
            <w:tcW w:w="2926" w:type="pct"/>
            <w:tcBorders>
              <w:top w:val="nil"/>
              <w:left w:val="single" w:color="000000" w:sz="4" w:space="0"/>
              <w:bottom w:val="single" w:color="000000" w:sz="4" w:space="0"/>
              <w:right w:val="single" w:color="000000" w:sz="4" w:space="0"/>
            </w:tcBorders>
            <w:noWrap w:val="0"/>
            <w:vAlign w:val="center"/>
          </w:tcPr>
          <w:p w14:paraId="6BE2B855">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美国双环ADS12表面桨系统维修工程</w:t>
            </w:r>
          </w:p>
        </w:tc>
        <w:tc>
          <w:tcPr>
            <w:tcW w:w="894" w:type="pct"/>
            <w:tcBorders>
              <w:top w:val="nil"/>
              <w:left w:val="single" w:color="000000" w:sz="4" w:space="0"/>
              <w:bottom w:val="single" w:color="000000" w:sz="4" w:space="0"/>
              <w:right w:val="single" w:color="000000" w:sz="4" w:space="0"/>
            </w:tcBorders>
            <w:noWrap w:val="0"/>
            <w:vAlign w:val="center"/>
          </w:tcPr>
          <w:p w14:paraId="0985122B">
            <w:pPr>
              <w:jc w:val="center"/>
              <w:rPr>
                <w:rFonts w:hint="eastAsia" w:ascii="宋体" w:hAnsi="宋体" w:eastAsia="宋体" w:cs="宋体"/>
                <w:i w:val="0"/>
                <w:iCs w:val="0"/>
                <w:color w:val="auto"/>
                <w:sz w:val="21"/>
                <w:szCs w:val="21"/>
                <w:highlight w:val="none"/>
                <w:u w:val="none"/>
              </w:rPr>
            </w:pPr>
          </w:p>
        </w:tc>
        <w:tc>
          <w:tcPr>
            <w:tcW w:w="591" w:type="pct"/>
            <w:tcBorders>
              <w:top w:val="nil"/>
              <w:left w:val="single" w:color="000000" w:sz="4" w:space="0"/>
              <w:bottom w:val="single" w:color="000000" w:sz="4" w:space="0"/>
              <w:right w:val="single" w:color="000000" w:sz="4" w:space="0"/>
            </w:tcBorders>
            <w:noWrap w:val="0"/>
            <w:vAlign w:val="center"/>
          </w:tcPr>
          <w:p w14:paraId="41DE59B8">
            <w:pPr>
              <w:jc w:val="center"/>
              <w:rPr>
                <w:rFonts w:hint="eastAsia" w:ascii="宋体" w:hAnsi="宋体" w:eastAsia="宋体" w:cs="宋体"/>
                <w:i w:val="0"/>
                <w:iCs w:val="0"/>
                <w:color w:val="auto"/>
                <w:sz w:val="21"/>
                <w:szCs w:val="21"/>
                <w:highlight w:val="none"/>
                <w:u w:val="none"/>
              </w:rPr>
            </w:pPr>
          </w:p>
        </w:tc>
      </w:tr>
      <w:tr w14:paraId="4F739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4DF894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2926" w:type="pct"/>
            <w:tcBorders>
              <w:top w:val="nil"/>
              <w:left w:val="single" w:color="000000" w:sz="4" w:space="0"/>
              <w:bottom w:val="single" w:color="000000" w:sz="4" w:space="0"/>
              <w:right w:val="single" w:color="000000" w:sz="4" w:space="0"/>
            </w:tcBorders>
            <w:noWrap w:val="0"/>
            <w:vAlign w:val="center"/>
          </w:tcPr>
          <w:p w14:paraId="3ACC81F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更换两台表面桨水下升降液压油管、水下转舵液压油管、液压接头、排空升降油缸中积水；添加液压油，液压系统排空气；液压系统功能试验。</w:t>
            </w:r>
          </w:p>
        </w:tc>
        <w:tc>
          <w:tcPr>
            <w:tcW w:w="894" w:type="pct"/>
            <w:tcBorders>
              <w:top w:val="nil"/>
              <w:left w:val="single" w:color="000000" w:sz="4" w:space="0"/>
              <w:bottom w:val="single" w:color="000000" w:sz="4" w:space="0"/>
              <w:right w:val="single" w:color="000000" w:sz="4" w:space="0"/>
            </w:tcBorders>
            <w:noWrap w:val="0"/>
            <w:vAlign w:val="center"/>
          </w:tcPr>
          <w:p w14:paraId="7FC2A5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91" w:type="pct"/>
            <w:tcBorders>
              <w:top w:val="nil"/>
              <w:left w:val="single" w:color="000000" w:sz="4" w:space="0"/>
              <w:bottom w:val="single" w:color="000000" w:sz="4" w:space="0"/>
              <w:right w:val="single" w:color="000000" w:sz="4" w:space="0"/>
            </w:tcBorders>
            <w:noWrap w:val="0"/>
            <w:vAlign w:val="center"/>
          </w:tcPr>
          <w:p w14:paraId="2C2955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261A3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3F2385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 </w:t>
            </w:r>
          </w:p>
        </w:tc>
        <w:tc>
          <w:tcPr>
            <w:tcW w:w="2926" w:type="pct"/>
            <w:tcBorders>
              <w:top w:val="nil"/>
              <w:left w:val="single" w:color="000000" w:sz="4" w:space="0"/>
              <w:bottom w:val="single" w:color="000000" w:sz="4" w:space="0"/>
              <w:right w:val="single" w:color="000000" w:sz="4" w:space="0"/>
            </w:tcBorders>
            <w:noWrap w:val="0"/>
            <w:vAlign w:val="center"/>
          </w:tcPr>
          <w:p w14:paraId="51108D1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拆装清洗整套液压系统阀块</w:t>
            </w:r>
          </w:p>
        </w:tc>
        <w:tc>
          <w:tcPr>
            <w:tcW w:w="894" w:type="pct"/>
            <w:tcBorders>
              <w:top w:val="nil"/>
              <w:left w:val="single" w:color="000000" w:sz="4" w:space="0"/>
              <w:bottom w:val="single" w:color="000000" w:sz="4" w:space="0"/>
              <w:right w:val="single" w:color="000000" w:sz="4" w:space="0"/>
            </w:tcBorders>
            <w:noWrap w:val="0"/>
            <w:vAlign w:val="center"/>
          </w:tcPr>
          <w:p w14:paraId="5C3F4C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91" w:type="pct"/>
            <w:tcBorders>
              <w:top w:val="nil"/>
              <w:left w:val="single" w:color="000000" w:sz="4" w:space="0"/>
              <w:bottom w:val="single" w:color="000000" w:sz="4" w:space="0"/>
              <w:right w:val="single" w:color="000000" w:sz="4" w:space="0"/>
            </w:tcBorders>
            <w:noWrap w:val="0"/>
            <w:vAlign w:val="center"/>
          </w:tcPr>
          <w:p w14:paraId="40D404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2E94C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0289B5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2926" w:type="pct"/>
            <w:tcBorders>
              <w:top w:val="nil"/>
              <w:left w:val="single" w:color="000000" w:sz="4" w:space="0"/>
              <w:bottom w:val="single" w:color="000000" w:sz="4" w:space="0"/>
              <w:right w:val="single" w:color="000000" w:sz="4" w:space="0"/>
            </w:tcBorders>
            <w:noWrap w:val="0"/>
            <w:vAlign w:val="center"/>
          </w:tcPr>
          <w:p w14:paraId="0E68DA6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维修右转舵油缸漏油故障，分解机加工维修液压杆凹坑；更换端盖密封包</w:t>
            </w:r>
          </w:p>
        </w:tc>
        <w:tc>
          <w:tcPr>
            <w:tcW w:w="894" w:type="pct"/>
            <w:tcBorders>
              <w:top w:val="nil"/>
              <w:left w:val="single" w:color="000000" w:sz="4" w:space="0"/>
              <w:bottom w:val="single" w:color="000000" w:sz="4" w:space="0"/>
              <w:right w:val="single" w:color="000000" w:sz="4" w:space="0"/>
            </w:tcBorders>
            <w:noWrap w:val="0"/>
            <w:vAlign w:val="center"/>
          </w:tcPr>
          <w:p w14:paraId="448849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91" w:type="pct"/>
            <w:tcBorders>
              <w:top w:val="nil"/>
              <w:left w:val="single" w:color="000000" w:sz="4" w:space="0"/>
              <w:bottom w:val="single" w:color="000000" w:sz="4" w:space="0"/>
              <w:right w:val="single" w:color="000000" w:sz="4" w:space="0"/>
            </w:tcBorders>
            <w:noWrap w:val="0"/>
            <w:vAlign w:val="center"/>
          </w:tcPr>
          <w:p w14:paraId="6A2797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62EB9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10A511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2926" w:type="pct"/>
            <w:tcBorders>
              <w:top w:val="nil"/>
              <w:left w:val="single" w:color="000000" w:sz="4" w:space="0"/>
              <w:bottom w:val="single" w:color="000000" w:sz="4" w:space="0"/>
              <w:right w:val="single" w:color="000000" w:sz="4" w:space="0"/>
            </w:tcBorders>
            <w:noWrap w:val="0"/>
            <w:vAlign w:val="center"/>
          </w:tcPr>
          <w:p w14:paraId="608B389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左右大球头橡胶波纹套老化破裂，换新</w:t>
            </w:r>
          </w:p>
        </w:tc>
        <w:tc>
          <w:tcPr>
            <w:tcW w:w="894" w:type="pct"/>
            <w:tcBorders>
              <w:top w:val="nil"/>
              <w:left w:val="single" w:color="000000" w:sz="4" w:space="0"/>
              <w:bottom w:val="single" w:color="000000" w:sz="4" w:space="0"/>
              <w:right w:val="single" w:color="000000" w:sz="4" w:space="0"/>
            </w:tcBorders>
            <w:noWrap w:val="0"/>
            <w:vAlign w:val="center"/>
          </w:tcPr>
          <w:p w14:paraId="66CD47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91" w:type="pct"/>
            <w:tcBorders>
              <w:top w:val="nil"/>
              <w:left w:val="single" w:color="000000" w:sz="4" w:space="0"/>
              <w:bottom w:val="single" w:color="000000" w:sz="4" w:space="0"/>
              <w:right w:val="single" w:color="000000" w:sz="4" w:space="0"/>
            </w:tcBorders>
            <w:noWrap w:val="0"/>
            <w:vAlign w:val="center"/>
          </w:tcPr>
          <w:p w14:paraId="2697E4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79E18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629EC3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2926" w:type="pct"/>
            <w:tcBorders>
              <w:top w:val="nil"/>
              <w:left w:val="single" w:color="000000" w:sz="4" w:space="0"/>
              <w:bottom w:val="single" w:color="000000" w:sz="4" w:space="0"/>
              <w:right w:val="single" w:color="000000" w:sz="4" w:space="0"/>
            </w:tcBorders>
            <w:noWrap w:val="0"/>
            <w:vAlign w:val="center"/>
          </w:tcPr>
          <w:p w14:paraId="0FF8DB5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左右大球头密封老化漏油；吊装分解表面桨总成；拆卸大球头，检查内部轴承是否生锈，检查轴承间隙、检查艉轴跳动量；更换不合格配件；更换润滑油；回装调试</w:t>
            </w:r>
          </w:p>
        </w:tc>
        <w:tc>
          <w:tcPr>
            <w:tcW w:w="894" w:type="pct"/>
            <w:tcBorders>
              <w:top w:val="nil"/>
              <w:left w:val="single" w:color="000000" w:sz="4" w:space="0"/>
              <w:bottom w:val="single" w:color="000000" w:sz="4" w:space="0"/>
              <w:right w:val="single" w:color="000000" w:sz="4" w:space="0"/>
            </w:tcBorders>
            <w:noWrap w:val="0"/>
            <w:vAlign w:val="center"/>
          </w:tcPr>
          <w:p w14:paraId="2F0B99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591" w:type="pct"/>
            <w:tcBorders>
              <w:top w:val="nil"/>
              <w:left w:val="single" w:color="000000" w:sz="4" w:space="0"/>
              <w:bottom w:val="single" w:color="000000" w:sz="4" w:space="0"/>
              <w:right w:val="single" w:color="000000" w:sz="4" w:space="0"/>
            </w:tcBorders>
            <w:noWrap w:val="0"/>
            <w:vAlign w:val="center"/>
          </w:tcPr>
          <w:p w14:paraId="0EA263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1839B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329166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 </w:t>
            </w:r>
          </w:p>
        </w:tc>
        <w:tc>
          <w:tcPr>
            <w:tcW w:w="2926" w:type="pct"/>
            <w:tcBorders>
              <w:top w:val="nil"/>
              <w:left w:val="single" w:color="000000" w:sz="4" w:space="0"/>
              <w:bottom w:val="single" w:color="000000" w:sz="4" w:space="0"/>
              <w:right w:val="single" w:color="000000" w:sz="4" w:space="0"/>
            </w:tcBorders>
            <w:noWrap w:val="0"/>
            <w:vAlign w:val="center"/>
          </w:tcPr>
          <w:p w14:paraId="73C937F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防腐锌块基本腐蚀殆尽，换新所有锌块及安装螺栓、插销</w:t>
            </w:r>
          </w:p>
        </w:tc>
        <w:tc>
          <w:tcPr>
            <w:tcW w:w="894" w:type="pct"/>
            <w:tcBorders>
              <w:top w:val="nil"/>
              <w:left w:val="single" w:color="000000" w:sz="4" w:space="0"/>
              <w:bottom w:val="single" w:color="000000" w:sz="4" w:space="0"/>
              <w:right w:val="single" w:color="000000" w:sz="4" w:space="0"/>
            </w:tcBorders>
            <w:noWrap w:val="0"/>
            <w:vAlign w:val="center"/>
          </w:tcPr>
          <w:p w14:paraId="503483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91" w:type="pct"/>
            <w:tcBorders>
              <w:top w:val="nil"/>
              <w:left w:val="single" w:color="000000" w:sz="4" w:space="0"/>
              <w:bottom w:val="single" w:color="000000" w:sz="4" w:space="0"/>
              <w:right w:val="single" w:color="000000" w:sz="4" w:space="0"/>
            </w:tcBorders>
            <w:noWrap w:val="0"/>
            <w:vAlign w:val="center"/>
          </w:tcPr>
          <w:p w14:paraId="05770F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4A503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87" w:type="pct"/>
            <w:tcBorders>
              <w:top w:val="single" w:color="000000" w:sz="4" w:space="0"/>
              <w:left w:val="single" w:color="000000" w:sz="4" w:space="0"/>
              <w:bottom w:val="nil"/>
              <w:right w:val="single" w:color="000000" w:sz="4" w:space="0"/>
            </w:tcBorders>
            <w:noWrap w:val="0"/>
            <w:vAlign w:val="center"/>
          </w:tcPr>
          <w:p w14:paraId="498605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7 </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73B3482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舵角传感器拉线腐蚀断裂，换新，仪表校正</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5DC9AB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414A76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4BC3A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7" w:type="pct"/>
            <w:tcBorders>
              <w:top w:val="single" w:color="000000" w:sz="4" w:space="0"/>
              <w:left w:val="single" w:color="000000" w:sz="4" w:space="0"/>
              <w:bottom w:val="nil"/>
              <w:right w:val="single" w:color="000000" w:sz="4" w:space="0"/>
            </w:tcBorders>
            <w:noWrap w:val="0"/>
            <w:vAlign w:val="center"/>
          </w:tcPr>
          <w:p w14:paraId="63217F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7.1 </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16C915B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表面桨电气控制系统检修</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203E64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0D8383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04091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1C396DB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7.2</w:t>
            </w:r>
          </w:p>
        </w:tc>
        <w:tc>
          <w:tcPr>
            <w:tcW w:w="2926" w:type="pct"/>
            <w:tcBorders>
              <w:top w:val="nil"/>
              <w:left w:val="single" w:color="000000" w:sz="4" w:space="0"/>
              <w:bottom w:val="single" w:color="000000" w:sz="4" w:space="0"/>
              <w:right w:val="single" w:color="000000" w:sz="4" w:space="0"/>
            </w:tcBorders>
            <w:noWrap w:val="0"/>
            <w:vAlign w:val="center"/>
          </w:tcPr>
          <w:p w14:paraId="12CFD07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两台表面桨水下部分整体打磨除垢打漆</w:t>
            </w:r>
          </w:p>
        </w:tc>
        <w:tc>
          <w:tcPr>
            <w:tcW w:w="894" w:type="pct"/>
            <w:tcBorders>
              <w:top w:val="nil"/>
              <w:left w:val="single" w:color="000000" w:sz="4" w:space="0"/>
              <w:bottom w:val="single" w:color="000000" w:sz="4" w:space="0"/>
              <w:right w:val="single" w:color="000000" w:sz="4" w:space="0"/>
            </w:tcBorders>
            <w:noWrap w:val="0"/>
            <w:vAlign w:val="center"/>
          </w:tcPr>
          <w:p w14:paraId="7AD62F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91" w:type="pct"/>
            <w:tcBorders>
              <w:top w:val="nil"/>
              <w:left w:val="single" w:color="000000" w:sz="4" w:space="0"/>
              <w:bottom w:val="single" w:color="000000" w:sz="4" w:space="0"/>
              <w:right w:val="single" w:color="000000" w:sz="4" w:space="0"/>
            </w:tcBorders>
            <w:noWrap w:val="0"/>
            <w:vAlign w:val="center"/>
          </w:tcPr>
          <w:p w14:paraId="5FD311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27C79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5AC330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五</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26961952">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内装工程</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4B793E77">
            <w:pPr>
              <w:jc w:val="center"/>
              <w:rPr>
                <w:rFonts w:hint="eastAsia" w:ascii="宋体" w:hAnsi="宋体" w:eastAsia="宋体" w:cs="宋体"/>
                <w:i w:val="0"/>
                <w:iCs w:val="0"/>
                <w:color w:val="auto"/>
                <w:sz w:val="21"/>
                <w:szCs w:val="21"/>
                <w:highlight w:val="none"/>
                <w:u w:val="none"/>
              </w:rPr>
            </w:pP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355CB92D">
            <w:pPr>
              <w:jc w:val="center"/>
              <w:rPr>
                <w:rFonts w:hint="eastAsia" w:ascii="宋体" w:hAnsi="宋体" w:eastAsia="宋体" w:cs="宋体"/>
                <w:i w:val="0"/>
                <w:iCs w:val="0"/>
                <w:color w:val="auto"/>
                <w:sz w:val="21"/>
                <w:szCs w:val="21"/>
                <w:highlight w:val="none"/>
                <w:u w:val="none"/>
              </w:rPr>
            </w:pPr>
          </w:p>
        </w:tc>
      </w:tr>
      <w:tr w14:paraId="49FF6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0D51A5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7DB89C3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拆卸会议室整圈沙发；运送至皮革厂重新换皮翻新</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299773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5E1F49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4ED61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31F8FB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 </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4C2A1D4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更换挡风玻璃下方腐烂装饰软包，约异形3块，颜色米白</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7F2B62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687A0E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4E88D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4F9D70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 </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3F527E9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会议室、驾驶室，船员室地板腐蚀发霉，拆装地板、会议桌、座椅及相关电缆；铲除原船地板；重新铺设游艇实木条纹地板（总面积约30平方米）</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308EBE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07C290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0563E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258308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 </w:t>
            </w:r>
          </w:p>
        </w:tc>
        <w:tc>
          <w:tcPr>
            <w:tcW w:w="2926" w:type="pct"/>
            <w:tcBorders>
              <w:top w:val="nil"/>
              <w:left w:val="single" w:color="000000" w:sz="4" w:space="0"/>
              <w:bottom w:val="single" w:color="000000" w:sz="4" w:space="0"/>
              <w:right w:val="single" w:color="000000" w:sz="4" w:space="0"/>
            </w:tcBorders>
            <w:noWrap w:val="0"/>
            <w:vAlign w:val="center"/>
          </w:tcPr>
          <w:p w14:paraId="4751BA0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驾驶台左侧前舱入室门框及装修泡水霉烂，拆除重做塑形木板及装饰米板换新，整体喷漆调色；拆卸设备仪器及电缆、防尘保护未施工区域</w:t>
            </w:r>
          </w:p>
        </w:tc>
        <w:tc>
          <w:tcPr>
            <w:tcW w:w="894" w:type="pct"/>
            <w:tcBorders>
              <w:top w:val="nil"/>
              <w:left w:val="single" w:color="000000" w:sz="4" w:space="0"/>
              <w:bottom w:val="single" w:color="000000" w:sz="4" w:space="0"/>
              <w:right w:val="single" w:color="000000" w:sz="4" w:space="0"/>
            </w:tcBorders>
            <w:noWrap w:val="0"/>
            <w:vAlign w:val="center"/>
          </w:tcPr>
          <w:p w14:paraId="0BA6BF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91" w:type="pct"/>
            <w:tcBorders>
              <w:top w:val="nil"/>
              <w:left w:val="single" w:color="000000" w:sz="4" w:space="0"/>
              <w:bottom w:val="single" w:color="000000" w:sz="4" w:space="0"/>
              <w:right w:val="single" w:color="000000" w:sz="4" w:space="0"/>
            </w:tcBorders>
            <w:noWrap w:val="0"/>
            <w:vAlign w:val="center"/>
          </w:tcPr>
          <w:p w14:paraId="78646D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7816C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569DCD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 </w:t>
            </w:r>
          </w:p>
        </w:tc>
        <w:tc>
          <w:tcPr>
            <w:tcW w:w="2926" w:type="pct"/>
            <w:tcBorders>
              <w:top w:val="nil"/>
              <w:left w:val="single" w:color="000000" w:sz="4" w:space="0"/>
              <w:bottom w:val="single" w:color="000000" w:sz="4" w:space="0"/>
              <w:right w:val="single" w:color="000000" w:sz="4" w:space="0"/>
            </w:tcBorders>
            <w:noWrap w:val="0"/>
            <w:vAlign w:val="center"/>
          </w:tcPr>
          <w:p w14:paraId="38C6022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拆卸全船窗帘（会议室左右、驾驶台左右舷窗、挡风玻璃），按原尺寸全部定做换新</w:t>
            </w:r>
          </w:p>
        </w:tc>
        <w:tc>
          <w:tcPr>
            <w:tcW w:w="894" w:type="pct"/>
            <w:tcBorders>
              <w:top w:val="nil"/>
              <w:left w:val="single" w:color="000000" w:sz="4" w:space="0"/>
              <w:bottom w:val="single" w:color="000000" w:sz="4" w:space="0"/>
              <w:right w:val="single" w:color="000000" w:sz="4" w:space="0"/>
            </w:tcBorders>
            <w:noWrap w:val="0"/>
            <w:vAlign w:val="center"/>
          </w:tcPr>
          <w:p w14:paraId="0D7062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91" w:type="pct"/>
            <w:tcBorders>
              <w:top w:val="nil"/>
              <w:left w:val="single" w:color="000000" w:sz="4" w:space="0"/>
              <w:bottom w:val="single" w:color="000000" w:sz="4" w:space="0"/>
              <w:right w:val="single" w:color="000000" w:sz="4" w:space="0"/>
            </w:tcBorders>
            <w:noWrap w:val="0"/>
            <w:vAlign w:val="center"/>
          </w:tcPr>
          <w:p w14:paraId="6BA86F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04967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352806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 </w:t>
            </w:r>
          </w:p>
        </w:tc>
        <w:tc>
          <w:tcPr>
            <w:tcW w:w="2926" w:type="pct"/>
            <w:tcBorders>
              <w:top w:val="nil"/>
              <w:left w:val="single" w:color="000000" w:sz="4" w:space="0"/>
              <w:bottom w:val="single" w:color="000000" w:sz="4" w:space="0"/>
              <w:right w:val="single" w:color="000000" w:sz="4" w:space="0"/>
            </w:tcBorders>
            <w:noWrap w:val="0"/>
            <w:vAlign w:val="center"/>
          </w:tcPr>
          <w:p w14:paraId="01BEF2B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驾驶台左右舷窗边框打磨除垢，打胶密封，上漆</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31C628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75B547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扇</w:t>
            </w:r>
          </w:p>
        </w:tc>
      </w:tr>
      <w:tr w14:paraId="3CA3E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52AF2B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7 </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3FEB32F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3块挡风玻璃漏水故障处理（清除老化玻璃胶，拆除挡风玻璃，涂刷底涂及玻璃密封胶，安装挡风玻璃，密封胶填缝，水密性实验）</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7BD04B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3C9A544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57124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2E8984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8 </w:t>
            </w:r>
          </w:p>
        </w:tc>
        <w:tc>
          <w:tcPr>
            <w:tcW w:w="2926" w:type="pct"/>
            <w:tcBorders>
              <w:top w:val="nil"/>
              <w:left w:val="single" w:color="000000" w:sz="4" w:space="0"/>
              <w:bottom w:val="nil"/>
              <w:right w:val="single" w:color="000000" w:sz="4" w:space="0"/>
            </w:tcBorders>
            <w:noWrap w:val="0"/>
            <w:vAlign w:val="center"/>
          </w:tcPr>
          <w:p w14:paraId="6254BC8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原船顶设备安装底座水密性测试，查漏堵漏；拆卸底座重新打胶密封；水密实验</w:t>
            </w:r>
          </w:p>
        </w:tc>
        <w:tc>
          <w:tcPr>
            <w:tcW w:w="894" w:type="pct"/>
            <w:tcBorders>
              <w:top w:val="nil"/>
              <w:left w:val="single" w:color="000000" w:sz="4" w:space="0"/>
              <w:bottom w:val="nil"/>
              <w:right w:val="single" w:color="000000" w:sz="4" w:space="0"/>
            </w:tcBorders>
            <w:noWrap w:val="0"/>
            <w:vAlign w:val="center"/>
          </w:tcPr>
          <w:p w14:paraId="2E1F47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91" w:type="pct"/>
            <w:tcBorders>
              <w:top w:val="nil"/>
              <w:left w:val="single" w:color="000000" w:sz="4" w:space="0"/>
              <w:bottom w:val="nil"/>
              <w:right w:val="single" w:color="000000" w:sz="4" w:space="0"/>
            </w:tcBorders>
            <w:noWrap w:val="0"/>
            <w:vAlign w:val="center"/>
          </w:tcPr>
          <w:p w14:paraId="5AF3C9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4FE1A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7" w:type="pct"/>
            <w:tcBorders>
              <w:top w:val="single" w:color="000000" w:sz="4" w:space="0"/>
              <w:left w:val="single" w:color="000000" w:sz="4" w:space="0"/>
              <w:bottom w:val="nil"/>
              <w:right w:val="single" w:color="000000" w:sz="4" w:space="0"/>
            </w:tcBorders>
            <w:noWrap w:val="0"/>
            <w:vAlign w:val="center"/>
          </w:tcPr>
          <w:p w14:paraId="275DF8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六</w:t>
            </w:r>
          </w:p>
        </w:tc>
        <w:tc>
          <w:tcPr>
            <w:tcW w:w="2926" w:type="pct"/>
            <w:tcBorders>
              <w:top w:val="single" w:color="000000" w:sz="4" w:space="0"/>
              <w:left w:val="single" w:color="000000" w:sz="4" w:space="0"/>
              <w:bottom w:val="nil"/>
              <w:right w:val="single" w:color="000000" w:sz="4" w:space="0"/>
            </w:tcBorders>
            <w:noWrap w:val="0"/>
            <w:vAlign w:val="center"/>
          </w:tcPr>
          <w:p w14:paraId="4B0C1DD1">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电气工程</w:t>
            </w:r>
          </w:p>
        </w:tc>
        <w:tc>
          <w:tcPr>
            <w:tcW w:w="894" w:type="pct"/>
            <w:tcBorders>
              <w:top w:val="single" w:color="000000" w:sz="4" w:space="0"/>
              <w:left w:val="single" w:color="000000" w:sz="4" w:space="0"/>
              <w:bottom w:val="nil"/>
              <w:right w:val="single" w:color="000000" w:sz="4" w:space="0"/>
            </w:tcBorders>
            <w:noWrap w:val="0"/>
            <w:vAlign w:val="center"/>
          </w:tcPr>
          <w:p w14:paraId="04321B8F">
            <w:pPr>
              <w:jc w:val="center"/>
              <w:rPr>
                <w:rFonts w:hint="eastAsia" w:ascii="宋体" w:hAnsi="宋体" w:eastAsia="宋体" w:cs="宋体"/>
                <w:i w:val="0"/>
                <w:iCs w:val="0"/>
                <w:color w:val="auto"/>
                <w:sz w:val="21"/>
                <w:szCs w:val="21"/>
                <w:highlight w:val="none"/>
                <w:u w:val="none"/>
              </w:rPr>
            </w:pPr>
          </w:p>
        </w:tc>
        <w:tc>
          <w:tcPr>
            <w:tcW w:w="591" w:type="pct"/>
            <w:tcBorders>
              <w:top w:val="single" w:color="000000" w:sz="4" w:space="0"/>
              <w:left w:val="single" w:color="000000" w:sz="4" w:space="0"/>
              <w:bottom w:val="nil"/>
              <w:right w:val="single" w:color="000000" w:sz="4" w:space="0"/>
            </w:tcBorders>
            <w:noWrap w:val="0"/>
            <w:vAlign w:val="center"/>
          </w:tcPr>
          <w:p w14:paraId="58AD1214">
            <w:pPr>
              <w:jc w:val="center"/>
              <w:rPr>
                <w:rFonts w:hint="eastAsia" w:ascii="宋体" w:hAnsi="宋体" w:eastAsia="宋体" w:cs="宋体"/>
                <w:i w:val="0"/>
                <w:iCs w:val="0"/>
                <w:color w:val="auto"/>
                <w:sz w:val="21"/>
                <w:szCs w:val="21"/>
                <w:highlight w:val="none"/>
                <w:u w:val="none"/>
              </w:rPr>
            </w:pPr>
          </w:p>
        </w:tc>
      </w:tr>
      <w:tr w14:paraId="74A9F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87" w:type="pct"/>
            <w:tcBorders>
              <w:top w:val="single" w:color="000000" w:sz="4" w:space="0"/>
              <w:left w:val="single" w:color="000000" w:sz="4" w:space="0"/>
              <w:bottom w:val="nil"/>
              <w:right w:val="single" w:color="000000" w:sz="4" w:space="0"/>
            </w:tcBorders>
            <w:noWrap w:val="0"/>
            <w:vAlign w:val="center"/>
          </w:tcPr>
          <w:p w14:paraId="0B7BE0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2926" w:type="pct"/>
            <w:tcBorders>
              <w:top w:val="single" w:color="000000" w:sz="4" w:space="0"/>
              <w:left w:val="single" w:color="000000" w:sz="4" w:space="0"/>
              <w:bottom w:val="nil"/>
              <w:right w:val="single" w:color="000000" w:sz="4" w:space="0"/>
            </w:tcBorders>
            <w:noWrap w:val="0"/>
            <w:vAlign w:val="center"/>
          </w:tcPr>
          <w:p w14:paraId="054D898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左右主机LOP箱子故障维修，更换损坏配件，通电，设置参数调试</w:t>
            </w:r>
          </w:p>
        </w:tc>
        <w:tc>
          <w:tcPr>
            <w:tcW w:w="894" w:type="pct"/>
            <w:tcBorders>
              <w:top w:val="single" w:color="000000" w:sz="4" w:space="0"/>
              <w:left w:val="single" w:color="000000" w:sz="4" w:space="0"/>
              <w:bottom w:val="nil"/>
              <w:right w:val="single" w:color="000000" w:sz="4" w:space="0"/>
            </w:tcBorders>
            <w:noWrap w:val="0"/>
            <w:vAlign w:val="center"/>
          </w:tcPr>
          <w:p w14:paraId="203F4C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591" w:type="pct"/>
            <w:tcBorders>
              <w:top w:val="single" w:color="000000" w:sz="4" w:space="0"/>
              <w:left w:val="single" w:color="000000" w:sz="4" w:space="0"/>
              <w:bottom w:val="nil"/>
              <w:right w:val="single" w:color="000000" w:sz="4" w:space="0"/>
            </w:tcBorders>
            <w:noWrap w:val="0"/>
            <w:vAlign w:val="center"/>
          </w:tcPr>
          <w:p w14:paraId="2A8806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46402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53588D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 </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4CAF4B9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右主机驾驶台显示屏黑屏故障维修</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3C65E3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290DA2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3E012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79754C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 </w:t>
            </w:r>
          </w:p>
        </w:tc>
        <w:tc>
          <w:tcPr>
            <w:tcW w:w="2926" w:type="pct"/>
            <w:tcBorders>
              <w:top w:val="nil"/>
              <w:left w:val="single" w:color="000000" w:sz="4" w:space="0"/>
              <w:bottom w:val="single" w:color="000000" w:sz="4" w:space="0"/>
              <w:right w:val="single" w:color="000000" w:sz="4" w:space="0"/>
            </w:tcBorders>
            <w:noWrap w:val="0"/>
            <w:vAlign w:val="center"/>
          </w:tcPr>
          <w:p w14:paraId="239A4A6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更换主驾驶台主机操控手柄</w:t>
            </w:r>
          </w:p>
        </w:tc>
        <w:tc>
          <w:tcPr>
            <w:tcW w:w="894" w:type="pct"/>
            <w:tcBorders>
              <w:top w:val="nil"/>
              <w:left w:val="single" w:color="000000" w:sz="4" w:space="0"/>
              <w:bottom w:val="single" w:color="000000" w:sz="4" w:space="0"/>
              <w:right w:val="single" w:color="000000" w:sz="4" w:space="0"/>
            </w:tcBorders>
            <w:noWrap w:val="0"/>
            <w:vAlign w:val="center"/>
          </w:tcPr>
          <w:p w14:paraId="13303D29">
            <w:pPr>
              <w:jc w:val="center"/>
              <w:rPr>
                <w:rFonts w:hint="eastAsia" w:ascii="宋体" w:hAnsi="宋体" w:eastAsia="宋体" w:cs="宋体"/>
                <w:i w:val="0"/>
                <w:iCs w:val="0"/>
                <w:color w:val="auto"/>
                <w:sz w:val="21"/>
                <w:szCs w:val="21"/>
                <w:highlight w:val="none"/>
                <w:u w:val="none"/>
              </w:rPr>
            </w:pPr>
          </w:p>
        </w:tc>
        <w:tc>
          <w:tcPr>
            <w:tcW w:w="591" w:type="pct"/>
            <w:tcBorders>
              <w:top w:val="nil"/>
              <w:left w:val="single" w:color="000000" w:sz="4" w:space="0"/>
              <w:bottom w:val="single" w:color="000000" w:sz="4" w:space="0"/>
              <w:right w:val="single" w:color="000000" w:sz="4" w:space="0"/>
            </w:tcBorders>
            <w:noWrap w:val="0"/>
            <w:vAlign w:val="center"/>
          </w:tcPr>
          <w:p w14:paraId="4968A0E8">
            <w:pPr>
              <w:jc w:val="center"/>
              <w:rPr>
                <w:rFonts w:hint="eastAsia" w:ascii="宋体" w:hAnsi="宋体" w:eastAsia="宋体" w:cs="宋体"/>
                <w:i w:val="0"/>
                <w:iCs w:val="0"/>
                <w:color w:val="auto"/>
                <w:sz w:val="21"/>
                <w:szCs w:val="21"/>
                <w:highlight w:val="none"/>
                <w:u w:val="none"/>
              </w:rPr>
            </w:pPr>
          </w:p>
        </w:tc>
      </w:tr>
      <w:tr w14:paraId="327E0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71FA5E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 </w:t>
            </w:r>
          </w:p>
        </w:tc>
        <w:tc>
          <w:tcPr>
            <w:tcW w:w="2926" w:type="pct"/>
            <w:tcBorders>
              <w:top w:val="nil"/>
              <w:left w:val="single" w:color="000000" w:sz="4" w:space="0"/>
              <w:bottom w:val="single" w:color="000000" w:sz="4" w:space="0"/>
              <w:right w:val="single" w:color="000000" w:sz="4" w:space="0"/>
            </w:tcBorders>
            <w:noWrap w:val="0"/>
            <w:vAlign w:val="center"/>
          </w:tcPr>
          <w:p w14:paraId="4E50F58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右主机MCS控制箱主板（底板）故障维修</w:t>
            </w:r>
          </w:p>
        </w:tc>
        <w:tc>
          <w:tcPr>
            <w:tcW w:w="894" w:type="pct"/>
            <w:tcBorders>
              <w:top w:val="nil"/>
              <w:left w:val="single" w:color="000000" w:sz="4" w:space="0"/>
              <w:bottom w:val="single" w:color="000000" w:sz="4" w:space="0"/>
              <w:right w:val="single" w:color="000000" w:sz="4" w:space="0"/>
            </w:tcBorders>
            <w:noWrap w:val="0"/>
            <w:vAlign w:val="center"/>
          </w:tcPr>
          <w:p w14:paraId="7671F9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91" w:type="pct"/>
            <w:tcBorders>
              <w:top w:val="nil"/>
              <w:left w:val="single" w:color="000000" w:sz="4" w:space="0"/>
              <w:bottom w:val="single" w:color="000000" w:sz="4" w:space="0"/>
              <w:right w:val="single" w:color="000000" w:sz="4" w:space="0"/>
            </w:tcBorders>
            <w:noWrap w:val="0"/>
            <w:vAlign w:val="center"/>
          </w:tcPr>
          <w:p w14:paraId="5BC46B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7380D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474847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 </w:t>
            </w:r>
          </w:p>
        </w:tc>
        <w:tc>
          <w:tcPr>
            <w:tcW w:w="2926" w:type="pct"/>
            <w:tcBorders>
              <w:top w:val="nil"/>
              <w:left w:val="single" w:color="000000" w:sz="4" w:space="0"/>
              <w:bottom w:val="single" w:color="000000" w:sz="4" w:space="0"/>
              <w:right w:val="single" w:color="000000" w:sz="4" w:space="0"/>
            </w:tcBorders>
            <w:noWrap w:val="0"/>
            <w:vAlign w:val="center"/>
          </w:tcPr>
          <w:p w14:paraId="33F4E72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拆装更换全船电池</w:t>
            </w:r>
          </w:p>
        </w:tc>
        <w:tc>
          <w:tcPr>
            <w:tcW w:w="894" w:type="pct"/>
            <w:tcBorders>
              <w:top w:val="nil"/>
              <w:left w:val="single" w:color="000000" w:sz="4" w:space="0"/>
              <w:bottom w:val="single" w:color="000000" w:sz="4" w:space="0"/>
              <w:right w:val="single" w:color="000000" w:sz="4" w:space="0"/>
            </w:tcBorders>
            <w:noWrap w:val="0"/>
            <w:vAlign w:val="center"/>
          </w:tcPr>
          <w:p w14:paraId="22B3CE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91" w:type="pct"/>
            <w:tcBorders>
              <w:top w:val="nil"/>
              <w:left w:val="single" w:color="000000" w:sz="4" w:space="0"/>
              <w:bottom w:val="single" w:color="000000" w:sz="4" w:space="0"/>
              <w:right w:val="single" w:color="000000" w:sz="4" w:space="0"/>
            </w:tcBorders>
            <w:noWrap w:val="0"/>
            <w:vAlign w:val="center"/>
          </w:tcPr>
          <w:p w14:paraId="4D19B3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723F1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148FB3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 </w:t>
            </w:r>
          </w:p>
        </w:tc>
        <w:tc>
          <w:tcPr>
            <w:tcW w:w="2926" w:type="pct"/>
            <w:tcBorders>
              <w:top w:val="nil"/>
              <w:left w:val="single" w:color="000000" w:sz="4" w:space="0"/>
              <w:bottom w:val="single" w:color="000000" w:sz="4" w:space="0"/>
              <w:right w:val="single" w:color="000000" w:sz="4" w:space="0"/>
            </w:tcBorders>
            <w:noWrap w:val="0"/>
            <w:vAlign w:val="center"/>
          </w:tcPr>
          <w:p w14:paraId="5FAECB6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雨刮片老化，换新3条</w:t>
            </w:r>
          </w:p>
        </w:tc>
        <w:tc>
          <w:tcPr>
            <w:tcW w:w="894" w:type="pct"/>
            <w:tcBorders>
              <w:top w:val="nil"/>
              <w:left w:val="single" w:color="000000" w:sz="4" w:space="0"/>
              <w:bottom w:val="single" w:color="000000" w:sz="4" w:space="0"/>
              <w:right w:val="single" w:color="000000" w:sz="4" w:space="0"/>
            </w:tcBorders>
            <w:noWrap w:val="0"/>
            <w:vAlign w:val="center"/>
          </w:tcPr>
          <w:p w14:paraId="03F277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91" w:type="pct"/>
            <w:tcBorders>
              <w:top w:val="nil"/>
              <w:left w:val="single" w:color="000000" w:sz="4" w:space="0"/>
              <w:bottom w:val="single" w:color="000000" w:sz="4" w:space="0"/>
              <w:right w:val="single" w:color="000000" w:sz="4" w:space="0"/>
            </w:tcBorders>
            <w:noWrap w:val="0"/>
            <w:vAlign w:val="center"/>
          </w:tcPr>
          <w:p w14:paraId="6314E1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03DFA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70F9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2926" w:type="pct"/>
            <w:tcBorders>
              <w:top w:val="nil"/>
              <w:left w:val="single" w:color="000000" w:sz="4" w:space="0"/>
              <w:bottom w:val="single" w:color="000000" w:sz="4" w:space="0"/>
              <w:right w:val="single" w:color="000000" w:sz="4" w:space="0"/>
            </w:tcBorders>
            <w:shd w:val="clear" w:color="auto" w:fill="FFFFFF"/>
            <w:noWrap w:val="0"/>
            <w:vAlign w:val="center"/>
          </w:tcPr>
          <w:p w14:paraId="190A9E8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航行灯控制系统故障维修</w:t>
            </w:r>
          </w:p>
        </w:tc>
        <w:tc>
          <w:tcPr>
            <w:tcW w:w="894" w:type="pct"/>
            <w:tcBorders>
              <w:top w:val="nil"/>
              <w:left w:val="single" w:color="000000" w:sz="4" w:space="0"/>
              <w:bottom w:val="single" w:color="000000" w:sz="4" w:space="0"/>
              <w:right w:val="single" w:color="000000" w:sz="4" w:space="0"/>
            </w:tcBorders>
            <w:noWrap w:val="0"/>
            <w:vAlign w:val="center"/>
          </w:tcPr>
          <w:p w14:paraId="1E33EB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91" w:type="pct"/>
            <w:tcBorders>
              <w:top w:val="nil"/>
              <w:left w:val="single" w:color="000000" w:sz="4" w:space="0"/>
              <w:bottom w:val="single" w:color="000000" w:sz="4" w:space="0"/>
              <w:right w:val="single" w:color="000000" w:sz="4" w:space="0"/>
            </w:tcBorders>
            <w:noWrap w:val="0"/>
            <w:vAlign w:val="center"/>
          </w:tcPr>
          <w:p w14:paraId="7A3CD4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4DA91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250409">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七</w:t>
            </w:r>
          </w:p>
        </w:tc>
        <w:tc>
          <w:tcPr>
            <w:tcW w:w="29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57E6B2">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船体工程</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79D156A3">
            <w:pPr>
              <w:jc w:val="center"/>
              <w:rPr>
                <w:rFonts w:hint="eastAsia" w:ascii="宋体" w:hAnsi="宋体" w:eastAsia="宋体" w:cs="宋体"/>
                <w:i w:val="0"/>
                <w:iCs w:val="0"/>
                <w:color w:val="auto"/>
                <w:sz w:val="21"/>
                <w:szCs w:val="21"/>
                <w:highlight w:val="none"/>
                <w:u w:val="none"/>
              </w:rPr>
            </w:pP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141C64E3">
            <w:pPr>
              <w:jc w:val="center"/>
              <w:rPr>
                <w:rFonts w:hint="eastAsia" w:ascii="宋体" w:hAnsi="宋体" w:eastAsia="宋体" w:cs="宋体"/>
                <w:i w:val="0"/>
                <w:iCs w:val="0"/>
                <w:color w:val="auto"/>
                <w:sz w:val="21"/>
                <w:szCs w:val="21"/>
                <w:highlight w:val="none"/>
                <w:u w:val="none"/>
              </w:rPr>
            </w:pPr>
          </w:p>
        </w:tc>
      </w:tr>
      <w:tr w14:paraId="4D6BC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4FB3D4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74F9992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船艇下排（吊船费）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两台50T吊机2个台班</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7554D1E1">
            <w:pPr>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6B4AD70C">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台班</w:t>
            </w:r>
          </w:p>
        </w:tc>
      </w:tr>
      <w:tr w14:paraId="7F7FE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555274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 </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589B9B7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船底防污漆</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6EF54473">
            <w:pPr>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293F8952">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r w14:paraId="54231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7" w:type="pct"/>
            <w:tcBorders>
              <w:top w:val="single" w:color="000000" w:sz="4" w:space="0"/>
              <w:left w:val="single" w:color="000000" w:sz="4" w:space="0"/>
              <w:bottom w:val="single" w:color="000000" w:sz="4" w:space="0"/>
              <w:right w:val="single" w:color="000000" w:sz="4" w:space="0"/>
            </w:tcBorders>
            <w:noWrap w:val="0"/>
            <w:vAlign w:val="center"/>
          </w:tcPr>
          <w:p w14:paraId="0A04B8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 </w:t>
            </w:r>
          </w:p>
        </w:tc>
        <w:tc>
          <w:tcPr>
            <w:tcW w:w="2926" w:type="pct"/>
            <w:tcBorders>
              <w:top w:val="single" w:color="000000" w:sz="4" w:space="0"/>
              <w:left w:val="single" w:color="000000" w:sz="4" w:space="0"/>
              <w:bottom w:val="single" w:color="000000" w:sz="4" w:space="0"/>
              <w:right w:val="single" w:color="000000" w:sz="4" w:space="0"/>
            </w:tcBorders>
            <w:noWrap w:val="0"/>
            <w:vAlign w:val="center"/>
          </w:tcPr>
          <w:p w14:paraId="69D7FAC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左护舷破损，不锈钢压条弯曲处理</w:t>
            </w:r>
          </w:p>
        </w:tc>
        <w:tc>
          <w:tcPr>
            <w:tcW w:w="894" w:type="pct"/>
            <w:tcBorders>
              <w:top w:val="single" w:color="000000" w:sz="4" w:space="0"/>
              <w:left w:val="single" w:color="000000" w:sz="4" w:space="0"/>
              <w:bottom w:val="single" w:color="000000" w:sz="4" w:space="0"/>
              <w:right w:val="single" w:color="000000" w:sz="4" w:space="0"/>
            </w:tcBorders>
            <w:noWrap w:val="0"/>
            <w:vAlign w:val="center"/>
          </w:tcPr>
          <w:p w14:paraId="4F532A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14:paraId="6762DD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r>
    </w:tbl>
    <w:p w14:paraId="1EB11DA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Unicode MS">
    <w:altName w:val="Arial"/>
    <w:panose1 w:val="020B0604020202020204"/>
    <w:charset w:val="00"/>
    <w:family w:val="roman"/>
    <w:pitch w:val="default"/>
    <w:sig w:usb0="00000000" w:usb1="00000000" w:usb2="0000007F" w:usb3="00000000" w:csb0="203F01FF" w:csb1="DFFF0000"/>
  </w:font>
  <w:font w:name="KSOF6398537F">
    <w:panose1 w:val="020B0604020202020204"/>
    <w:charset w:val="86"/>
    <w:family w:val="auto"/>
    <w:pitch w:val="default"/>
    <w:sig w:usb0="00000001" w:usb1="00000000" w:usb2="00000000" w:usb3="00000000" w:csb0="003E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D92A3D"/>
    <w:multiLevelType w:val="multilevel"/>
    <w:tmpl w:val="10D92A3D"/>
    <w:lvl w:ilvl="0" w:tentative="0">
      <w:start w:val="1"/>
      <w:numFmt w:val="decimal"/>
      <w:suff w:val="space"/>
      <w:lvlText w:val="%1"/>
      <w:lvlJc w:val="left"/>
      <w:pPr>
        <w:ind w:left="0" w:firstLine="0"/>
      </w:pPr>
      <w:rPr>
        <w:rFonts w:hint="eastAsia"/>
      </w:rPr>
    </w:lvl>
    <w:lvl w:ilvl="1" w:tentative="0">
      <w:start w:val="1"/>
      <w:numFmt w:val="decimal"/>
      <w:pStyle w:val="4"/>
      <w:suff w:val="space"/>
      <w:lvlText w:val="%1.%2"/>
      <w:lvlJc w:val="left"/>
      <w:pPr>
        <w:ind w:left="0" w:firstLine="0"/>
      </w:pPr>
      <w:rPr>
        <w:rFonts w:hint="eastAsia"/>
      </w:rPr>
    </w:lvl>
    <w:lvl w:ilvl="2" w:tentative="0">
      <w:start w:val="1"/>
      <w:numFmt w:val="decimal"/>
      <w:pStyle w:val="5"/>
      <w:suff w:val="space"/>
      <w:lvlText w:val="%1.%2.%3"/>
      <w:lvlJc w:val="left"/>
      <w:pPr>
        <w:ind w:left="0" w:firstLine="0"/>
      </w:pPr>
      <w:rPr>
        <w:rFonts w:hint="eastAsia"/>
      </w:rPr>
    </w:lvl>
    <w:lvl w:ilvl="3" w:tentative="0">
      <w:start w:val="1"/>
      <w:numFmt w:val="decimal"/>
      <w:pStyle w:val="6"/>
      <w:suff w:val="space"/>
      <w:lvlText w:val="%1.%2.%3.%4"/>
      <w:lvlJc w:val="left"/>
      <w:pPr>
        <w:ind w:left="0" w:firstLine="0"/>
      </w:pPr>
      <w:rPr>
        <w:rFonts w:hint="eastAsia"/>
      </w:rPr>
    </w:lvl>
    <w:lvl w:ilvl="4" w:tentative="0">
      <w:start w:val="1"/>
      <w:numFmt w:val="decimal"/>
      <w:pStyle w:val="7"/>
      <w:suff w:val="space"/>
      <w:lvlText w:val="%1.%2.%3.%4.%5"/>
      <w:lvlJc w:val="left"/>
      <w:pPr>
        <w:ind w:left="0" w:firstLine="0"/>
      </w:pPr>
      <w:rPr>
        <w:rFonts w:hint="eastAsia"/>
      </w:rPr>
    </w:lvl>
    <w:lvl w:ilvl="5" w:tentative="0">
      <w:start w:val="1"/>
      <w:numFmt w:val="decimal"/>
      <w:pStyle w:val="8"/>
      <w:suff w:val="space"/>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B97831"/>
    <w:rsid w:val="0B7E4DF0"/>
    <w:rsid w:val="1C4C6724"/>
    <w:rsid w:val="288C1EC7"/>
    <w:rsid w:val="2ADD4302"/>
    <w:rsid w:val="383D0C57"/>
    <w:rsid w:val="3EDC3B97"/>
    <w:rsid w:val="44B71BC8"/>
    <w:rsid w:val="67296979"/>
    <w:rsid w:val="69686B2D"/>
    <w:rsid w:val="6CFF7CC0"/>
    <w:rsid w:val="6F103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240" w:lineRule="auto"/>
      <w:ind w:leftChars="0"/>
      <w:outlineLvl w:val="0"/>
    </w:pPr>
    <w:rPr>
      <w:rFonts w:ascii="Times New Roman" w:hAnsi="Times New Roman" w:cs="Times New Roman"/>
      <w:b/>
      <w:kern w:val="44"/>
      <w:sz w:val="32"/>
    </w:rPr>
  </w:style>
  <w:style w:type="paragraph" w:styleId="4">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Chars="0"/>
      <w:outlineLvl w:val="1"/>
    </w:pPr>
    <w:rPr>
      <w:rFonts w:ascii="Arial" w:hAnsi="Arial" w:eastAsia="黑体"/>
      <w:b/>
      <w:sz w:val="32"/>
    </w:rPr>
  </w:style>
  <w:style w:type="paragraph" w:styleId="5">
    <w:name w:val="heading 3"/>
    <w:basedOn w:val="1"/>
    <w:next w:val="1"/>
    <w:semiHidden/>
    <w:unhideWhenUsed/>
    <w:qFormat/>
    <w:uiPriority w:val="0"/>
    <w:pPr>
      <w:keepNext/>
      <w:keepLines/>
      <w:pageBreakBefore/>
      <w:numPr>
        <w:ilvl w:val="2"/>
        <w:numId w:val="1"/>
      </w:numPr>
      <w:spacing w:before="260" w:beforeLines="0" w:beforeAutospacing="0" w:after="260" w:afterLines="0" w:afterAutospacing="0" w:line="413" w:lineRule="auto"/>
      <w:outlineLvl w:val="2"/>
    </w:pPr>
    <w:rPr>
      <w:rFonts w:ascii="Times New Roman" w:hAnsi="Times New Roman" w:eastAsia="宋体" w:cs="Times New Roman"/>
      <w:b/>
      <w:sz w:val="32"/>
    </w:rPr>
  </w:style>
  <w:style w:type="paragraph" w:styleId="6">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Chars="0"/>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Chars="0"/>
      <w:outlineLvl w:val="5"/>
    </w:pPr>
    <w:rPr>
      <w:rFonts w:ascii="Arial" w:hAnsi="Arial" w:eastAsia="黑体"/>
      <w:b/>
      <w:sz w:val="24"/>
    </w:rPr>
  </w:style>
  <w:style w:type="character" w:default="1" w:styleId="12">
    <w:name w:val="Default Paragraph Font"/>
    <w:autoRedefine/>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表格文字"/>
    <w:qFormat/>
    <w:uiPriority w:val="0"/>
    <w:pPr>
      <w:widowControl w:val="0"/>
      <w:adjustRightInd w:val="0"/>
      <w:spacing w:line="420" w:lineRule="atLeast"/>
      <w:jc w:val="left"/>
      <w:textAlignment w:val="baseline"/>
    </w:pPr>
    <w:rPr>
      <w:rFonts w:ascii="Times New Roman" w:hAnsi="Times New Roman" w:eastAsia="宋体" w:cs="Times New Roman"/>
      <w:kern w:val="0"/>
      <w:sz w:val="21"/>
      <w:szCs w:val="24"/>
      <w:lang w:val="en-US" w:eastAsia="zh-CN" w:bidi="ar-SA"/>
    </w:rPr>
  </w:style>
  <w:style w:type="paragraph" w:styleId="9">
    <w:name w:val="annotation text"/>
    <w:qFormat/>
    <w:uiPriority w:val="0"/>
    <w:pPr>
      <w:widowControl w:val="0"/>
      <w:jc w:val="left"/>
    </w:pPr>
    <w:rPr>
      <w:rFonts w:ascii="Times New Roman" w:hAnsi="Times New Roman" w:eastAsia="宋体" w:cs="Times New Roman"/>
      <w:kern w:val="2"/>
      <w:sz w:val="21"/>
      <w:szCs w:val="24"/>
      <w:lang w:val="en-US" w:eastAsia="zh-CN" w:bidi="ar-SA"/>
    </w:rPr>
  </w:style>
  <w:style w:type="paragraph" w:styleId="10">
    <w:name w:val="footer"/>
    <w:next w:val="1"/>
    <w:unhideWhenUsed/>
    <w:qFormat/>
    <w:uiPriority w:val="99"/>
    <w:pPr>
      <w:widowControl w:val="0"/>
      <w:tabs>
        <w:tab w:val="center" w:pos="4153"/>
        <w:tab w:val="right" w:pos="8306"/>
      </w:tabs>
      <w:snapToGrid w:val="0"/>
      <w:jc w:val="left"/>
    </w:pPr>
    <w:rPr>
      <w:rFonts w:ascii="Times New Roman" w:hAnsi="Times New Roman" w:eastAsia="宋体" w:cs="Times New Roman"/>
      <w:kern w:val="0"/>
      <w:sz w:val="18"/>
      <w:szCs w:val="18"/>
      <w:lang w:val="en-US" w:eastAsia="zh-CN" w:bidi="ar-SA"/>
    </w:rPr>
  </w:style>
  <w:style w:type="paragraph" w:customStyle="1" w:styleId="13">
    <w:name w:val="投标正文"/>
    <w:basedOn w:val="1"/>
    <w:qFormat/>
    <w:uiPriority w:val="0"/>
    <w:pPr>
      <w:spacing w:line="360" w:lineRule="auto"/>
      <w:ind w:firstLine="480" w:firstLineChars="200"/>
      <w:contextualSpacing/>
    </w:pPr>
    <w:rPr>
      <w:rFonts w:hint="eastAsia" w:ascii="宋体" w:hAnsi="宋体" w:eastAsia="仿宋"/>
      <w:color w:val="auto"/>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3217</Words>
  <Characters>3343</Characters>
  <Lines>0</Lines>
  <Paragraphs>0</Paragraphs>
  <TotalTime>0</TotalTime>
  <ScaleCrop>false</ScaleCrop>
  <LinksUpToDate>false</LinksUpToDate>
  <CharactersWithSpaces>3350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2024-04-16T08:15:00Z</dcterms:created>
  <dc:creator>Administrator</dc:creator>
  <cp:lastModifiedBy>oho</cp:lastModifiedBy>
  <dcterms:modified xsi:type="dcterms:W3CDTF">2026-09-08T03:59:47Z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52464D54D0134E728D979A153ECEBD23_12</vt:lpwstr>
  </property>
  <property fmtid="{D5CDD505-2E9C-101B-9397-08002B2CF9AE}" pid="4" name="KSOTemplateDocerSaveRecord">
    <vt:lpwstr>eyJoZGlkIjoiOTYxZjEyODIzZDgwNTQwYjJmMzJiYzBjZDdlNTkzYTEiLCJ1c2VySWQiOiIzODEwOTA4NzUifQ==</vt:lpwstr>
  </property>
</Properties>
</file>